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png" ContentType="image/png"/>
  <Default Extension="jpeg" ContentType="image/jpeg"/>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5.xml" ContentType="application/vnd.openxmlformats-officedocument.wordprocessingml.header+xml"/>
  <Override PartName="/word/footer16.xml" ContentType="application/vnd.openxmlformats-officedocument.wordprocessingml.footer+xml"/>
  <Override PartName="/word/header6.xml" ContentType="application/vnd.openxmlformats-officedocument.wordprocessingml.head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header10.xml" ContentType="application/vnd.openxmlformats-officedocument.wordprocessingml.header+xml"/>
  <Override PartName="/word/footer47.xml" ContentType="application/vnd.openxmlformats-officedocument.wordprocessingml.footer+xml"/>
  <Override PartName="/word/header1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header12.xml" ContentType="application/vnd.openxmlformats-officedocument.wordprocessingml.header+xml"/>
  <Override PartName="/word/footer56.xml" ContentType="application/vnd.openxmlformats-officedocument.wordprocessingml.footer+xml"/>
  <Override PartName="/word/header13.xml" ContentType="application/vnd.openxmlformats-officedocument.wordprocessingml.header+xml"/>
  <Override PartName="/word/footer57.xml" ContentType="application/vnd.openxmlformats-officedocument.wordprocessingml.footer+xml"/>
  <Override PartName="/word/header14.xml" ContentType="application/vnd.openxmlformats-officedocument.wordprocessingml.header+xml"/>
  <Override PartName="/word/footer58.xml" ContentType="application/vnd.openxmlformats-officedocument.wordprocessingml.footer+xml"/>
  <Override PartName="/word/header15.xml" ContentType="application/vnd.openxmlformats-officedocument.wordprocessingml.header+xml"/>
  <Override PartName="/word/footer59.xml" ContentType="application/vnd.openxmlformats-officedocument.wordprocessingml.footer+xml"/>
  <Override PartName="/word/header16.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17.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9"/>
          <w:szCs w:val="19"/>
        </w:rPr>
      </w:pPr>
    </w:p>
    <w:p>
      <w:pPr>
        <w:pStyle w:val="BodyText"/>
        <w:tabs>
          <w:tab w:pos="6600" w:val="left" w:leader="none"/>
        </w:tabs>
        <w:spacing w:line="240" w:lineRule="auto" w:before="26"/>
        <w:ind w:left="0" w:right="46"/>
        <w:jc w:val="center"/>
      </w:pPr>
      <w:r>
        <w:rPr>
          <w:spacing w:val="-1"/>
        </w:rPr>
        <w:t>公司代码：</w:t>
      </w:r>
      <w:r>
        <w:rPr>
          <w:rFonts w:ascii="Times New Roman" w:hAnsi="Times New Roman" w:cs="Times New Roman" w:eastAsia="Times New Roman" w:hint="default"/>
          <w:spacing w:val="-1"/>
        </w:rPr>
        <w:t>600588</w:t>
        <w:tab/>
      </w:r>
      <w:r>
        <w:rPr/>
        <w:t>公司简称：用友网络</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31"/>
          <w:szCs w:val="31"/>
        </w:rPr>
      </w:pPr>
    </w:p>
    <w:p>
      <w:pPr>
        <w:spacing w:line="572" w:lineRule="exact" w:before="0"/>
        <w:ind w:left="2005" w:right="1981" w:firstLine="0"/>
        <w:jc w:val="center"/>
        <w:rPr>
          <w:rFonts w:ascii="黑体" w:hAnsi="黑体" w:cs="黑体" w:eastAsia="黑体" w:hint="default"/>
          <w:sz w:val="44"/>
          <w:szCs w:val="44"/>
        </w:rPr>
      </w:pPr>
      <w:r>
        <w:rPr>
          <w:rFonts w:ascii="黑体" w:hAnsi="黑体" w:cs="黑体" w:eastAsia="黑体" w:hint="default"/>
          <w:b/>
          <w:bCs/>
          <w:color w:val="FF0000"/>
          <w:spacing w:val="2"/>
          <w:w w:val="95"/>
          <w:sz w:val="44"/>
          <w:szCs w:val="44"/>
        </w:rPr>
        <w:t>用友网络科技股份有限公司</w:t>
      </w:r>
      <w:r>
        <w:rPr>
          <w:rFonts w:ascii="黑体" w:hAnsi="黑体" w:cs="黑体" w:eastAsia="黑体" w:hint="default"/>
          <w:b/>
          <w:bCs/>
          <w:color w:val="FF0000"/>
          <w:spacing w:val="18"/>
          <w:w w:val="95"/>
          <w:sz w:val="44"/>
          <w:szCs w:val="44"/>
        </w:rPr>
        <w:t> </w:t>
      </w:r>
      <w:r>
        <w:rPr>
          <w:rFonts w:ascii="黑体" w:hAnsi="黑体" w:cs="黑体" w:eastAsia="黑体" w:hint="default"/>
          <w:b/>
          <w:bCs/>
          <w:color w:val="FF0000"/>
          <w:sz w:val="44"/>
          <w:szCs w:val="44"/>
        </w:rPr>
        <w:t>2019</w:t>
      </w:r>
      <w:r>
        <w:rPr>
          <w:rFonts w:ascii="黑体" w:hAnsi="黑体" w:cs="黑体" w:eastAsia="黑体" w:hint="default"/>
          <w:b/>
          <w:bCs/>
          <w:color w:val="FF0000"/>
          <w:spacing w:val="-115"/>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after="0" w:line="572" w:lineRule="exact"/>
        <w:jc w:val="center"/>
        <w:rPr>
          <w:rFonts w:ascii="黑体" w:hAnsi="黑体" w:cs="黑体" w:eastAsia="黑体" w:hint="default"/>
          <w:sz w:val="44"/>
          <w:szCs w:val="44"/>
        </w:rPr>
        <w:sectPr>
          <w:headerReference w:type="default" r:id="rId5"/>
          <w:footerReference w:type="default" r:id="rId6"/>
          <w:type w:val="continuous"/>
          <w:pgSz w:w="11910" w:h="16840"/>
          <w:pgMar w:header="880" w:footer="1195" w:top="1120" w:bottom="1380" w:left="1660" w:right="1160"/>
          <w:pgNumType w:start="1"/>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28"/>
          <w:szCs w:val="28"/>
        </w:rPr>
      </w:pPr>
    </w:p>
    <w:p>
      <w:pPr>
        <w:spacing w:before="14"/>
        <w:ind w:left="3972" w:right="4049" w:firstLine="0"/>
        <w:jc w:val="center"/>
        <w:rPr>
          <w:rFonts w:ascii="黑体" w:hAnsi="黑体" w:cs="黑体" w:eastAsia="黑体" w:hint="default"/>
          <w:sz w:val="28"/>
          <w:szCs w:val="28"/>
        </w:rPr>
      </w:pPr>
      <w:r>
        <w:rPr>
          <w:rFonts w:ascii="黑体" w:hAnsi="黑体" w:cs="黑体" w:eastAsia="黑体" w:hint="default"/>
          <w:b/>
          <w:bCs/>
          <w:sz w:val="28"/>
          <w:szCs w:val="28"/>
        </w:rPr>
        <w:t>重要提示</w:t>
      </w:r>
      <w:r>
        <w:rPr>
          <w:rFonts w:ascii="黑体" w:hAnsi="黑体" w:cs="黑体" w:eastAsia="黑体" w:hint="default"/>
          <w:sz w:val="28"/>
          <w:szCs w:val="28"/>
        </w:rPr>
      </w:r>
    </w:p>
    <w:p>
      <w:pPr>
        <w:spacing w:line="240" w:lineRule="auto" w:before="10"/>
        <w:rPr>
          <w:rFonts w:ascii="黑体" w:hAnsi="黑体" w:cs="黑体" w:eastAsia="黑体" w:hint="default"/>
          <w:b/>
          <w:bCs/>
          <w:sz w:val="21"/>
          <w:szCs w:val="21"/>
        </w:rPr>
      </w:pPr>
    </w:p>
    <w:p>
      <w:pPr>
        <w:pStyle w:val="Heading2"/>
        <w:spacing w:line="357" w:lineRule="auto"/>
        <w:ind w:left="558" w:right="94" w:hanging="420"/>
        <w:jc w:val="left"/>
        <w:rPr>
          <w:b w:val="0"/>
          <w:bCs w:val="0"/>
        </w:rPr>
      </w:pPr>
      <w:r>
        <w:rPr>
          <w:sz w:val="21"/>
          <w:szCs w:val="21"/>
        </w:rPr>
        <w:t>一、</w:t>
      </w:r>
      <w:r>
        <w:rPr>
          <w:spacing w:val="-96"/>
          <w:sz w:val="21"/>
          <w:szCs w:val="21"/>
        </w:rPr>
        <w:t> </w:t>
      </w:r>
      <w:r>
        <w:rPr>
          <w:rFonts w:ascii="宋体" w:hAnsi="宋体" w:cs="宋体" w:eastAsia="宋体" w:hint="default"/>
          <w:spacing w:val="-96"/>
          <w:sz w:val="21"/>
          <w:szCs w:val="21"/>
        </w:rPr>
      </w:r>
      <w:r>
        <w:rPr>
          <w:spacing w:val="2"/>
        </w:rPr>
        <w:t>本公司董事会、监事会及董事、监事、高级管理人员保证年度报告内容的真实、</w:t>
      </w:r>
      <w:r>
        <w:rPr>
          <w:w w:val="99"/>
        </w:rPr>
        <w:t> </w:t>
      </w:r>
      <w:r>
        <w:rPr/>
        <w:t>准确、完整，不存在虚假记载、误导性陈述或重大遗漏，并承担个别和连带的法</w:t>
      </w:r>
      <w:r>
        <w:rPr>
          <w:w w:val="99"/>
        </w:rPr>
        <w:t> </w:t>
      </w:r>
      <w:r>
        <w:rPr/>
        <w:t>律责任。</w:t>
      </w:r>
      <w:r>
        <w:rPr>
          <w:b w:val="0"/>
          <w:bCs w:val="0"/>
        </w:rPr>
      </w:r>
    </w:p>
    <w:p>
      <w:pPr>
        <w:spacing w:line="240" w:lineRule="auto" w:before="11"/>
        <w:rPr>
          <w:rFonts w:ascii="宋体" w:hAnsi="宋体" w:cs="宋体" w:eastAsia="宋体" w:hint="default"/>
          <w:b/>
          <w:bCs/>
          <w:sz w:val="23"/>
          <w:szCs w:val="23"/>
        </w:rPr>
      </w:pPr>
    </w:p>
    <w:p>
      <w:pPr>
        <w:pStyle w:val="Heading2"/>
        <w:spacing w:line="240" w:lineRule="auto"/>
        <w:ind w:left="138" w:right="94"/>
        <w:jc w:val="left"/>
        <w:rPr>
          <w:b w:val="0"/>
          <w:bCs w:val="0"/>
        </w:rPr>
      </w:pPr>
      <w:r>
        <w:rPr>
          <w:sz w:val="21"/>
          <w:szCs w:val="21"/>
        </w:rPr>
        <w:t>二、</w:t>
      </w:r>
      <w:r>
        <w:rPr>
          <w:spacing w:val="-81"/>
          <w:sz w:val="21"/>
          <w:szCs w:val="21"/>
        </w:rPr>
        <w:t> </w:t>
      </w:r>
      <w:r>
        <w:rPr>
          <w:rFonts w:ascii="宋体" w:hAnsi="宋体" w:cs="宋体" w:eastAsia="宋体" w:hint="default"/>
          <w:spacing w:val="-81"/>
          <w:sz w:val="21"/>
          <w:szCs w:val="21"/>
        </w:rPr>
      </w:r>
      <w:r>
        <w:rPr/>
        <w:t>公司全体董事出席董事会会议。</w:t>
      </w:r>
      <w:r>
        <w:rPr>
          <w:b w:val="0"/>
          <w:bCs w:val="0"/>
        </w:rPr>
      </w:r>
    </w:p>
    <w:p>
      <w:pPr>
        <w:spacing w:line="240" w:lineRule="auto" w:before="9"/>
        <w:rPr>
          <w:rFonts w:ascii="宋体" w:hAnsi="宋体" w:cs="宋体" w:eastAsia="宋体" w:hint="default"/>
          <w:b/>
          <w:bCs/>
          <w:sz w:val="32"/>
          <w:szCs w:val="32"/>
        </w:rPr>
      </w:pPr>
    </w:p>
    <w:p>
      <w:pPr>
        <w:pStyle w:val="Heading2"/>
        <w:spacing w:line="357" w:lineRule="auto"/>
        <w:ind w:left="558" w:right="197" w:hanging="420"/>
        <w:jc w:val="left"/>
        <w:rPr>
          <w:rFonts w:ascii="宋体" w:hAnsi="宋体" w:cs="宋体" w:eastAsia="宋体" w:hint="default"/>
          <w:b w:val="0"/>
          <w:bCs w:val="0"/>
        </w:rPr>
      </w:pPr>
      <w:r>
        <w:rPr>
          <w:sz w:val="21"/>
          <w:szCs w:val="21"/>
        </w:rPr>
        <w:t>三、</w:t>
      </w:r>
      <w:r>
        <w:rPr>
          <w:spacing w:val="-24"/>
          <w:sz w:val="21"/>
          <w:szCs w:val="21"/>
        </w:rPr>
        <w:t> </w:t>
      </w:r>
      <w:r>
        <w:rPr>
          <w:rFonts w:ascii="宋体" w:hAnsi="宋体" w:cs="宋体" w:eastAsia="宋体" w:hint="default"/>
          <w:spacing w:val="-24"/>
          <w:sz w:val="21"/>
          <w:szCs w:val="21"/>
        </w:rPr>
      </w:r>
      <w:r>
        <w:rPr>
          <w:spacing w:val="-3"/>
        </w:rPr>
        <w:t>安永华明会计师事务所（特殊普通合伙）为本公司出具了标准无保留意见的审计</w:t>
      </w:r>
      <w:r>
        <w:rPr>
          <w:w w:val="99"/>
        </w:rPr>
        <w:t> </w:t>
      </w:r>
      <w:r>
        <w:rPr/>
        <w:t>报告。</w:t>
      </w:r>
      <w:r>
        <w:rPr>
          <w:rFonts w:ascii="宋体" w:hAnsi="宋体" w:cs="宋体" w:eastAsia="宋体" w:hint="default"/>
          <w:w w:val="99"/>
        </w:rPr>
        <w:t> </w:t>
      </w:r>
      <w:r>
        <w:rPr>
          <w:rFonts w:ascii="宋体" w:hAnsi="宋体" w:cs="宋体" w:eastAsia="宋体" w:hint="default"/>
          <w:b w:val="0"/>
          <w:bCs w:val="0"/>
        </w:rPr>
      </w:r>
    </w:p>
    <w:p>
      <w:pPr>
        <w:spacing w:line="240" w:lineRule="auto" w:before="9"/>
        <w:rPr>
          <w:rFonts w:ascii="宋体" w:hAnsi="宋体" w:cs="宋体" w:eastAsia="宋体" w:hint="default"/>
          <w:b/>
          <w:bCs/>
          <w:sz w:val="23"/>
          <w:szCs w:val="23"/>
        </w:rPr>
      </w:pPr>
    </w:p>
    <w:p>
      <w:pPr>
        <w:pStyle w:val="Heading2"/>
        <w:spacing w:line="357" w:lineRule="auto"/>
        <w:ind w:left="558" w:right="94" w:hanging="420"/>
        <w:jc w:val="left"/>
        <w:rPr>
          <w:rFonts w:ascii="宋体" w:hAnsi="宋体" w:cs="宋体" w:eastAsia="宋体" w:hint="default"/>
          <w:b w:val="0"/>
          <w:bCs w:val="0"/>
        </w:rPr>
      </w:pPr>
      <w:r>
        <w:rPr>
          <w:w w:val="95"/>
          <w:sz w:val="21"/>
          <w:szCs w:val="21"/>
        </w:rPr>
        <w:t>四、 </w:t>
      </w:r>
      <w:r>
        <w:rPr>
          <w:rFonts w:ascii="宋体" w:hAnsi="宋体" w:cs="宋体" w:eastAsia="宋体" w:hint="default"/>
          <w:w w:val="95"/>
          <w:sz w:val="21"/>
          <w:szCs w:val="21"/>
        </w:rPr>
      </w:r>
      <w:r>
        <w:rPr>
          <w:w w:val="95"/>
        </w:rPr>
        <w:t>公司负责人王文京、主管会计工作负责人章培林及会计机构负责人（会计主管人</w:t>
      </w:r>
      <w:r>
        <w:rPr>
          <w:spacing w:val="101"/>
          <w:w w:val="95"/>
        </w:rPr>
        <w:t> </w:t>
      </w:r>
      <w:r>
        <w:rPr>
          <w:spacing w:val="101"/>
          <w:w w:val="95"/>
        </w:rPr>
      </w:r>
      <w:r>
        <w:rPr/>
        <w:t>员）孙淑嫔声明：保证年度报告中财务报告的真实、准确、完整。</w:t>
      </w:r>
      <w:r>
        <w:rPr>
          <w:rFonts w:ascii="宋体" w:hAnsi="宋体" w:cs="宋体" w:eastAsia="宋体" w:hint="default"/>
          <w:w w:val="99"/>
        </w:rPr>
        <w:t> </w:t>
      </w:r>
      <w:r>
        <w:rPr>
          <w:rFonts w:ascii="宋体" w:hAnsi="宋体" w:cs="宋体" w:eastAsia="宋体" w:hint="default"/>
          <w:b w:val="0"/>
          <w:bCs w:val="0"/>
        </w:rPr>
      </w:r>
    </w:p>
    <w:p>
      <w:pPr>
        <w:spacing w:line="460" w:lineRule="atLeast" w:before="164"/>
        <w:ind w:left="618" w:right="195" w:hanging="480"/>
        <w:jc w:val="left"/>
        <w:rPr>
          <w:rFonts w:ascii="宋体" w:hAnsi="宋体" w:cs="宋体" w:eastAsia="宋体" w:hint="default"/>
          <w:sz w:val="24"/>
          <w:szCs w:val="24"/>
        </w:rPr>
      </w:pPr>
      <w:r>
        <w:rPr>
          <w:rFonts w:ascii="宋体" w:hAnsi="宋体" w:cs="宋体" w:eastAsia="宋体" w:hint="default"/>
          <w:b/>
          <w:bCs/>
          <w:sz w:val="21"/>
          <w:szCs w:val="21"/>
        </w:rPr>
        <w:t>五、</w:t>
      </w:r>
      <w:r>
        <w:rPr>
          <w:rFonts w:ascii="宋体" w:hAnsi="宋体" w:cs="宋体" w:eastAsia="宋体" w:hint="default"/>
          <w:b/>
          <w:bCs/>
          <w:spacing w:val="-40"/>
          <w:sz w:val="21"/>
          <w:szCs w:val="21"/>
        </w:rPr>
        <w:t> </w:t>
      </w:r>
      <w:r>
        <w:rPr>
          <w:rFonts w:ascii="宋体" w:hAnsi="宋体" w:cs="宋体" w:eastAsia="宋体" w:hint="default"/>
          <w:b/>
          <w:bCs/>
          <w:spacing w:val="-40"/>
          <w:sz w:val="21"/>
          <w:szCs w:val="21"/>
        </w:rPr>
      </w:r>
      <w:r>
        <w:rPr>
          <w:rFonts w:ascii="宋体" w:hAnsi="宋体" w:cs="宋体" w:eastAsia="宋体" w:hint="default"/>
          <w:b/>
          <w:bCs/>
          <w:sz w:val="24"/>
          <w:szCs w:val="24"/>
        </w:rPr>
        <w:t>经董事会审议的报告期利润分配预案或公积金转增股本预案</w:t>
      </w:r>
      <w:r>
        <w:rPr>
          <w:rFonts w:ascii="宋体" w:hAnsi="宋体" w:cs="宋体" w:eastAsia="宋体" w:hint="default"/>
          <w:b/>
          <w:bCs/>
          <w:w w:val="99"/>
          <w:sz w:val="24"/>
          <w:szCs w:val="24"/>
        </w:rPr>
        <w:t> </w:t>
      </w:r>
      <w:r>
        <w:rPr>
          <w:rFonts w:ascii="宋体" w:hAnsi="宋体" w:cs="宋体" w:eastAsia="宋体" w:hint="default"/>
          <w:spacing w:val="-4"/>
          <w:sz w:val="24"/>
          <w:szCs w:val="24"/>
        </w:rPr>
        <w:t>经安永华明会计师事务所（特殊普通合伙）审计确认，</w:t>
      </w:r>
      <w:r>
        <w:rPr>
          <w:rFonts w:ascii="宋体" w:hAnsi="宋体" w:cs="宋体" w:eastAsia="宋体" w:hint="default"/>
          <w:spacing w:val="-4"/>
          <w:sz w:val="24"/>
          <w:szCs w:val="24"/>
        </w:rPr>
        <w:t>2019</w:t>
      </w:r>
      <w:r>
        <w:rPr>
          <w:rFonts w:ascii="宋体" w:hAnsi="宋体" w:cs="宋体" w:eastAsia="宋体" w:hint="default"/>
          <w:spacing w:val="-55"/>
          <w:sz w:val="24"/>
          <w:szCs w:val="24"/>
        </w:rPr>
        <w:t> </w:t>
      </w:r>
      <w:r>
        <w:rPr>
          <w:rFonts w:ascii="宋体" w:hAnsi="宋体" w:cs="宋体" w:eastAsia="宋体" w:hint="default"/>
          <w:sz w:val="24"/>
          <w:szCs w:val="24"/>
        </w:rPr>
        <w:t>年度公司实现净利润</w:t>
      </w:r>
    </w:p>
    <w:p>
      <w:pPr>
        <w:pStyle w:val="BodyText"/>
        <w:spacing w:line="309" w:lineRule="exact"/>
        <w:ind w:left="138" w:right="94"/>
        <w:jc w:val="left"/>
      </w:pPr>
      <w:r>
        <w:rPr>
          <w:rFonts w:ascii="宋体" w:hAnsi="宋体" w:cs="宋体" w:eastAsia="宋体" w:hint="default"/>
        </w:rPr>
        <w:t>1,101,791,535</w:t>
      </w:r>
      <w:r>
        <w:rPr>
          <w:rFonts w:ascii="宋体" w:hAnsi="宋体" w:cs="宋体" w:eastAsia="宋体" w:hint="default"/>
          <w:spacing w:val="-61"/>
        </w:rPr>
        <w:t> </w:t>
      </w:r>
      <w:r>
        <w:rPr>
          <w:spacing w:val="-5"/>
        </w:rPr>
        <w:t>元。公司以</w:t>
      </w:r>
      <w:r>
        <w:rPr>
          <w:spacing w:val="-60"/>
        </w:rPr>
        <w:t> </w:t>
      </w:r>
      <w:r>
        <w:rPr>
          <w:rFonts w:ascii="宋体" w:hAnsi="宋体" w:cs="宋体" w:eastAsia="宋体" w:hint="default"/>
        </w:rPr>
        <w:t>2019</w:t>
      </w:r>
      <w:r>
        <w:rPr>
          <w:rFonts w:ascii="宋体" w:hAnsi="宋体" w:cs="宋体" w:eastAsia="宋体" w:hint="default"/>
          <w:spacing w:val="-60"/>
        </w:rPr>
        <w:t> </w:t>
      </w:r>
      <w:r>
        <w:rPr/>
        <w:t>年度净利润</w:t>
      </w:r>
      <w:r>
        <w:rPr>
          <w:spacing w:val="-60"/>
        </w:rPr>
        <w:t> </w:t>
      </w:r>
      <w:r>
        <w:rPr>
          <w:rFonts w:ascii="宋体" w:hAnsi="宋体" w:cs="宋体" w:eastAsia="宋体" w:hint="default"/>
        </w:rPr>
        <w:t>1,101,791,535</w:t>
      </w:r>
      <w:r>
        <w:rPr>
          <w:rFonts w:ascii="宋体" w:hAnsi="宋体" w:cs="宋体" w:eastAsia="宋体" w:hint="default"/>
          <w:spacing w:val="-60"/>
        </w:rPr>
        <w:t> </w:t>
      </w:r>
      <w:r>
        <w:rPr>
          <w:spacing w:val="-4"/>
        </w:rPr>
        <w:t>元为基数，提取</w:t>
      </w:r>
      <w:r>
        <w:rPr>
          <w:spacing w:val="-60"/>
        </w:rPr>
        <w:t> </w:t>
      </w:r>
      <w:r>
        <w:rPr>
          <w:rFonts w:ascii="宋体" w:hAnsi="宋体" w:cs="宋体" w:eastAsia="宋体" w:hint="default"/>
        </w:rPr>
        <w:t>10%</w:t>
      </w:r>
      <w:r>
        <w:rPr/>
        <w:t>的法</w:t>
      </w:r>
    </w:p>
    <w:p>
      <w:pPr>
        <w:pStyle w:val="BodyText"/>
        <w:spacing w:line="312" w:lineRule="exact"/>
        <w:ind w:left="138" w:right="94"/>
        <w:jc w:val="left"/>
      </w:pPr>
      <w:r>
        <w:rPr/>
        <w:t>定盈余公积金</w:t>
      </w:r>
      <w:r>
        <w:rPr>
          <w:spacing w:val="-58"/>
        </w:rPr>
        <w:t> </w:t>
      </w:r>
      <w:r>
        <w:rPr>
          <w:rFonts w:ascii="宋体" w:hAnsi="宋体" w:cs="宋体" w:eastAsia="宋体" w:hint="default"/>
        </w:rPr>
        <w:t>110,179,153</w:t>
      </w:r>
      <w:r>
        <w:rPr>
          <w:rFonts w:ascii="宋体" w:hAnsi="宋体" w:cs="宋体" w:eastAsia="宋体" w:hint="default"/>
          <w:spacing w:val="-57"/>
        </w:rPr>
        <w:t> </w:t>
      </w:r>
      <w:r>
        <w:rPr/>
        <w:t>元，提取</w:t>
      </w:r>
      <w:r>
        <w:rPr>
          <w:spacing w:val="-58"/>
        </w:rPr>
        <w:t> </w:t>
      </w:r>
      <w:r>
        <w:rPr>
          <w:rFonts w:ascii="宋体" w:hAnsi="宋体" w:cs="宋体" w:eastAsia="宋体" w:hint="default"/>
        </w:rPr>
        <w:t>5%</w:t>
      </w:r>
      <w:r>
        <w:rPr/>
        <w:t>任意盈余公积金</w:t>
      </w:r>
      <w:r>
        <w:rPr>
          <w:spacing w:val="-58"/>
        </w:rPr>
        <w:t> </w:t>
      </w:r>
      <w:r>
        <w:rPr>
          <w:rFonts w:ascii="宋体" w:hAnsi="宋体" w:cs="宋体" w:eastAsia="宋体" w:hint="default"/>
        </w:rPr>
        <w:t>55,089,577</w:t>
      </w:r>
      <w:r>
        <w:rPr>
          <w:rFonts w:ascii="宋体" w:hAnsi="宋体" w:cs="宋体" w:eastAsia="宋体" w:hint="default"/>
          <w:spacing w:val="-58"/>
        </w:rPr>
        <w:t> </w:t>
      </w:r>
      <w:r>
        <w:rPr/>
        <w:t>元，加往年累积</w:t>
      </w:r>
    </w:p>
    <w:p>
      <w:pPr>
        <w:pStyle w:val="BodyText"/>
        <w:spacing w:line="312" w:lineRule="exact"/>
        <w:ind w:left="138" w:right="94"/>
        <w:jc w:val="left"/>
      </w:pPr>
      <w:r>
        <w:rPr/>
        <w:t>的未分配利润</w:t>
      </w:r>
      <w:r>
        <w:rPr>
          <w:spacing w:val="-67"/>
        </w:rPr>
        <w:t> </w:t>
      </w:r>
      <w:r>
        <w:rPr>
          <w:rFonts w:ascii="宋体" w:hAnsi="宋体" w:cs="宋体" w:eastAsia="宋体" w:hint="default"/>
        </w:rPr>
        <w:t>1,169,733,782</w:t>
      </w:r>
      <w:r>
        <w:rPr>
          <w:rFonts w:ascii="宋体" w:hAnsi="宋体" w:cs="宋体" w:eastAsia="宋体" w:hint="default"/>
          <w:spacing w:val="-66"/>
        </w:rPr>
        <w:t> </w:t>
      </w:r>
      <w:r>
        <w:rPr/>
        <w:t>元，本次实际可供分配的利润为</w:t>
      </w:r>
      <w:r>
        <w:rPr>
          <w:spacing w:val="-66"/>
        </w:rPr>
        <w:t> </w:t>
      </w:r>
      <w:r>
        <w:rPr>
          <w:rFonts w:ascii="宋体" w:hAnsi="宋体" w:cs="宋体" w:eastAsia="宋体" w:hint="default"/>
        </w:rPr>
        <w:t>2,106,256,587</w:t>
      </w:r>
      <w:r>
        <w:rPr>
          <w:rFonts w:ascii="宋体" w:hAnsi="宋体" w:cs="宋体" w:eastAsia="宋体" w:hint="default"/>
          <w:spacing w:val="-66"/>
        </w:rPr>
        <w:t> </w:t>
      </w:r>
      <w:r>
        <w:rPr>
          <w:spacing w:val="-8"/>
        </w:rPr>
        <w:t>元；公</w:t>
      </w:r>
    </w:p>
    <w:p>
      <w:pPr>
        <w:pStyle w:val="BodyText"/>
        <w:spacing w:line="311" w:lineRule="exact"/>
        <w:ind w:left="138" w:right="94"/>
        <w:jc w:val="left"/>
      </w:pPr>
      <w:r>
        <w:rPr/>
        <w:t>司以实施 </w:t>
      </w:r>
      <w:r>
        <w:rPr>
          <w:rFonts w:ascii="宋体" w:hAnsi="宋体" w:cs="宋体" w:eastAsia="宋体" w:hint="default"/>
        </w:rPr>
        <w:t>2019</w:t>
      </w:r>
      <w:r>
        <w:rPr>
          <w:rFonts w:ascii="宋体" w:hAnsi="宋体" w:cs="宋体" w:eastAsia="宋体" w:hint="default"/>
          <w:spacing w:val="-49"/>
        </w:rPr>
        <w:t> </w:t>
      </w:r>
      <w:r>
        <w:rPr/>
        <w:t>年度利润分配时股权登记日可参与分配的股本为基数，拟向可参与分</w:t>
      </w:r>
    </w:p>
    <w:p>
      <w:pPr>
        <w:pStyle w:val="BodyText"/>
        <w:spacing w:line="312" w:lineRule="exact"/>
        <w:ind w:left="138" w:right="94"/>
        <w:jc w:val="left"/>
        <w:rPr>
          <w:rFonts w:ascii="宋体" w:hAnsi="宋体" w:cs="宋体" w:eastAsia="宋体" w:hint="default"/>
        </w:rPr>
      </w:pPr>
      <w:r>
        <w:rPr/>
        <w:t>配的股东每</w:t>
      </w:r>
      <w:r>
        <w:rPr>
          <w:spacing w:val="-61"/>
        </w:rPr>
        <w:t> </w:t>
      </w:r>
      <w:r>
        <w:rPr>
          <w:rFonts w:ascii="宋体" w:hAnsi="宋体" w:cs="宋体" w:eastAsia="宋体" w:hint="default"/>
        </w:rPr>
        <w:t>10</w:t>
      </w:r>
      <w:r>
        <w:rPr>
          <w:rFonts w:ascii="宋体" w:hAnsi="宋体" w:cs="宋体" w:eastAsia="宋体" w:hint="default"/>
          <w:spacing w:val="-60"/>
        </w:rPr>
        <w:t> </w:t>
      </w:r>
      <w:r>
        <w:rPr/>
        <w:t>股转增</w:t>
      </w:r>
      <w:r>
        <w:rPr>
          <w:spacing w:val="-60"/>
        </w:rPr>
        <w:t> </w:t>
      </w:r>
      <w:r>
        <w:rPr>
          <w:rFonts w:ascii="宋体" w:hAnsi="宋体" w:cs="宋体" w:eastAsia="宋体" w:hint="default"/>
        </w:rPr>
        <w:t>3</w:t>
      </w:r>
      <w:r>
        <w:rPr>
          <w:rFonts w:ascii="宋体" w:hAnsi="宋体" w:cs="宋体" w:eastAsia="宋体" w:hint="default"/>
          <w:spacing w:val="-60"/>
        </w:rPr>
        <w:t> </w:t>
      </w:r>
      <w:r>
        <w:rPr/>
        <w:t>股，每</w:t>
      </w:r>
      <w:r>
        <w:rPr>
          <w:spacing w:val="-60"/>
        </w:rPr>
        <w:t> </w:t>
      </w:r>
      <w:r>
        <w:rPr>
          <w:rFonts w:ascii="宋体" w:hAnsi="宋体" w:cs="宋体" w:eastAsia="宋体" w:hint="default"/>
        </w:rPr>
        <w:t>10</w:t>
      </w:r>
      <w:r>
        <w:rPr>
          <w:rFonts w:ascii="宋体" w:hAnsi="宋体" w:cs="宋体" w:eastAsia="宋体" w:hint="default"/>
          <w:spacing w:val="-60"/>
        </w:rPr>
        <w:t> </w:t>
      </w:r>
      <w:r>
        <w:rPr/>
        <w:t>股派发现金股利</w:t>
      </w:r>
      <w:r>
        <w:rPr>
          <w:spacing w:val="-60"/>
        </w:rPr>
        <w:t> </w:t>
      </w:r>
      <w:r>
        <w:rPr>
          <w:rFonts w:ascii="宋体" w:hAnsi="宋体" w:cs="宋体" w:eastAsia="宋体" w:hint="default"/>
        </w:rPr>
        <w:t>2.6</w:t>
      </w:r>
      <w:r>
        <w:rPr>
          <w:rFonts w:ascii="宋体" w:hAnsi="宋体" w:cs="宋体" w:eastAsia="宋体" w:hint="default"/>
          <w:spacing w:val="-60"/>
        </w:rPr>
        <w:t> </w:t>
      </w:r>
      <w:r>
        <w:rPr/>
        <w:t>元</w:t>
      </w:r>
      <w:r>
        <w:rPr>
          <w:rFonts w:ascii="宋体" w:hAnsi="宋体" w:cs="宋体" w:eastAsia="宋体" w:hint="default"/>
        </w:rPr>
        <w:t>(</w:t>
      </w:r>
      <w:r>
        <w:rPr/>
        <w:t>含税</w:t>
      </w:r>
      <w:r>
        <w:rPr>
          <w:rFonts w:ascii="宋体" w:hAnsi="宋体" w:cs="宋体" w:eastAsia="宋体" w:hint="default"/>
        </w:rPr>
        <w:t>)</w:t>
      </w:r>
      <w:r>
        <w:rPr/>
        <w:t>。</w:t>
      </w:r>
      <w:r>
        <w:rPr>
          <w:rFonts w:ascii="宋体" w:hAnsi="宋体" w:cs="宋体" w:eastAsia="宋体" w:hint="default"/>
        </w:rPr>
        <w:t> </w:t>
      </w:r>
    </w:p>
    <w:p>
      <w:pPr>
        <w:spacing w:line="240" w:lineRule="auto" w:before="5"/>
        <w:rPr>
          <w:rFonts w:ascii="宋体" w:hAnsi="宋体" w:cs="宋体" w:eastAsia="宋体" w:hint="default"/>
          <w:sz w:val="27"/>
          <w:szCs w:val="27"/>
        </w:rPr>
      </w:pPr>
    </w:p>
    <w:p>
      <w:pPr>
        <w:spacing w:before="0"/>
        <w:ind w:left="138" w:right="94" w:firstLine="0"/>
        <w:jc w:val="left"/>
        <w:rPr>
          <w:rFonts w:ascii="宋体" w:hAnsi="宋体" w:cs="宋体" w:eastAsia="宋体" w:hint="default"/>
          <w:sz w:val="24"/>
          <w:szCs w:val="24"/>
        </w:rPr>
      </w:pPr>
      <w:r>
        <w:rPr>
          <w:rFonts w:ascii="宋体" w:hAnsi="宋体" w:cs="宋体" w:eastAsia="宋体" w:hint="default"/>
          <w:b/>
          <w:bCs/>
          <w:sz w:val="21"/>
          <w:szCs w:val="21"/>
        </w:rPr>
        <w:t>六、</w:t>
      </w:r>
      <w:r>
        <w:rPr>
          <w:rFonts w:ascii="宋体" w:hAnsi="宋体" w:cs="宋体" w:eastAsia="宋体" w:hint="default"/>
          <w:b/>
          <w:bCs/>
          <w:spacing w:val="-26"/>
          <w:sz w:val="21"/>
          <w:szCs w:val="21"/>
        </w:rPr>
        <w:t> </w:t>
      </w:r>
      <w:r>
        <w:rPr>
          <w:rFonts w:ascii="宋体" w:hAnsi="宋体" w:cs="宋体" w:eastAsia="宋体" w:hint="default"/>
          <w:b/>
          <w:bCs/>
          <w:spacing w:val="-26"/>
          <w:sz w:val="21"/>
          <w:szCs w:val="21"/>
        </w:rPr>
      </w:r>
      <w:r>
        <w:rPr>
          <w:rFonts w:ascii="宋体" w:hAnsi="宋体" w:cs="宋体" w:eastAsia="宋体" w:hint="default"/>
          <w:b/>
          <w:bCs/>
          <w:sz w:val="24"/>
          <w:szCs w:val="24"/>
        </w:rPr>
        <w:t>前瞻性陈述的风险声明</w:t>
      </w:r>
      <w:r>
        <w:rPr>
          <w:rFonts w:ascii="宋体" w:hAnsi="宋体" w:cs="宋体" w:eastAsia="宋体" w:hint="default"/>
          <w:sz w:val="24"/>
          <w:szCs w:val="24"/>
        </w:rPr>
      </w:r>
    </w:p>
    <w:p>
      <w:pPr>
        <w:pStyle w:val="BodyText"/>
        <w:spacing w:line="276" w:lineRule="auto" w:before="151"/>
        <w:ind w:left="618" w:right="94" w:hanging="480"/>
        <w:jc w:val="left"/>
      </w:pPr>
      <w:r>
        <w:rPr/>
        <w:t>√适用</w:t>
      </w:r>
      <w:r>
        <w:rPr>
          <w:spacing w:val="-1"/>
        </w:rPr>
        <w:t> </w:t>
      </w:r>
      <w:r>
        <w:rPr/>
        <w:t>□不适用</w:t>
      </w:r>
      <w:r>
        <w:rPr/>
        <w:t> </w:t>
      </w:r>
      <w:r>
        <w:rPr>
          <w:spacing w:val="-2"/>
        </w:rPr>
        <w:t>报告中所涉及的未来计划、发展战略等前瞻性描述不构成公司对投资者的实质承</w:t>
      </w:r>
    </w:p>
    <w:p>
      <w:pPr>
        <w:pStyle w:val="BodyText"/>
        <w:spacing w:line="240" w:lineRule="auto" w:before="10"/>
        <w:ind w:left="138" w:right="94"/>
        <w:jc w:val="left"/>
      </w:pPr>
      <w:r>
        <w:rPr/>
        <w:t>诺，敬请投资者注意投资风险。</w:t>
      </w:r>
    </w:p>
    <w:p>
      <w:pPr>
        <w:spacing w:line="240" w:lineRule="auto" w:before="5"/>
        <w:rPr>
          <w:rFonts w:ascii="宋体" w:hAnsi="宋体" w:cs="宋体" w:eastAsia="宋体" w:hint="default"/>
          <w:sz w:val="27"/>
          <w:szCs w:val="27"/>
        </w:rPr>
      </w:pPr>
    </w:p>
    <w:p>
      <w:pPr>
        <w:pStyle w:val="Heading2"/>
        <w:spacing w:line="393" w:lineRule="auto"/>
        <w:ind w:left="138" w:right="2814"/>
        <w:jc w:val="left"/>
        <w:rPr>
          <w:rFonts w:ascii="宋体" w:hAnsi="宋体" w:cs="宋体" w:eastAsia="宋体" w:hint="default"/>
          <w:b w:val="0"/>
          <w:bCs w:val="0"/>
        </w:rPr>
      </w:pPr>
      <w:r>
        <w:rPr>
          <w:sz w:val="21"/>
          <w:szCs w:val="21"/>
        </w:rPr>
        <w:t>七、</w:t>
      </w:r>
      <w:r>
        <w:rPr>
          <w:spacing w:val="-96"/>
          <w:sz w:val="21"/>
          <w:szCs w:val="21"/>
        </w:rPr>
        <w:t> </w:t>
      </w:r>
      <w:r>
        <w:rPr>
          <w:rFonts w:ascii="宋体" w:hAnsi="宋体" w:cs="宋体" w:eastAsia="宋体" w:hint="default"/>
          <w:spacing w:val="-96"/>
          <w:sz w:val="21"/>
          <w:szCs w:val="21"/>
        </w:rPr>
      </w:r>
      <w:r>
        <w:rPr/>
        <w:t>是否存在被控股股东及其关联方非经营性占用资金情况</w:t>
      </w:r>
      <w:r>
        <w:rPr>
          <w:w w:val="99"/>
        </w:rPr>
        <w:t> </w:t>
      </w:r>
      <w:r>
        <w:rPr>
          <w:rFonts w:ascii="宋体" w:hAnsi="宋体" w:cs="宋体" w:eastAsia="宋体" w:hint="default"/>
          <w:b w:val="0"/>
          <w:bCs w:val="0"/>
        </w:rPr>
        <w:t>否</w:t>
      </w:r>
    </w:p>
    <w:p>
      <w:pPr>
        <w:pStyle w:val="Heading2"/>
        <w:spacing w:line="355" w:lineRule="auto" w:before="204"/>
        <w:ind w:left="138" w:right="2995"/>
        <w:jc w:val="left"/>
        <w:rPr>
          <w:rFonts w:ascii="宋体" w:hAnsi="宋体" w:cs="宋体" w:eastAsia="宋体" w:hint="default"/>
          <w:b w:val="0"/>
          <w:bCs w:val="0"/>
        </w:rPr>
      </w:pPr>
      <w:r>
        <w:rPr>
          <w:sz w:val="21"/>
          <w:szCs w:val="21"/>
        </w:rPr>
        <w:t>八、</w:t>
      </w:r>
      <w:r>
        <w:rPr>
          <w:spacing w:val="5"/>
          <w:sz w:val="21"/>
          <w:szCs w:val="21"/>
        </w:rPr>
        <w:t> </w:t>
      </w:r>
      <w:r>
        <w:rPr>
          <w:rFonts w:ascii="宋体" w:hAnsi="宋体" w:cs="宋体" w:eastAsia="宋体" w:hint="default"/>
          <w:spacing w:val="5"/>
          <w:sz w:val="21"/>
          <w:szCs w:val="21"/>
        </w:rPr>
      </w:r>
      <w:r>
        <w:rPr/>
        <w:t>是否存在违反规定决策程序对外提供担保的情况？</w:t>
      </w:r>
      <w:r>
        <w:rPr>
          <w:w w:val="99"/>
        </w:rPr>
        <w:t> </w:t>
      </w:r>
      <w:r>
        <w:rPr>
          <w:rFonts w:ascii="宋体" w:hAnsi="宋体" w:cs="宋体" w:eastAsia="宋体" w:hint="default"/>
          <w:b w:val="0"/>
          <w:bCs w:val="0"/>
        </w:rPr>
        <w:t>否</w:t>
      </w:r>
    </w:p>
    <w:p>
      <w:pPr>
        <w:spacing w:after="0" w:line="355" w:lineRule="auto"/>
        <w:jc w:val="left"/>
        <w:rPr>
          <w:rFonts w:ascii="宋体" w:hAnsi="宋体" w:cs="宋体" w:eastAsia="宋体" w:hint="default"/>
        </w:rPr>
        <w:sectPr>
          <w:pgSz w:w="11910" w:h="16840"/>
          <w:pgMar w:header="880" w:footer="1195" w:top="1120" w:bottom="1380" w:left="1660" w:right="1060"/>
        </w:sectPr>
      </w:pPr>
    </w:p>
    <w:p>
      <w:pPr>
        <w:spacing w:line="240" w:lineRule="auto" w:before="8"/>
        <w:rPr>
          <w:rFonts w:ascii="宋体" w:hAnsi="宋体" w:cs="宋体" w:eastAsia="宋体" w:hint="default"/>
          <w:sz w:val="25"/>
          <w:szCs w:val="25"/>
        </w:rPr>
      </w:pPr>
    </w:p>
    <w:p>
      <w:pPr>
        <w:spacing w:before="26"/>
        <w:ind w:left="138" w:right="0" w:firstLine="0"/>
        <w:jc w:val="left"/>
        <w:rPr>
          <w:rFonts w:ascii="宋体" w:hAnsi="宋体" w:cs="宋体" w:eastAsia="宋体" w:hint="default"/>
          <w:sz w:val="24"/>
          <w:szCs w:val="24"/>
        </w:rPr>
      </w:pPr>
      <w:r>
        <w:rPr>
          <w:rFonts w:ascii="宋体" w:hAnsi="宋体" w:cs="宋体" w:eastAsia="宋体" w:hint="default"/>
          <w:b/>
          <w:bCs/>
          <w:sz w:val="21"/>
          <w:szCs w:val="21"/>
        </w:rPr>
        <w:t>九、 </w:t>
      </w:r>
      <w:r>
        <w:rPr>
          <w:rFonts w:ascii="宋体" w:hAnsi="宋体" w:cs="宋体" w:eastAsia="宋体" w:hint="default"/>
          <w:b/>
          <w:bCs/>
          <w:spacing w:val="6"/>
          <w:sz w:val="21"/>
          <w:szCs w:val="21"/>
        </w:rPr>
        <w:t> </w:t>
      </w:r>
      <w:r>
        <w:rPr>
          <w:rFonts w:ascii="宋体" w:hAnsi="宋体" w:cs="宋体" w:eastAsia="宋体" w:hint="default"/>
          <w:b/>
          <w:bCs/>
          <w:spacing w:val="6"/>
          <w:sz w:val="21"/>
          <w:szCs w:val="21"/>
        </w:rPr>
      </w:r>
      <w:r>
        <w:rPr>
          <w:rFonts w:ascii="宋体" w:hAnsi="宋体" w:cs="宋体" w:eastAsia="宋体" w:hint="default"/>
          <w:b/>
          <w:bCs/>
          <w:sz w:val="24"/>
          <w:szCs w:val="24"/>
        </w:rPr>
        <w:t>重大风险提示</w:t>
      </w:r>
      <w:r>
        <w:rPr>
          <w:rFonts w:ascii="宋体" w:hAnsi="宋体" w:cs="宋体" w:eastAsia="宋体" w:hint="default"/>
          <w:sz w:val="24"/>
          <w:szCs w:val="24"/>
        </w:rPr>
      </w:r>
    </w:p>
    <w:p>
      <w:pPr>
        <w:pStyle w:val="BodyText"/>
        <w:spacing w:line="237" w:lineRule="auto" w:before="156"/>
        <w:ind w:left="138" w:right="0" w:firstLine="479"/>
        <w:jc w:val="left"/>
      </w:pPr>
      <w:r>
        <w:rPr>
          <w:spacing w:val="-2"/>
        </w:rPr>
        <w:t>公司有关风险因素的内容与对策措施已在本报告中“第四节经营情况讨论与分析”</w:t>
      </w:r>
      <w:r>
        <w:rPr/>
        <w:t> 中“三、公司关于公司未来发展的讨论与分析”中“（四）可能面对的风险及应对措 施”中予以了详细描述，敬请查阅相关内容。</w:t>
      </w:r>
    </w:p>
    <w:p>
      <w:pPr>
        <w:spacing w:line="240" w:lineRule="auto" w:before="13"/>
        <w:rPr>
          <w:rFonts w:ascii="宋体" w:hAnsi="宋体" w:cs="宋体" w:eastAsia="宋体" w:hint="default"/>
          <w:sz w:val="20"/>
          <w:szCs w:val="20"/>
        </w:rPr>
      </w:pPr>
    </w:p>
    <w:p>
      <w:pPr>
        <w:spacing w:before="0"/>
        <w:ind w:left="138" w:right="0" w:firstLine="0"/>
        <w:jc w:val="left"/>
        <w:rPr>
          <w:rFonts w:ascii="宋体" w:hAnsi="宋体" w:cs="宋体" w:eastAsia="宋体" w:hint="default"/>
          <w:sz w:val="24"/>
          <w:szCs w:val="24"/>
        </w:rPr>
      </w:pPr>
      <w:r>
        <w:rPr>
          <w:rFonts w:ascii="宋体" w:hAnsi="宋体" w:cs="宋体" w:eastAsia="宋体" w:hint="default"/>
          <w:b/>
          <w:bCs/>
          <w:sz w:val="21"/>
          <w:szCs w:val="21"/>
        </w:rPr>
        <w:t>十、</w:t>
      </w:r>
      <w:r>
        <w:rPr>
          <w:rFonts w:ascii="宋体" w:hAnsi="宋体" w:cs="宋体" w:eastAsia="宋体" w:hint="default"/>
          <w:b/>
          <w:bCs/>
          <w:spacing w:val="61"/>
          <w:sz w:val="21"/>
          <w:szCs w:val="21"/>
        </w:rPr>
        <w:t> </w:t>
      </w:r>
      <w:r>
        <w:rPr>
          <w:rFonts w:ascii="宋体" w:hAnsi="宋体" w:cs="宋体" w:eastAsia="宋体" w:hint="default"/>
          <w:b/>
          <w:bCs/>
          <w:spacing w:val="61"/>
          <w:sz w:val="21"/>
          <w:szCs w:val="21"/>
        </w:rPr>
      </w:r>
      <w:r>
        <w:rPr>
          <w:rFonts w:ascii="宋体" w:hAnsi="宋体" w:cs="宋体" w:eastAsia="宋体" w:hint="default"/>
          <w:b/>
          <w:bCs/>
          <w:sz w:val="24"/>
          <w:szCs w:val="24"/>
        </w:rPr>
        <w:t>其他</w:t>
      </w:r>
      <w:r>
        <w:rPr>
          <w:rFonts w:ascii="宋体" w:hAnsi="宋体" w:cs="宋体" w:eastAsia="宋体" w:hint="default"/>
          <w:sz w:val="24"/>
          <w:szCs w:val="24"/>
        </w:rPr>
      </w:r>
    </w:p>
    <w:p>
      <w:pPr>
        <w:pStyle w:val="BodyText"/>
        <w:spacing w:line="240" w:lineRule="auto" w:before="154"/>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after="0" w:line="240" w:lineRule="auto"/>
        <w:jc w:val="left"/>
        <w:sectPr>
          <w:pgSz w:w="11910" w:h="16840"/>
          <w:pgMar w:header="880" w:footer="1195" w:top="1120" w:bottom="1380" w:left="1660" w:right="920"/>
        </w:sectPr>
      </w:pPr>
    </w:p>
    <w:p>
      <w:pPr>
        <w:spacing w:line="240" w:lineRule="auto" w:before="0"/>
        <w:rPr>
          <w:rFonts w:ascii="宋体" w:hAnsi="宋体" w:cs="宋体" w:eastAsia="宋体" w:hint="default"/>
          <w:sz w:val="26"/>
          <w:szCs w:val="26"/>
        </w:rPr>
      </w:pPr>
    </w:p>
    <w:p>
      <w:pPr>
        <w:spacing w:before="14"/>
        <w:ind w:left="68" w:right="46" w:firstLine="0"/>
        <w:jc w:val="center"/>
        <w:rPr>
          <w:rFonts w:ascii="宋体" w:hAnsi="宋体" w:cs="宋体" w:eastAsia="宋体" w:hint="default"/>
          <w:sz w:val="28"/>
          <w:szCs w:val="28"/>
        </w:rPr>
      </w:pPr>
      <w:r>
        <w:rPr>
          <w:rFonts w:ascii="宋体" w:hAnsi="宋体" w:cs="宋体" w:eastAsia="宋体" w:hint="default"/>
          <w:b/>
          <w:bCs/>
          <w:sz w:val="28"/>
          <w:szCs w:val="28"/>
        </w:rPr>
        <w:t>目录</w:t>
      </w:r>
      <w:r>
        <w:rPr>
          <w:rFonts w:ascii="宋体" w:hAnsi="宋体" w:cs="宋体" w:eastAsia="宋体" w:hint="default"/>
          <w:sz w:val="28"/>
          <w:szCs w:val="28"/>
        </w:rPr>
      </w:r>
    </w:p>
    <w:sdt>
      <w:sdtPr>
        <w:docPartObj>
          <w:docPartGallery w:val="Table of Contents"/>
          <w:docPartUnique/>
        </w:docPartObj>
      </w:sdtPr>
      <w:sdtEndPr/>
      <w:sdtContent>
        <w:p>
          <w:pPr>
            <w:pStyle w:val="TOC1"/>
            <w:tabs>
              <w:tab w:pos="1397" w:val="left" w:leader="none"/>
              <w:tab w:pos="8961" w:val="right" w:leader="dot"/>
            </w:tabs>
            <w:spacing w:line="240" w:lineRule="auto" w:before="366"/>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bookmark0">
            <w:r>
              <w:rPr>
                <w:w w:val="95"/>
              </w:rPr>
              <w:t>第一节</w:t>
              <w:tab/>
            </w:r>
            <w:r>
              <w:rPr/>
              <w:t>释义</w:t>
            </w:r>
            <w:r>
              <w:rPr>
                <w:rFonts w:ascii="Times New Roman" w:hAnsi="Times New Roman" w:cs="Times New Roman" w:eastAsia="Times New Roman" w:hint="default"/>
              </w:rPr>
              <w:tab/>
              <w:t>5</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w w:val="95"/>
              </w:rPr>
              <w:t>第二节</w:t>
              <w:tab/>
            </w:r>
            <w:r>
              <w:rPr/>
              <w:t>公司简介和主要财务指标</w:t>
            </w:r>
            <w:r>
              <w:rPr>
                <w:rFonts w:ascii="Times New Roman" w:hAnsi="Times New Roman" w:cs="Times New Roman" w:eastAsia="Times New Roman" w:hint="default"/>
              </w:rPr>
              <w:tab/>
              <w:t>6</w:t>
            </w:r>
            <w:r>
              <w:rPr>
                <w:rFonts w:ascii="Times New Roman" w:hAnsi="Times New Roman" w:cs="Times New Roman" w:eastAsia="Times New Roman" w:hint="default"/>
                <w:b w:val="0"/>
                <w:bCs w:val="0"/>
              </w:rPr>
            </w:r>
          </w:hyperlink>
        </w:p>
        <w:p>
          <w:pPr>
            <w:pStyle w:val="TOC1"/>
            <w:tabs>
              <w:tab w:pos="1397" w:val="left" w:leader="none"/>
              <w:tab w:pos="8947" w:val="right" w:leader="dot"/>
            </w:tabs>
            <w:spacing w:line="240" w:lineRule="auto" w:before="133"/>
            <w:ind w:right="0"/>
            <w:jc w:val="left"/>
            <w:rPr>
              <w:rFonts w:ascii="Times New Roman" w:hAnsi="Times New Roman" w:cs="Times New Roman" w:eastAsia="Times New Roman" w:hint="default"/>
              <w:b w:val="0"/>
              <w:bCs w:val="0"/>
            </w:rPr>
          </w:pPr>
          <w:hyperlink w:history="true" w:anchor="_bookmark2">
            <w:r>
              <w:rPr>
                <w:w w:val="95"/>
              </w:rPr>
              <w:t>第三节</w:t>
              <w:tab/>
            </w:r>
            <w:r>
              <w:rPr/>
              <w:t>公司业务概要</w:t>
            </w:r>
            <w:r>
              <w:rPr>
                <w:rFonts w:ascii="Times New Roman" w:hAnsi="Times New Roman" w:cs="Times New Roman" w:eastAsia="Times New Roman" w:hint="default"/>
              </w:rPr>
              <w:tab/>
            </w:r>
            <w:r>
              <w:rPr>
                <w:rFonts w:ascii="Times New Roman" w:hAnsi="Times New Roman" w:cs="Times New Roman" w:eastAsia="Times New Roman" w:hint="default"/>
                <w:spacing w:val="-15"/>
              </w:rPr>
              <w:t>11</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w w:val="95"/>
              </w:rPr>
              <w:t>第四节</w:t>
              <w:tab/>
            </w:r>
            <w:r>
              <w:rPr/>
              <w:t>经营情况讨论与分析</w:t>
            </w:r>
            <w:r>
              <w:rPr>
                <w:rFonts w:ascii="Times New Roman" w:hAnsi="Times New Roman" w:cs="Times New Roman" w:eastAsia="Times New Roman" w:hint="default"/>
              </w:rPr>
              <w:tab/>
              <w:t>16</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before="133"/>
            <w:ind w:right="0"/>
            <w:jc w:val="left"/>
            <w:rPr>
              <w:rFonts w:ascii="Times New Roman" w:hAnsi="Times New Roman" w:cs="Times New Roman" w:eastAsia="Times New Roman" w:hint="default"/>
              <w:b w:val="0"/>
              <w:bCs w:val="0"/>
            </w:rPr>
          </w:pPr>
          <w:hyperlink w:history="true" w:anchor="_bookmark4">
            <w:r>
              <w:rPr>
                <w:w w:val="95"/>
              </w:rPr>
              <w:t>第五节</w:t>
              <w:tab/>
            </w:r>
            <w:r>
              <w:rPr/>
              <w:t>重要事项</w:t>
            </w:r>
            <w:r>
              <w:rPr>
                <w:rFonts w:ascii="Times New Roman" w:hAnsi="Times New Roman" w:cs="Times New Roman" w:eastAsia="Times New Roman" w:hint="default"/>
              </w:rPr>
              <w:tab/>
              <w:t>29</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w w:val="95"/>
              </w:rPr>
              <w:t>第六节</w:t>
              <w:tab/>
            </w:r>
            <w:r>
              <w:rPr/>
              <w:t>普通股股份变动及股东情况</w:t>
            </w:r>
            <w:r>
              <w:rPr>
                <w:rFonts w:ascii="Times New Roman" w:hAnsi="Times New Roman" w:cs="Times New Roman" w:eastAsia="Times New Roman" w:hint="default"/>
              </w:rPr>
              <w:tab/>
              <w:t>39</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before="134"/>
            <w:ind w:right="0"/>
            <w:jc w:val="left"/>
            <w:rPr>
              <w:rFonts w:ascii="Times New Roman" w:hAnsi="Times New Roman" w:cs="Times New Roman" w:eastAsia="Times New Roman" w:hint="default"/>
              <w:b w:val="0"/>
              <w:bCs w:val="0"/>
            </w:rPr>
          </w:pPr>
          <w:hyperlink w:history="true" w:anchor="_bookmark6">
            <w:r>
              <w:rPr>
                <w:w w:val="95"/>
              </w:rPr>
              <w:t>第七节</w:t>
              <w:tab/>
            </w:r>
            <w:r>
              <w:rPr/>
              <w:t>优先股相关情况</w:t>
            </w:r>
            <w:r>
              <w:rPr>
                <w:rFonts w:ascii="Times New Roman" w:hAnsi="Times New Roman" w:cs="Times New Roman" w:eastAsia="Times New Roman" w:hint="default"/>
              </w:rPr>
              <w:tab/>
              <w:t>46</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w w:val="95"/>
              </w:rPr>
              <w:t>第八节</w:t>
              <w:tab/>
            </w:r>
            <w:r>
              <w:rPr/>
              <w:t>董事、监事、高级管理人员和员工情况</w:t>
            </w:r>
            <w:r>
              <w:rPr>
                <w:rFonts w:ascii="Times New Roman" w:hAnsi="Times New Roman" w:cs="Times New Roman" w:eastAsia="Times New Roman" w:hint="default"/>
              </w:rPr>
              <w:tab/>
              <w:t>47</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before="133"/>
            <w:ind w:right="0"/>
            <w:jc w:val="left"/>
            <w:rPr>
              <w:rFonts w:ascii="Times New Roman" w:hAnsi="Times New Roman" w:cs="Times New Roman" w:eastAsia="Times New Roman" w:hint="default"/>
              <w:b w:val="0"/>
              <w:bCs w:val="0"/>
            </w:rPr>
          </w:pPr>
          <w:hyperlink w:history="true" w:anchor="_bookmark8">
            <w:r>
              <w:rPr>
                <w:w w:val="95"/>
              </w:rPr>
              <w:t>第九节</w:t>
              <w:tab/>
            </w:r>
            <w:r>
              <w:rPr/>
              <w:t>公司治理</w:t>
            </w:r>
            <w:r>
              <w:rPr>
                <w:rFonts w:ascii="Times New Roman" w:hAnsi="Times New Roman" w:cs="Times New Roman" w:eastAsia="Times New Roman" w:hint="default"/>
              </w:rPr>
              <w:tab/>
              <w:t>63</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w w:val="95"/>
              </w:rPr>
              <w:t>第十节</w:t>
              <w:tab/>
            </w:r>
            <w:r>
              <w:rPr/>
              <w:t>公司债券相关情况</w:t>
            </w:r>
            <w:r>
              <w:rPr>
                <w:rFonts w:ascii="Times New Roman" w:hAnsi="Times New Roman" w:cs="Times New Roman" w:eastAsia="Times New Roman" w:hint="default"/>
              </w:rPr>
              <w:tab/>
              <w:t>66</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before="133"/>
            <w:ind w:right="0"/>
            <w:jc w:val="left"/>
            <w:rPr>
              <w:rFonts w:ascii="Times New Roman" w:hAnsi="Times New Roman" w:cs="Times New Roman" w:eastAsia="Times New Roman" w:hint="default"/>
              <w:b w:val="0"/>
              <w:bCs w:val="0"/>
            </w:rPr>
          </w:pPr>
          <w:hyperlink w:history="true" w:anchor="_bookmark10">
            <w:r>
              <w:rPr/>
              <w:t>第十一节</w:t>
              <w:tab/>
              <w:t>财务报告</w:t>
            </w:r>
            <w:r>
              <w:rPr>
                <w:rFonts w:ascii="Times New Roman" w:hAnsi="Times New Roman" w:cs="Times New Roman" w:eastAsia="Times New Roman" w:hint="default"/>
              </w:rPr>
              <w:tab/>
              <w:t>1</w:t>
            </w:r>
            <w:r>
              <w:rPr>
                <w:rFonts w:ascii="Times New Roman" w:hAnsi="Times New Roman" w:cs="Times New Roman" w:eastAsia="Times New Roman" w:hint="default"/>
                <w:b w:val="0"/>
                <w:bCs w:val="0"/>
              </w:rPr>
            </w:r>
          </w:hyperlink>
        </w:p>
        <w:p>
          <w:pPr>
            <w:pStyle w:val="TOC1"/>
            <w:tabs>
              <w:tab w:pos="1397" w:val="left" w:leader="none"/>
              <w:tab w:pos="8961" w:val="right" w:leader="dot"/>
            </w:tabs>
            <w:spacing w:line="240" w:lineRule="auto"/>
            <w:ind w:right="0"/>
            <w:jc w:val="left"/>
            <w:rPr>
              <w:rFonts w:ascii="Times New Roman" w:hAnsi="Times New Roman" w:cs="Times New Roman" w:eastAsia="Times New Roman" w:hint="default"/>
              <w:b w:val="0"/>
              <w:bCs w:val="0"/>
            </w:rPr>
          </w:pPr>
          <w:hyperlink w:history="true" w:anchor="_bookmark11">
            <w:r>
              <w:rPr/>
              <w:t>第十二节</w:t>
              <w:tab/>
              <w:t>备查文件目录</w:t>
            </w:r>
            <w:r>
              <w:rPr>
                <w:rFonts w:ascii="Times New Roman" w:hAnsi="Times New Roman" w:cs="Times New Roman" w:eastAsia="Times New Roman" w:hint="default"/>
              </w:rPr>
              <w:tab/>
              <w:t>193</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880" w:footer="1195" w:top="1120" w:bottom="1380" w:left="1660" w:right="1160"/>
        </w:sectPr>
      </w:pPr>
    </w:p>
    <w:p>
      <w:pPr>
        <w:pStyle w:val="Heading1"/>
        <w:spacing w:line="240" w:lineRule="auto" w:before="604"/>
        <w:ind w:left="3843" w:right="3603"/>
        <w:jc w:val="center"/>
        <w:rPr>
          <w:b w:val="0"/>
          <w:bCs w:val="0"/>
        </w:rPr>
      </w:pPr>
      <w:bookmarkStart w:name="_bookmark0" w:id="1"/>
      <w:bookmarkEnd w:id="1"/>
      <w:r>
        <w:rPr>
          <w:b w:val="0"/>
          <w:bCs w:val="0"/>
        </w:rPr>
      </w:r>
      <w:r>
        <w:rPr/>
        <w:t>第一节</w:t>
      </w:r>
      <w:r>
        <w:rPr>
          <w:spacing w:val="132"/>
        </w:rPr>
        <w:t> </w:t>
      </w:r>
      <w:r>
        <w:rPr>
          <w:rFonts w:ascii="宋体" w:hAnsi="宋体" w:cs="宋体" w:eastAsia="宋体" w:hint="default"/>
          <w:spacing w:val="132"/>
        </w:rPr>
      </w:r>
      <w:r>
        <w:rPr/>
        <w:t>释义</w:t>
      </w:r>
      <w:r>
        <w:rPr>
          <w:b w:val="0"/>
          <w:bCs w:val="0"/>
        </w:rPr>
      </w:r>
    </w:p>
    <w:p>
      <w:pPr>
        <w:pStyle w:val="BodyText"/>
        <w:spacing w:line="283" w:lineRule="auto" w:before="246"/>
        <w:ind w:left="216" w:right="2450"/>
        <w:jc w:val="left"/>
      </w:pPr>
      <w:r>
        <w:rPr>
          <w:rFonts w:ascii="宋体" w:hAnsi="宋体" w:cs="宋体" w:eastAsia="宋体" w:hint="default"/>
          <w:b/>
          <w:bCs/>
        </w:rPr>
        <w:t>一、</w:t>
      </w:r>
      <w:r>
        <w:rPr>
          <w:rFonts w:ascii="宋体" w:hAnsi="宋体" w:cs="宋体" w:eastAsia="宋体" w:hint="default"/>
          <w:b/>
          <w:bCs/>
          <w:spacing w:val="-16"/>
        </w:rPr>
        <w:t> </w:t>
      </w:r>
      <w:r>
        <w:rPr>
          <w:rFonts w:ascii="宋体" w:hAnsi="宋体" w:cs="宋体" w:eastAsia="宋体" w:hint="default"/>
          <w:b/>
          <w:bCs/>
          <w:spacing w:val="-16"/>
        </w:rPr>
      </w:r>
      <w:r>
        <w:rPr>
          <w:rFonts w:ascii="宋体" w:hAnsi="宋体" w:cs="宋体" w:eastAsia="宋体" w:hint="default"/>
          <w:b/>
          <w:bCs/>
        </w:rPr>
        <w:t>释义</w:t>
      </w:r>
      <w:r>
        <w:rPr>
          <w:rFonts w:ascii="宋体" w:hAnsi="宋体" w:cs="宋体" w:eastAsia="宋体" w:hint="default"/>
          <w:b/>
          <w:bCs/>
          <w:spacing w:val="-119"/>
        </w:rPr>
        <w:t> </w:t>
      </w:r>
      <w:r>
        <w:rPr/>
        <w:t>在本报告书中，除非文义另有所指，下列词语具有如下含义：</w:t>
      </w:r>
    </w:p>
    <w:tbl>
      <w:tblPr>
        <w:tblW w:w="0" w:type="auto"/>
        <w:jc w:val="left"/>
        <w:tblInd w:w="103" w:type="dxa"/>
        <w:tblLayout w:type="fixed"/>
        <w:tblCellMar>
          <w:top w:w="0" w:type="dxa"/>
          <w:left w:w="0" w:type="dxa"/>
          <w:bottom w:w="0" w:type="dxa"/>
          <w:right w:w="0" w:type="dxa"/>
        </w:tblCellMar>
        <w:tblLook w:val="01E0"/>
      </w:tblPr>
      <w:tblGrid>
        <w:gridCol w:w="2122"/>
        <w:gridCol w:w="1136"/>
        <w:gridCol w:w="5567"/>
      </w:tblGrid>
      <w:tr>
        <w:trPr>
          <w:trHeight w:val="322" w:hRule="exact"/>
        </w:trPr>
        <w:tc>
          <w:tcPr>
            <w:tcW w:w="8824" w:type="dxa"/>
            <w:gridSpan w:val="3"/>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hAnsi="宋体" w:cs="宋体" w:eastAsia="宋体" w:hint="default"/>
                <w:sz w:val="24"/>
                <w:szCs w:val="24"/>
              </w:rPr>
              <w:t>常用词语释义</w:t>
            </w:r>
          </w:p>
        </w:tc>
      </w:tr>
      <w:tr>
        <w:trPr>
          <w:trHeight w:val="634"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sz w:val="24"/>
              </w:rPr>
              <w:t>ERP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17"/>
              <w:jc w:val="left"/>
              <w:rPr>
                <w:rFonts w:ascii="宋体" w:hAnsi="宋体" w:cs="宋体" w:eastAsia="宋体" w:hint="default"/>
                <w:sz w:val="24"/>
                <w:szCs w:val="24"/>
              </w:rPr>
            </w:pPr>
            <w:r>
              <w:rPr>
                <w:rFonts w:ascii="宋体" w:hAnsi="宋体" w:cs="宋体" w:eastAsia="宋体" w:hint="default"/>
                <w:spacing w:val="70"/>
                <w:sz w:val="24"/>
                <w:szCs w:val="24"/>
              </w:rPr>
              <w:t>“企业资源计划”（ </w:t>
            </w:r>
            <w:r>
              <w:rPr>
                <w:rFonts w:ascii="宋体" w:hAnsi="宋体" w:cs="宋体" w:eastAsia="宋体" w:hint="default"/>
                <w:sz w:val="24"/>
                <w:szCs w:val="24"/>
              </w:rPr>
              <w:t>Enterprise</w:t>
            </w:r>
            <w:r>
              <w:rPr>
                <w:rFonts w:ascii="宋体" w:hAnsi="宋体" w:cs="宋体" w:eastAsia="宋体" w:hint="default"/>
                <w:spacing w:val="-32"/>
                <w:sz w:val="24"/>
                <w:szCs w:val="24"/>
              </w:rPr>
              <w:t> </w:t>
            </w:r>
            <w:r>
              <w:rPr>
                <w:rFonts w:ascii="宋体" w:hAnsi="宋体" w:cs="宋体" w:eastAsia="宋体" w:hint="default"/>
                <w:sz w:val="24"/>
                <w:szCs w:val="24"/>
              </w:rPr>
              <w:t>Resources </w:t>
            </w:r>
          </w:p>
          <w:p>
            <w:pPr>
              <w:pStyle w:val="TableParagraph"/>
              <w:spacing w:line="313" w:lineRule="exact"/>
              <w:ind w:left="100" w:right="-17"/>
              <w:jc w:val="left"/>
              <w:rPr>
                <w:rFonts w:ascii="宋体" w:hAnsi="宋体" w:cs="宋体" w:eastAsia="宋体" w:hint="default"/>
                <w:sz w:val="24"/>
                <w:szCs w:val="24"/>
              </w:rPr>
            </w:pPr>
            <w:r>
              <w:rPr>
                <w:rFonts w:ascii="宋体" w:hAnsi="宋体" w:cs="宋体" w:eastAsia="宋体" w:hint="default"/>
                <w:sz w:val="24"/>
                <w:szCs w:val="24"/>
              </w:rPr>
              <w:t>Planning</w:t>
            </w:r>
            <w:r>
              <w:rPr>
                <w:rFonts w:ascii="宋体" w:hAnsi="宋体" w:cs="宋体" w:eastAsia="宋体" w:hint="default"/>
                <w:spacing w:val="-24"/>
                <w:sz w:val="24"/>
                <w:szCs w:val="24"/>
              </w:rPr>
              <w:t>）</w:t>
            </w:r>
            <w:r>
              <w:rPr>
                <w:rFonts w:ascii="宋体" w:hAnsi="宋体" w:cs="宋体" w:eastAsia="宋体" w:hint="default"/>
                <w:sz w:val="24"/>
                <w:szCs w:val="24"/>
              </w:rPr>
              <w:t>的英文缩写</w:t>
            </w:r>
            <w:r>
              <w:rPr>
                <w:rFonts w:ascii="宋体" w:hAnsi="宋体" w:cs="宋体" w:eastAsia="宋体" w:hint="default"/>
                <w:spacing w:val="-24"/>
                <w:sz w:val="24"/>
                <w:szCs w:val="24"/>
              </w:rPr>
              <w:t>，</w:t>
            </w:r>
            <w:r>
              <w:rPr>
                <w:rFonts w:ascii="宋体" w:hAnsi="宋体" w:cs="宋体" w:eastAsia="宋体" w:hint="default"/>
                <w:sz w:val="24"/>
                <w:szCs w:val="24"/>
              </w:rPr>
              <w:t>是一种企业应用软件系统</w:t>
            </w:r>
            <w:r>
              <w:rPr>
                <w:rFonts w:ascii="宋体" w:hAnsi="宋体" w:cs="宋体" w:eastAsia="宋体" w:hint="default"/>
                <w:spacing w:val="-119"/>
                <w:sz w:val="24"/>
                <w:szCs w:val="24"/>
              </w:rPr>
              <w:t>。</w:t>
            </w:r>
            <w:r>
              <w:rPr>
                <w:rFonts w:ascii="宋体" w:hAnsi="宋体" w:cs="宋体" w:eastAsia="宋体" w:hint="default"/>
                <w:sz w:val="24"/>
                <w:szCs w:val="24"/>
              </w:rPr>
              <w:t> </w:t>
            </w:r>
          </w:p>
        </w:tc>
      </w:tr>
      <w:tr>
        <w:trPr>
          <w:trHeight w:val="943"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w:t>
            </w:r>
            <w:r>
              <w:rPr>
                <w:rFonts w:ascii="宋体" w:hAnsi="宋体" w:cs="宋体" w:eastAsia="宋体" w:hint="default"/>
                <w:spacing w:val="-61"/>
                <w:sz w:val="24"/>
                <w:szCs w:val="24"/>
              </w:rPr>
              <w:t> </w:t>
            </w:r>
            <w:r>
              <w:rPr>
                <w:rFonts w:ascii="宋体" w:hAnsi="宋体" w:cs="宋体" w:eastAsia="宋体" w:hint="default"/>
                <w:sz w:val="24"/>
                <w:szCs w:val="24"/>
              </w:rPr>
              <w:t>ERP-NC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0"/>
              <w:jc w:val="left"/>
              <w:rPr>
                <w:rFonts w:ascii="宋体" w:hAnsi="宋体" w:cs="宋体" w:eastAsia="宋体" w:hint="default"/>
                <w:sz w:val="24"/>
                <w:szCs w:val="24"/>
              </w:rPr>
            </w:pPr>
            <w:r>
              <w:rPr>
                <w:rFonts w:ascii="宋体" w:hAnsi="宋体" w:cs="宋体" w:eastAsia="宋体" w:hint="default"/>
                <w:sz w:val="24"/>
                <w:szCs w:val="24"/>
              </w:rPr>
              <w:t>NC</w:t>
            </w:r>
            <w:r>
              <w:rPr>
                <w:rFonts w:ascii="宋体" w:hAnsi="宋体" w:cs="宋体" w:eastAsia="宋体" w:hint="default"/>
                <w:spacing w:val="-70"/>
                <w:sz w:val="24"/>
                <w:szCs w:val="24"/>
              </w:rPr>
              <w:t> </w:t>
            </w:r>
            <w:r>
              <w:rPr>
                <w:rFonts w:ascii="宋体" w:hAnsi="宋体" w:cs="宋体" w:eastAsia="宋体" w:hint="default"/>
                <w:spacing w:val="-3"/>
                <w:sz w:val="24"/>
                <w:szCs w:val="24"/>
              </w:rPr>
              <w:t>是“新世纪”（</w:t>
            </w:r>
            <w:r>
              <w:rPr>
                <w:rFonts w:ascii="宋体" w:hAnsi="宋体" w:cs="宋体" w:eastAsia="宋体" w:hint="default"/>
                <w:spacing w:val="-3"/>
                <w:sz w:val="24"/>
                <w:szCs w:val="24"/>
              </w:rPr>
              <w:t>New</w:t>
            </w:r>
            <w:r>
              <w:rPr>
                <w:rFonts w:ascii="宋体" w:hAnsi="宋体" w:cs="宋体" w:eastAsia="宋体" w:hint="default"/>
                <w:spacing w:val="-70"/>
                <w:sz w:val="24"/>
                <w:szCs w:val="24"/>
              </w:rPr>
              <w:t> </w:t>
            </w:r>
            <w:r>
              <w:rPr>
                <w:rFonts w:ascii="宋体" w:hAnsi="宋体" w:cs="宋体" w:eastAsia="宋体" w:hint="default"/>
                <w:sz w:val="24"/>
                <w:szCs w:val="24"/>
              </w:rPr>
              <w:t>Century</w:t>
            </w:r>
            <w:r>
              <w:rPr>
                <w:rFonts w:ascii="宋体" w:hAnsi="宋体" w:cs="宋体" w:eastAsia="宋体" w:hint="default"/>
                <w:sz w:val="24"/>
                <w:szCs w:val="24"/>
              </w:rPr>
              <w:t>）的英文缩写，公司</w:t>
            </w:r>
          </w:p>
          <w:p>
            <w:pPr>
              <w:pStyle w:val="TableParagraph"/>
              <w:spacing w:line="310" w:lineRule="exact" w:before="31"/>
              <w:ind w:left="100" w:right="111"/>
              <w:jc w:val="left"/>
              <w:rPr>
                <w:rFonts w:ascii="宋体" w:hAnsi="宋体" w:cs="宋体" w:eastAsia="宋体" w:hint="default"/>
                <w:sz w:val="24"/>
                <w:szCs w:val="24"/>
              </w:rPr>
            </w:pPr>
            <w:r>
              <w:rPr>
                <w:rFonts w:ascii="宋体" w:hAnsi="宋体" w:cs="宋体" w:eastAsia="宋体" w:hint="default"/>
                <w:spacing w:val="14"/>
                <w:sz w:val="24"/>
                <w:szCs w:val="24"/>
              </w:rPr>
              <w:t>推出的面向大型客户的企业应用软件系列产品名</w:t>
            </w:r>
            <w:r>
              <w:rPr>
                <w:rFonts w:ascii="宋体" w:hAnsi="宋体" w:cs="宋体" w:eastAsia="宋体" w:hint="default"/>
                <w:sz w:val="24"/>
                <w:szCs w:val="24"/>
              </w:rPr>
              <w:t> 称。</w:t>
            </w:r>
            <w:r>
              <w:rPr>
                <w:rFonts w:ascii="宋体" w:hAnsi="宋体" w:cs="宋体" w:eastAsia="宋体" w:hint="default"/>
                <w:sz w:val="24"/>
                <w:szCs w:val="24"/>
              </w:rPr>
              <w:t> </w:t>
            </w:r>
          </w:p>
        </w:tc>
      </w:tr>
      <w:tr>
        <w:trPr>
          <w:trHeight w:val="632"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w:t>
            </w:r>
            <w:r>
              <w:rPr>
                <w:rFonts w:ascii="宋体" w:hAnsi="宋体" w:cs="宋体" w:eastAsia="宋体" w:hint="default"/>
                <w:spacing w:val="-61"/>
                <w:sz w:val="24"/>
                <w:szCs w:val="24"/>
              </w:rPr>
              <w:t> </w:t>
            </w:r>
            <w:r>
              <w:rPr>
                <w:rFonts w:ascii="宋体" w:hAnsi="宋体" w:cs="宋体" w:eastAsia="宋体" w:hint="default"/>
                <w:sz w:val="24"/>
                <w:szCs w:val="24"/>
              </w:rPr>
              <w:t>ERP-U8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0" w:right="0"/>
              <w:jc w:val="left"/>
              <w:rPr>
                <w:rFonts w:ascii="宋体" w:hAnsi="宋体" w:cs="宋体" w:eastAsia="宋体" w:hint="default"/>
                <w:sz w:val="24"/>
                <w:szCs w:val="24"/>
              </w:rPr>
            </w:pPr>
            <w:r>
              <w:rPr>
                <w:rFonts w:ascii="宋体" w:hAnsi="宋体" w:cs="宋体" w:eastAsia="宋体" w:hint="default"/>
                <w:spacing w:val="2"/>
                <w:sz w:val="24"/>
                <w:szCs w:val="24"/>
              </w:rPr>
              <w:t>公司推出的面向中型客户的企业应用软件系列产品</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名称。</w:t>
            </w:r>
            <w:r>
              <w:rPr>
                <w:rFonts w:ascii="宋体" w:hAnsi="宋体" w:cs="宋体" w:eastAsia="宋体" w:hint="default"/>
                <w:sz w:val="24"/>
                <w:szCs w:val="24"/>
              </w:rPr>
              <w:t> </w:t>
            </w:r>
          </w:p>
        </w:tc>
      </w:tr>
      <w:tr>
        <w:trPr>
          <w:trHeight w:val="322"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103" w:right="0"/>
              <w:jc w:val="left"/>
              <w:rPr>
                <w:rFonts w:ascii="宋体" w:hAnsi="宋体" w:cs="宋体" w:eastAsia="宋体" w:hint="default"/>
                <w:sz w:val="24"/>
                <w:szCs w:val="24"/>
              </w:rPr>
            </w:pPr>
            <w:r>
              <w:rPr>
                <w:rFonts w:ascii="宋体"/>
                <w:sz w:val="24"/>
              </w:rPr>
              <w:t>YonSuite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100" w:right="0"/>
              <w:jc w:val="left"/>
              <w:rPr>
                <w:rFonts w:ascii="宋体" w:hAnsi="宋体" w:cs="宋体" w:eastAsia="宋体" w:hint="default"/>
                <w:sz w:val="24"/>
                <w:szCs w:val="24"/>
              </w:rPr>
            </w:pPr>
            <w:r>
              <w:rPr>
                <w:rFonts w:ascii="宋体" w:hAnsi="宋体" w:cs="宋体" w:eastAsia="宋体" w:hint="default"/>
                <w:sz w:val="24"/>
                <w:szCs w:val="24"/>
              </w:rPr>
              <w:t>公司推出的面向成长型企业的云服务产品名称。</w:t>
            </w:r>
            <w:r>
              <w:rPr>
                <w:rFonts w:ascii="宋体" w:hAnsi="宋体" w:cs="宋体" w:eastAsia="宋体" w:hint="default"/>
                <w:sz w:val="24"/>
                <w:szCs w:val="24"/>
              </w:rPr>
              <w:t> </w:t>
            </w:r>
          </w:p>
        </w:tc>
      </w:tr>
      <w:tr>
        <w:trPr>
          <w:trHeight w:val="946"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103" w:right="0"/>
              <w:jc w:val="left"/>
              <w:rPr>
                <w:rFonts w:ascii="宋体" w:hAnsi="宋体" w:cs="宋体" w:eastAsia="宋体" w:hint="default"/>
                <w:sz w:val="24"/>
                <w:szCs w:val="24"/>
              </w:rPr>
            </w:pPr>
            <w:r>
              <w:rPr>
                <w:rFonts w:ascii="宋体"/>
                <w:sz w:val="24"/>
              </w:rPr>
              <w:t>PLM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0" w:right="-16"/>
              <w:jc w:val="left"/>
              <w:rPr>
                <w:rFonts w:ascii="宋体" w:hAnsi="宋体" w:cs="宋体" w:eastAsia="宋体" w:hint="default"/>
                <w:sz w:val="24"/>
                <w:szCs w:val="24"/>
              </w:rPr>
            </w:pPr>
            <w:r>
              <w:rPr>
                <w:rFonts w:ascii="宋体" w:hAnsi="宋体" w:cs="宋体" w:eastAsia="宋体" w:hint="default"/>
                <w:spacing w:val="8"/>
                <w:sz w:val="24"/>
                <w:szCs w:val="24"/>
              </w:rPr>
              <w:t>“产品生命周期管理软件”（</w:t>
            </w:r>
            <w:r>
              <w:rPr>
                <w:rFonts w:ascii="宋体" w:hAnsi="宋体" w:cs="宋体" w:eastAsia="宋体" w:hint="default"/>
                <w:spacing w:val="8"/>
                <w:sz w:val="24"/>
                <w:szCs w:val="24"/>
              </w:rPr>
              <w:t>Product</w:t>
            </w:r>
            <w:r>
              <w:rPr>
                <w:rFonts w:ascii="宋体" w:hAnsi="宋体" w:cs="宋体" w:eastAsia="宋体" w:hint="default"/>
                <w:spacing w:val="25"/>
                <w:sz w:val="24"/>
                <w:szCs w:val="24"/>
              </w:rPr>
              <w:t> </w:t>
            </w:r>
            <w:r>
              <w:rPr>
                <w:rFonts w:ascii="宋体" w:hAnsi="宋体" w:cs="宋体" w:eastAsia="宋体" w:hint="default"/>
                <w:sz w:val="24"/>
                <w:szCs w:val="24"/>
              </w:rPr>
              <w:t>Lifecycle </w:t>
            </w:r>
          </w:p>
          <w:p>
            <w:pPr>
              <w:pStyle w:val="TableParagraph"/>
              <w:spacing w:line="312" w:lineRule="exact" w:before="28"/>
              <w:ind w:left="100" w:right="106"/>
              <w:jc w:val="left"/>
              <w:rPr>
                <w:rFonts w:ascii="宋体" w:hAnsi="宋体" w:cs="宋体" w:eastAsia="宋体" w:hint="default"/>
                <w:sz w:val="24"/>
                <w:szCs w:val="24"/>
              </w:rPr>
            </w:pPr>
            <w:r>
              <w:rPr>
                <w:rFonts w:ascii="宋体" w:hAnsi="宋体" w:cs="宋体" w:eastAsia="宋体" w:hint="default"/>
                <w:spacing w:val="2"/>
                <w:sz w:val="24"/>
                <w:szCs w:val="24"/>
              </w:rPr>
              <w:t>Management</w:t>
            </w:r>
            <w:r>
              <w:rPr>
                <w:rFonts w:ascii="宋体" w:hAnsi="宋体" w:cs="宋体" w:eastAsia="宋体" w:hint="default"/>
                <w:spacing w:val="2"/>
                <w:sz w:val="24"/>
                <w:szCs w:val="24"/>
              </w:rPr>
              <w:t>）的英文缩写，是一种支持产品全生命</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z w:val="24"/>
                <w:szCs w:val="24"/>
              </w:rPr>
              <w:t>周期信息创建、管理、分发和应用的解决方案。</w:t>
            </w:r>
            <w:r>
              <w:rPr>
                <w:rFonts w:ascii="宋体" w:hAnsi="宋体" w:cs="宋体" w:eastAsia="宋体" w:hint="default"/>
                <w:sz w:val="24"/>
                <w:szCs w:val="24"/>
              </w:rPr>
              <w:t> </w:t>
            </w:r>
          </w:p>
        </w:tc>
      </w:tr>
      <w:tr>
        <w:trPr>
          <w:trHeight w:val="631"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sz w:val="24"/>
              </w:rPr>
              <w:t>iuap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left="100" w:right="0"/>
              <w:jc w:val="left"/>
              <w:rPr>
                <w:rFonts w:ascii="宋体" w:hAnsi="宋体" w:cs="宋体" w:eastAsia="宋体" w:hint="default"/>
                <w:sz w:val="24"/>
                <w:szCs w:val="24"/>
              </w:rPr>
            </w:pPr>
            <w:r>
              <w:rPr>
                <w:rFonts w:ascii="宋体" w:hAnsi="宋体" w:cs="宋体" w:eastAsia="宋体" w:hint="default"/>
                <w:spacing w:val="14"/>
                <w:sz w:val="24"/>
                <w:szCs w:val="24"/>
              </w:rPr>
              <w:t>公司开发的面向大中型企业的企业互联网开放平</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台。</w:t>
            </w:r>
            <w:r>
              <w:rPr>
                <w:rFonts w:ascii="宋体" w:hAnsi="宋体" w:cs="宋体" w:eastAsia="宋体" w:hint="default"/>
                <w:sz w:val="24"/>
                <w:szCs w:val="24"/>
              </w:rPr>
              <w:t> </w:t>
            </w:r>
          </w:p>
        </w:tc>
      </w:tr>
      <w:tr>
        <w:trPr>
          <w:trHeight w:val="1255"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sz w:val="24"/>
              </w:rPr>
              <w:t>IaaS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0"/>
              <w:jc w:val="both"/>
              <w:rPr>
                <w:rFonts w:ascii="宋体" w:hAnsi="宋体" w:cs="宋体" w:eastAsia="宋体" w:hint="default"/>
                <w:sz w:val="24"/>
                <w:szCs w:val="24"/>
              </w:rPr>
            </w:pPr>
            <w:r>
              <w:rPr>
                <w:rFonts w:ascii="宋体" w:hAnsi="宋体" w:cs="宋体" w:eastAsia="宋体" w:hint="default"/>
                <w:color w:val="333333"/>
                <w:spacing w:val="-10"/>
                <w:sz w:val="24"/>
                <w:szCs w:val="24"/>
              </w:rPr>
              <w:t>“基础设施即服务”（</w:t>
            </w:r>
            <w:r>
              <w:rPr>
                <w:rFonts w:ascii="宋体" w:hAnsi="宋体" w:cs="宋体" w:eastAsia="宋体" w:hint="default"/>
                <w:color w:val="333333"/>
                <w:spacing w:val="-10"/>
                <w:sz w:val="24"/>
                <w:szCs w:val="24"/>
              </w:rPr>
              <w:t>Infrastructure</w:t>
            </w:r>
            <w:r>
              <w:rPr>
                <w:rFonts w:ascii="宋体" w:hAnsi="宋体" w:cs="宋体" w:eastAsia="宋体" w:hint="default"/>
                <w:color w:val="333333"/>
                <w:sz w:val="24"/>
                <w:szCs w:val="24"/>
              </w:rPr>
              <w:t> as</w:t>
            </w:r>
            <w:r>
              <w:rPr>
                <w:rFonts w:ascii="宋体" w:hAnsi="宋体" w:cs="宋体" w:eastAsia="宋体" w:hint="default"/>
                <w:color w:val="333333"/>
                <w:spacing w:val="-54"/>
                <w:sz w:val="24"/>
                <w:szCs w:val="24"/>
              </w:rPr>
              <w:t> </w:t>
            </w:r>
            <w:r>
              <w:rPr>
                <w:rFonts w:ascii="宋体" w:hAnsi="宋体" w:cs="宋体" w:eastAsia="宋体" w:hint="default"/>
                <w:color w:val="333333"/>
                <w:sz w:val="24"/>
                <w:szCs w:val="24"/>
              </w:rPr>
              <w:t>a</w:t>
            </w:r>
            <w:r>
              <w:rPr>
                <w:rFonts w:ascii="宋体" w:hAnsi="宋体" w:cs="宋体" w:eastAsia="宋体" w:hint="default"/>
                <w:color w:val="333333"/>
                <w:spacing w:val="-60"/>
                <w:sz w:val="24"/>
                <w:szCs w:val="24"/>
              </w:rPr>
              <w:t> </w:t>
            </w:r>
            <w:r>
              <w:rPr>
                <w:rFonts w:ascii="宋体" w:hAnsi="宋体" w:cs="宋体" w:eastAsia="宋体" w:hint="default"/>
                <w:color w:val="333333"/>
                <w:sz w:val="24"/>
                <w:szCs w:val="24"/>
              </w:rPr>
              <w:t>Service</w:t>
            </w:r>
            <w:r>
              <w:rPr>
                <w:rFonts w:ascii="宋体" w:hAnsi="宋体" w:cs="宋体" w:eastAsia="宋体" w:hint="default"/>
                <w:color w:val="333333"/>
                <w:sz w:val="24"/>
                <w:szCs w:val="24"/>
              </w:rPr>
              <w:t>）</w:t>
            </w:r>
            <w:r>
              <w:rPr>
                <w:rFonts w:ascii="宋体" w:hAnsi="宋体" w:cs="宋体" w:eastAsia="宋体" w:hint="default"/>
                <w:sz w:val="24"/>
                <w:szCs w:val="24"/>
              </w:rPr>
            </w:r>
          </w:p>
          <w:p>
            <w:pPr>
              <w:pStyle w:val="TableParagraph"/>
              <w:spacing w:line="237" w:lineRule="auto" w:before="1"/>
              <w:ind w:left="100" w:right="101"/>
              <w:jc w:val="both"/>
              <w:rPr>
                <w:rFonts w:ascii="宋体" w:hAnsi="宋体" w:cs="宋体" w:eastAsia="宋体" w:hint="default"/>
                <w:sz w:val="24"/>
                <w:szCs w:val="24"/>
              </w:rPr>
            </w:pPr>
            <w:r>
              <w:rPr>
                <w:rFonts w:ascii="宋体" w:hAnsi="宋体" w:cs="宋体" w:eastAsia="宋体" w:hint="default"/>
                <w:color w:val="333333"/>
                <w:spacing w:val="-6"/>
                <w:sz w:val="24"/>
                <w:szCs w:val="24"/>
              </w:rPr>
              <w:t>的英文缩写，指把</w:t>
            </w:r>
            <w:r>
              <w:rPr>
                <w:rFonts w:ascii="宋体" w:hAnsi="宋体" w:cs="宋体" w:eastAsia="宋体" w:hint="default"/>
                <w:color w:val="333333"/>
                <w:spacing w:val="-60"/>
                <w:sz w:val="24"/>
                <w:szCs w:val="24"/>
              </w:rPr>
              <w:t> </w:t>
            </w:r>
            <w:r>
              <w:rPr>
                <w:rFonts w:ascii="宋体" w:hAnsi="宋体" w:cs="宋体" w:eastAsia="宋体" w:hint="default"/>
                <w:color w:val="333333"/>
                <w:sz w:val="24"/>
                <w:szCs w:val="24"/>
              </w:rPr>
              <w:t>IT</w:t>
            </w:r>
            <w:r>
              <w:rPr>
                <w:rFonts w:ascii="宋体" w:hAnsi="宋体" w:cs="宋体" w:eastAsia="宋体" w:hint="default"/>
                <w:color w:val="333333"/>
                <w:spacing w:val="-60"/>
                <w:sz w:val="24"/>
                <w:szCs w:val="24"/>
              </w:rPr>
              <w:t> </w:t>
            </w:r>
            <w:r>
              <w:rPr>
                <w:rFonts w:ascii="宋体" w:hAnsi="宋体" w:cs="宋体" w:eastAsia="宋体" w:hint="default"/>
                <w:color w:val="333333"/>
                <w:sz w:val="24"/>
                <w:szCs w:val="24"/>
              </w:rPr>
              <w:t>基础设施作为一种服务通过网 </w:t>
            </w:r>
            <w:r>
              <w:rPr>
                <w:rFonts w:ascii="宋体" w:hAnsi="宋体" w:cs="宋体" w:eastAsia="宋体" w:hint="default"/>
                <w:color w:val="333333"/>
                <w:spacing w:val="2"/>
                <w:sz w:val="24"/>
                <w:szCs w:val="24"/>
              </w:rPr>
              <w:t>络对外提供，并根据用户对资源的实际使用量或占</w:t>
            </w:r>
            <w:r>
              <w:rPr>
                <w:rFonts w:ascii="宋体" w:hAnsi="宋体" w:cs="宋体" w:eastAsia="宋体" w:hint="default"/>
                <w:color w:val="333333"/>
                <w:spacing w:val="-107"/>
                <w:sz w:val="24"/>
                <w:szCs w:val="24"/>
              </w:rPr>
              <w:t> </w:t>
            </w:r>
            <w:r>
              <w:rPr>
                <w:rFonts w:ascii="宋体" w:hAnsi="宋体" w:cs="宋体" w:eastAsia="宋体" w:hint="default"/>
                <w:color w:val="333333"/>
                <w:spacing w:val="-107"/>
                <w:sz w:val="24"/>
                <w:szCs w:val="24"/>
              </w:rPr>
            </w:r>
            <w:r>
              <w:rPr>
                <w:rFonts w:ascii="宋体" w:hAnsi="宋体" w:cs="宋体" w:eastAsia="宋体" w:hint="default"/>
                <w:color w:val="333333"/>
                <w:sz w:val="24"/>
                <w:szCs w:val="24"/>
              </w:rPr>
              <w:t>用量进行计费的一种服务模式。</w:t>
            </w:r>
            <w:r>
              <w:rPr>
                <w:rFonts w:ascii="宋体" w:hAnsi="宋体" w:cs="宋体" w:eastAsia="宋体" w:hint="default"/>
                <w:sz w:val="24"/>
                <w:szCs w:val="24"/>
              </w:rPr>
              <w:t> </w:t>
            </w:r>
          </w:p>
        </w:tc>
      </w:tr>
      <w:tr>
        <w:trPr>
          <w:trHeight w:val="634"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sz w:val="24"/>
              </w:rPr>
              <w:t>SaaS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0"/>
              <w:jc w:val="left"/>
              <w:rPr>
                <w:rFonts w:ascii="宋体" w:hAnsi="宋体" w:cs="宋体" w:eastAsia="宋体" w:hint="default"/>
                <w:sz w:val="24"/>
                <w:szCs w:val="24"/>
              </w:rPr>
            </w:pPr>
            <w:r>
              <w:rPr>
                <w:rFonts w:ascii="宋体" w:hAnsi="宋体" w:cs="宋体" w:eastAsia="宋体" w:hint="default"/>
                <w:sz w:val="24"/>
                <w:szCs w:val="24"/>
              </w:rPr>
              <w:t>“软件即服务”（</w:t>
            </w:r>
            <w:r>
              <w:rPr>
                <w:rFonts w:ascii="宋体" w:hAnsi="宋体" w:cs="宋体" w:eastAsia="宋体" w:hint="default"/>
                <w:sz w:val="24"/>
                <w:szCs w:val="24"/>
              </w:rPr>
              <w:t>Software as a</w:t>
            </w:r>
            <w:r>
              <w:rPr>
                <w:rFonts w:ascii="宋体" w:hAnsi="宋体" w:cs="宋体" w:eastAsia="宋体" w:hint="default"/>
                <w:spacing w:val="-49"/>
                <w:sz w:val="24"/>
                <w:szCs w:val="24"/>
              </w:rPr>
              <w:t> </w:t>
            </w:r>
            <w:r>
              <w:rPr>
                <w:rFonts w:ascii="宋体" w:hAnsi="宋体" w:cs="宋体" w:eastAsia="宋体" w:hint="default"/>
                <w:sz w:val="24"/>
                <w:szCs w:val="24"/>
              </w:rPr>
              <w:t>Service</w:t>
            </w:r>
            <w:r>
              <w:rPr>
                <w:rFonts w:ascii="宋体" w:hAnsi="宋体" w:cs="宋体" w:eastAsia="宋体" w:hint="default"/>
                <w:sz w:val="24"/>
                <w:szCs w:val="24"/>
              </w:rPr>
              <w:t>）的英文</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缩写，是云计算模式下的应用软件服务。</w:t>
            </w:r>
            <w:r>
              <w:rPr>
                <w:rFonts w:ascii="宋体" w:hAnsi="宋体" w:cs="宋体" w:eastAsia="宋体" w:hint="default"/>
                <w:sz w:val="24"/>
                <w:szCs w:val="24"/>
              </w:rPr>
              <w:t> </w:t>
            </w:r>
          </w:p>
        </w:tc>
      </w:tr>
      <w:tr>
        <w:trPr>
          <w:trHeight w:val="631"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sz w:val="24"/>
              </w:rPr>
              <w:t>PaaS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left="100" w:right="0"/>
              <w:jc w:val="left"/>
              <w:rPr>
                <w:rFonts w:ascii="宋体" w:hAnsi="宋体" w:cs="宋体" w:eastAsia="宋体" w:hint="default"/>
                <w:sz w:val="24"/>
                <w:szCs w:val="24"/>
              </w:rPr>
            </w:pPr>
            <w:r>
              <w:rPr>
                <w:rFonts w:ascii="宋体" w:hAnsi="宋体" w:cs="宋体" w:eastAsia="宋体" w:hint="default"/>
                <w:sz w:val="24"/>
                <w:szCs w:val="24"/>
              </w:rPr>
              <w:t>“平台即服务”（</w:t>
            </w:r>
            <w:r>
              <w:rPr>
                <w:rFonts w:ascii="宋体" w:hAnsi="宋体" w:cs="宋体" w:eastAsia="宋体" w:hint="default"/>
                <w:sz w:val="24"/>
                <w:szCs w:val="24"/>
              </w:rPr>
              <w:t>Platform as a</w:t>
            </w:r>
            <w:r>
              <w:rPr>
                <w:rFonts w:ascii="宋体" w:hAnsi="宋体" w:cs="宋体" w:eastAsia="宋体" w:hint="default"/>
                <w:spacing w:val="-49"/>
                <w:sz w:val="24"/>
                <w:szCs w:val="24"/>
              </w:rPr>
              <w:t> </w:t>
            </w:r>
            <w:r>
              <w:rPr>
                <w:rFonts w:ascii="宋体" w:hAnsi="宋体" w:cs="宋体" w:eastAsia="宋体" w:hint="default"/>
                <w:sz w:val="24"/>
                <w:szCs w:val="24"/>
              </w:rPr>
              <w:t>Service</w:t>
            </w:r>
            <w:r>
              <w:rPr>
                <w:rFonts w:ascii="宋体" w:hAnsi="宋体" w:cs="宋体" w:eastAsia="宋体" w:hint="default"/>
                <w:sz w:val="24"/>
                <w:szCs w:val="24"/>
              </w:rPr>
              <w:t>）的英文</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缩写，是云计算模式下的平台软件服务。</w:t>
            </w:r>
            <w:r>
              <w:rPr>
                <w:rFonts w:ascii="宋体" w:hAnsi="宋体" w:cs="宋体" w:eastAsia="宋体" w:hint="default"/>
                <w:sz w:val="24"/>
                <w:szCs w:val="24"/>
              </w:rPr>
              <w:t> </w:t>
            </w:r>
          </w:p>
        </w:tc>
      </w:tr>
      <w:tr>
        <w:trPr>
          <w:trHeight w:val="943"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sz w:val="24"/>
              </w:rPr>
              <w:t>BaaS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0"/>
              <w:jc w:val="left"/>
              <w:rPr>
                <w:rFonts w:ascii="宋体" w:hAnsi="宋体" w:cs="宋体" w:eastAsia="宋体" w:hint="default"/>
                <w:sz w:val="24"/>
                <w:szCs w:val="24"/>
              </w:rPr>
            </w:pPr>
            <w:r>
              <w:rPr>
                <w:rFonts w:ascii="宋体" w:hAnsi="宋体" w:cs="宋体" w:eastAsia="宋体" w:hint="default"/>
                <w:spacing w:val="4"/>
                <w:sz w:val="24"/>
                <w:szCs w:val="24"/>
              </w:rPr>
              <w:t>“业务即服务”（ </w:t>
            </w:r>
            <w:r>
              <w:rPr>
                <w:rFonts w:ascii="宋体" w:hAnsi="宋体" w:cs="宋体" w:eastAsia="宋体" w:hint="default"/>
                <w:spacing w:val="4"/>
                <w:sz w:val="24"/>
                <w:szCs w:val="24"/>
              </w:rPr>
            </w:r>
            <w:r>
              <w:rPr>
                <w:rFonts w:ascii="宋体" w:hAnsi="宋体" w:cs="宋体" w:eastAsia="宋体" w:hint="default"/>
                <w:sz w:val="24"/>
                <w:szCs w:val="24"/>
              </w:rPr>
              <w:t>Business as a</w:t>
            </w:r>
            <w:r>
              <w:rPr>
                <w:rFonts w:ascii="宋体" w:hAnsi="宋体" w:cs="宋体" w:eastAsia="宋体" w:hint="default"/>
                <w:spacing w:val="30"/>
                <w:sz w:val="24"/>
                <w:szCs w:val="24"/>
              </w:rPr>
              <w:t> </w:t>
            </w:r>
            <w:r>
              <w:rPr>
                <w:rFonts w:ascii="宋体" w:hAnsi="宋体" w:cs="宋体" w:eastAsia="宋体" w:hint="default"/>
                <w:sz w:val="24"/>
                <w:szCs w:val="24"/>
              </w:rPr>
              <w:t>Service</w:t>
            </w:r>
            <w:r>
              <w:rPr>
                <w:rFonts w:ascii="宋体" w:hAnsi="宋体" w:cs="宋体" w:eastAsia="宋体" w:hint="default"/>
                <w:sz w:val="24"/>
                <w:szCs w:val="24"/>
              </w:rPr>
              <w:t>）的英</w:t>
            </w:r>
          </w:p>
          <w:p>
            <w:pPr>
              <w:pStyle w:val="TableParagraph"/>
              <w:spacing w:line="312" w:lineRule="exact" w:before="29"/>
              <w:ind w:left="100" w:right="109"/>
              <w:jc w:val="left"/>
              <w:rPr>
                <w:rFonts w:ascii="宋体" w:hAnsi="宋体" w:cs="宋体" w:eastAsia="宋体" w:hint="default"/>
                <w:sz w:val="24"/>
                <w:szCs w:val="24"/>
              </w:rPr>
            </w:pPr>
            <w:r>
              <w:rPr>
                <w:rFonts w:ascii="宋体" w:hAnsi="宋体" w:cs="宋体" w:eastAsia="宋体" w:hint="default"/>
                <w:spacing w:val="2"/>
                <w:sz w:val="24"/>
                <w:szCs w:val="24"/>
              </w:rPr>
              <w:t>文缩写，是为客户提供市场、销售、采购、仓储、</w:t>
            </w:r>
            <w:r>
              <w:rPr>
                <w:rFonts w:ascii="宋体" w:hAnsi="宋体" w:cs="宋体" w:eastAsia="宋体" w:hint="default"/>
                <w:spacing w:val="-107"/>
                <w:sz w:val="24"/>
                <w:szCs w:val="24"/>
              </w:rPr>
              <w:t> </w:t>
            </w:r>
            <w:r>
              <w:rPr>
                <w:rFonts w:ascii="宋体" w:hAnsi="宋体" w:cs="宋体" w:eastAsia="宋体" w:hint="default"/>
                <w:spacing w:val="-107"/>
                <w:sz w:val="24"/>
                <w:szCs w:val="24"/>
              </w:rPr>
            </w:r>
            <w:r>
              <w:rPr>
                <w:rFonts w:ascii="宋体" w:hAnsi="宋体" w:cs="宋体" w:eastAsia="宋体" w:hint="default"/>
                <w:sz w:val="24"/>
                <w:szCs w:val="24"/>
              </w:rPr>
              <w:t>人事、会计、资金等数字化的业务运营服务。</w:t>
            </w:r>
            <w:r>
              <w:rPr>
                <w:rFonts w:ascii="宋体" w:hAnsi="宋体" w:cs="宋体" w:eastAsia="宋体" w:hint="default"/>
                <w:sz w:val="24"/>
                <w:szCs w:val="24"/>
              </w:rPr>
              <w:t> </w:t>
            </w:r>
          </w:p>
        </w:tc>
      </w:tr>
      <w:tr>
        <w:trPr>
          <w:trHeight w:val="1255"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103" w:right="0"/>
              <w:jc w:val="left"/>
              <w:rPr>
                <w:rFonts w:ascii="宋体" w:hAnsi="宋体" w:cs="宋体" w:eastAsia="宋体" w:hint="default"/>
                <w:sz w:val="24"/>
                <w:szCs w:val="24"/>
              </w:rPr>
            </w:pPr>
            <w:r>
              <w:rPr>
                <w:rFonts w:ascii="宋体"/>
                <w:sz w:val="24"/>
              </w:rPr>
              <w:t>DaaS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0" w:right="0"/>
              <w:jc w:val="both"/>
              <w:rPr>
                <w:rFonts w:ascii="宋体" w:hAnsi="宋体" w:cs="宋体" w:eastAsia="宋体" w:hint="default"/>
                <w:sz w:val="24"/>
                <w:szCs w:val="24"/>
              </w:rPr>
            </w:pPr>
            <w:r>
              <w:rPr>
                <w:rFonts w:ascii="宋体" w:hAnsi="宋体" w:cs="宋体" w:eastAsia="宋体" w:hint="default"/>
                <w:sz w:val="24"/>
                <w:szCs w:val="24"/>
              </w:rPr>
              <w:t>“数据即服务”（</w:t>
            </w:r>
            <w:r>
              <w:rPr>
                <w:rFonts w:ascii="宋体" w:hAnsi="宋体" w:cs="宋体" w:eastAsia="宋体" w:hint="default"/>
                <w:sz w:val="24"/>
                <w:szCs w:val="24"/>
              </w:rPr>
              <w:t>Data as</w:t>
            </w:r>
            <w:r>
              <w:rPr>
                <w:rFonts w:ascii="宋体" w:hAnsi="宋体" w:cs="宋体" w:eastAsia="宋体" w:hint="default"/>
                <w:spacing w:val="-54"/>
                <w:sz w:val="24"/>
                <w:szCs w:val="24"/>
              </w:rPr>
              <w:t> </w:t>
            </w:r>
            <w:r>
              <w:rPr>
                <w:rFonts w:ascii="宋体" w:hAnsi="宋体" w:cs="宋体" w:eastAsia="宋体" w:hint="default"/>
                <w:sz w:val="24"/>
                <w:szCs w:val="24"/>
              </w:rPr>
              <w:t>a</w:t>
            </w:r>
            <w:r>
              <w:rPr>
                <w:rFonts w:ascii="宋体" w:hAnsi="宋体" w:cs="宋体" w:eastAsia="宋体" w:hint="default"/>
                <w:spacing w:val="-55"/>
                <w:sz w:val="24"/>
                <w:szCs w:val="24"/>
              </w:rPr>
              <w:t> </w:t>
            </w:r>
            <w:r>
              <w:rPr>
                <w:rFonts w:ascii="宋体" w:hAnsi="宋体" w:cs="宋体" w:eastAsia="宋体" w:hint="default"/>
                <w:sz w:val="24"/>
                <w:szCs w:val="24"/>
              </w:rPr>
              <w:t>Service</w:t>
            </w:r>
            <w:r>
              <w:rPr>
                <w:rFonts w:ascii="宋体" w:hAnsi="宋体" w:cs="宋体" w:eastAsia="宋体" w:hint="default"/>
                <w:sz w:val="24"/>
                <w:szCs w:val="24"/>
              </w:rPr>
              <w:t>）的英文缩写，</w:t>
            </w:r>
          </w:p>
          <w:p>
            <w:pPr>
              <w:pStyle w:val="TableParagraph"/>
              <w:spacing w:line="312" w:lineRule="exact" w:before="28"/>
              <w:ind w:left="100" w:right="109"/>
              <w:jc w:val="both"/>
              <w:rPr>
                <w:rFonts w:ascii="宋体" w:hAnsi="宋体" w:cs="宋体" w:eastAsia="宋体" w:hint="default"/>
                <w:sz w:val="24"/>
                <w:szCs w:val="24"/>
              </w:rPr>
            </w:pPr>
            <w:r>
              <w:rPr>
                <w:rFonts w:ascii="宋体" w:hAnsi="宋体" w:cs="宋体" w:eastAsia="宋体" w:hint="default"/>
                <w:spacing w:val="2"/>
                <w:sz w:val="24"/>
                <w:szCs w:val="24"/>
              </w:rPr>
              <w:t>是以数据为对象，以数据加工、数据建模、数据挖</w:t>
            </w:r>
            <w:r>
              <w:rPr>
                <w:rFonts w:ascii="宋体" w:hAnsi="宋体" w:cs="宋体" w:eastAsia="宋体" w:hint="default"/>
                <w:spacing w:val="-107"/>
                <w:sz w:val="24"/>
                <w:szCs w:val="24"/>
              </w:rPr>
              <w:t> </w:t>
            </w:r>
            <w:r>
              <w:rPr>
                <w:rFonts w:ascii="宋体" w:hAnsi="宋体" w:cs="宋体" w:eastAsia="宋体" w:hint="default"/>
                <w:spacing w:val="-107"/>
                <w:sz w:val="24"/>
                <w:szCs w:val="24"/>
              </w:rPr>
            </w:r>
            <w:r>
              <w:rPr>
                <w:rFonts w:ascii="宋体" w:hAnsi="宋体" w:cs="宋体" w:eastAsia="宋体" w:hint="default"/>
                <w:spacing w:val="2"/>
                <w:sz w:val="24"/>
                <w:szCs w:val="24"/>
              </w:rPr>
              <w:t>掘、机器学习等技术为工具，为客户提供各类精准</w:t>
            </w:r>
            <w:r>
              <w:rPr>
                <w:rFonts w:ascii="宋体" w:hAnsi="宋体" w:cs="宋体" w:eastAsia="宋体" w:hint="default"/>
                <w:spacing w:val="-107"/>
                <w:sz w:val="24"/>
                <w:szCs w:val="24"/>
              </w:rPr>
              <w:t> </w:t>
            </w:r>
            <w:r>
              <w:rPr>
                <w:rFonts w:ascii="宋体" w:hAnsi="宋体" w:cs="宋体" w:eastAsia="宋体" w:hint="default"/>
                <w:spacing w:val="-107"/>
                <w:sz w:val="24"/>
                <w:szCs w:val="24"/>
              </w:rPr>
            </w:r>
            <w:r>
              <w:rPr>
                <w:rFonts w:ascii="宋体" w:hAnsi="宋体" w:cs="宋体" w:eastAsia="宋体" w:hint="default"/>
                <w:sz w:val="24"/>
                <w:szCs w:val="24"/>
              </w:rPr>
              <w:t>的信息，实现数据驱动客户业务发展。</w:t>
            </w:r>
            <w:r>
              <w:rPr>
                <w:rFonts w:ascii="宋体" w:hAnsi="宋体" w:cs="宋体" w:eastAsia="宋体" w:hint="default"/>
                <w:sz w:val="24"/>
                <w:szCs w:val="24"/>
              </w:rPr>
              <w:t> </w:t>
            </w:r>
          </w:p>
        </w:tc>
      </w:tr>
      <w:tr>
        <w:trPr>
          <w:trHeight w:val="634"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3" w:right="0"/>
              <w:jc w:val="left"/>
              <w:rPr>
                <w:rFonts w:ascii="宋体" w:hAnsi="宋体" w:cs="宋体" w:eastAsia="宋体" w:hint="default"/>
                <w:sz w:val="24"/>
                <w:szCs w:val="24"/>
              </w:rPr>
            </w:pPr>
            <w:r>
              <w:rPr>
                <w:rFonts w:ascii="宋体"/>
                <w:sz w:val="24"/>
              </w:rPr>
              <w:t>DevOps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0" w:right="-17"/>
              <w:jc w:val="left"/>
              <w:rPr>
                <w:rFonts w:ascii="宋体" w:hAnsi="宋体" w:cs="宋体" w:eastAsia="宋体" w:hint="default"/>
                <w:sz w:val="24"/>
                <w:szCs w:val="24"/>
              </w:rPr>
            </w:pPr>
            <w:r>
              <w:rPr>
                <w:rFonts w:ascii="宋体" w:hAnsi="宋体" w:cs="宋体" w:eastAsia="宋体" w:hint="default"/>
                <w:color w:val="333333"/>
                <w:sz w:val="24"/>
                <w:szCs w:val="24"/>
              </w:rPr>
              <w:t>Development</w:t>
            </w:r>
            <w:r>
              <w:rPr>
                <w:rFonts w:ascii="宋体" w:hAnsi="宋体" w:cs="宋体" w:eastAsia="宋体" w:hint="default"/>
                <w:color w:val="333333"/>
                <w:spacing w:val="-60"/>
                <w:sz w:val="24"/>
                <w:szCs w:val="24"/>
              </w:rPr>
              <w:t> </w:t>
            </w:r>
            <w:r>
              <w:rPr>
                <w:rFonts w:ascii="宋体" w:hAnsi="宋体" w:cs="宋体" w:eastAsia="宋体" w:hint="default"/>
                <w:color w:val="333333"/>
                <w:sz w:val="24"/>
                <w:szCs w:val="24"/>
              </w:rPr>
              <w:t>和</w:t>
            </w:r>
            <w:r>
              <w:rPr>
                <w:rFonts w:ascii="宋体" w:hAnsi="宋体" w:cs="宋体" w:eastAsia="宋体" w:hint="default"/>
                <w:color w:val="333333"/>
                <w:spacing w:val="-60"/>
                <w:sz w:val="24"/>
                <w:szCs w:val="24"/>
              </w:rPr>
              <w:t> </w:t>
            </w:r>
            <w:r>
              <w:rPr>
                <w:rFonts w:ascii="宋体" w:hAnsi="宋体" w:cs="宋体" w:eastAsia="宋体" w:hint="default"/>
                <w:color w:val="333333"/>
                <w:sz w:val="24"/>
                <w:szCs w:val="24"/>
              </w:rPr>
              <w:t>Operations</w:t>
            </w:r>
            <w:r>
              <w:rPr>
                <w:rFonts w:ascii="宋体" w:hAnsi="宋体" w:cs="宋体" w:eastAsia="宋体" w:hint="default"/>
                <w:color w:val="333333"/>
                <w:spacing w:val="-60"/>
                <w:sz w:val="24"/>
                <w:szCs w:val="24"/>
              </w:rPr>
              <w:t> </w:t>
            </w:r>
            <w:r>
              <w:rPr>
                <w:rFonts w:ascii="宋体" w:hAnsi="宋体" w:cs="宋体" w:eastAsia="宋体" w:hint="default"/>
                <w:color w:val="333333"/>
                <w:sz w:val="24"/>
                <w:szCs w:val="24"/>
              </w:rPr>
              <w:t>的组合词</w:t>
            </w:r>
            <w:r>
              <w:rPr>
                <w:rFonts w:ascii="宋体" w:hAnsi="宋体" w:cs="宋体" w:eastAsia="宋体" w:hint="default"/>
                <w:color w:val="333333"/>
                <w:spacing w:val="-108"/>
                <w:sz w:val="24"/>
                <w:szCs w:val="24"/>
              </w:rPr>
              <w:t>，</w:t>
            </w:r>
            <w:r>
              <w:rPr>
                <w:rFonts w:ascii="宋体" w:hAnsi="宋体" w:cs="宋体" w:eastAsia="宋体" w:hint="default"/>
                <w:color w:val="333333"/>
                <w:sz w:val="24"/>
                <w:szCs w:val="24"/>
              </w:rPr>
              <w:t>是一组过程、</w:t>
            </w:r>
            <w:r>
              <w:rPr>
                <w:rFonts w:ascii="宋体" w:hAnsi="宋体" w:cs="宋体" w:eastAsia="宋体" w:hint="default"/>
                <w:sz w:val="24"/>
                <w:szCs w:val="24"/>
              </w:rPr>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color w:val="333333"/>
                <w:sz w:val="24"/>
                <w:szCs w:val="24"/>
              </w:rPr>
              <w:t>方法与系统的统称。</w:t>
            </w:r>
            <w:r>
              <w:rPr>
                <w:rFonts w:ascii="宋体" w:hAnsi="宋体" w:cs="宋体" w:eastAsia="宋体" w:hint="default"/>
                <w:sz w:val="24"/>
                <w:szCs w:val="24"/>
              </w:rPr>
              <w:t> </w:t>
            </w:r>
          </w:p>
        </w:tc>
      </w:tr>
      <w:tr>
        <w:trPr>
          <w:trHeight w:val="631"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sz w:val="24"/>
              </w:rPr>
              <w:t>VPA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0"/>
              <w:jc w:val="left"/>
              <w:rPr>
                <w:rFonts w:ascii="宋体" w:hAnsi="宋体" w:cs="宋体" w:eastAsia="宋体" w:hint="default"/>
                <w:sz w:val="24"/>
                <w:szCs w:val="24"/>
              </w:rPr>
            </w:pPr>
            <w:r>
              <w:rPr>
                <w:rFonts w:ascii="宋体" w:hAnsi="宋体" w:cs="宋体" w:eastAsia="宋体" w:hint="default"/>
                <w:sz w:val="24"/>
                <w:szCs w:val="24"/>
              </w:rPr>
              <w:t>Virtual Personal Assistant</w:t>
            </w:r>
            <w:r>
              <w:rPr>
                <w:rFonts w:ascii="宋体" w:hAnsi="宋体" w:cs="宋体" w:eastAsia="宋体" w:hint="default"/>
                <w:spacing w:val="-48"/>
                <w:sz w:val="24"/>
                <w:szCs w:val="24"/>
              </w:rPr>
              <w:t> </w:t>
            </w:r>
            <w:r>
              <w:rPr>
                <w:rFonts w:ascii="宋体" w:hAnsi="宋体" w:cs="宋体" w:eastAsia="宋体" w:hint="default"/>
                <w:sz w:val="24"/>
                <w:szCs w:val="24"/>
              </w:rPr>
              <w:t>的缩写，</w:t>
            </w:r>
            <w:r>
              <w:rPr>
                <w:rFonts w:ascii="宋体" w:hAnsi="宋体" w:cs="宋体" w:eastAsia="宋体" w:hint="default"/>
                <w:color w:val="333333"/>
                <w:sz w:val="24"/>
                <w:szCs w:val="24"/>
              </w:rPr>
              <w:t>指</w:t>
            </w:r>
            <w:r>
              <w:rPr>
                <w:rFonts w:ascii="宋体" w:hAnsi="宋体" w:cs="宋体" w:eastAsia="宋体" w:hint="default"/>
                <w:sz w:val="24"/>
                <w:szCs w:val="24"/>
              </w:rPr>
              <w:t>虚拟个人</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助理。</w:t>
            </w:r>
            <w:r>
              <w:rPr>
                <w:rFonts w:ascii="宋体" w:hAnsi="宋体" w:cs="宋体" w:eastAsia="宋体" w:hint="default"/>
                <w:sz w:val="24"/>
                <w:szCs w:val="24"/>
              </w:rPr>
              <w:t> </w:t>
            </w:r>
          </w:p>
        </w:tc>
      </w:tr>
      <w:tr>
        <w:trPr>
          <w:trHeight w:val="634"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103" w:right="0"/>
              <w:jc w:val="left"/>
              <w:rPr>
                <w:rFonts w:ascii="宋体" w:hAnsi="宋体" w:cs="宋体" w:eastAsia="宋体" w:hint="default"/>
                <w:sz w:val="24"/>
                <w:szCs w:val="24"/>
              </w:rPr>
            </w:pPr>
            <w:r>
              <w:rPr>
                <w:rFonts w:ascii="宋体"/>
                <w:sz w:val="24"/>
              </w:rPr>
              <w:t>RPA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00" w:right="0"/>
              <w:jc w:val="left"/>
              <w:rPr>
                <w:rFonts w:ascii="宋体" w:hAnsi="宋体" w:cs="宋体" w:eastAsia="宋体" w:hint="default"/>
                <w:sz w:val="24"/>
                <w:szCs w:val="24"/>
              </w:rPr>
            </w:pPr>
            <w:r>
              <w:rPr>
                <w:rFonts w:ascii="宋体" w:hAnsi="宋体" w:cs="宋体" w:eastAsia="宋体" w:hint="default"/>
                <w:sz w:val="24"/>
                <w:szCs w:val="24"/>
              </w:rPr>
              <w:t>Robotic</w:t>
            </w:r>
            <w:r>
              <w:rPr>
                <w:rFonts w:ascii="宋体" w:hAnsi="宋体" w:cs="宋体" w:eastAsia="宋体" w:hint="default"/>
                <w:spacing w:val="-56"/>
                <w:sz w:val="24"/>
                <w:szCs w:val="24"/>
              </w:rPr>
              <w:t> </w:t>
            </w:r>
            <w:r>
              <w:rPr>
                <w:rFonts w:ascii="宋体" w:hAnsi="宋体" w:cs="宋体" w:eastAsia="宋体" w:hint="default"/>
                <w:sz w:val="24"/>
                <w:szCs w:val="24"/>
              </w:rPr>
              <w:t>Process</w:t>
            </w:r>
            <w:r>
              <w:rPr>
                <w:rFonts w:ascii="宋体" w:hAnsi="宋体" w:cs="宋体" w:eastAsia="宋体" w:hint="default"/>
                <w:spacing w:val="-56"/>
                <w:sz w:val="24"/>
                <w:szCs w:val="24"/>
              </w:rPr>
              <w:t> </w:t>
            </w:r>
            <w:r>
              <w:rPr>
                <w:rFonts w:ascii="宋体" w:hAnsi="宋体" w:cs="宋体" w:eastAsia="宋体" w:hint="default"/>
                <w:sz w:val="24"/>
                <w:szCs w:val="24"/>
              </w:rPr>
              <w:t>Automation</w:t>
            </w:r>
            <w:r>
              <w:rPr>
                <w:rFonts w:ascii="宋体" w:hAnsi="宋体" w:cs="宋体" w:eastAsia="宋体" w:hint="default"/>
                <w:spacing w:val="-60"/>
                <w:sz w:val="24"/>
                <w:szCs w:val="24"/>
              </w:rPr>
              <w:t> </w:t>
            </w:r>
            <w:r>
              <w:rPr>
                <w:rFonts w:ascii="宋体" w:hAnsi="宋体" w:cs="宋体" w:eastAsia="宋体" w:hint="default"/>
                <w:sz w:val="24"/>
                <w:szCs w:val="24"/>
              </w:rPr>
              <w:t>的缩写</w:t>
            </w:r>
            <w:r>
              <w:rPr>
                <w:rFonts w:ascii="宋体" w:hAnsi="宋体" w:cs="宋体" w:eastAsia="宋体" w:hint="default"/>
                <w:sz w:val="24"/>
                <w:szCs w:val="24"/>
              </w:rPr>
              <w:t>,</w:t>
            </w:r>
            <w:r>
              <w:rPr>
                <w:rFonts w:ascii="宋体" w:hAnsi="宋体" w:cs="宋体" w:eastAsia="宋体" w:hint="default"/>
                <w:sz w:val="24"/>
                <w:szCs w:val="24"/>
              </w:rPr>
              <w:t>即机器人流程</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自动化。</w:t>
            </w:r>
            <w:r>
              <w:rPr>
                <w:rFonts w:ascii="宋体" w:hAnsi="宋体" w:cs="宋体" w:eastAsia="宋体" w:hint="default"/>
                <w:sz w:val="24"/>
                <w:szCs w:val="24"/>
              </w:rPr>
              <w:t> </w:t>
            </w:r>
          </w:p>
        </w:tc>
      </w:tr>
      <w:tr>
        <w:trPr>
          <w:trHeight w:val="943"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4"/>
                <w:szCs w:val="24"/>
              </w:rPr>
            </w:pPr>
            <w:r>
              <w:rPr>
                <w:rFonts w:ascii="宋体"/>
                <w:sz w:val="24"/>
              </w:rPr>
              <w:t>ISV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16"/>
              <w:jc w:val="left"/>
              <w:rPr>
                <w:rFonts w:ascii="宋体" w:hAnsi="宋体" w:cs="宋体" w:eastAsia="宋体" w:hint="default"/>
                <w:sz w:val="24"/>
                <w:szCs w:val="24"/>
              </w:rPr>
            </w:pPr>
            <w:r>
              <w:rPr>
                <w:rFonts w:ascii="宋体" w:hAnsi="宋体" w:cs="宋体" w:eastAsia="宋体" w:hint="default"/>
                <w:spacing w:val="43"/>
                <w:sz w:val="24"/>
                <w:szCs w:val="24"/>
              </w:rPr>
              <w:t>“独立软件开发商</w:t>
            </w:r>
            <w:r>
              <w:rPr>
                <w:rFonts w:ascii="宋体" w:hAnsi="宋体" w:cs="宋体" w:eastAsia="宋体" w:hint="default"/>
                <w:spacing w:val="-71"/>
                <w:sz w:val="24"/>
                <w:szCs w:val="24"/>
              </w:rPr>
              <w:t> </w:t>
            </w:r>
            <w:r>
              <w:rPr>
                <w:rFonts w:ascii="宋体" w:hAnsi="宋体" w:cs="宋体" w:eastAsia="宋体" w:hint="default"/>
                <w:spacing w:val="25"/>
                <w:sz w:val="24"/>
                <w:szCs w:val="24"/>
              </w:rPr>
              <w:t>”（</w:t>
            </w:r>
            <w:r>
              <w:rPr>
                <w:rFonts w:ascii="宋体" w:hAnsi="宋体" w:cs="宋体" w:eastAsia="宋体" w:hint="default"/>
                <w:spacing w:val="-69"/>
                <w:sz w:val="24"/>
                <w:szCs w:val="24"/>
              </w:rPr>
              <w:t> </w:t>
            </w:r>
            <w:r>
              <w:rPr>
                <w:rFonts w:ascii="宋体" w:hAnsi="宋体" w:cs="宋体" w:eastAsia="宋体" w:hint="default"/>
                <w:sz w:val="24"/>
                <w:szCs w:val="24"/>
              </w:rPr>
              <w:t>Independent</w:t>
            </w:r>
            <w:r>
              <w:rPr>
                <w:rFonts w:ascii="宋体" w:hAnsi="宋体" w:cs="宋体" w:eastAsia="宋体" w:hint="default"/>
                <w:spacing w:val="53"/>
                <w:sz w:val="24"/>
                <w:szCs w:val="24"/>
              </w:rPr>
              <w:t> </w:t>
            </w:r>
            <w:r>
              <w:rPr>
                <w:rFonts w:ascii="宋体" w:hAnsi="宋体" w:cs="宋体" w:eastAsia="宋体" w:hint="default"/>
                <w:sz w:val="24"/>
                <w:szCs w:val="24"/>
              </w:rPr>
              <w:t>Software </w:t>
            </w:r>
          </w:p>
          <w:p>
            <w:pPr>
              <w:pStyle w:val="TableParagraph"/>
              <w:spacing w:line="310" w:lineRule="exact" w:before="31"/>
              <w:ind w:left="100" w:right="54"/>
              <w:jc w:val="left"/>
              <w:rPr>
                <w:rFonts w:ascii="宋体" w:hAnsi="宋体" w:cs="宋体" w:eastAsia="宋体" w:hint="default"/>
                <w:sz w:val="24"/>
                <w:szCs w:val="24"/>
              </w:rPr>
            </w:pPr>
            <w:r>
              <w:rPr>
                <w:rFonts w:ascii="宋体" w:hAnsi="宋体" w:cs="宋体" w:eastAsia="宋体" w:hint="default"/>
                <w:sz w:val="24"/>
                <w:szCs w:val="24"/>
              </w:rPr>
              <w:t>Vendors</w:t>
            </w:r>
            <w:r>
              <w:rPr>
                <w:rFonts w:ascii="宋体" w:hAnsi="宋体" w:cs="宋体" w:eastAsia="宋体" w:hint="default"/>
                <w:sz w:val="24"/>
                <w:szCs w:val="24"/>
              </w:rPr>
              <w:t>）的英文缩写，特指专门从事软件的开发、 生产、销售和服务的企业。</w:t>
            </w:r>
            <w:r>
              <w:rPr>
                <w:rFonts w:ascii="宋体" w:hAnsi="宋体" w:cs="宋体" w:eastAsia="宋体" w:hint="default"/>
                <w:sz w:val="24"/>
                <w:szCs w:val="24"/>
              </w:rPr>
              <w:t> </w:t>
            </w:r>
          </w:p>
        </w:tc>
      </w:tr>
    </w:tbl>
    <w:p>
      <w:pPr>
        <w:spacing w:after="0" w:line="310" w:lineRule="exact"/>
        <w:jc w:val="left"/>
        <w:rPr>
          <w:rFonts w:ascii="宋体" w:hAnsi="宋体" w:cs="宋体" w:eastAsia="宋体" w:hint="default"/>
          <w:sz w:val="24"/>
          <w:szCs w:val="24"/>
        </w:rPr>
        <w:sectPr>
          <w:headerReference w:type="default" r:id="rId7"/>
          <w:footerReference w:type="default" r:id="rId8"/>
          <w:pgSz w:w="11910" w:h="16840"/>
          <w:pgMar w:header="880" w:footer="1195" w:top="1120" w:bottom="1380" w:left="1060" w:right="1680"/>
          <w:pgNumType w:start="5"/>
        </w:sectPr>
      </w:pPr>
    </w:p>
    <w:p>
      <w:pPr>
        <w:spacing w:line="240" w:lineRule="auto" w:before="3"/>
        <w:rPr>
          <w:rFonts w:ascii="宋体" w:hAnsi="宋体" w:cs="宋体" w:eastAsia="宋体" w:hint="default"/>
          <w:sz w:val="24"/>
          <w:szCs w:val="24"/>
        </w:rPr>
      </w:pPr>
    </w:p>
    <w:tbl>
      <w:tblPr>
        <w:tblW w:w="0" w:type="auto"/>
        <w:jc w:val="left"/>
        <w:tblInd w:w="103" w:type="dxa"/>
        <w:tblLayout w:type="fixed"/>
        <w:tblCellMar>
          <w:top w:w="0" w:type="dxa"/>
          <w:left w:w="0" w:type="dxa"/>
          <w:bottom w:w="0" w:type="dxa"/>
          <w:right w:w="0" w:type="dxa"/>
        </w:tblCellMar>
        <w:tblLook w:val="01E0"/>
      </w:tblPr>
      <w:tblGrid>
        <w:gridCol w:w="2122"/>
        <w:gridCol w:w="1136"/>
        <w:gridCol w:w="5567"/>
      </w:tblGrid>
      <w:tr>
        <w:trPr>
          <w:trHeight w:val="634"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ABU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17"/>
              <w:jc w:val="left"/>
              <w:rPr>
                <w:rFonts w:ascii="宋体" w:hAnsi="宋体" w:cs="宋体" w:eastAsia="宋体" w:hint="default"/>
                <w:sz w:val="24"/>
                <w:szCs w:val="24"/>
              </w:rPr>
            </w:pPr>
            <w:r>
              <w:rPr>
                <w:rFonts w:ascii="宋体" w:hAnsi="宋体" w:cs="宋体" w:eastAsia="宋体" w:hint="default"/>
                <w:sz w:val="24"/>
                <w:szCs w:val="24"/>
              </w:rPr>
              <w:t>Account</w:t>
            </w:r>
            <w:r>
              <w:rPr>
                <w:rFonts w:ascii="宋体" w:hAnsi="宋体" w:cs="宋体" w:eastAsia="宋体" w:hint="default"/>
                <w:spacing w:val="-56"/>
                <w:sz w:val="24"/>
                <w:szCs w:val="24"/>
              </w:rPr>
              <w:t> </w:t>
            </w:r>
            <w:r>
              <w:rPr>
                <w:rFonts w:ascii="宋体" w:hAnsi="宋体" w:cs="宋体" w:eastAsia="宋体" w:hint="default"/>
                <w:sz w:val="24"/>
                <w:szCs w:val="24"/>
              </w:rPr>
              <w:t>Business</w:t>
            </w:r>
            <w:r>
              <w:rPr>
                <w:rFonts w:ascii="宋体" w:hAnsi="宋体" w:cs="宋体" w:eastAsia="宋体" w:hint="default"/>
                <w:spacing w:val="-56"/>
                <w:sz w:val="24"/>
                <w:szCs w:val="24"/>
              </w:rPr>
              <w:t> </w:t>
            </w:r>
            <w:r>
              <w:rPr>
                <w:rFonts w:ascii="宋体" w:hAnsi="宋体" w:cs="宋体" w:eastAsia="宋体" w:hint="default"/>
                <w:sz w:val="24"/>
                <w:szCs w:val="24"/>
              </w:rPr>
              <w:t>Unit</w:t>
            </w:r>
            <w:r>
              <w:rPr>
                <w:rFonts w:ascii="宋体" w:hAnsi="宋体" w:cs="宋体" w:eastAsia="宋体" w:hint="default"/>
                <w:spacing w:val="-60"/>
                <w:sz w:val="24"/>
                <w:szCs w:val="24"/>
              </w:rPr>
              <w:t> </w:t>
            </w:r>
            <w:r>
              <w:rPr>
                <w:rFonts w:ascii="宋体" w:hAnsi="宋体" w:cs="宋体" w:eastAsia="宋体" w:hint="default"/>
                <w:sz w:val="24"/>
                <w:szCs w:val="24"/>
              </w:rPr>
              <w:t>的缩写，是针对公司级原型</w:t>
            </w:r>
          </w:p>
          <w:p>
            <w:pPr>
              <w:pStyle w:val="TableParagraph"/>
              <w:spacing w:line="313" w:lineRule="exact"/>
              <w:ind w:left="100" w:right="-17"/>
              <w:jc w:val="left"/>
              <w:rPr>
                <w:rFonts w:ascii="宋体" w:hAnsi="宋体" w:cs="宋体" w:eastAsia="宋体" w:hint="default"/>
                <w:sz w:val="24"/>
                <w:szCs w:val="24"/>
              </w:rPr>
            </w:pPr>
            <w:r>
              <w:rPr>
                <w:rFonts w:ascii="宋体" w:hAnsi="宋体" w:cs="宋体" w:eastAsia="宋体" w:hint="default"/>
                <w:sz w:val="24"/>
                <w:szCs w:val="24"/>
              </w:rPr>
              <w:t>项目</w:t>
            </w:r>
            <w:r>
              <w:rPr>
                <w:rFonts w:ascii="宋体" w:hAnsi="宋体" w:cs="宋体" w:eastAsia="宋体" w:hint="default"/>
                <w:spacing w:val="-24"/>
                <w:sz w:val="24"/>
                <w:szCs w:val="24"/>
              </w:rPr>
              <w:t>、</w:t>
            </w:r>
            <w:r>
              <w:rPr>
                <w:rFonts w:ascii="宋体" w:hAnsi="宋体" w:cs="宋体" w:eastAsia="宋体" w:hint="default"/>
                <w:sz w:val="24"/>
                <w:szCs w:val="24"/>
              </w:rPr>
              <w:t>战略项目建立的专属</w:t>
            </w:r>
            <w:r>
              <w:rPr>
                <w:rFonts w:ascii="宋体" w:hAnsi="宋体" w:cs="宋体" w:eastAsia="宋体" w:hint="default"/>
                <w:spacing w:val="-24"/>
                <w:sz w:val="24"/>
                <w:szCs w:val="24"/>
              </w:rPr>
              <w:t>、</w:t>
            </w:r>
            <w:r>
              <w:rPr>
                <w:rFonts w:ascii="宋体" w:hAnsi="宋体" w:cs="宋体" w:eastAsia="宋体" w:hint="default"/>
                <w:sz w:val="24"/>
                <w:szCs w:val="24"/>
              </w:rPr>
              <w:t>独立的客户经营组织</w:t>
            </w:r>
            <w:r>
              <w:rPr>
                <w:rFonts w:ascii="宋体" w:hAnsi="宋体" w:cs="宋体" w:eastAsia="宋体" w:hint="default"/>
                <w:spacing w:val="-119"/>
                <w:sz w:val="24"/>
                <w:szCs w:val="24"/>
              </w:rPr>
              <w:t>。</w:t>
            </w:r>
            <w:r>
              <w:rPr>
                <w:rFonts w:ascii="宋体" w:hAnsi="宋体" w:cs="宋体" w:eastAsia="宋体" w:hint="default"/>
                <w:sz w:val="24"/>
                <w:szCs w:val="24"/>
              </w:rPr>
              <w:t> </w:t>
            </w:r>
          </w:p>
        </w:tc>
      </w:tr>
      <w:tr>
        <w:trPr>
          <w:trHeight w:val="631"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 </w:t>
            </w:r>
            <w:r>
              <w:rPr>
                <w:rFonts w:ascii="宋体" w:hAnsi="宋体" w:cs="宋体" w:eastAsia="宋体" w:hint="default"/>
                <w:sz w:val="24"/>
                <w:szCs w:val="24"/>
              </w:rPr>
              <w:t>NC</w:t>
            </w:r>
            <w:r>
              <w:rPr>
                <w:rFonts w:ascii="宋体" w:hAnsi="宋体" w:cs="宋体" w:eastAsia="宋体" w:hint="default"/>
                <w:spacing w:val="-61"/>
                <w:sz w:val="24"/>
                <w:szCs w:val="24"/>
              </w:rPr>
              <w:t> </w:t>
            </w:r>
            <w:r>
              <w:rPr>
                <w:rFonts w:ascii="宋体" w:hAnsi="宋体" w:cs="宋体" w:eastAsia="宋体" w:hint="default"/>
                <w:sz w:val="24"/>
                <w:szCs w:val="24"/>
              </w:rPr>
              <w:t>Cloud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0" w:right="0"/>
              <w:jc w:val="left"/>
              <w:rPr>
                <w:rFonts w:ascii="宋体" w:hAnsi="宋体" w:cs="宋体" w:eastAsia="宋体" w:hint="default"/>
                <w:sz w:val="24"/>
                <w:szCs w:val="24"/>
              </w:rPr>
            </w:pPr>
            <w:r>
              <w:rPr>
                <w:rFonts w:ascii="宋体" w:hAnsi="宋体" w:cs="宋体" w:eastAsia="宋体" w:hint="default"/>
                <w:spacing w:val="2"/>
                <w:sz w:val="24"/>
                <w:szCs w:val="24"/>
              </w:rPr>
              <w:t>公司推出的面向成长型集团企业和大型集团企业的</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云</w:t>
            </w:r>
            <w:r>
              <w:rPr>
                <w:rFonts w:ascii="宋体" w:hAnsi="宋体" w:cs="宋体" w:eastAsia="宋体" w:hint="default"/>
                <w:spacing w:val="-60"/>
                <w:sz w:val="24"/>
                <w:szCs w:val="24"/>
              </w:rPr>
              <w:t> </w:t>
            </w:r>
            <w:r>
              <w:rPr>
                <w:rFonts w:ascii="宋体" w:hAnsi="宋体" w:cs="宋体" w:eastAsia="宋体" w:hint="default"/>
                <w:sz w:val="24"/>
                <w:szCs w:val="24"/>
              </w:rPr>
              <w:t>ERP</w:t>
            </w:r>
            <w:r>
              <w:rPr>
                <w:rFonts w:ascii="宋体" w:hAnsi="宋体" w:cs="宋体" w:eastAsia="宋体" w:hint="default"/>
                <w:spacing w:val="-60"/>
                <w:sz w:val="24"/>
                <w:szCs w:val="24"/>
              </w:rPr>
              <w:t> </w:t>
            </w:r>
            <w:r>
              <w:rPr>
                <w:rFonts w:ascii="宋体" w:hAnsi="宋体" w:cs="宋体" w:eastAsia="宋体" w:hint="default"/>
                <w:sz w:val="24"/>
                <w:szCs w:val="24"/>
              </w:rPr>
              <w:t>产品。</w:t>
            </w:r>
            <w:r>
              <w:rPr>
                <w:rFonts w:ascii="宋体" w:hAnsi="宋体" w:cs="宋体" w:eastAsia="宋体" w:hint="default"/>
                <w:sz w:val="24"/>
                <w:szCs w:val="24"/>
              </w:rPr>
              <w:t> </w:t>
            </w:r>
          </w:p>
        </w:tc>
      </w:tr>
      <w:tr>
        <w:trPr>
          <w:trHeight w:val="634"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 </w:t>
            </w:r>
            <w:r>
              <w:rPr>
                <w:rFonts w:ascii="宋体" w:hAnsi="宋体" w:cs="宋体" w:eastAsia="宋体" w:hint="default"/>
                <w:sz w:val="24"/>
                <w:szCs w:val="24"/>
              </w:rPr>
              <w:t>U8</w:t>
            </w:r>
            <w:r>
              <w:rPr>
                <w:rFonts w:ascii="宋体" w:hAnsi="宋体" w:cs="宋体" w:eastAsia="宋体" w:hint="default"/>
                <w:spacing w:val="-61"/>
                <w:sz w:val="24"/>
                <w:szCs w:val="24"/>
              </w:rPr>
              <w:t> </w:t>
            </w:r>
            <w:r>
              <w:rPr>
                <w:rFonts w:ascii="宋体" w:hAnsi="宋体" w:cs="宋体" w:eastAsia="宋体" w:hint="default"/>
                <w:sz w:val="24"/>
                <w:szCs w:val="24"/>
              </w:rPr>
              <w:t>Cloud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公司推出的面向创新型</w:t>
            </w:r>
            <w:r>
              <w:rPr>
                <w:rFonts w:ascii="宋体" w:hAnsi="宋体" w:cs="宋体" w:eastAsia="宋体" w:hint="default"/>
                <w:spacing w:val="-108"/>
                <w:sz w:val="24"/>
                <w:szCs w:val="24"/>
              </w:rPr>
              <w:t>、</w:t>
            </w:r>
            <w:r>
              <w:rPr>
                <w:rFonts w:ascii="宋体" w:hAnsi="宋体" w:cs="宋体" w:eastAsia="宋体" w:hint="default"/>
                <w:sz w:val="24"/>
                <w:szCs w:val="24"/>
              </w:rPr>
              <w:t>成长型企业的新一代云</w:t>
            </w:r>
            <w:r>
              <w:rPr>
                <w:rFonts w:ascii="宋体" w:hAnsi="宋体" w:cs="宋体" w:eastAsia="宋体" w:hint="default"/>
                <w:spacing w:val="-59"/>
                <w:sz w:val="24"/>
                <w:szCs w:val="24"/>
              </w:rPr>
              <w:t> </w:t>
            </w:r>
            <w:r>
              <w:rPr>
                <w:rFonts w:ascii="宋体" w:hAnsi="宋体" w:cs="宋体" w:eastAsia="宋体" w:hint="default"/>
                <w:sz w:val="24"/>
                <w:szCs w:val="24"/>
              </w:rPr>
              <w:t>ERP</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产品。</w:t>
            </w:r>
            <w:r>
              <w:rPr>
                <w:rFonts w:ascii="宋体" w:hAnsi="宋体" w:cs="宋体" w:eastAsia="宋体" w:hint="default"/>
                <w:sz w:val="24"/>
                <w:szCs w:val="24"/>
              </w:rPr>
              <w:t> </w:t>
            </w:r>
          </w:p>
        </w:tc>
      </w:tr>
      <w:tr>
        <w:trPr>
          <w:trHeight w:val="631"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客户</w:t>
            </w:r>
            <w:r>
              <w:rPr>
                <w:rFonts w:ascii="宋体" w:hAnsi="宋体" w:cs="宋体" w:eastAsia="宋体" w:hint="default"/>
                <w:sz w:val="24"/>
                <w:szCs w:val="24"/>
              </w:rPr>
              <w:t> </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23"/>
              <w:jc w:val="right"/>
              <w:rPr>
                <w:rFonts w:ascii="宋体" w:hAnsi="宋体" w:cs="宋体" w:eastAsia="宋体" w:hint="default"/>
                <w:sz w:val="24"/>
                <w:szCs w:val="24"/>
              </w:rPr>
            </w:pPr>
            <w:r>
              <w:rPr>
                <w:rFonts w:ascii="宋体" w:hAnsi="宋体" w:cs="宋体" w:eastAsia="宋体" w:hint="default"/>
                <w:sz w:val="24"/>
                <w:szCs w:val="24"/>
              </w:rPr>
              <w:t>指</w:t>
            </w:r>
            <w:r>
              <w:rPr>
                <w:rFonts w:ascii="宋体" w:hAnsi="宋体" w:cs="宋体" w:eastAsia="宋体" w:hint="default"/>
                <w:sz w:val="24"/>
                <w:szCs w:val="24"/>
              </w:rPr>
              <w:t> </w:t>
            </w:r>
          </w:p>
        </w:tc>
        <w:tc>
          <w:tcPr>
            <w:tcW w:w="556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0" w:right="-16"/>
              <w:jc w:val="left"/>
              <w:rPr>
                <w:rFonts w:ascii="宋体" w:hAnsi="宋体" w:cs="宋体" w:eastAsia="宋体" w:hint="default"/>
                <w:sz w:val="24"/>
                <w:szCs w:val="24"/>
              </w:rPr>
            </w:pPr>
            <w:r>
              <w:rPr>
                <w:rFonts w:ascii="宋体" w:hAnsi="宋体" w:cs="宋体" w:eastAsia="宋体" w:hint="default"/>
                <w:spacing w:val="-3"/>
                <w:sz w:val="24"/>
                <w:szCs w:val="24"/>
              </w:rPr>
              <w:t>购买和应用了用友网络的软件及服务、企业云服务、</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金融服务的企业和公共组织。</w:t>
            </w:r>
            <w:r>
              <w:rPr>
                <w:rFonts w:ascii="宋体" w:hAnsi="宋体" w:cs="宋体" w:eastAsia="宋体" w:hint="default"/>
                <w:sz w:val="24"/>
                <w:szCs w:val="24"/>
              </w:rPr>
              <w:t> </w:t>
            </w:r>
          </w:p>
        </w:tc>
      </w:tr>
    </w:tbl>
    <w:p>
      <w:pPr>
        <w:spacing w:line="240" w:lineRule="auto" w:before="11"/>
        <w:rPr>
          <w:rFonts w:ascii="宋体" w:hAnsi="宋体" w:cs="宋体" w:eastAsia="宋体" w:hint="default"/>
          <w:sz w:val="20"/>
          <w:szCs w:val="20"/>
        </w:rPr>
      </w:pPr>
    </w:p>
    <w:p>
      <w:pPr>
        <w:pStyle w:val="Heading1"/>
        <w:spacing w:line="240" w:lineRule="auto"/>
        <w:ind w:left="2598" w:right="0"/>
        <w:jc w:val="left"/>
        <w:rPr>
          <w:b w:val="0"/>
          <w:bCs w:val="0"/>
        </w:rPr>
      </w:pPr>
      <w:bookmarkStart w:name="_bookmark1" w:id="2"/>
      <w:bookmarkEnd w:id="2"/>
      <w:r>
        <w:rPr>
          <w:b w:val="0"/>
          <w:bCs w:val="0"/>
        </w:rPr>
      </w:r>
      <w:r>
        <w:rPr/>
        <w:t>第二节</w:t>
      </w:r>
      <w:r>
        <w:rPr>
          <w:spacing w:val="132"/>
        </w:rPr>
        <w:t> </w:t>
      </w:r>
      <w:r>
        <w:rPr>
          <w:rFonts w:ascii="宋体" w:hAnsi="宋体" w:cs="宋体" w:eastAsia="宋体" w:hint="default"/>
          <w:spacing w:val="132"/>
        </w:rPr>
      </w:r>
      <w:r>
        <w:rPr/>
        <w:t>公司简介和主要财务指标</w:t>
      </w:r>
      <w:r>
        <w:rPr>
          <w:b w:val="0"/>
          <w:bCs w:val="0"/>
        </w:rPr>
      </w:r>
    </w:p>
    <w:p>
      <w:pPr>
        <w:spacing w:line="240" w:lineRule="auto" w:before="11"/>
        <w:rPr>
          <w:rFonts w:ascii="黑体" w:hAnsi="黑体" w:cs="黑体" w:eastAsia="黑体" w:hint="default"/>
          <w:b/>
          <w:bCs/>
          <w:sz w:val="16"/>
          <w:szCs w:val="16"/>
        </w:rPr>
      </w:pPr>
    </w:p>
    <w:p>
      <w:pPr>
        <w:pStyle w:val="Heading2"/>
        <w:spacing w:line="240" w:lineRule="auto" w:before="26"/>
        <w:ind w:right="0"/>
        <w:jc w:val="left"/>
        <w:rPr>
          <w:b w:val="0"/>
          <w:bCs w:val="0"/>
        </w:rPr>
      </w:pPr>
      <w:r>
        <w:rPr/>
        <w:t>一、</w:t>
      </w:r>
      <w:r>
        <w:rPr>
          <w:spacing w:val="-37"/>
        </w:rPr>
        <w:t> </w:t>
      </w:r>
      <w:r>
        <w:rPr>
          <w:rFonts w:ascii="宋体" w:hAnsi="宋体" w:cs="宋体" w:eastAsia="宋体" w:hint="default"/>
          <w:spacing w:val="-37"/>
        </w:rPr>
      </w:r>
      <w:r>
        <w:rPr/>
        <w:t>公司信息</w:t>
      </w:r>
      <w:r>
        <w:rPr>
          <w:b w:val="0"/>
          <w:bCs w:val="0"/>
        </w:rPr>
      </w:r>
    </w:p>
    <w:p>
      <w:pPr>
        <w:spacing w:line="240" w:lineRule="auto" w:before="7"/>
        <w:rPr>
          <w:rFonts w:ascii="宋体" w:hAnsi="宋体" w:cs="宋体" w:eastAsia="宋体" w:hint="default"/>
          <w:b/>
          <w:bCs/>
          <w:sz w:val="7"/>
          <w:szCs w:val="7"/>
        </w:rPr>
      </w:pPr>
    </w:p>
    <w:tbl>
      <w:tblPr>
        <w:tblW w:w="0" w:type="auto"/>
        <w:jc w:val="left"/>
        <w:tblInd w:w="180" w:type="dxa"/>
        <w:tblLayout w:type="fixed"/>
        <w:tblCellMar>
          <w:top w:w="0" w:type="dxa"/>
          <w:left w:w="0" w:type="dxa"/>
          <w:bottom w:w="0" w:type="dxa"/>
          <w:right w:w="0" w:type="dxa"/>
        </w:tblCellMar>
        <w:tblLook w:val="01E0"/>
      </w:tblPr>
      <w:tblGrid>
        <w:gridCol w:w="3860"/>
        <w:gridCol w:w="5036"/>
      </w:tblGrid>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公司的中文名称</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用友网络科技股份有限公司</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公司的中文简称</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用友网络</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公司的外文名称</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YONYOU NETWORK TECHNOLOGY CO.,LTD.</w:t>
            </w:r>
            <w:r>
              <w:rPr>
                <w:rFonts w:ascii="宋体"/>
                <w:spacing w:val="1"/>
                <w:sz w:val="24"/>
              </w:rPr>
              <w:t> </w:t>
            </w:r>
            <w:r>
              <w:rPr>
                <w:rFonts w:ascii="宋体"/>
                <w:sz w:val="24"/>
              </w:rPr>
              <w:t> </w:t>
            </w:r>
          </w:p>
        </w:tc>
      </w:tr>
      <w:tr>
        <w:trPr>
          <w:trHeight w:val="319"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公司的外文名称缩写</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yonyou </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公司的法定代表人</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hAnsi="宋体" w:cs="宋体" w:eastAsia="宋体" w:hint="default"/>
                <w:sz w:val="24"/>
                <w:szCs w:val="24"/>
              </w:rPr>
              <w:t>王文京</w:t>
            </w:r>
          </w:p>
        </w:tc>
      </w:tr>
    </w:tbl>
    <w:p>
      <w:pPr>
        <w:spacing w:line="240" w:lineRule="auto" w:before="8"/>
        <w:rPr>
          <w:rFonts w:ascii="宋体" w:hAnsi="宋体" w:cs="宋体" w:eastAsia="宋体" w:hint="default"/>
          <w:b/>
          <w:bCs/>
          <w:sz w:val="20"/>
          <w:szCs w:val="20"/>
        </w:rPr>
      </w:pPr>
    </w:p>
    <w:p>
      <w:pPr>
        <w:pStyle w:val="Heading2"/>
        <w:spacing w:line="240" w:lineRule="auto" w:before="26"/>
        <w:ind w:right="0"/>
        <w:jc w:val="left"/>
        <w:rPr>
          <w:b w:val="0"/>
          <w:bCs w:val="0"/>
        </w:rPr>
      </w:pPr>
      <w:r>
        <w:rPr/>
        <w:t>二、</w:t>
      </w:r>
      <w:r>
        <w:rPr>
          <w:spacing w:val="-39"/>
        </w:rPr>
        <w:t> </w:t>
      </w:r>
      <w:r>
        <w:rPr>
          <w:rFonts w:ascii="宋体" w:hAnsi="宋体" w:cs="宋体" w:eastAsia="宋体" w:hint="default"/>
          <w:spacing w:val="-39"/>
        </w:rPr>
      </w:r>
      <w:r>
        <w:rPr/>
        <w:t>联系人和联系方式</w:t>
      </w:r>
      <w:r>
        <w:rPr>
          <w:b w:val="0"/>
          <w:bCs w:val="0"/>
        </w:rPr>
      </w:r>
    </w:p>
    <w:p>
      <w:pPr>
        <w:spacing w:line="240" w:lineRule="auto" w:before="7"/>
        <w:rPr>
          <w:rFonts w:ascii="宋体" w:hAnsi="宋体" w:cs="宋体" w:eastAsia="宋体" w:hint="default"/>
          <w:b/>
          <w:bCs/>
          <w:sz w:val="7"/>
          <w:szCs w:val="7"/>
        </w:rPr>
      </w:pPr>
    </w:p>
    <w:tbl>
      <w:tblPr>
        <w:tblW w:w="0" w:type="auto"/>
        <w:jc w:val="left"/>
        <w:tblInd w:w="180" w:type="dxa"/>
        <w:tblLayout w:type="fixed"/>
        <w:tblCellMar>
          <w:top w:w="0" w:type="dxa"/>
          <w:left w:w="0" w:type="dxa"/>
          <w:bottom w:w="0" w:type="dxa"/>
          <w:right w:w="0" w:type="dxa"/>
        </w:tblCellMar>
        <w:tblLook w:val="01E0"/>
      </w:tblPr>
      <w:tblGrid>
        <w:gridCol w:w="2427"/>
        <w:gridCol w:w="3505"/>
        <w:gridCol w:w="2965"/>
      </w:tblGrid>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
        </w:tc>
        <w:tc>
          <w:tcPr>
            <w:tcW w:w="35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45" w:right="0"/>
              <w:jc w:val="left"/>
              <w:rPr>
                <w:rFonts w:ascii="宋体" w:hAnsi="宋体" w:cs="宋体" w:eastAsia="宋体" w:hint="default"/>
                <w:sz w:val="24"/>
                <w:szCs w:val="24"/>
              </w:rPr>
            </w:pPr>
            <w:r>
              <w:rPr>
                <w:rFonts w:ascii="宋体" w:hAnsi="宋体" w:cs="宋体" w:eastAsia="宋体" w:hint="default"/>
                <w:sz w:val="24"/>
                <w:szCs w:val="24"/>
              </w:rPr>
              <w:t>董事会秘书</w:t>
            </w:r>
            <w:r>
              <w:rPr>
                <w:rFonts w:ascii="宋体" w:hAnsi="宋体" w:cs="宋体" w:eastAsia="宋体" w:hint="default"/>
                <w:color w:val="008000"/>
                <w:sz w:val="24"/>
                <w:szCs w:val="24"/>
              </w:rPr>
              <w:t> </w:t>
            </w:r>
            <w:r>
              <w:rPr>
                <w:rFonts w:ascii="宋体" w:hAnsi="宋体" w:cs="宋体" w:eastAsia="宋体" w:hint="default"/>
                <w:sz w:val="24"/>
                <w:szCs w:val="24"/>
              </w:rPr>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55" w:right="0"/>
              <w:jc w:val="left"/>
              <w:rPr>
                <w:rFonts w:ascii="宋体" w:hAnsi="宋体" w:cs="宋体" w:eastAsia="宋体" w:hint="default"/>
                <w:sz w:val="24"/>
                <w:szCs w:val="24"/>
              </w:rPr>
            </w:pPr>
            <w:r>
              <w:rPr>
                <w:rFonts w:ascii="宋体" w:hAnsi="宋体" w:cs="宋体" w:eastAsia="宋体" w:hint="default"/>
                <w:sz w:val="24"/>
                <w:szCs w:val="24"/>
              </w:rPr>
              <w:t>证券事务代表</w:t>
            </w:r>
            <w:r>
              <w:rPr>
                <w:rFonts w:ascii="宋体" w:hAnsi="宋体" w:cs="宋体" w:eastAsia="宋体" w:hint="default"/>
                <w:sz w:val="24"/>
                <w:szCs w:val="24"/>
              </w:rPr>
              <w:t> </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35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3"/>
                <w:szCs w:val="23"/>
              </w:rPr>
            </w:pPr>
            <w:r>
              <w:rPr>
                <w:rFonts w:ascii="宋体" w:hAnsi="宋体" w:cs="宋体" w:eastAsia="宋体" w:hint="default"/>
                <w:sz w:val="24"/>
                <w:szCs w:val="24"/>
              </w:rPr>
              <w:t>欧阳青</w:t>
            </w:r>
            <w:r>
              <w:rPr>
                <w:rFonts w:ascii="宋体" w:hAnsi="宋体" w:cs="宋体" w:eastAsia="宋体" w:hint="default"/>
                <w:w w:val="100"/>
                <w:sz w:val="23"/>
                <w:szCs w:val="23"/>
              </w:rPr>
              <w:t> </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王臆凯</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联系地址</w:t>
            </w:r>
          </w:p>
        </w:tc>
        <w:tc>
          <w:tcPr>
            <w:tcW w:w="350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宋体" w:hAnsi="宋体" w:cs="宋体" w:eastAsia="宋体" w:hint="default"/>
                <w:sz w:val="24"/>
                <w:szCs w:val="24"/>
              </w:rPr>
              <w:t>北京市海淀区北清路</w:t>
            </w:r>
            <w:r>
              <w:rPr>
                <w:rFonts w:ascii="Times New Roman" w:hAnsi="Times New Roman" w:cs="Times New Roman" w:eastAsia="Times New Roman" w:hint="default"/>
                <w:sz w:val="24"/>
                <w:szCs w:val="24"/>
              </w:rPr>
              <w:t>68</w:t>
            </w:r>
            <w:r>
              <w:rPr>
                <w:rFonts w:ascii="宋体" w:hAnsi="宋体" w:cs="宋体" w:eastAsia="宋体" w:hint="default"/>
                <w:sz w:val="24"/>
                <w:szCs w:val="24"/>
              </w:rPr>
              <w:t>号</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宋体" w:hAnsi="宋体" w:cs="宋体" w:eastAsia="宋体" w:hint="default"/>
                <w:sz w:val="24"/>
                <w:szCs w:val="24"/>
              </w:rPr>
              <w:t>北京市海淀区北清路</w:t>
            </w:r>
            <w:r>
              <w:rPr>
                <w:rFonts w:ascii="Times New Roman" w:hAnsi="Times New Roman" w:cs="Times New Roman" w:eastAsia="Times New Roman" w:hint="default"/>
                <w:sz w:val="24"/>
                <w:szCs w:val="24"/>
              </w:rPr>
              <w:t>68</w:t>
            </w:r>
            <w:r>
              <w:rPr>
                <w:rFonts w:ascii="宋体" w:hAnsi="宋体" w:cs="宋体" w:eastAsia="宋体" w:hint="default"/>
                <w:sz w:val="24"/>
                <w:szCs w:val="24"/>
              </w:rPr>
              <w:t>号</w:t>
            </w:r>
          </w:p>
        </w:tc>
      </w:tr>
      <w:tr>
        <w:trPr>
          <w:trHeight w:val="320"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电话</w:t>
            </w:r>
          </w:p>
        </w:tc>
        <w:tc>
          <w:tcPr>
            <w:tcW w:w="35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010-62436838 </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010-62436838 </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传真</w:t>
            </w:r>
          </w:p>
        </w:tc>
        <w:tc>
          <w:tcPr>
            <w:tcW w:w="350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010-62436639 </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sz w:val="24"/>
              </w:rPr>
              <w:t>010-62436639 </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电子信箱</w:t>
            </w:r>
          </w:p>
        </w:tc>
        <w:tc>
          <w:tcPr>
            <w:tcW w:w="350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hyperlink r:id="rId9">
              <w:r>
                <w:rPr>
                  <w:rFonts w:ascii="宋体"/>
                  <w:sz w:val="24"/>
                </w:rPr>
                <w:t>ir@yonyou.com</w:t>
              </w:r>
            </w:hyperlink>
            <w:r>
              <w:rPr>
                <w:rFonts w:ascii="宋体"/>
                <w:sz w:val="24"/>
              </w:rPr>
              <w:t> </w:t>
            </w:r>
          </w:p>
        </w:tc>
        <w:tc>
          <w:tcPr>
            <w:tcW w:w="296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hyperlink r:id="rId9">
              <w:r>
                <w:rPr>
                  <w:rFonts w:ascii="宋体"/>
                  <w:sz w:val="24"/>
                </w:rPr>
                <w:t>ir@yonyou.com</w:t>
              </w:r>
            </w:hyperlink>
            <w:r>
              <w:rPr>
                <w:rFonts w:ascii="宋体"/>
                <w:sz w:val="24"/>
              </w:rPr>
              <w:t> </w:t>
            </w:r>
          </w:p>
        </w:tc>
      </w:tr>
    </w:tbl>
    <w:p>
      <w:pPr>
        <w:spacing w:line="240" w:lineRule="auto" w:before="8"/>
        <w:rPr>
          <w:rFonts w:ascii="宋体" w:hAnsi="宋体" w:cs="宋体" w:eastAsia="宋体" w:hint="default"/>
          <w:b/>
          <w:bCs/>
          <w:sz w:val="20"/>
          <w:szCs w:val="20"/>
        </w:rPr>
      </w:pPr>
    </w:p>
    <w:p>
      <w:pPr>
        <w:pStyle w:val="Heading2"/>
        <w:spacing w:line="240" w:lineRule="auto" w:before="26"/>
        <w:ind w:right="0"/>
        <w:jc w:val="left"/>
        <w:rPr>
          <w:b w:val="0"/>
          <w:bCs w:val="0"/>
        </w:rPr>
      </w:pPr>
      <w:r>
        <w:rPr/>
        <w:t>三、</w:t>
      </w:r>
      <w:r>
        <w:rPr>
          <w:spacing w:val="-39"/>
        </w:rPr>
        <w:t> </w:t>
      </w:r>
      <w:r>
        <w:rPr>
          <w:rFonts w:ascii="宋体" w:hAnsi="宋体" w:cs="宋体" w:eastAsia="宋体" w:hint="default"/>
          <w:spacing w:val="-39"/>
        </w:rPr>
      </w:r>
      <w:r>
        <w:rPr/>
        <w:t>基本情况简介</w:t>
      </w:r>
      <w:r>
        <w:rPr>
          <w:b w:val="0"/>
          <w:bCs w:val="0"/>
        </w:rPr>
      </w:r>
    </w:p>
    <w:p>
      <w:pPr>
        <w:spacing w:line="240" w:lineRule="auto" w:before="7"/>
        <w:rPr>
          <w:rFonts w:ascii="宋体" w:hAnsi="宋体" w:cs="宋体" w:eastAsia="宋体" w:hint="default"/>
          <w:b/>
          <w:bCs/>
          <w:sz w:val="7"/>
          <w:szCs w:val="7"/>
        </w:rPr>
      </w:pPr>
    </w:p>
    <w:tbl>
      <w:tblPr>
        <w:tblW w:w="0" w:type="auto"/>
        <w:jc w:val="left"/>
        <w:tblInd w:w="180" w:type="dxa"/>
        <w:tblLayout w:type="fixed"/>
        <w:tblCellMar>
          <w:top w:w="0" w:type="dxa"/>
          <w:left w:w="0" w:type="dxa"/>
          <w:bottom w:w="0" w:type="dxa"/>
          <w:right w:w="0" w:type="dxa"/>
        </w:tblCellMar>
        <w:tblLook w:val="01E0"/>
      </w:tblPr>
      <w:tblGrid>
        <w:gridCol w:w="3860"/>
        <w:gridCol w:w="5036"/>
      </w:tblGrid>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公司注册地址</w:t>
            </w:r>
            <w:r>
              <w:rPr>
                <w:rFonts w:ascii="宋体" w:hAnsi="宋体" w:cs="宋体" w:eastAsia="宋体" w:hint="default"/>
                <w:sz w:val="24"/>
                <w:szCs w:val="24"/>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北京市海淀区北清路</w:t>
            </w:r>
            <w:r>
              <w:rPr>
                <w:rFonts w:ascii="宋体" w:hAnsi="宋体" w:cs="宋体" w:eastAsia="宋体" w:hint="default"/>
                <w:sz w:val="24"/>
                <w:szCs w:val="24"/>
              </w:rPr>
              <w:t>68</w:t>
            </w:r>
            <w:r>
              <w:rPr>
                <w:rFonts w:ascii="宋体" w:hAnsi="宋体" w:cs="宋体" w:eastAsia="宋体" w:hint="default"/>
                <w:sz w:val="24"/>
                <w:szCs w:val="24"/>
              </w:rPr>
              <w:t>号</w:t>
            </w:r>
            <w:r>
              <w:rPr>
                <w:rFonts w:ascii="宋体" w:hAnsi="宋体" w:cs="宋体" w:eastAsia="宋体" w:hint="default"/>
                <w:sz w:val="24"/>
                <w:szCs w:val="24"/>
              </w:rPr>
              <w:t> </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公司注册地址的邮政编码</w:t>
            </w:r>
            <w:r>
              <w:rPr>
                <w:rFonts w:ascii="宋体" w:hAnsi="宋体" w:cs="宋体" w:eastAsia="宋体" w:hint="default"/>
                <w:sz w:val="24"/>
                <w:szCs w:val="24"/>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100094 </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公司办公地址</w:t>
            </w:r>
            <w:r>
              <w:rPr>
                <w:rFonts w:ascii="宋体" w:hAnsi="宋体" w:cs="宋体" w:eastAsia="宋体" w:hint="default"/>
                <w:sz w:val="24"/>
                <w:szCs w:val="24"/>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北京市海淀区北清路</w:t>
            </w:r>
            <w:r>
              <w:rPr>
                <w:rFonts w:ascii="宋体" w:hAnsi="宋体" w:cs="宋体" w:eastAsia="宋体" w:hint="default"/>
                <w:sz w:val="24"/>
                <w:szCs w:val="24"/>
              </w:rPr>
              <w:t>68</w:t>
            </w:r>
            <w:r>
              <w:rPr>
                <w:rFonts w:ascii="宋体" w:hAnsi="宋体" w:cs="宋体" w:eastAsia="宋体" w:hint="default"/>
                <w:sz w:val="24"/>
                <w:szCs w:val="24"/>
              </w:rPr>
              <w:t>号</w:t>
            </w:r>
            <w:r>
              <w:rPr>
                <w:rFonts w:ascii="宋体" w:hAnsi="宋体" w:cs="宋体" w:eastAsia="宋体" w:hint="default"/>
                <w:sz w:val="24"/>
                <w:szCs w:val="24"/>
              </w:rPr>
              <w:t> </w:t>
            </w:r>
          </w:p>
        </w:tc>
      </w:tr>
      <w:tr>
        <w:trPr>
          <w:trHeight w:val="319"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公司办公地址的邮政编码</w:t>
            </w:r>
            <w:r>
              <w:rPr>
                <w:rFonts w:ascii="宋体" w:hAnsi="宋体" w:cs="宋体" w:eastAsia="宋体" w:hint="default"/>
                <w:sz w:val="24"/>
                <w:szCs w:val="24"/>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sz w:val="24"/>
              </w:rPr>
              <w:t>100094 </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公司网址</w:t>
            </w:r>
            <w:r>
              <w:rPr>
                <w:rFonts w:ascii="宋体" w:hAnsi="宋体" w:cs="宋体" w:eastAsia="宋体" w:hint="default"/>
                <w:sz w:val="24"/>
                <w:szCs w:val="24"/>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hyperlink r:id="rId10">
              <w:r>
                <w:rPr>
                  <w:rFonts w:ascii="宋体"/>
                  <w:sz w:val="24"/>
                </w:rPr>
                <w:t>http://www.yonyou.com</w:t>
              </w:r>
            </w:hyperlink>
            <w:r>
              <w:rPr>
                <w:rFonts w:ascii="宋体"/>
                <w:sz w:val="24"/>
              </w:rPr>
              <w:t> </w:t>
            </w:r>
          </w:p>
        </w:tc>
      </w:tr>
      <w:tr>
        <w:trPr>
          <w:trHeight w:val="32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电子信箱</w:t>
            </w:r>
            <w:r>
              <w:rPr>
                <w:rFonts w:ascii="宋体" w:hAnsi="宋体" w:cs="宋体" w:eastAsia="宋体" w:hint="default"/>
                <w:sz w:val="24"/>
                <w:szCs w:val="24"/>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hyperlink r:id="rId9">
              <w:r>
                <w:rPr>
                  <w:rFonts w:ascii="宋体"/>
                  <w:sz w:val="24"/>
                </w:rPr>
                <w:t>ir@yonyou.com</w:t>
              </w:r>
            </w:hyperlink>
            <w:r>
              <w:rPr>
                <w:rFonts w:ascii="宋体"/>
                <w:sz w:val="24"/>
              </w:rPr>
              <w:t> </w:t>
            </w:r>
          </w:p>
        </w:tc>
      </w:tr>
    </w:tbl>
    <w:p>
      <w:pPr>
        <w:spacing w:line="240" w:lineRule="auto" w:before="9"/>
        <w:rPr>
          <w:rFonts w:ascii="宋体" w:hAnsi="宋体" w:cs="宋体" w:eastAsia="宋体" w:hint="default"/>
          <w:b/>
          <w:bCs/>
          <w:sz w:val="20"/>
          <w:szCs w:val="20"/>
        </w:rPr>
      </w:pPr>
    </w:p>
    <w:p>
      <w:pPr>
        <w:pStyle w:val="Heading2"/>
        <w:spacing w:line="240" w:lineRule="auto" w:before="26"/>
        <w:ind w:right="0"/>
        <w:jc w:val="left"/>
        <w:rPr>
          <w:b w:val="0"/>
          <w:bCs w:val="0"/>
        </w:rPr>
      </w:pPr>
      <w:r>
        <w:rPr/>
        <w:t>四、</w:t>
      </w:r>
      <w:r>
        <w:rPr>
          <w:spacing w:val="-38"/>
        </w:rPr>
        <w:t> </w:t>
      </w:r>
      <w:r>
        <w:rPr>
          <w:rFonts w:ascii="宋体" w:hAnsi="宋体" w:cs="宋体" w:eastAsia="宋体" w:hint="default"/>
          <w:spacing w:val="-38"/>
        </w:rPr>
      </w:r>
      <w:r>
        <w:rPr/>
        <w:t>信息披露及备置地点</w:t>
      </w:r>
      <w:r>
        <w:rPr>
          <w:b w:val="0"/>
          <w:bCs w:val="0"/>
        </w:rPr>
      </w:r>
    </w:p>
    <w:p>
      <w:pPr>
        <w:spacing w:line="240" w:lineRule="auto" w:before="7"/>
        <w:rPr>
          <w:rFonts w:ascii="宋体" w:hAnsi="宋体" w:cs="宋体" w:eastAsia="宋体" w:hint="default"/>
          <w:b/>
          <w:bCs/>
          <w:sz w:val="7"/>
          <w:szCs w:val="7"/>
        </w:rPr>
      </w:pPr>
    </w:p>
    <w:tbl>
      <w:tblPr>
        <w:tblW w:w="0" w:type="auto"/>
        <w:jc w:val="left"/>
        <w:tblInd w:w="180" w:type="dxa"/>
        <w:tblLayout w:type="fixed"/>
        <w:tblCellMar>
          <w:top w:w="0" w:type="dxa"/>
          <w:left w:w="0" w:type="dxa"/>
          <w:bottom w:w="0" w:type="dxa"/>
          <w:right w:w="0" w:type="dxa"/>
        </w:tblCellMar>
        <w:tblLook w:val="01E0"/>
      </w:tblPr>
      <w:tblGrid>
        <w:gridCol w:w="4143"/>
        <w:gridCol w:w="4753"/>
      </w:tblGrid>
      <w:tr>
        <w:trPr>
          <w:trHeight w:val="634" w:hRule="exact"/>
        </w:trPr>
        <w:tc>
          <w:tcPr>
            <w:tcW w:w="41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公司选定的信息披露媒体名称</w:t>
            </w:r>
            <w:r>
              <w:rPr>
                <w:rFonts w:ascii="宋体" w:hAnsi="宋体" w:cs="宋体" w:eastAsia="宋体" w:hint="default"/>
                <w:sz w:val="24"/>
                <w:szCs w:val="24"/>
              </w:rPr>
              <w:t> </w:t>
            </w:r>
          </w:p>
        </w:tc>
        <w:tc>
          <w:tcPr>
            <w:tcW w:w="47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4" w:right="0"/>
              <w:jc w:val="left"/>
              <w:rPr>
                <w:rFonts w:ascii="宋体" w:hAnsi="宋体" w:cs="宋体" w:eastAsia="宋体" w:hint="default"/>
                <w:sz w:val="24"/>
                <w:szCs w:val="24"/>
              </w:rPr>
            </w:pPr>
            <w:r>
              <w:rPr>
                <w:rFonts w:ascii="宋体" w:hAnsi="宋体" w:cs="宋体" w:eastAsia="宋体" w:hint="default"/>
                <w:spacing w:val="-6"/>
                <w:sz w:val="24"/>
                <w:szCs w:val="24"/>
              </w:rPr>
              <w:t>《上海证券报》、《中国证券报》、《证券时</w:t>
            </w:r>
          </w:p>
          <w:p>
            <w:pPr>
              <w:pStyle w:val="TableParagraph"/>
              <w:spacing w:line="313" w:lineRule="exact"/>
              <w:ind w:left="24" w:right="0"/>
              <w:jc w:val="left"/>
              <w:rPr>
                <w:rFonts w:ascii="宋体" w:hAnsi="宋体" w:cs="宋体" w:eastAsia="宋体" w:hint="default"/>
                <w:sz w:val="24"/>
                <w:szCs w:val="24"/>
              </w:rPr>
            </w:pPr>
            <w:r>
              <w:rPr>
                <w:rFonts w:ascii="宋体" w:hAnsi="宋体" w:cs="宋体" w:eastAsia="宋体" w:hint="default"/>
                <w:sz w:val="24"/>
                <w:szCs w:val="24"/>
              </w:rPr>
              <w:t>报》、《证券日报》</w:t>
            </w:r>
            <w:r>
              <w:rPr>
                <w:rFonts w:ascii="宋体" w:hAnsi="宋体" w:cs="宋体" w:eastAsia="宋体" w:hint="default"/>
                <w:sz w:val="24"/>
                <w:szCs w:val="24"/>
              </w:rPr>
              <w:t> </w:t>
            </w:r>
          </w:p>
        </w:tc>
      </w:tr>
      <w:tr>
        <w:trPr>
          <w:trHeight w:val="631" w:hRule="exact"/>
        </w:trPr>
        <w:tc>
          <w:tcPr>
            <w:tcW w:w="414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6" w:right="0"/>
              <w:jc w:val="left"/>
              <w:rPr>
                <w:rFonts w:ascii="宋体" w:hAnsi="宋体" w:cs="宋体" w:eastAsia="宋体" w:hint="default"/>
                <w:sz w:val="24"/>
                <w:szCs w:val="24"/>
              </w:rPr>
            </w:pPr>
            <w:r>
              <w:rPr>
                <w:rFonts w:ascii="宋体" w:hAnsi="宋体" w:cs="宋体" w:eastAsia="宋体" w:hint="default"/>
                <w:sz w:val="24"/>
                <w:szCs w:val="24"/>
              </w:rPr>
              <w:t>登载年度报告的中国证监会指定网站的</w:t>
            </w:r>
          </w:p>
          <w:p>
            <w:pPr>
              <w:pStyle w:val="TableParagraph"/>
              <w:spacing w:line="312" w:lineRule="exact"/>
              <w:ind w:left="26" w:right="0"/>
              <w:jc w:val="left"/>
              <w:rPr>
                <w:rFonts w:ascii="宋体" w:hAnsi="宋体" w:cs="宋体" w:eastAsia="宋体" w:hint="default"/>
                <w:sz w:val="24"/>
                <w:szCs w:val="24"/>
              </w:rPr>
            </w:pPr>
            <w:r>
              <w:rPr>
                <w:rFonts w:ascii="宋体" w:hAnsi="宋体" w:cs="宋体" w:eastAsia="宋体" w:hint="default"/>
                <w:sz w:val="24"/>
                <w:szCs w:val="24"/>
              </w:rPr>
              <w:t>网址</w:t>
            </w:r>
            <w:r>
              <w:rPr>
                <w:rFonts w:ascii="宋体" w:hAnsi="宋体" w:cs="宋体" w:eastAsia="宋体" w:hint="default"/>
                <w:sz w:val="24"/>
                <w:szCs w:val="24"/>
              </w:rPr>
              <w:t> </w:t>
            </w:r>
          </w:p>
        </w:tc>
        <w:tc>
          <w:tcPr>
            <w:tcW w:w="47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 w:right="0"/>
              <w:jc w:val="left"/>
              <w:rPr>
                <w:rFonts w:ascii="宋体" w:hAnsi="宋体" w:cs="宋体" w:eastAsia="宋体" w:hint="default"/>
                <w:sz w:val="24"/>
                <w:szCs w:val="24"/>
              </w:rPr>
            </w:pPr>
            <w:hyperlink r:id="rId11">
              <w:r>
                <w:rPr>
                  <w:rFonts w:ascii="宋体"/>
                  <w:sz w:val="24"/>
                </w:rPr>
                <w:t>http://www.sse.com.cn</w:t>
              </w:r>
            </w:hyperlink>
            <w:r>
              <w:rPr>
                <w:rFonts w:ascii="宋体"/>
                <w:sz w:val="24"/>
              </w:rPr>
              <w:t> </w:t>
            </w:r>
          </w:p>
        </w:tc>
      </w:tr>
      <w:tr>
        <w:trPr>
          <w:trHeight w:val="322" w:hRule="exact"/>
        </w:trPr>
        <w:tc>
          <w:tcPr>
            <w:tcW w:w="41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公司年度报告备置地点</w:t>
            </w:r>
          </w:p>
        </w:tc>
        <w:tc>
          <w:tcPr>
            <w:tcW w:w="47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公司证券与投资者关系部</w:t>
            </w:r>
          </w:p>
        </w:tc>
      </w:tr>
    </w:tbl>
    <w:p>
      <w:pPr>
        <w:spacing w:after="0" w:line="274" w:lineRule="exact"/>
        <w:jc w:val="left"/>
        <w:rPr>
          <w:rFonts w:ascii="宋体" w:hAnsi="宋体" w:cs="宋体" w:eastAsia="宋体" w:hint="default"/>
          <w:sz w:val="24"/>
          <w:szCs w:val="24"/>
        </w:rPr>
        <w:sectPr>
          <w:pgSz w:w="11910" w:h="16840"/>
          <w:pgMar w:header="880" w:footer="1195" w:top="1120" w:bottom="1380" w:left="1060" w:right="1640"/>
        </w:sectPr>
      </w:pPr>
    </w:p>
    <w:p>
      <w:pPr>
        <w:spacing w:line="240" w:lineRule="auto" w:before="2"/>
        <w:rPr>
          <w:rFonts w:ascii="宋体" w:hAnsi="宋体" w:cs="宋体" w:eastAsia="宋体" w:hint="default"/>
          <w:b/>
          <w:bCs/>
          <w:sz w:val="19"/>
          <w:szCs w:val="19"/>
        </w:rPr>
      </w:pPr>
    </w:p>
    <w:p>
      <w:pPr>
        <w:pStyle w:val="Heading2"/>
        <w:spacing w:line="240" w:lineRule="auto" w:before="26"/>
        <w:ind w:right="0"/>
        <w:jc w:val="left"/>
        <w:rPr>
          <w:b w:val="0"/>
          <w:bCs w:val="0"/>
        </w:rPr>
      </w:pPr>
      <w:r>
        <w:rPr/>
        <w:t>五、</w:t>
      </w:r>
      <w:r>
        <w:rPr>
          <w:spacing w:val="-39"/>
        </w:rPr>
        <w:t> </w:t>
      </w:r>
      <w:r>
        <w:rPr>
          <w:rFonts w:ascii="宋体" w:hAnsi="宋体" w:cs="宋体" w:eastAsia="宋体" w:hint="default"/>
          <w:spacing w:val="-39"/>
        </w:rPr>
      </w:r>
      <w:r>
        <w:rPr/>
        <w:t>公司股票简况</w:t>
      </w:r>
      <w:r>
        <w:rPr>
          <w:b w:val="0"/>
          <w:bCs w:val="0"/>
        </w:rPr>
      </w:r>
    </w:p>
    <w:p>
      <w:pPr>
        <w:spacing w:line="240" w:lineRule="auto" w:before="7"/>
        <w:rPr>
          <w:rFonts w:ascii="宋体" w:hAnsi="宋体" w:cs="宋体" w:eastAsia="宋体" w:hint="default"/>
          <w:b/>
          <w:bCs/>
          <w:sz w:val="7"/>
          <w:szCs w:val="7"/>
        </w:rPr>
      </w:pPr>
    </w:p>
    <w:tbl>
      <w:tblPr>
        <w:tblW w:w="0" w:type="auto"/>
        <w:jc w:val="left"/>
        <w:tblInd w:w="180" w:type="dxa"/>
        <w:tblLayout w:type="fixed"/>
        <w:tblCellMar>
          <w:top w:w="0" w:type="dxa"/>
          <w:left w:w="0" w:type="dxa"/>
          <w:bottom w:w="0" w:type="dxa"/>
          <w:right w:w="0" w:type="dxa"/>
        </w:tblCellMar>
        <w:tblLook w:val="01E0"/>
      </w:tblPr>
      <w:tblGrid>
        <w:gridCol w:w="1779"/>
        <w:gridCol w:w="1779"/>
        <w:gridCol w:w="1779"/>
        <w:gridCol w:w="1781"/>
        <w:gridCol w:w="1779"/>
      </w:tblGrid>
      <w:tr>
        <w:trPr>
          <w:trHeight w:val="322" w:hRule="exact"/>
        </w:trPr>
        <w:tc>
          <w:tcPr>
            <w:tcW w:w="8896" w:type="dxa"/>
            <w:gridSpan w:val="5"/>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公司股票简况</w:t>
            </w:r>
          </w:p>
        </w:tc>
      </w:tr>
      <w:tr>
        <w:trPr>
          <w:trHeight w:val="319"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 w:right="0"/>
              <w:jc w:val="center"/>
              <w:rPr>
                <w:rFonts w:ascii="宋体" w:hAnsi="宋体" w:cs="宋体" w:eastAsia="宋体" w:hint="default"/>
                <w:sz w:val="24"/>
                <w:szCs w:val="24"/>
              </w:rPr>
            </w:pPr>
            <w:r>
              <w:rPr>
                <w:rFonts w:ascii="宋体" w:hAnsi="宋体" w:cs="宋体" w:eastAsia="宋体" w:hint="default"/>
                <w:sz w:val="24"/>
                <w:szCs w:val="24"/>
              </w:rPr>
              <w:t>股票种类</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3" w:right="0"/>
              <w:jc w:val="left"/>
              <w:rPr>
                <w:rFonts w:ascii="宋体" w:hAnsi="宋体" w:cs="宋体" w:eastAsia="宋体" w:hint="default"/>
                <w:sz w:val="24"/>
                <w:szCs w:val="24"/>
              </w:rPr>
            </w:pPr>
            <w:r>
              <w:rPr>
                <w:rFonts w:ascii="宋体" w:hAnsi="宋体" w:cs="宋体" w:eastAsia="宋体" w:hint="default"/>
                <w:sz w:val="24"/>
                <w:szCs w:val="24"/>
              </w:rPr>
              <w:t>股票上市交易所</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85"/>
              <w:jc w:val="right"/>
              <w:rPr>
                <w:rFonts w:ascii="宋体" w:hAnsi="宋体" w:cs="宋体" w:eastAsia="宋体" w:hint="default"/>
                <w:sz w:val="24"/>
                <w:szCs w:val="24"/>
              </w:rPr>
            </w:pPr>
            <w:r>
              <w:rPr>
                <w:rFonts w:ascii="宋体" w:hAnsi="宋体" w:cs="宋体" w:eastAsia="宋体" w:hint="default"/>
                <w:sz w:val="24"/>
                <w:szCs w:val="24"/>
              </w:rPr>
              <w:t>股票简称</w:t>
            </w:r>
            <w:r>
              <w:rPr>
                <w:rFonts w:ascii="宋体" w:hAnsi="宋体" w:cs="宋体" w:eastAsia="宋体" w:hint="default"/>
                <w:sz w:val="24"/>
                <w:szCs w:val="24"/>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20" w:right="0"/>
              <w:jc w:val="center"/>
              <w:rPr>
                <w:rFonts w:ascii="宋体" w:hAnsi="宋体" w:cs="宋体" w:eastAsia="宋体" w:hint="default"/>
                <w:sz w:val="24"/>
                <w:szCs w:val="24"/>
              </w:rPr>
            </w:pPr>
            <w:r>
              <w:rPr>
                <w:rFonts w:ascii="宋体" w:hAnsi="宋体" w:cs="宋体" w:eastAsia="宋体" w:hint="default"/>
                <w:sz w:val="24"/>
                <w:szCs w:val="24"/>
              </w:rPr>
              <w:t>股票代码</w:t>
            </w:r>
            <w:r>
              <w:rPr>
                <w:rFonts w:ascii="宋体" w:hAnsi="宋体" w:cs="宋体" w:eastAsia="宋体" w:hint="default"/>
                <w:sz w:val="24"/>
                <w:szCs w:val="24"/>
              </w:rPr>
              <w:t> </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变更前股票简称</w:t>
            </w: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2"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A</w:t>
            </w:r>
            <w:r>
              <w:rPr>
                <w:rFonts w:ascii="宋体" w:hAnsi="宋体" w:cs="宋体" w:eastAsia="宋体" w:hint="default"/>
                <w:sz w:val="24"/>
                <w:szCs w:val="24"/>
              </w:rPr>
              <w:t>股</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43" w:right="0"/>
              <w:jc w:val="left"/>
              <w:rPr>
                <w:rFonts w:ascii="宋体" w:hAnsi="宋体" w:cs="宋体" w:eastAsia="宋体" w:hint="default"/>
                <w:sz w:val="24"/>
                <w:szCs w:val="24"/>
              </w:rPr>
            </w:pPr>
            <w:r>
              <w:rPr>
                <w:rFonts w:ascii="宋体" w:hAnsi="宋体" w:cs="宋体" w:eastAsia="宋体" w:hint="default"/>
                <w:sz w:val="24"/>
                <w:szCs w:val="24"/>
              </w:rPr>
              <w:t>上海证券交易所</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85"/>
              <w:jc w:val="right"/>
              <w:rPr>
                <w:rFonts w:ascii="宋体" w:hAnsi="宋体" w:cs="宋体" w:eastAsia="宋体" w:hint="default"/>
                <w:sz w:val="24"/>
                <w:szCs w:val="24"/>
              </w:rPr>
            </w:pPr>
            <w:r>
              <w:rPr>
                <w:rFonts w:ascii="宋体" w:hAnsi="宋体" w:cs="宋体" w:eastAsia="宋体" w:hint="default"/>
                <w:sz w:val="24"/>
                <w:szCs w:val="24"/>
              </w:rPr>
              <w:t>用友网络</w:t>
            </w:r>
            <w:r>
              <w:rPr>
                <w:rFonts w:ascii="宋体" w:hAnsi="宋体" w:cs="宋体" w:eastAsia="宋体" w:hint="default"/>
                <w:sz w:val="24"/>
                <w:szCs w:val="24"/>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20" w:right="0"/>
              <w:jc w:val="center"/>
              <w:rPr>
                <w:rFonts w:ascii="宋体" w:hAnsi="宋体" w:cs="宋体" w:eastAsia="宋体" w:hint="default"/>
                <w:sz w:val="24"/>
                <w:szCs w:val="24"/>
              </w:rPr>
            </w:pPr>
            <w:r>
              <w:rPr>
                <w:rFonts w:ascii="宋体"/>
                <w:sz w:val="24"/>
              </w:rPr>
              <w:t>600588 </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17" w:right="0"/>
              <w:jc w:val="center"/>
              <w:rPr>
                <w:rFonts w:ascii="宋体" w:hAnsi="宋体" w:cs="宋体" w:eastAsia="宋体" w:hint="default"/>
                <w:sz w:val="24"/>
                <w:szCs w:val="24"/>
              </w:rPr>
            </w:pPr>
            <w:r>
              <w:rPr>
                <w:rFonts w:ascii="宋体" w:hAnsi="宋体" w:cs="宋体" w:eastAsia="宋体" w:hint="default"/>
                <w:sz w:val="24"/>
                <w:szCs w:val="24"/>
              </w:rPr>
              <w:t>用友软件</w:t>
            </w:r>
            <w:r>
              <w:rPr>
                <w:rFonts w:ascii="宋体" w:hAnsi="宋体" w:cs="宋体" w:eastAsia="宋体" w:hint="default"/>
                <w:sz w:val="24"/>
                <w:szCs w:val="24"/>
              </w:rPr>
              <w:t> </w:t>
            </w:r>
          </w:p>
        </w:tc>
      </w:tr>
    </w:tbl>
    <w:p>
      <w:pPr>
        <w:spacing w:line="240" w:lineRule="auto" w:before="8"/>
        <w:rPr>
          <w:rFonts w:ascii="宋体" w:hAnsi="宋体" w:cs="宋体" w:eastAsia="宋体" w:hint="default"/>
          <w:b/>
          <w:bCs/>
          <w:sz w:val="20"/>
          <w:szCs w:val="20"/>
        </w:rPr>
      </w:pPr>
    </w:p>
    <w:p>
      <w:pPr>
        <w:pStyle w:val="Heading2"/>
        <w:spacing w:line="240" w:lineRule="auto" w:before="26"/>
        <w:ind w:right="0"/>
        <w:jc w:val="left"/>
        <w:rPr>
          <w:b w:val="0"/>
          <w:bCs w:val="0"/>
        </w:rPr>
      </w:pPr>
      <w:r>
        <w:rPr/>
        <w:t>六、</w:t>
      </w:r>
      <w:r>
        <w:rPr>
          <w:spacing w:val="-40"/>
        </w:rPr>
        <w:t> </w:t>
      </w:r>
      <w:r>
        <w:rPr>
          <w:rFonts w:ascii="宋体" w:hAnsi="宋体" w:cs="宋体" w:eastAsia="宋体" w:hint="default"/>
          <w:spacing w:val="-40"/>
        </w:rPr>
      </w:r>
      <w:r>
        <w:rPr/>
        <w:t>其他相关资料</w:t>
      </w:r>
      <w:r>
        <w:rPr>
          <w:b w:val="0"/>
          <w:bCs w:val="0"/>
        </w:rPr>
      </w:r>
    </w:p>
    <w:p>
      <w:pPr>
        <w:spacing w:line="240" w:lineRule="auto" w:before="7"/>
        <w:rPr>
          <w:rFonts w:ascii="宋体" w:hAnsi="宋体" w:cs="宋体" w:eastAsia="宋体" w:hint="default"/>
          <w:b/>
          <w:bCs/>
          <w:sz w:val="7"/>
          <w:szCs w:val="7"/>
        </w:rPr>
      </w:pPr>
    </w:p>
    <w:tbl>
      <w:tblPr>
        <w:tblW w:w="0" w:type="auto"/>
        <w:jc w:val="left"/>
        <w:tblInd w:w="103" w:type="dxa"/>
        <w:tblLayout w:type="fixed"/>
        <w:tblCellMar>
          <w:top w:w="0" w:type="dxa"/>
          <w:left w:w="0" w:type="dxa"/>
          <w:bottom w:w="0" w:type="dxa"/>
          <w:right w:w="0" w:type="dxa"/>
        </w:tblCellMar>
        <w:tblLook w:val="01E0"/>
      </w:tblPr>
      <w:tblGrid>
        <w:gridCol w:w="2994"/>
        <w:gridCol w:w="1795"/>
        <w:gridCol w:w="4261"/>
      </w:tblGrid>
      <w:tr>
        <w:trPr>
          <w:trHeight w:val="634" w:hRule="exact"/>
        </w:trPr>
        <w:tc>
          <w:tcPr>
            <w:tcW w:w="2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4"/>
                <w:szCs w:val="24"/>
              </w:rPr>
            </w:pPr>
          </w:p>
          <w:p>
            <w:pPr>
              <w:pStyle w:val="TableParagraph"/>
              <w:spacing w:line="240" w:lineRule="auto" w:before="4"/>
              <w:ind w:right="0"/>
              <w:jc w:val="left"/>
              <w:rPr>
                <w:rFonts w:ascii="宋体" w:hAnsi="宋体" w:cs="宋体" w:eastAsia="宋体" w:hint="default"/>
                <w:b/>
                <w:bCs/>
                <w:sz w:val="21"/>
                <w:szCs w:val="21"/>
              </w:rPr>
            </w:pP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pacing w:val="11"/>
                <w:sz w:val="24"/>
                <w:szCs w:val="24"/>
              </w:rPr>
              <w:t>公司聘请的会计师事务所</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（境内）</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名称</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pacing w:val="12"/>
                <w:sz w:val="24"/>
                <w:szCs w:val="24"/>
              </w:rPr>
              <w:t>安永华明会计师事务所（特殊普通合</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伙）</w:t>
            </w:r>
            <w:r>
              <w:rPr>
                <w:rFonts w:ascii="宋体" w:hAnsi="宋体" w:cs="宋体" w:eastAsia="宋体" w:hint="default"/>
                <w:sz w:val="24"/>
                <w:szCs w:val="24"/>
              </w:rPr>
              <w:t> </w:t>
            </w:r>
          </w:p>
        </w:tc>
      </w:tr>
      <w:tr>
        <w:trPr>
          <w:trHeight w:val="631" w:hRule="exact"/>
        </w:trPr>
        <w:tc>
          <w:tcPr>
            <w:tcW w:w="2994" w:type="dxa"/>
            <w:vMerge/>
            <w:tcBorders>
              <w:left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办公地址</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北京市东城区东长安街</w:t>
            </w:r>
            <w:r>
              <w:rPr>
                <w:rFonts w:ascii="宋体" w:hAnsi="宋体" w:cs="宋体" w:eastAsia="宋体" w:hint="default"/>
                <w:spacing w:val="-77"/>
                <w:sz w:val="24"/>
                <w:szCs w:val="24"/>
              </w:rPr>
              <w:t> </w:t>
            </w:r>
            <w:r>
              <w:rPr>
                <w:rFonts w:ascii="宋体" w:hAnsi="宋体" w:cs="宋体" w:eastAsia="宋体" w:hint="default"/>
                <w:sz w:val="24"/>
                <w:szCs w:val="24"/>
              </w:rPr>
              <w:t>1</w:t>
            </w:r>
            <w:r>
              <w:rPr>
                <w:rFonts w:ascii="宋体" w:hAnsi="宋体" w:cs="宋体" w:eastAsia="宋体" w:hint="default"/>
                <w:spacing w:val="-77"/>
                <w:sz w:val="24"/>
                <w:szCs w:val="24"/>
              </w:rPr>
              <w:t> </w:t>
            </w:r>
            <w:r>
              <w:rPr>
                <w:rFonts w:ascii="宋体" w:hAnsi="宋体" w:cs="宋体" w:eastAsia="宋体" w:hint="default"/>
                <w:sz w:val="24"/>
                <w:szCs w:val="24"/>
              </w:rPr>
              <w:t>号东方广场安</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永大楼（东三办公楼）</w:t>
            </w:r>
            <w:r>
              <w:rPr>
                <w:rFonts w:ascii="宋体" w:hAnsi="宋体" w:cs="宋体" w:eastAsia="宋体" w:hint="default"/>
                <w:sz w:val="24"/>
                <w:szCs w:val="24"/>
              </w:rPr>
              <w:t>16</w:t>
            </w:r>
            <w:r>
              <w:rPr>
                <w:rFonts w:ascii="宋体" w:hAnsi="宋体" w:cs="宋体" w:eastAsia="宋体" w:hint="default"/>
                <w:spacing w:val="-60"/>
                <w:sz w:val="24"/>
                <w:szCs w:val="24"/>
              </w:rPr>
              <w:t> </w:t>
            </w:r>
            <w:r>
              <w:rPr>
                <w:rFonts w:ascii="宋体" w:hAnsi="宋体" w:cs="宋体" w:eastAsia="宋体" w:hint="default"/>
                <w:sz w:val="24"/>
                <w:szCs w:val="24"/>
              </w:rPr>
              <w:t>层</w:t>
            </w:r>
            <w:r>
              <w:rPr>
                <w:rFonts w:ascii="宋体" w:hAnsi="宋体" w:cs="宋体" w:eastAsia="宋体" w:hint="default"/>
                <w:sz w:val="24"/>
                <w:szCs w:val="24"/>
              </w:rPr>
              <w:t> </w:t>
            </w:r>
          </w:p>
        </w:tc>
      </w:tr>
      <w:tr>
        <w:trPr>
          <w:trHeight w:val="634" w:hRule="exact"/>
        </w:trPr>
        <w:tc>
          <w:tcPr>
            <w:tcW w:w="2994" w:type="dxa"/>
            <w:vMerge/>
            <w:tcBorders>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22"/>
                <w:sz w:val="24"/>
                <w:szCs w:val="24"/>
              </w:rPr>
              <w:t>签字会计师姓</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名</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王静、章晓亮</w:t>
            </w:r>
            <w:r>
              <w:rPr>
                <w:rFonts w:ascii="宋体" w:hAnsi="宋体" w:cs="宋体" w:eastAsia="宋体" w:hint="default"/>
                <w:sz w:val="24"/>
                <w:szCs w:val="24"/>
              </w:rPr>
              <w:t> </w:t>
            </w:r>
          </w:p>
        </w:tc>
      </w:tr>
      <w:tr>
        <w:trPr>
          <w:trHeight w:val="322" w:hRule="exact"/>
        </w:trPr>
        <w:tc>
          <w:tcPr>
            <w:tcW w:w="299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pacing w:val="11"/>
                <w:sz w:val="24"/>
                <w:szCs w:val="24"/>
              </w:rPr>
              <w:t>公司聘请的会计师事务所</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（境外）</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名称</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无</w:t>
            </w:r>
            <w:r>
              <w:rPr>
                <w:rFonts w:ascii="宋体" w:hAnsi="宋体" w:cs="宋体" w:eastAsia="宋体" w:hint="default"/>
                <w:sz w:val="24"/>
                <w:szCs w:val="24"/>
              </w:rPr>
              <w:t> </w:t>
            </w:r>
          </w:p>
        </w:tc>
      </w:tr>
      <w:tr>
        <w:trPr>
          <w:trHeight w:val="319" w:hRule="exact"/>
        </w:trPr>
        <w:tc>
          <w:tcPr>
            <w:tcW w:w="2994" w:type="dxa"/>
            <w:vMerge/>
            <w:tcBorders>
              <w:left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办公地址</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无</w:t>
            </w:r>
            <w:r>
              <w:rPr>
                <w:rFonts w:ascii="宋体" w:hAnsi="宋体" w:cs="宋体" w:eastAsia="宋体" w:hint="default"/>
                <w:sz w:val="24"/>
                <w:szCs w:val="24"/>
              </w:rPr>
              <w:t> </w:t>
            </w:r>
          </w:p>
        </w:tc>
      </w:tr>
      <w:tr>
        <w:trPr>
          <w:trHeight w:val="634" w:hRule="exact"/>
        </w:trPr>
        <w:tc>
          <w:tcPr>
            <w:tcW w:w="2994" w:type="dxa"/>
            <w:vMerge/>
            <w:tcBorders>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22"/>
                <w:sz w:val="24"/>
                <w:szCs w:val="24"/>
              </w:rPr>
              <w:t>签字会计师姓</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名</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无</w:t>
            </w:r>
            <w:r>
              <w:rPr>
                <w:rFonts w:ascii="宋体" w:hAnsi="宋体" w:cs="宋体" w:eastAsia="宋体" w:hint="default"/>
                <w:sz w:val="24"/>
                <w:szCs w:val="24"/>
              </w:rPr>
              <w:t> </w:t>
            </w:r>
          </w:p>
        </w:tc>
      </w:tr>
      <w:tr>
        <w:trPr>
          <w:trHeight w:val="322" w:hRule="exact"/>
        </w:trPr>
        <w:tc>
          <w:tcPr>
            <w:tcW w:w="2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4"/>
                <w:szCs w:val="24"/>
              </w:rPr>
            </w:pPr>
          </w:p>
          <w:p>
            <w:pPr>
              <w:pStyle w:val="TableParagraph"/>
              <w:spacing w:line="240" w:lineRule="auto"/>
              <w:ind w:right="0"/>
              <w:jc w:val="left"/>
              <w:rPr>
                <w:rFonts w:ascii="宋体" w:hAnsi="宋体" w:cs="宋体" w:eastAsia="宋体" w:hint="default"/>
                <w:b/>
                <w:bCs/>
                <w:sz w:val="24"/>
                <w:szCs w:val="24"/>
              </w:rPr>
            </w:pPr>
          </w:p>
          <w:p>
            <w:pPr>
              <w:pStyle w:val="TableParagraph"/>
              <w:spacing w:line="240" w:lineRule="auto" w:before="9"/>
              <w:ind w:right="0"/>
              <w:jc w:val="left"/>
              <w:rPr>
                <w:rFonts w:ascii="宋体" w:hAnsi="宋体" w:cs="宋体" w:eastAsia="宋体" w:hint="default"/>
                <w:b/>
                <w:bCs/>
                <w:sz w:val="23"/>
                <w:szCs w:val="23"/>
              </w:rPr>
            </w:pPr>
          </w:p>
          <w:p>
            <w:pPr>
              <w:pStyle w:val="TableParagraph"/>
              <w:spacing w:line="312" w:lineRule="exact"/>
              <w:ind w:left="103" w:right="104"/>
              <w:jc w:val="left"/>
              <w:rPr>
                <w:rFonts w:ascii="宋体" w:hAnsi="宋体" w:cs="宋体" w:eastAsia="宋体" w:hint="default"/>
                <w:sz w:val="24"/>
                <w:szCs w:val="24"/>
              </w:rPr>
            </w:pPr>
            <w:r>
              <w:rPr>
                <w:rFonts w:ascii="宋体" w:hAnsi="宋体" w:cs="宋体" w:eastAsia="宋体" w:hint="default"/>
                <w:spacing w:val="11"/>
                <w:sz w:val="24"/>
                <w:szCs w:val="24"/>
              </w:rPr>
              <w:t>报告期内履行持续督导职</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责的保荐机构</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名称</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国泰君安证券股份有限公司</w:t>
            </w:r>
            <w:r>
              <w:rPr>
                <w:rFonts w:ascii="宋体" w:hAnsi="宋体" w:cs="宋体" w:eastAsia="宋体" w:hint="default"/>
                <w:sz w:val="24"/>
                <w:szCs w:val="24"/>
              </w:rPr>
              <w:t> </w:t>
            </w:r>
          </w:p>
        </w:tc>
      </w:tr>
      <w:tr>
        <w:trPr>
          <w:trHeight w:val="631" w:hRule="exact"/>
        </w:trPr>
        <w:tc>
          <w:tcPr>
            <w:tcW w:w="2994" w:type="dxa"/>
            <w:vMerge/>
            <w:tcBorders>
              <w:left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办公地址</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北京市西城区金融大街甲</w:t>
            </w:r>
            <w:r>
              <w:rPr>
                <w:rFonts w:ascii="宋体" w:hAnsi="宋体" w:cs="宋体" w:eastAsia="宋体" w:hint="default"/>
                <w:spacing w:val="-77"/>
                <w:sz w:val="24"/>
                <w:szCs w:val="24"/>
              </w:rPr>
              <w:t> </w:t>
            </w:r>
            <w:r>
              <w:rPr>
                <w:rFonts w:ascii="宋体" w:hAnsi="宋体" w:cs="宋体" w:eastAsia="宋体" w:hint="default"/>
                <w:sz w:val="24"/>
                <w:szCs w:val="24"/>
              </w:rPr>
              <w:t>9</w:t>
            </w:r>
            <w:r>
              <w:rPr>
                <w:rFonts w:ascii="宋体" w:hAnsi="宋体" w:cs="宋体" w:eastAsia="宋体" w:hint="default"/>
                <w:spacing w:val="-77"/>
                <w:sz w:val="24"/>
                <w:szCs w:val="24"/>
              </w:rPr>
              <w:t> </w:t>
            </w:r>
            <w:r>
              <w:rPr>
                <w:rFonts w:ascii="宋体" w:hAnsi="宋体" w:cs="宋体" w:eastAsia="宋体" w:hint="default"/>
                <w:sz w:val="24"/>
                <w:szCs w:val="24"/>
              </w:rPr>
              <w:t>号金融街中</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心南楼</w:t>
            </w:r>
            <w:r>
              <w:rPr>
                <w:rFonts w:ascii="宋体" w:hAnsi="宋体" w:cs="宋体" w:eastAsia="宋体" w:hint="default"/>
                <w:spacing w:val="-60"/>
                <w:sz w:val="24"/>
                <w:szCs w:val="24"/>
              </w:rPr>
              <w:t> </w:t>
            </w:r>
            <w:r>
              <w:rPr>
                <w:rFonts w:ascii="宋体" w:hAnsi="宋体" w:cs="宋体" w:eastAsia="宋体" w:hint="default"/>
                <w:sz w:val="24"/>
                <w:szCs w:val="24"/>
              </w:rPr>
              <w:t>16</w:t>
            </w:r>
            <w:r>
              <w:rPr>
                <w:rFonts w:ascii="宋体" w:hAnsi="宋体" w:cs="宋体" w:eastAsia="宋体" w:hint="default"/>
                <w:spacing w:val="-60"/>
                <w:sz w:val="24"/>
                <w:szCs w:val="24"/>
              </w:rPr>
              <w:t> </w:t>
            </w:r>
            <w:r>
              <w:rPr>
                <w:rFonts w:ascii="宋体" w:hAnsi="宋体" w:cs="宋体" w:eastAsia="宋体" w:hint="default"/>
                <w:sz w:val="24"/>
                <w:szCs w:val="24"/>
              </w:rPr>
              <w:t>层</w:t>
            </w:r>
            <w:r>
              <w:rPr>
                <w:rFonts w:ascii="宋体" w:hAnsi="宋体" w:cs="宋体" w:eastAsia="宋体" w:hint="default"/>
                <w:sz w:val="24"/>
                <w:szCs w:val="24"/>
              </w:rPr>
              <w:t> </w:t>
            </w:r>
          </w:p>
        </w:tc>
      </w:tr>
      <w:tr>
        <w:trPr>
          <w:trHeight w:val="634" w:hRule="exact"/>
        </w:trPr>
        <w:tc>
          <w:tcPr>
            <w:tcW w:w="2994" w:type="dxa"/>
            <w:vMerge/>
            <w:tcBorders>
              <w:left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22"/>
                <w:sz w:val="24"/>
                <w:szCs w:val="24"/>
              </w:rPr>
              <w:t>签字的保荐代</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表人姓名</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陈琦、刘向前</w:t>
            </w:r>
            <w:r>
              <w:rPr>
                <w:rFonts w:ascii="宋体" w:hAnsi="宋体" w:cs="宋体" w:eastAsia="宋体" w:hint="default"/>
                <w:sz w:val="24"/>
                <w:szCs w:val="24"/>
              </w:rPr>
              <w:t> </w:t>
            </w:r>
          </w:p>
        </w:tc>
      </w:tr>
      <w:tr>
        <w:trPr>
          <w:trHeight w:val="944" w:hRule="exact"/>
        </w:trPr>
        <w:tc>
          <w:tcPr>
            <w:tcW w:w="2994" w:type="dxa"/>
            <w:vMerge/>
            <w:tcBorders>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22"/>
                <w:sz w:val="24"/>
                <w:szCs w:val="24"/>
              </w:rPr>
              <w:t>持续督导的期</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间</w:t>
            </w:r>
            <w:r>
              <w:rPr>
                <w:rFonts w:ascii="宋体" w:hAnsi="宋体" w:cs="宋体" w:eastAsia="宋体" w:hint="default"/>
                <w:sz w:val="24"/>
                <w:szCs w:val="24"/>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2015</w:t>
            </w:r>
            <w:r>
              <w:rPr>
                <w:rFonts w:ascii="宋体" w:hAnsi="宋体" w:cs="宋体" w:eastAsia="宋体" w:hint="default"/>
                <w:spacing w:val="-31"/>
                <w:sz w:val="24"/>
                <w:szCs w:val="24"/>
              </w:rPr>
              <w:t> </w:t>
            </w:r>
            <w:r>
              <w:rPr>
                <w:rFonts w:ascii="宋体" w:hAnsi="宋体" w:cs="宋体" w:eastAsia="宋体" w:hint="default"/>
                <w:sz w:val="24"/>
                <w:szCs w:val="24"/>
              </w:rPr>
              <w:t>年－</w:t>
            </w:r>
            <w:r>
              <w:rPr>
                <w:rFonts w:ascii="宋体" w:hAnsi="宋体" w:cs="宋体" w:eastAsia="宋体" w:hint="default"/>
                <w:sz w:val="24"/>
                <w:szCs w:val="24"/>
              </w:rPr>
              <w:t>2016</w:t>
            </w:r>
            <w:r>
              <w:rPr>
                <w:rFonts w:ascii="宋体" w:hAnsi="宋体" w:cs="宋体" w:eastAsia="宋体" w:hint="default"/>
                <w:spacing w:val="-32"/>
                <w:sz w:val="24"/>
                <w:szCs w:val="24"/>
              </w:rPr>
              <w:t> </w:t>
            </w:r>
            <w:r>
              <w:rPr>
                <w:rFonts w:ascii="宋体" w:hAnsi="宋体" w:cs="宋体" w:eastAsia="宋体" w:hint="default"/>
                <w:sz w:val="24"/>
                <w:szCs w:val="24"/>
              </w:rPr>
              <w:t>年度（截至</w:t>
            </w:r>
            <w:r>
              <w:rPr>
                <w:rFonts w:ascii="宋体" w:hAnsi="宋体" w:cs="宋体" w:eastAsia="宋体" w:hint="default"/>
                <w:spacing w:val="-32"/>
                <w:sz w:val="24"/>
                <w:szCs w:val="24"/>
              </w:rPr>
              <w:t> </w:t>
            </w:r>
            <w:r>
              <w:rPr>
                <w:rFonts w:ascii="宋体" w:hAnsi="宋体" w:cs="宋体" w:eastAsia="宋体" w:hint="default"/>
                <w:sz w:val="24"/>
                <w:szCs w:val="24"/>
              </w:rPr>
              <w:t>2019</w:t>
            </w:r>
            <w:r>
              <w:rPr>
                <w:rFonts w:ascii="宋体" w:hAnsi="宋体" w:cs="宋体" w:eastAsia="宋体" w:hint="default"/>
                <w:spacing w:val="-31"/>
                <w:sz w:val="24"/>
                <w:szCs w:val="24"/>
              </w:rPr>
              <w:t> </w:t>
            </w:r>
            <w:r>
              <w:rPr>
                <w:rFonts w:ascii="宋体" w:hAnsi="宋体" w:cs="宋体" w:eastAsia="宋体" w:hint="default"/>
                <w:sz w:val="24"/>
                <w:szCs w:val="24"/>
              </w:rPr>
              <w:t>年</w:t>
            </w:r>
            <w:r>
              <w:rPr>
                <w:rFonts w:ascii="宋体" w:hAnsi="宋体" w:cs="宋体" w:eastAsia="宋体" w:hint="default"/>
                <w:spacing w:val="-32"/>
                <w:sz w:val="24"/>
                <w:szCs w:val="24"/>
              </w:rPr>
              <w:t> </w:t>
            </w:r>
            <w:r>
              <w:rPr>
                <w:rFonts w:ascii="宋体" w:hAnsi="宋体" w:cs="宋体" w:eastAsia="宋体" w:hint="default"/>
                <w:sz w:val="24"/>
                <w:szCs w:val="24"/>
              </w:rPr>
              <w:t>12</w:t>
            </w:r>
          </w:p>
          <w:p>
            <w:pPr>
              <w:pStyle w:val="TableParagraph"/>
              <w:spacing w:line="310" w:lineRule="exact" w:before="31"/>
              <w:ind w:left="100" w:right="101"/>
              <w:jc w:val="left"/>
              <w:rPr>
                <w:rFonts w:ascii="宋体" w:hAnsi="宋体" w:cs="宋体" w:eastAsia="宋体" w:hint="default"/>
                <w:sz w:val="24"/>
                <w:szCs w:val="24"/>
              </w:rPr>
            </w:pPr>
            <w:r>
              <w:rPr>
                <w:rFonts w:ascii="宋体" w:hAnsi="宋体" w:cs="宋体" w:eastAsia="宋体" w:hint="default"/>
                <w:sz w:val="24"/>
                <w:szCs w:val="24"/>
              </w:rPr>
              <w:t>月 </w:t>
            </w:r>
            <w:r>
              <w:rPr>
                <w:rFonts w:ascii="宋体" w:hAnsi="宋体" w:cs="宋体" w:eastAsia="宋体" w:hint="default"/>
                <w:sz w:val="24"/>
                <w:szCs w:val="24"/>
              </w:rPr>
              <w:t>31</w:t>
            </w:r>
            <w:r>
              <w:rPr>
                <w:rFonts w:ascii="宋体" w:hAnsi="宋体" w:cs="宋体" w:eastAsia="宋体" w:hint="default"/>
                <w:spacing w:val="-34"/>
                <w:sz w:val="24"/>
                <w:szCs w:val="24"/>
              </w:rPr>
              <w:t> </w:t>
            </w:r>
            <w:r>
              <w:rPr>
                <w:rFonts w:ascii="宋体" w:hAnsi="宋体" w:cs="宋体" w:eastAsia="宋体" w:hint="default"/>
                <w:sz w:val="24"/>
                <w:szCs w:val="24"/>
              </w:rPr>
              <w:t>日，非公开发行股票募集资金已 使用完毕）</w:t>
            </w:r>
            <w:r>
              <w:rPr>
                <w:rFonts w:ascii="宋体" w:hAnsi="宋体" w:cs="宋体" w:eastAsia="宋体" w:hint="default"/>
                <w:sz w:val="24"/>
                <w:szCs w:val="24"/>
              </w:rPr>
              <w:t> </w:t>
            </w:r>
          </w:p>
        </w:tc>
      </w:tr>
      <w:tr>
        <w:trPr>
          <w:trHeight w:val="322" w:hRule="exact"/>
        </w:trPr>
        <w:tc>
          <w:tcPr>
            <w:tcW w:w="2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4"/>
                <w:szCs w:val="24"/>
              </w:rPr>
            </w:pPr>
          </w:p>
          <w:p>
            <w:pPr>
              <w:pStyle w:val="TableParagraph"/>
              <w:spacing w:line="240" w:lineRule="auto" w:before="1"/>
              <w:ind w:right="0"/>
              <w:jc w:val="left"/>
              <w:rPr>
                <w:rFonts w:ascii="宋体" w:hAnsi="宋体" w:cs="宋体" w:eastAsia="宋体" w:hint="default"/>
                <w:b/>
                <w:bCs/>
                <w:sz w:val="24"/>
                <w:szCs w:val="24"/>
              </w:rPr>
            </w:pPr>
          </w:p>
          <w:p>
            <w:pPr>
              <w:pStyle w:val="TableParagraph"/>
              <w:spacing w:line="312" w:lineRule="exact"/>
              <w:ind w:left="103" w:right="104"/>
              <w:jc w:val="left"/>
              <w:rPr>
                <w:rFonts w:ascii="宋体" w:hAnsi="宋体" w:cs="宋体" w:eastAsia="宋体" w:hint="default"/>
                <w:sz w:val="24"/>
                <w:szCs w:val="24"/>
              </w:rPr>
            </w:pPr>
            <w:r>
              <w:rPr>
                <w:rFonts w:ascii="宋体" w:hAnsi="宋体" w:cs="宋体" w:eastAsia="宋体" w:hint="default"/>
                <w:spacing w:val="11"/>
                <w:sz w:val="24"/>
                <w:szCs w:val="24"/>
              </w:rPr>
              <w:t>报告期内履行持续督导职</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责的财务顾问</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名称</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无</w:t>
            </w:r>
          </w:p>
        </w:tc>
      </w:tr>
      <w:tr>
        <w:trPr>
          <w:trHeight w:val="322" w:hRule="exact"/>
        </w:trPr>
        <w:tc>
          <w:tcPr>
            <w:tcW w:w="2994" w:type="dxa"/>
            <w:vMerge/>
            <w:tcBorders>
              <w:left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办公地址</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无</w:t>
            </w:r>
          </w:p>
        </w:tc>
      </w:tr>
      <w:tr>
        <w:trPr>
          <w:trHeight w:val="631" w:hRule="exact"/>
        </w:trPr>
        <w:tc>
          <w:tcPr>
            <w:tcW w:w="2994" w:type="dxa"/>
            <w:vMerge/>
            <w:tcBorders>
              <w:left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22"/>
                <w:sz w:val="24"/>
                <w:szCs w:val="24"/>
              </w:rPr>
              <w:t>签字的财务顾</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问主办人姓名</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无</w:t>
            </w:r>
          </w:p>
        </w:tc>
      </w:tr>
      <w:tr>
        <w:trPr>
          <w:trHeight w:val="634" w:hRule="exact"/>
        </w:trPr>
        <w:tc>
          <w:tcPr>
            <w:tcW w:w="2994" w:type="dxa"/>
            <w:vMerge/>
            <w:tcBorders>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22"/>
                <w:sz w:val="24"/>
                <w:szCs w:val="24"/>
              </w:rPr>
              <w:t>持续督导的期</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间</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无</w:t>
            </w:r>
          </w:p>
        </w:tc>
      </w:tr>
    </w:tbl>
    <w:p>
      <w:pPr>
        <w:spacing w:line="240" w:lineRule="auto" w:before="8"/>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pgSz w:w="11910" w:h="16840"/>
          <w:pgMar w:header="880" w:footer="1195" w:top="1120" w:bottom="1380" w:left="1060" w:right="1560"/>
        </w:sectPr>
      </w:pPr>
    </w:p>
    <w:p>
      <w:pPr>
        <w:pStyle w:val="Heading2"/>
        <w:spacing w:line="240" w:lineRule="auto" w:before="26"/>
        <w:ind w:right="-17"/>
        <w:jc w:val="left"/>
        <w:rPr>
          <w:b w:val="0"/>
          <w:bCs w:val="0"/>
        </w:rPr>
      </w:pPr>
      <w:r>
        <w:rPr/>
        <w:t>七、</w:t>
      </w:r>
      <w:r>
        <w:rPr>
          <w:spacing w:val="-36"/>
        </w:rPr>
        <w:t> </w:t>
      </w:r>
      <w:r>
        <w:rPr>
          <w:rFonts w:ascii="宋体" w:hAnsi="宋体" w:cs="宋体" w:eastAsia="宋体" w:hint="default"/>
          <w:spacing w:val="-36"/>
        </w:rPr>
      </w:r>
      <w:r>
        <w:rPr/>
        <w:t>近三年主要会计数据和财务指标</w:t>
      </w:r>
      <w:r>
        <w:rPr>
          <w:b w:val="0"/>
          <w:bCs w:val="0"/>
        </w:rPr>
      </w:r>
    </w:p>
    <w:p>
      <w:pPr>
        <w:pStyle w:val="Heading2"/>
        <w:spacing w:line="240" w:lineRule="auto" w:before="58"/>
        <w:ind w:right="-17"/>
        <w:jc w:val="left"/>
        <w:rPr>
          <w:rFonts w:ascii="黑体" w:hAnsi="黑体" w:cs="黑体" w:eastAsia="黑体" w:hint="default"/>
          <w:b w:val="0"/>
          <w:bCs w:val="0"/>
        </w:rPr>
      </w:pPr>
      <w:r>
        <w:rPr>
          <w:rFonts w:ascii="Calibri" w:hAnsi="Calibri" w:cs="Calibri" w:eastAsia="Calibri" w:hint="default"/>
        </w:rPr>
        <w:t>(</w:t>
      </w:r>
      <w:r>
        <w:rPr>
          <w:rFonts w:ascii="黑体" w:hAnsi="黑体" w:cs="黑体" w:eastAsia="黑体" w:hint="default"/>
        </w:rPr>
        <w:t>一</w:t>
      </w:r>
      <w:r>
        <w:rPr>
          <w:rFonts w:ascii="Calibri" w:hAnsi="Calibri" w:cs="Calibri" w:eastAsia="Calibri" w:hint="default"/>
        </w:rPr>
        <w:t>)</w:t>
      </w:r>
      <w:r>
        <w:rPr>
          <w:rFonts w:ascii="Calibri" w:hAnsi="Calibri" w:cs="Calibri" w:eastAsia="Calibri" w:hint="default"/>
          <w:spacing w:val="-27"/>
        </w:rPr>
        <w:t> </w:t>
      </w:r>
      <w:r>
        <w:rPr>
          <w:rFonts w:ascii="黑体" w:hAnsi="黑体" w:cs="黑体" w:eastAsia="黑体" w:hint="default"/>
        </w:rPr>
        <w:t>主要会计数据</w:t>
      </w:r>
      <w:r>
        <w:rPr>
          <w:rFonts w:ascii="黑体" w:hAnsi="黑体" w:cs="黑体" w:eastAsia="黑体" w:hint="default"/>
          <w:b w:val="0"/>
          <w:bCs w:val="0"/>
        </w:rPr>
      </w:r>
    </w:p>
    <w:p>
      <w:pPr>
        <w:spacing w:line="240" w:lineRule="auto" w:before="4"/>
        <w:rPr>
          <w:rFonts w:ascii="黑体" w:hAnsi="黑体" w:cs="黑体" w:eastAsia="黑体" w:hint="default"/>
          <w:b/>
          <w:bCs/>
          <w:sz w:val="23"/>
          <w:szCs w:val="23"/>
        </w:rPr>
      </w:pPr>
    </w:p>
    <w:p>
      <w:pPr>
        <w:spacing w:before="0"/>
        <w:ind w:left="216" w:right="0" w:firstLine="0"/>
        <w:jc w:val="left"/>
        <w:rPr>
          <w:rFonts w:ascii="宋体" w:hAnsi="宋体" w:cs="宋体" w:eastAsia="宋体" w:hint="default"/>
          <w:sz w:val="21"/>
          <w:szCs w:val="21"/>
        </w:rPr>
      </w:pPr>
      <w:r>
        <w:rPr>
          <w:rFonts w:ascii="宋体"/>
          <w:w w:val="100"/>
          <w:sz w:val="21"/>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spacing w:before="0"/>
        <w:ind w:left="216"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币种：人民币</w:t>
      </w:r>
      <w:r>
        <w:rPr>
          <w:rFonts w:ascii="宋体" w:hAnsi="宋体" w:cs="宋体" w:eastAsia="宋体" w:hint="default"/>
          <w:sz w:val="21"/>
          <w:szCs w:val="21"/>
        </w:rPr>
        <w:t> </w:t>
      </w:r>
    </w:p>
    <w:p>
      <w:pPr>
        <w:spacing w:after="0"/>
        <w:jc w:val="left"/>
        <w:rPr>
          <w:rFonts w:ascii="宋体" w:hAnsi="宋体" w:cs="宋体" w:eastAsia="宋体" w:hint="default"/>
          <w:sz w:val="21"/>
          <w:szCs w:val="21"/>
        </w:rPr>
        <w:sectPr>
          <w:type w:val="continuous"/>
          <w:pgSz w:w="11910" w:h="16840"/>
          <w:pgMar w:top="1120" w:bottom="1380" w:left="1060" w:right="1560"/>
          <w:cols w:num="2" w:equalWidth="0">
            <w:col w:w="4160" w:space="2363"/>
            <w:col w:w="2767"/>
          </w:cols>
        </w:sectPr>
      </w:pPr>
    </w:p>
    <w:p>
      <w:pPr>
        <w:spacing w:line="240" w:lineRule="auto" w:before="4"/>
        <w:rPr>
          <w:rFonts w:ascii="宋体" w:hAnsi="宋体" w:cs="宋体" w:eastAsia="宋体" w:hint="default"/>
          <w:sz w:val="2"/>
          <w:szCs w:val="2"/>
        </w:rPr>
      </w:pPr>
    </w:p>
    <w:tbl>
      <w:tblPr>
        <w:tblW w:w="0" w:type="auto"/>
        <w:jc w:val="left"/>
        <w:tblInd w:w="207" w:type="dxa"/>
        <w:tblLayout w:type="fixed"/>
        <w:tblCellMar>
          <w:top w:w="0" w:type="dxa"/>
          <w:left w:w="0" w:type="dxa"/>
          <w:bottom w:w="0" w:type="dxa"/>
          <w:right w:w="0" w:type="dxa"/>
        </w:tblCellMar>
        <w:tblLook w:val="01E0"/>
      </w:tblPr>
      <w:tblGrid>
        <w:gridCol w:w="2783"/>
        <w:gridCol w:w="1690"/>
        <w:gridCol w:w="1690"/>
        <w:gridCol w:w="991"/>
        <w:gridCol w:w="1693"/>
      </w:tblGrid>
      <w:tr>
        <w:trPr>
          <w:trHeight w:val="946"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665" w:right="0"/>
              <w:jc w:val="left"/>
              <w:rPr>
                <w:rFonts w:ascii="宋体" w:hAnsi="宋体" w:cs="宋体" w:eastAsia="宋体" w:hint="default"/>
                <w:sz w:val="24"/>
                <w:szCs w:val="24"/>
              </w:rPr>
            </w:pPr>
            <w:r>
              <w:rPr>
                <w:rFonts w:ascii="宋体" w:hAnsi="宋体" w:cs="宋体" w:eastAsia="宋体" w:hint="default"/>
                <w:sz w:val="24"/>
                <w:szCs w:val="24"/>
              </w:rPr>
              <w:t>主要会计数据</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15" w:right="0"/>
              <w:jc w:val="center"/>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z w:val="24"/>
                <w:szCs w:val="24"/>
              </w:rPr>
              <w:t>年</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480" w:right="0"/>
              <w:jc w:val="left"/>
              <w:rPr>
                <w:rFonts w:ascii="宋体" w:hAnsi="宋体" w:cs="宋体" w:eastAsia="宋体" w:hint="default"/>
                <w:sz w:val="24"/>
                <w:szCs w:val="24"/>
              </w:rPr>
            </w:pPr>
            <w:r>
              <w:rPr>
                <w:rFonts w:ascii="宋体" w:hAnsi="宋体" w:cs="宋体" w:eastAsia="宋体" w:hint="default"/>
                <w:sz w:val="24"/>
                <w:szCs w:val="24"/>
              </w:rPr>
              <w:t>2018</w:t>
            </w:r>
            <w:r>
              <w:rPr>
                <w:rFonts w:ascii="宋体" w:hAnsi="宋体" w:cs="宋体" w:eastAsia="宋体" w:hint="default"/>
                <w:sz w:val="24"/>
                <w:szCs w:val="24"/>
              </w:rPr>
              <w:t>年</w:t>
            </w:r>
            <w:r>
              <w:rPr>
                <w:rFonts w:ascii="宋体" w:hAnsi="宋体" w:cs="宋体" w:eastAsia="宋体" w:hint="default"/>
                <w:sz w:val="24"/>
                <w:szCs w:val="24"/>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 w:right="0"/>
              <w:jc w:val="left"/>
              <w:rPr>
                <w:rFonts w:ascii="宋体" w:hAnsi="宋体" w:cs="宋体" w:eastAsia="宋体" w:hint="default"/>
                <w:sz w:val="24"/>
                <w:szCs w:val="24"/>
              </w:rPr>
            </w:pPr>
            <w:r>
              <w:rPr>
                <w:rFonts w:ascii="宋体" w:hAnsi="宋体" w:cs="宋体" w:eastAsia="宋体" w:hint="default"/>
                <w:sz w:val="24"/>
                <w:szCs w:val="24"/>
              </w:rPr>
              <w:t>本期比上</w:t>
            </w:r>
          </w:p>
          <w:p>
            <w:pPr>
              <w:pStyle w:val="TableParagraph"/>
              <w:spacing w:line="312" w:lineRule="exact" w:before="28"/>
              <w:ind w:left="189" w:right="11" w:hanging="180"/>
              <w:jc w:val="left"/>
              <w:rPr>
                <w:rFonts w:ascii="宋体" w:hAnsi="宋体" w:cs="宋体" w:eastAsia="宋体" w:hint="default"/>
                <w:sz w:val="24"/>
                <w:szCs w:val="24"/>
              </w:rPr>
            </w:pPr>
            <w:r>
              <w:rPr>
                <w:rFonts w:ascii="宋体" w:hAnsi="宋体" w:cs="宋体" w:eastAsia="宋体" w:hint="default"/>
                <w:sz w:val="24"/>
                <w:szCs w:val="24"/>
              </w:rPr>
              <w:t>年同期增 减</w:t>
            </w:r>
            <w:r>
              <w:rPr>
                <w:rFonts w:ascii="宋体" w:hAnsi="宋体" w:cs="宋体" w:eastAsia="宋体" w:hint="default"/>
                <w:sz w:val="24"/>
                <w:szCs w:val="24"/>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480" w:right="0"/>
              <w:jc w:val="left"/>
              <w:rPr>
                <w:rFonts w:ascii="宋体" w:hAnsi="宋体" w:cs="宋体" w:eastAsia="宋体" w:hint="default"/>
                <w:sz w:val="24"/>
                <w:szCs w:val="24"/>
              </w:rPr>
            </w:pPr>
            <w:r>
              <w:rPr>
                <w:rFonts w:ascii="宋体" w:hAnsi="宋体" w:cs="宋体" w:eastAsia="宋体" w:hint="default"/>
                <w:sz w:val="24"/>
                <w:szCs w:val="24"/>
              </w:rPr>
              <w:t>2017</w:t>
            </w:r>
            <w:r>
              <w:rPr>
                <w:rFonts w:ascii="宋体" w:hAnsi="宋体" w:cs="宋体" w:eastAsia="宋体" w:hint="default"/>
                <w:sz w:val="24"/>
                <w:szCs w:val="24"/>
              </w:rPr>
              <w:t>年</w:t>
            </w:r>
            <w:r>
              <w:rPr>
                <w:rFonts w:ascii="宋体" w:hAnsi="宋体" w:cs="宋体" w:eastAsia="宋体" w:hint="default"/>
                <w:sz w:val="24"/>
                <w:szCs w:val="24"/>
              </w:rPr>
              <w:t> </w:t>
            </w:r>
          </w:p>
        </w:tc>
      </w:tr>
      <w:tr>
        <w:trPr>
          <w:trHeight w:val="319"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left"/>
              <w:rPr>
                <w:rFonts w:ascii="宋体" w:hAnsi="宋体" w:cs="宋体" w:eastAsia="宋体" w:hint="default"/>
                <w:sz w:val="24"/>
                <w:szCs w:val="24"/>
              </w:rPr>
            </w:pPr>
            <w:r>
              <w:rPr>
                <w:rFonts w:ascii="宋体" w:hAnsi="宋体" w:cs="宋体" w:eastAsia="宋体" w:hint="default"/>
                <w:sz w:val="24"/>
                <w:szCs w:val="24"/>
              </w:rPr>
              <w:t>营业收入</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5" w:right="0"/>
              <w:jc w:val="center"/>
              <w:rPr>
                <w:rFonts w:ascii="宋体" w:hAnsi="宋体" w:cs="宋体" w:eastAsia="宋体" w:hint="default"/>
                <w:sz w:val="24"/>
                <w:szCs w:val="24"/>
              </w:rPr>
            </w:pPr>
            <w:r>
              <w:rPr>
                <w:rFonts w:ascii="宋体"/>
                <w:sz w:val="24"/>
              </w:rPr>
              <w:t>8,509,659,748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7,703,495,046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right"/>
              <w:rPr>
                <w:rFonts w:ascii="宋体" w:hAnsi="宋体" w:cs="宋体" w:eastAsia="宋体" w:hint="default"/>
                <w:sz w:val="24"/>
                <w:szCs w:val="24"/>
              </w:rPr>
            </w:pPr>
            <w:r>
              <w:rPr>
                <w:rFonts w:ascii="宋体"/>
                <w:sz w:val="24"/>
              </w:rPr>
              <w:t>10.5</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right"/>
              <w:rPr>
                <w:rFonts w:ascii="宋体" w:hAnsi="宋体" w:cs="宋体" w:eastAsia="宋体" w:hint="default"/>
                <w:sz w:val="24"/>
                <w:szCs w:val="24"/>
              </w:rPr>
            </w:pPr>
            <w:r>
              <w:rPr>
                <w:rFonts w:ascii="宋体"/>
                <w:sz w:val="24"/>
              </w:rPr>
              <w:t>6,343,658,549</w:t>
            </w:r>
          </w:p>
        </w:tc>
      </w:tr>
      <w:tr>
        <w:trPr>
          <w:trHeight w:val="322"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left"/>
              <w:rPr>
                <w:rFonts w:ascii="宋体" w:hAnsi="宋体" w:cs="宋体" w:eastAsia="宋体" w:hint="default"/>
                <w:sz w:val="24"/>
                <w:szCs w:val="24"/>
              </w:rPr>
            </w:pPr>
            <w:r>
              <w:rPr>
                <w:rFonts w:ascii="宋体" w:hAnsi="宋体" w:cs="宋体" w:eastAsia="宋体" w:hint="default"/>
                <w:sz w:val="24"/>
                <w:szCs w:val="24"/>
              </w:rPr>
              <w:t>营业利润</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15" w:right="0"/>
              <w:jc w:val="center"/>
              <w:rPr>
                <w:rFonts w:ascii="宋体" w:hAnsi="宋体" w:cs="宋体" w:eastAsia="宋体" w:hint="default"/>
                <w:sz w:val="24"/>
                <w:szCs w:val="24"/>
              </w:rPr>
            </w:pPr>
            <w:r>
              <w:rPr>
                <w:rFonts w:ascii="宋体"/>
                <w:sz w:val="24"/>
              </w:rPr>
              <w:t>1,404,622,362</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right"/>
              <w:rPr>
                <w:rFonts w:ascii="宋体" w:hAnsi="宋体" w:cs="宋体" w:eastAsia="宋体" w:hint="default"/>
                <w:sz w:val="24"/>
                <w:szCs w:val="24"/>
              </w:rPr>
            </w:pPr>
            <w:r>
              <w:rPr>
                <w:rFonts w:ascii="宋体"/>
                <w:sz w:val="24"/>
              </w:rPr>
              <w:t>943,115,716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right"/>
              <w:rPr>
                <w:rFonts w:ascii="宋体" w:hAnsi="宋体" w:cs="宋体" w:eastAsia="宋体" w:hint="default"/>
                <w:sz w:val="24"/>
                <w:szCs w:val="24"/>
              </w:rPr>
            </w:pPr>
            <w:r>
              <w:rPr>
                <w:rFonts w:ascii="宋体"/>
                <w:sz w:val="24"/>
              </w:rPr>
              <w:t>48.9</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right"/>
              <w:rPr>
                <w:rFonts w:ascii="宋体" w:hAnsi="宋体" w:cs="宋体" w:eastAsia="宋体" w:hint="default"/>
                <w:sz w:val="24"/>
                <w:szCs w:val="24"/>
              </w:rPr>
            </w:pPr>
            <w:r>
              <w:rPr>
                <w:rFonts w:ascii="宋体"/>
                <w:sz w:val="24"/>
              </w:rPr>
              <w:t>676,207,321</w:t>
            </w:r>
          </w:p>
        </w:tc>
      </w:tr>
      <w:tr>
        <w:trPr>
          <w:trHeight w:val="322"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left"/>
              <w:rPr>
                <w:rFonts w:ascii="宋体" w:hAnsi="宋体" w:cs="宋体" w:eastAsia="宋体" w:hint="default"/>
                <w:sz w:val="24"/>
                <w:szCs w:val="24"/>
              </w:rPr>
            </w:pPr>
            <w:r>
              <w:rPr>
                <w:rFonts w:ascii="宋体" w:hAnsi="宋体" w:cs="宋体" w:eastAsia="宋体" w:hint="default"/>
                <w:sz w:val="24"/>
                <w:szCs w:val="24"/>
              </w:rPr>
              <w:t>利润总额</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15" w:right="0"/>
              <w:jc w:val="center"/>
              <w:rPr>
                <w:rFonts w:ascii="宋体" w:hAnsi="宋体" w:cs="宋体" w:eastAsia="宋体" w:hint="default"/>
                <w:sz w:val="24"/>
                <w:szCs w:val="24"/>
              </w:rPr>
            </w:pPr>
            <w:r>
              <w:rPr>
                <w:rFonts w:ascii="宋体"/>
                <w:sz w:val="24"/>
              </w:rPr>
              <w:t>1,403,849,188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right"/>
              <w:rPr>
                <w:rFonts w:ascii="宋体" w:hAnsi="宋体" w:cs="宋体" w:eastAsia="宋体" w:hint="default"/>
                <w:sz w:val="24"/>
                <w:szCs w:val="24"/>
              </w:rPr>
            </w:pPr>
            <w:r>
              <w:rPr>
                <w:rFonts w:ascii="宋体"/>
                <w:sz w:val="24"/>
              </w:rPr>
              <w:t>950,334,087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right"/>
              <w:rPr>
                <w:rFonts w:ascii="宋体" w:hAnsi="宋体" w:cs="宋体" w:eastAsia="宋体" w:hint="default"/>
                <w:sz w:val="24"/>
                <w:szCs w:val="24"/>
              </w:rPr>
            </w:pPr>
            <w:r>
              <w:rPr>
                <w:rFonts w:ascii="宋体"/>
                <w:sz w:val="24"/>
              </w:rPr>
              <w:t>47.7</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right"/>
              <w:rPr>
                <w:rFonts w:ascii="宋体" w:hAnsi="宋体" w:cs="宋体" w:eastAsia="宋体" w:hint="default"/>
                <w:sz w:val="24"/>
                <w:szCs w:val="24"/>
              </w:rPr>
            </w:pPr>
            <w:r>
              <w:rPr>
                <w:rFonts w:ascii="宋体"/>
                <w:sz w:val="24"/>
              </w:rPr>
              <w:t>685,810,775</w:t>
            </w:r>
          </w:p>
        </w:tc>
      </w:tr>
      <w:tr>
        <w:trPr>
          <w:trHeight w:val="634"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left"/>
              <w:rPr>
                <w:rFonts w:ascii="宋体" w:hAnsi="宋体" w:cs="宋体" w:eastAsia="宋体" w:hint="default"/>
                <w:sz w:val="24"/>
                <w:szCs w:val="24"/>
              </w:rPr>
            </w:pPr>
            <w:r>
              <w:rPr>
                <w:rFonts w:ascii="宋体" w:hAnsi="宋体" w:cs="宋体" w:eastAsia="宋体" w:hint="default"/>
                <w:spacing w:val="11"/>
                <w:sz w:val="24"/>
                <w:szCs w:val="24"/>
              </w:rPr>
              <w:t>归属于上市公司股东的净</w:t>
            </w:r>
          </w:p>
          <w:p>
            <w:pPr>
              <w:pStyle w:val="TableParagraph"/>
              <w:spacing w:line="313" w:lineRule="exact"/>
              <w:ind w:right="0"/>
              <w:jc w:val="left"/>
              <w:rPr>
                <w:rFonts w:ascii="宋体" w:hAnsi="宋体" w:cs="宋体" w:eastAsia="宋体" w:hint="default"/>
                <w:sz w:val="24"/>
                <w:szCs w:val="24"/>
              </w:rPr>
            </w:pPr>
            <w:r>
              <w:rPr>
                <w:rFonts w:ascii="宋体" w:hAnsi="宋体" w:cs="宋体" w:eastAsia="宋体" w:hint="default"/>
                <w:sz w:val="24"/>
                <w:szCs w:val="24"/>
              </w:rPr>
              <w:t>利润</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5" w:right="0"/>
              <w:jc w:val="center"/>
              <w:rPr>
                <w:rFonts w:ascii="宋体" w:hAnsi="宋体" w:cs="宋体" w:eastAsia="宋体" w:hint="default"/>
                <w:sz w:val="24"/>
                <w:szCs w:val="24"/>
              </w:rPr>
            </w:pPr>
            <w:r>
              <w:rPr>
                <w:rFonts w:ascii="宋体"/>
                <w:sz w:val="24"/>
              </w:rPr>
              <w:t>1,182,989,733</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612,130,382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right"/>
              <w:rPr>
                <w:rFonts w:ascii="宋体" w:hAnsi="宋体" w:cs="宋体" w:eastAsia="宋体" w:hint="default"/>
                <w:sz w:val="24"/>
                <w:szCs w:val="24"/>
              </w:rPr>
            </w:pPr>
            <w:r>
              <w:rPr>
                <w:rFonts w:ascii="宋体"/>
                <w:sz w:val="24"/>
              </w:rPr>
              <w:t>93.3</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right"/>
              <w:rPr>
                <w:rFonts w:ascii="宋体" w:hAnsi="宋体" w:cs="宋体" w:eastAsia="宋体" w:hint="default"/>
                <w:sz w:val="24"/>
                <w:szCs w:val="24"/>
              </w:rPr>
            </w:pPr>
            <w:r>
              <w:rPr>
                <w:rFonts w:ascii="宋体"/>
                <w:sz w:val="24"/>
              </w:rPr>
              <w:t>389,080,894</w:t>
            </w:r>
          </w:p>
        </w:tc>
      </w:tr>
    </w:tbl>
    <w:p>
      <w:pPr>
        <w:spacing w:after="0" w:line="274" w:lineRule="exact"/>
        <w:jc w:val="right"/>
        <w:rPr>
          <w:rFonts w:ascii="宋体" w:hAnsi="宋体" w:cs="宋体" w:eastAsia="宋体" w:hint="default"/>
          <w:sz w:val="24"/>
          <w:szCs w:val="24"/>
        </w:rPr>
        <w:sectPr>
          <w:type w:val="continuous"/>
          <w:pgSz w:w="11910" w:h="16840"/>
          <w:pgMar w:top="1120" w:bottom="1380" w:left="1060" w:right="1560"/>
        </w:sectPr>
      </w:pPr>
    </w:p>
    <w:p>
      <w:pPr>
        <w:spacing w:line="240" w:lineRule="auto" w:before="3"/>
        <w:rPr>
          <w:rFonts w:ascii="宋体" w:hAnsi="宋体" w:cs="宋体" w:eastAsia="宋体" w:hint="default"/>
          <w:sz w:val="24"/>
          <w:szCs w:val="24"/>
        </w:rPr>
      </w:pPr>
    </w:p>
    <w:tbl>
      <w:tblPr>
        <w:tblW w:w="0" w:type="auto"/>
        <w:jc w:val="left"/>
        <w:tblInd w:w="207" w:type="dxa"/>
        <w:tblLayout w:type="fixed"/>
        <w:tblCellMar>
          <w:top w:w="0" w:type="dxa"/>
          <w:left w:w="0" w:type="dxa"/>
          <w:bottom w:w="0" w:type="dxa"/>
          <w:right w:w="0" w:type="dxa"/>
        </w:tblCellMar>
        <w:tblLook w:val="01E0"/>
      </w:tblPr>
      <w:tblGrid>
        <w:gridCol w:w="2783"/>
        <w:gridCol w:w="1690"/>
        <w:gridCol w:w="1690"/>
        <w:gridCol w:w="991"/>
        <w:gridCol w:w="1693"/>
      </w:tblGrid>
      <w:tr>
        <w:trPr>
          <w:trHeight w:val="634"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left"/>
              <w:rPr>
                <w:rFonts w:ascii="宋体" w:hAnsi="宋体" w:cs="宋体" w:eastAsia="宋体" w:hint="default"/>
                <w:sz w:val="24"/>
                <w:szCs w:val="24"/>
              </w:rPr>
            </w:pPr>
            <w:r>
              <w:rPr>
                <w:rFonts w:ascii="宋体" w:hAnsi="宋体" w:cs="宋体" w:eastAsia="宋体" w:hint="default"/>
                <w:spacing w:val="11"/>
                <w:sz w:val="24"/>
                <w:szCs w:val="24"/>
              </w:rPr>
              <w:t>归属于上市公司股东的扣</w:t>
            </w:r>
          </w:p>
          <w:p>
            <w:pPr>
              <w:pStyle w:val="TableParagraph"/>
              <w:spacing w:line="313" w:lineRule="exact"/>
              <w:ind w:right="0"/>
              <w:jc w:val="left"/>
              <w:rPr>
                <w:rFonts w:ascii="宋体" w:hAnsi="宋体" w:cs="宋体" w:eastAsia="宋体" w:hint="default"/>
                <w:sz w:val="24"/>
                <w:szCs w:val="24"/>
              </w:rPr>
            </w:pPr>
            <w:r>
              <w:rPr>
                <w:rFonts w:ascii="宋体" w:hAnsi="宋体" w:cs="宋体" w:eastAsia="宋体" w:hint="default"/>
                <w:sz w:val="24"/>
                <w:szCs w:val="24"/>
              </w:rPr>
              <w:t>除非经常性损益的净利润</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677,451,238</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532,161,942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right"/>
              <w:rPr>
                <w:rFonts w:ascii="宋体" w:hAnsi="宋体" w:cs="宋体" w:eastAsia="宋体" w:hint="default"/>
                <w:sz w:val="24"/>
                <w:szCs w:val="24"/>
              </w:rPr>
            </w:pPr>
            <w:r>
              <w:rPr>
                <w:rFonts w:ascii="宋体"/>
                <w:sz w:val="24"/>
              </w:rPr>
              <w:t>27.3</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right"/>
              <w:rPr>
                <w:rFonts w:ascii="宋体" w:hAnsi="宋体" w:cs="宋体" w:eastAsia="宋体" w:hint="default"/>
                <w:sz w:val="24"/>
                <w:szCs w:val="24"/>
              </w:rPr>
            </w:pPr>
            <w:r>
              <w:rPr>
                <w:rFonts w:ascii="宋体"/>
                <w:sz w:val="24"/>
              </w:rPr>
              <w:t>293,075,149</w:t>
            </w:r>
          </w:p>
        </w:tc>
      </w:tr>
      <w:tr>
        <w:trPr>
          <w:trHeight w:val="631"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left"/>
              <w:rPr>
                <w:rFonts w:ascii="宋体" w:hAnsi="宋体" w:cs="宋体" w:eastAsia="宋体" w:hint="default"/>
                <w:sz w:val="24"/>
                <w:szCs w:val="24"/>
              </w:rPr>
            </w:pPr>
            <w:r>
              <w:rPr>
                <w:rFonts w:ascii="宋体" w:hAnsi="宋体" w:cs="宋体" w:eastAsia="宋体" w:hint="default"/>
                <w:spacing w:val="11"/>
                <w:sz w:val="24"/>
                <w:szCs w:val="24"/>
              </w:rPr>
              <w:t>经营活动产生的现金流量</w:t>
            </w:r>
          </w:p>
          <w:p>
            <w:pPr>
              <w:pStyle w:val="TableParagraph"/>
              <w:spacing w:line="312" w:lineRule="exact"/>
              <w:ind w:right="0"/>
              <w:jc w:val="left"/>
              <w:rPr>
                <w:rFonts w:ascii="宋体" w:hAnsi="宋体" w:cs="宋体" w:eastAsia="宋体" w:hint="default"/>
                <w:sz w:val="24"/>
                <w:szCs w:val="24"/>
              </w:rPr>
            </w:pPr>
            <w:r>
              <w:rPr>
                <w:rFonts w:ascii="宋体" w:hAnsi="宋体" w:cs="宋体" w:eastAsia="宋体" w:hint="default"/>
                <w:sz w:val="24"/>
                <w:szCs w:val="24"/>
              </w:rPr>
              <w:t>净额</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1,533,042,056</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2,042,653,091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right"/>
              <w:rPr>
                <w:rFonts w:ascii="宋体" w:hAnsi="宋体" w:cs="宋体" w:eastAsia="宋体" w:hint="default"/>
                <w:sz w:val="24"/>
                <w:szCs w:val="24"/>
              </w:rPr>
            </w:pPr>
            <w:r>
              <w:rPr>
                <w:rFonts w:ascii="宋体"/>
                <w:sz w:val="24"/>
              </w:rPr>
              <w:t>-24.9</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right"/>
              <w:rPr>
                <w:rFonts w:ascii="宋体" w:hAnsi="宋体" w:cs="宋体" w:eastAsia="宋体" w:hint="default"/>
                <w:sz w:val="24"/>
                <w:szCs w:val="24"/>
              </w:rPr>
            </w:pPr>
            <w:r>
              <w:rPr>
                <w:rFonts w:ascii="宋体"/>
                <w:sz w:val="24"/>
              </w:rPr>
              <w:t>1,430,325,852</w:t>
            </w:r>
          </w:p>
        </w:tc>
      </w:tr>
      <w:tr>
        <w:trPr>
          <w:trHeight w:val="1255"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left"/>
              <w:rPr>
                <w:rFonts w:ascii="宋体" w:hAnsi="宋体" w:cs="宋体" w:eastAsia="宋体" w:hint="default"/>
                <w:sz w:val="24"/>
                <w:szCs w:val="24"/>
              </w:rPr>
            </w:pPr>
            <w:r>
              <w:rPr>
                <w:rFonts w:ascii="宋体"/>
                <w:sz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357" w:right="0"/>
              <w:jc w:val="left"/>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z w:val="24"/>
                <w:szCs w:val="24"/>
              </w:rPr>
              <w:t>年末</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360" w:right="0"/>
              <w:jc w:val="left"/>
              <w:rPr>
                <w:rFonts w:ascii="宋体" w:hAnsi="宋体" w:cs="宋体" w:eastAsia="宋体" w:hint="default"/>
                <w:sz w:val="24"/>
                <w:szCs w:val="24"/>
              </w:rPr>
            </w:pPr>
            <w:r>
              <w:rPr>
                <w:rFonts w:ascii="宋体" w:hAnsi="宋体" w:cs="宋体" w:eastAsia="宋体" w:hint="default"/>
                <w:sz w:val="24"/>
                <w:szCs w:val="24"/>
              </w:rPr>
              <w:t>2018</w:t>
            </w:r>
            <w:r>
              <w:rPr>
                <w:rFonts w:ascii="宋体" w:hAnsi="宋体" w:cs="宋体" w:eastAsia="宋体" w:hint="default"/>
                <w:sz w:val="24"/>
                <w:szCs w:val="24"/>
              </w:rPr>
              <w:t>年末</w:t>
            </w:r>
            <w:r>
              <w:rPr>
                <w:rFonts w:ascii="宋体" w:hAnsi="宋体" w:cs="宋体" w:eastAsia="宋体" w:hint="default"/>
                <w:sz w:val="24"/>
                <w:szCs w:val="24"/>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本期末比</w:t>
            </w:r>
          </w:p>
          <w:p>
            <w:pPr>
              <w:pStyle w:val="TableParagraph"/>
              <w:spacing w:line="312" w:lineRule="exact" w:before="29"/>
              <w:ind w:right="-1" w:hanging="3"/>
              <w:jc w:val="center"/>
              <w:rPr>
                <w:rFonts w:ascii="宋体" w:hAnsi="宋体" w:cs="宋体" w:eastAsia="宋体" w:hint="default"/>
                <w:sz w:val="24"/>
                <w:szCs w:val="24"/>
              </w:rPr>
            </w:pPr>
            <w:r>
              <w:rPr>
                <w:rFonts w:ascii="宋体" w:hAnsi="宋体" w:cs="宋体" w:eastAsia="宋体" w:hint="default"/>
                <w:sz w:val="24"/>
                <w:szCs w:val="24"/>
              </w:rPr>
              <w:t>上年同期 </w:t>
            </w:r>
            <w:r>
              <w:rPr>
                <w:rFonts w:ascii="宋体" w:hAnsi="宋体" w:cs="宋体" w:eastAsia="宋体" w:hint="default"/>
                <w:spacing w:val="-20"/>
                <w:sz w:val="24"/>
                <w:szCs w:val="24"/>
              </w:rPr>
              <w:t>末增减（</w:t>
            </w:r>
            <w:r>
              <w:rPr>
                <w:rFonts w:ascii="宋体" w:hAnsi="宋体" w:cs="宋体" w:eastAsia="宋体" w:hint="default"/>
                <w:spacing w:val="-20"/>
                <w:sz w:val="24"/>
                <w:szCs w:val="24"/>
              </w:rPr>
              <w:t>%</w:t>
            </w:r>
          </w:p>
          <w:p>
            <w:pPr>
              <w:pStyle w:val="TableParagraph"/>
              <w:spacing w:line="281" w:lineRule="exact"/>
              <w:ind w:left="117" w:right="0"/>
              <w:jc w:val="center"/>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360" w:right="0"/>
              <w:jc w:val="left"/>
              <w:rPr>
                <w:rFonts w:ascii="宋体" w:hAnsi="宋体" w:cs="宋体" w:eastAsia="宋体" w:hint="default"/>
                <w:sz w:val="24"/>
                <w:szCs w:val="24"/>
              </w:rPr>
            </w:pPr>
            <w:r>
              <w:rPr>
                <w:rFonts w:ascii="宋体" w:hAnsi="宋体" w:cs="宋体" w:eastAsia="宋体" w:hint="default"/>
                <w:sz w:val="24"/>
                <w:szCs w:val="24"/>
              </w:rPr>
              <w:t>2017</w:t>
            </w:r>
            <w:r>
              <w:rPr>
                <w:rFonts w:ascii="宋体" w:hAnsi="宋体" w:cs="宋体" w:eastAsia="宋体" w:hint="default"/>
                <w:sz w:val="24"/>
                <w:szCs w:val="24"/>
              </w:rPr>
              <w:t>年末</w:t>
            </w:r>
            <w:r>
              <w:rPr>
                <w:rFonts w:ascii="宋体" w:hAnsi="宋体" w:cs="宋体" w:eastAsia="宋体" w:hint="default"/>
                <w:sz w:val="24"/>
                <w:szCs w:val="24"/>
              </w:rPr>
              <w:t> </w:t>
            </w:r>
          </w:p>
        </w:tc>
      </w:tr>
      <w:tr>
        <w:trPr>
          <w:trHeight w:val="634"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left"/>
              <w:rPr>
                <w:rFonts w:ascii="宋体" w:hAnsi="宋体" w:cs="宋体" w:eastAsia="宋体" w:hint="default"/>
                <w:sz w:val="24"/>
                <w:szCs w:val="24"/>
              </w:rPr>
            </w:pPr>
            <w:r>
              <w:rPr>
                <w:rFonts w:ascii="宋体" w:hAnsi="宋体" w:cs="宋体" w:eastAsia="宋体" w:hint="default"/>
                <w:spacing w:val="11"/>
                <w:sz w:val="24"/>
                <w:szCs w:val="24"/>
              </w:rPr>
              <w:t>归属于上市公司股东的净</w:t>
            </w:r>
          </w:p>
          <w:p>
            <w:pPr>
              <w:pStyle w:val="TableParagraph"/>
              <w:spacing w:line="313" w:lineRule="exact"/>
              <w:ind w:right="0"/>
              <w:jc w:val="left"/>
              <w:rPr>
                <w:rFonts w:ascii="宋体" w:hAnsi="宋体" w:cs="宋体" w:eastAsia="宋体" w:hint="default"/>
                <w:sz w:val="24"/>
                <w:szCs w:val="24"/>
              </w:rPr>
            </w:pPr>
            <w:r>
              <w:rPr>
                <w:rFonts w:ascii="宋体" w:hAnsi="宋体" w:cs="宋体" w:eastAsia="宋体" w:hint="default"/>
                <w:sz w:val="24"/>
                <w:szCs w:val="24"/>
              </w:rPr>
              <w:t>资产</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7,172,633,891</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6,570,697,503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right"/>
              <w:rPr>
                <w:rFonts w:ascii="宋体" w:hAnsi="宋体" w:cs="宋体" w:eastAsia="宋体" w:hint="default"/>
                <w:sz w:val="24"/>
                <w:szCs w:val="24"/>
              </w:rPr>
            </w:pPr>
            <w:r>
              <w:rPr>
                <w:rFonts w:ascii="宋体"/>
                <w:sz w:val="24"/>
              </w:rPr>
              <w:t>9.2</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right"/>
              <w:rPr>
                <w:rFonts w:ascii="宋体" w:hAnsi="宋体" w:cs="宋体" w:eastAsia="宋体" w:hint="default"/>
                <w:sz w:val="24"/>
                <w:szCs w:val="24"/>
              </w:rPr>
            </w:pPr>
            <w:r>
              <w:rPr>
                <w:rFonts w:ascii="宋体"/>
                <w:sz w:val="24"/>
              </w:rPr>
              <w:t>5,849,167,848</w:t>
            </w:r>
          </w:p>
        </w:tc>
      </w:tr>
      <w:tr>
        <w:trPr>
          <w:trHeight w:val="319"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left"/>
              <w:rPr>
                <w:rFonts w:ascii="宋体" w:hAnsi="宋体" w:cs="宋体" w:eastAsia="宋体" w:hint="default"/>
                <w:sz w:val="24"/>
                <w:szCs w:val="24"/>
              </w:rPr>
            </w:pPr>
            <w:r>
              <w:rPr>
                <w:rFonts w:ascii="宋体" w:hAnsi="宋体" w:cs="宋体" w:eastAsia="宋体" w:hint="default"/>
                <w:sz w:val="24"/>
                <w:szCs w:val="24"/>
              </w:rPr>
              <w:t>总资产</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 w:right="0"/>
              <w:jc w:val="right"/>
              <w:rPr>
                <w:rFonts w:ascii="宋体" w:hAnsi="宋体" w:cs="宋体" w:eastAsia="宋体" w:hint="default"/>
                <w:sz w:val="24"/>
                <w:szCs w:val="24"/>
              </w:rPr>
            </w:pPr>
            <w:r>
              <w:rPr>
                <w:rFonts w:ascii="宋体"/>
                <w:sz w:val="24"/>
              </w:rPr>
              <w:t>17,538,382,707</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15,220,896,594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right"/>
              <w:rPr>
                <w:rFonts w:ascii="宋体" w:hAnsi="宋体" w:cs="宋体" w:eastAsia="宋体" w:hint="default"/>
                <w:sz w:val="24"/>
                <w:szCs w:val="24"/>
              </w:rPr>
            </w:pPr>
            <w:r>
              <w:rPr>
                <w:rFonts w:ascii="宋体"/>
                <w:sz w:val="24"/>
              </w:rPr>
              <w:t>15.2</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right"/>
              <w:rPr>
                <w:rFonts w:ascii="宋体" w:hAnsi="宋体" w:cs="宋体" w:eastAsia="宋体" w:hint="default"/>
                <w:sz w:val="24"/>
                <w:szCs w:val="24"/>
              </w:rPr>
            </w:pPr>
            <w:r>
              <w:rPr>
                <w:rFonts w:ascii="宋体"/>
                <w:sz w:val="24"/>
              </w:rPr>
              <w:t>14,033,979,575</w:t>
            </w:r>
          </w:p>
        </w:tc>
      </w:tr>
      <w:tr>
        <w:trPr>
          <w:trHeight w:val="322"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left"/>
              <w:rPr>
                <w:rFonts w:ascii="宋体" w:hAnsi="宋体" w:cs="宋体" w:eastAsia="宋体" w:hint="default"/>
                <w:sz w:val="24"/>
                <w:szCs w:val="24"/>
              </w:rPr>
            </w:pPr>
            <w:r>
              <w:rPr>
                <w:rFonts w:ascii="宋体" w:hAnsi="宋体" w:cs="宋体" w:eastAsia="宋体" w:hint="default"/>
                <w:sz w:val="24"/>
                <w:szCs w:val="24"/>
              </w:rPr>
              <w:t>期末总股本</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right"/>
              <w:rPr>
                <w:rFonts w:ascii="宋体" w:hAnsi="宋体" w:cs="宋体" w:eastAsia="宋体" w:hint="default"/>
                <w:sz w:val="24"/>
                <w:szCs w:val="24"/>
              </w:rPr>
            </w:pPr>
            <w:r>
              <w:rPr>
                <w:rFonts w:ascii="宋体"/>
                <w:sz w:val="24"/>
              </w:rPr>
              <w:t>2,503,898,164</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right"/>
              <w:rPr>
                <w:rFonts w:ascii="宋体" w:hAnsi="宋体" w:cs="宋体" w:eastAsia="宋体" w:hint="default"/>
                <w:sz w:val="24"/>
                <w:szCs w:val="24"/>
              </w:rPr>
            </w:pPr>
            <w:r>
              <w:rPr>
                <w:rFonts w:ascii="宋体"/>
                <w:sz w:val="24"/>
              </w:rPr>
              <w:t>1,917,832,792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right"/>
              <w:rPr>
                <w:rFonts w:ascii="宋体" w:hAnsi="宋体" w:cs="宋体" w:eastAsia="宋体" w:hint="default"/>
                <w:sz w:val="24"/>
                <w:szCs w:val="24"/>
              </w:rPr>
            </w:pPr>
            <w:r>
              <w:rPr>
                <w:rFonts w:ascii="宋体"/>
                <w:sz w:val="24"/>
              </w:rPr>
              <w:t>30.6</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right"/>
              <w:rPr>
                <w:rFonts w:ascii="宋体" w:hAnsi="宋体" w:cs="宋体" w:eastAsia="宋体" w:hint="default"/>
                <w:sz w:val="24"/>
                <w:szCs w:val="24"/>
              </w:rPr>
            </w:pPr>
            <w:r>
              <w:rPr>
                <w:rFonts w:ascii="宋体"/>
                <w:sz w:val="24"/>
              </w:rPr>
              <w:t>1,464,217,811</w:t>
            </w:r>
          </w:p>
        </w:tc>
      </w:tr>
      <w:tr>
        <w:trPr>
          <w:trHeight w:val="322"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left"/>
              <w:rPr>
                <w:rFonts w:ascii="宋体" w:hAnsi="宋体" w:cs="宋体" w:eastAsia="宋体" w:hint="default"/>
                <w:sz w:val="24"/>
                <w:szCs w:val="24"/>
              </w:rPr>
            </w:pPr>
            <w:r>
              <w:rPr>
                <w:rFonts w:ascii="宋体" w:hAnsi="宋体" w:cs="宋体" w:eastAsia="宋体" w:hint="default"/>
                <w:sz w:val="24"/>
                <w:szCs w:val="24"/>
              </w:rPr>
              <w:t>负债总额</w:t>
            </w:r>
            <w:r>
              <w:rPr>
                <w:rFonts w:ascii="宋体" w:hAnsi="宋体" w:cs="宋体" w:eastAsia="宋体" w:hint="default"/>
                <w:sz w:val="24"/>
                <w:szCs w:val="24"/>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9,244,192,784</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7,568,933,449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right"/>
              <w:rPr>
                <w:rFonts w:ascii="宋体" w:hAnsi="宋体" w:cs="宋体" w:eastAsia="宋体" w:hint="default"/>
                <w:sz w:val="24"/>
                <w:szCs w:val="24"/>
              </w:rPr>
            </w:pPr>
            <w:r>
              <w:rPr>
                <w:rFonts w:ascii="宋体"/>
                <w:sz w:val="24"/>
              </w:rPr>
              <w:t>22.1</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right"/>
              <w:rPr>
                <w:rFonts w:ascii="宋体" w:hAnsi="宋体" w:cs="宋体" w:eastAsia="宋体" w:hint="default"/>
                <w:sz w:val="24"/>
                <w:szCs w:val="24"/>
              </w:rPr>
            </w:pPr>
            <w:r>
              <w:rPr>
                <w:rFonts w:ascii="宋体"/>
                <w:sz w:val="24"/>
              </w:rPr>
              <w:t>7,292,950,599</w:t>
            </w:r>
          </w:p>
        </w:tc>
      </w:tr>
    </w:tbl>
    <w:p>
      <w:pPr>
        <w:spacing w:line="240" w:lineRule="exact" w:before="0"/>
        <w:ind w:left="216" w:right="0" w:firstLine="0"/>
        <w:jc w:val="left"/>
        <w:rPr>
          <w:rFonts w:ascii="宋体" w:hAnsi="宋体" w:cs="宋体" w:eastAsia="宋体" w:hint="default"/>
          <w:sz w:val="21"/>
          <w:szCs w:val="21"/>
        </w:rPr>
      </w:pPr>
      <w:r>
        <w:rPr>
          <w:rFonts w:ascii="宋体"/>
          <w:w w:val="100"/>
          <w:sz w:val="21"/>
        </w:rPr>
        <w:t> </w:t>
      </w:r>
    </w:p>
    <w:p>
      <w:pPr>
        <w:spacing w:line="274" w:lineRule="exact" w:before="0"/>
        <w:ind w:left="216" w:right="0" w:firstLine="0"/>
        <w:jc w:val="left"/>
        <w:rPr>
          <w:rFonts w:ascii="宋体" w:hAnsi="宋体" w:cs="宋体" w:eastAsia="宋体" w:hint="default"/>
          <w:sz w:val="21"/>
          <w:szCs w:val="21"/>
        </w:rPr>
      </w:pPr>
      <w:r>
        <w:rPr>
          <w:rFonts w:ascii="宋体"/>
          <w:w w:val="100"/>
          <w:sz w:val="21"/>
        </w:rPr>
        <w:t> </w:t>
      </w:r>
    </w:p>
    <w:p>
      <w:pPr>
        <w:pStyle w:val="Heading2"/>
        <w:tabs>
          <w:tab w:pos="1057" w:val="left" w:leader="none"/>
        </w:tabs>
        <w:spacing w:line="240" w:lineRule="auto" w:before="50"/>
        <w:ind w:right="0"/>
        <w:jc w:val="left"/>
        <w:rPr>
          <w:rFonts w:ascii="宋体" w:hAnsi="宋体" w:cs="宋体" w:eastAsia="宋体" w:hint="default"/>
          <w:b w:val="0"/>
          <w:bCs w:val="0"/>
        </w:rPr>
      </w:pPr>
      <w:r>
        <w:rPr>
          <w:rFonts w:ascii="宋体" w:hAnsi="宋体" w:cs="宋体" w:eastAsia="宋体" w:hint="default"/>
          <w:w w:val="95"/>
        </w:rPr>
        <w:t>(</w:t>
      </w:r>
      <w:r>
        <w:rPr>
          <w:w w:val="95"/>
        </w:rPr>
        <w:t>二</w:t>
      </w:r>
      <w:r>
        <w:rPr>
          <w:rFonts w:ascii="宋体" w:hAnsi="宋体" w:cs="宋体" w:eastAsia="宋体" w:hint="default"/>
          <w:w w:val="95"/>
        </w:rPr>
        <w:t>)</w:t>
        <w:tab/>
      </w:r>
      <w:r>
        <w:rPr/>
        <w:t>主要财务指标</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28"/>
          <w:szCs w:val="28"/>
        </w:rPr>
      </w:pPr>
    </w:p>
    <w:tbl>
      <w:tblPr>
        <w:tblW w:w="0" w:type="auto"/>
        <w:jc w:val="left"/>
        <w:tblInd w:w="103" w:type="dxa"/>
        <w:tblLayout w:type="fixed"/>
        <w:tblCellMar>
          <w:top w:w="0" w:type="dxa"/>
          <w:left w:w="0" w:type="dxa"/>
          <w:bottom w:w="0" w:type="dxa"/>
          <w:right w:w="0" w:type="dxa"/>
        </w:tblCellMar>
        <w:tblLook w:val="01E0"/>
      </w:tblPr>
      <w:tblGrid>
        <w:gridCol w:w="3342"/>
        <w:gridCol w:w="1308"/>
        <w:gridCol w:w="1325"/>
        <w:gridCol w:w="1538"/>
        <w:gridCol w:w="1537"/>
      </w:tblGrid>
      <w:tr>
        <w:trPr>
          <w:trHeight w:val="631" w:hRule="exact"/>
        </w:trPr>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946" w:right="0"/>
              <w:jc w:val="left"/>
              <w:rPr>
                <w:rFonts w:ascii="宋体" w:hAnsi="宋体" w:cs="宋体" w:eastAsia="宋体" w:hint="default"/>
                <w:sz w:val="24"/>
                <w:szCs w:val="24"/>
              </w:rPr>
            </w:pPr>
            <w:r>
              <w:rPr>
                <w:rFonts w:ascii="宋体" w:hAnsi="宋体" w:cs="宋体" w:eastAsia="宋体" w:hint="default"/>
                <w:sz w:val="24"/>
                <w:szCs w:val="24"/>
              </w:rPr>
              <w:t>主要财务指标</w:t>
            </w:r>
            <w:r>
              <w:rPr>
                <w:rFonts w:ascii="宋体" w:hAnsi="宋体" w:cs="宋体" w:eastAsia="宋体" w:hint="default"/>
                <w:sz w:val="24"/>
                <w:szCs w:val="24"/>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285" w:right="0"/>
              <w:jc w:val="left"/>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z w:val="24"/>
                <w:szCs w:val="24"/>
              </w:rPr>
              <w:t>年</w:t>
            </w:r>
            <w:r>
              <w:rPr>
                <w:rFonts w:ascii="宋体" w:hAnsi="宋体" w:cs="宋体" w:eastAsia="宋体" w:hint="default"/>
                <w:sz w:val="24"/>
                <w:szCs w:val="24"/>
              </w:rPr>
              <w:t>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295" w:right="0"/>
              <w:jc w:val="left"/>
              <w:rPr>
                <w:rFonts w:ascii="宋体" w:hAnsi="宋体" w:cs="宋体" w:eastAsia="宋体" w:hint="default"/>
                <w:sz w:val="24"/>
                <w:szCs w:val="24"/>
              </w:rPr>
            </w:pPr>
            <w:r>
              <w:rPr>
                <w:rFonts w:ascii="宋体" w:hAnsi="宋体" w:cs="宋体" w:eastAsia="宋体" w:hint="default"/>
                <w:sz w:val="24"/>
                <w:szCs w:val="24"/>
              </w:rPr>
              <w:t>2018</w:t>
            </w:r>
            <w:r>
              <w:rPr>
                <w:rFonts w:ascii="宋体" w:hAnsi="宋体" w:cs="宋体" w:eastAsia="宋体" w:hint="default"/>
                <w:sz w:val="24"/>
                <w:szCs w:val="24"/>
              </w:rPr>
              <w:t>年</w:t>
            </w:r>
            <w:r>
              <w:rPr>
                <w:rFonts w:ascii="宋体" w:hAnsi="宋体" w:cs="宋体" w:eastAsia="宋体" w:hint="default"/>
                <w:sz w:val="24"/>
                <w:szCs w:val="24"/>
              </w:rPr>
              <w:t>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13" w:firstLine="60"/>
              <w:jc w:val="left"/>
              <w:rPr>
                <w:rFonts w:ascii="宋体" w:hAnsi="宋体" w:cs="宋体" w:eastAsia="宋体" w:hint="default"/>
                <w:sz w:val="24"/>
                <w:szCs w:val="24"/>
              </w:rPr>
            </w:pPr>
            <w:r>
              <w:rPr>
                <w:rFonts w:ascii="宋体" w:hAnsi="宋体" w:cs="宋体" w:eastAsia="宋体" w:hint="default"/>
                <w:sz w:val="24"/>
                <w:szCs w:val="24"/>
              </w:rPr>
              <w:t>本期比上年</w:t>
            </w:r>
          </w:p>
          <w:p>
            <w:pPr>
              <w:pStyle w:val="TableParagraph"/>
              <w:spacing w:line="313" w:lineRule="exact"/>
              <w:ind w:left="100" w:right="-13"/>
              <w:jc w:val="left"/>
              <w:rPr>
                <w:rFonts w:ascii="宋体" w:hAnsi="宋体" w:cs="宋体" w:eastAsia="宋体" w:hint="default"/>
                <w:sz w:val="24"/>
                <w:szCs w:val="24"/>
              </w:rPr>
            </w:pPr>
            <w:r>
              <w:rPr>
                <w:rFonts w:ascii="宋体" w:hAnsi="宋体" w:cs="宋体" w:eastAsia="宋体" w:hint="default"/>
                <w:sz w:val="24"/>
                <w:szCs w:val="24"/>
              </w:rPr>
              <w:t>同期增减</w:t>
            </w:r>
            <w:r>
              <w:rPr>
                <w:rFonts w:ascii="宋体" w:hAnsi="宋体" w:cs="宋体" w:eastAsia="宋体" w:hint="default"/>
                <w:sz w:val="24"/>
                <w:szCs w:val="24"/>
              </w:rPr>
              <w:t>(%) </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01" w:right="0"/>
              <w:jc w:val="left"/>
              <w:rPr>
                <w:rFonts w:ascii="宋体" w:hAnsi="宋体" w:cs="宋体" w:eastAsia="宋体" w:hint="default"/>
                <w:sz w:val="24"/>
                <w:szCs w:val="24"/>
              </w:rPr>
            </w:pPr>
            <w:r>
              <w:rPr>
                <w:rFonts w:ascii="宋体" w:hAnsi="宋体" w:cs="宋体" w:eastAsia="宋体" w:hint="default"/>
                <w:sz w:val="24"/>
                <w:szCs w:val="24"/>
              </w:rPr>
              <w:t>2017</w:t>
            </w:r>
            <w:r>
              <w:rPr>
                <w:rFonts w:ascii="宋体" w:hAnsi="宋体" w:cs="宋体" w:eastAsia="宋体" w:hint="default"/>
                <w:sz w:val="24"/>
                <w:szCs w:val="24"/>
              </w:rPr>
              <w:t>年</w:t>
            </w:r>
            <w:r>
              <w:rPr>
                <w:rFonts w:ascii="宋体" w:hAnsi="宋体" w:cs="宋体" w:eastAsia="宋体" w:hint="default"/>
                <w:sz w:val="24"/>
                <w:szCs w:val="24"/>
              </w:rPr>
              <w:t> </w:t>
            </w:r>
          </w:p>
        </w:tc>
      </w:tr>
      <w:tr>
        <w:trPr>
          <w:trHeight w:val="322" w:hRule="exact"/>
        </w:trPr>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基本每股收益（元／股）</w:t>
            </w:r>
            <w:r>
              <w:rPr>
                <w:rFonts w:ascii="宋体" w:hAnsi="宋体" w:cs="宋体" w:eastAsia="宋体" w:hint="default"/>
                <w:sz w:val="24"/>
                <w:szCs w:val="24"/>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 0.48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0.25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92.0 </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0.16 </w:t>
            </w:r>
          </w:p>
        </w:tc>
      </w:tr>
      <w:tr>
        <w:trPr>
          <w:trHeight w:val="322" w:hRule="exact"/>
        </w:trPr>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稀释每股收益（元／股）</w:t>
            </w:r>
            <w:r>
              <w:rPr>
                <w:rFonts w:ascii="宋体" w:hAnsi="宋体" w:cs="宋体" w:eastAsia="宋体" w:hint="default"/>
                <w:sz w:val="24"/>
                <w:szCs w:val="24"/>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0.48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0.25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92.0 </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0.16 </w:t>
            </w:r>
          </w:p>
        </w:tc>
      </w:tr>
      <w:tr>
        <w:trPr>
          <w:trHeight w:val="634" w:hRule="exact"/>
        </w:trPr>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扣除非经常性损益后的基本每</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股收益（元／股）</w:t>
            </w:r>
            <w:r>
              <w:rPr>
                <w:rFonts w:ascii="宋体" w:hAnsi="宋体" w:cs="宋体" w:eastAsia="宋体" w:hint="default"/>
                <w:sz w:val="24"/>
                <w:szCs w:val="24"/>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5"/>
              <w:jc w:val="right"/>
              <w:rPr>
                <w:rFonts w:ascii="宋体" w:hAnsi="宋体" w:cs="宋体" w:eastAsia="宋体" w:hint="default"/>
                <w:sz w:val="24"/>
                <w:szCs w:val="24"/>
              </w:rPr>
            </w:pPr>
            <w:r>
              <w:rPr>
                <w:rFonts w:ascii="宋体"/>
                <w:sz w:val="24"/>
              </w:rPr>
              <w:t>0.27 </w:t>
            </w:r>
          </w:p>
          <w:p>
            <w:pPr>
              <w:pStyle w:val="TableParagraph"/>
              <w:spacing w:line="313" w:lineRule="exact"/>
              <w:ind w:right="-15"/>
              <w:jc w:val="right"/>
              <w:rPr>
                <w:rFonts w:ascii="宋体" w:hAnsi="宋体" w:cs="宋体" w:eastAsia="宋体" w:hint="default"/>
                <w:sz w:val="24"/>
                <w:szCs w:val="24"/>
              </w:rPr>
            </w:pPr>
            <w:r>
              <w:rPr>
                <w:rFonts w:ascii="宋体"/>
                <w:sz w:val="24"/>
              </w:rPr>
              <w:t>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0.22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22.7 </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0.12 </w:t>
            </w:r>
          </w:p>
        </w:tc>
      </w:tr>
      <w:tr>
        <w:trPr>
          <w:trHeight w:val="632" w:hRule="exact"/>
        </w:trPr>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加权平均净资产收益率（</w:t>
            </w:r>
            <w:r>
              <w:rPr>
                <w:rFonts w:ascii="宋体" w:hAnsi="宋体" w:cs="宋体" w:eastAsia="宋体" w:hint="default"/>
                <w:sz w:val="24"/>
                <w:szCs w:val="24"/>
              </w:rPr>
              <w:t>%</w:t>
            </w:r>
            <w:r>
              <w:rPr>
                <w:rFonts w:ascii="宋体" w:hAnsi="宋体" w:cs="宋体" w:eastAsia="宋体" w:hint="default"/>
                <w:sz w:val="24"/>
                <w:szCs w:val="24"/>
              </w:rPr>
              <w:t>）</w:t>
            </w:r>
            <w:r>
              <w:rPr>
                <w:rFonts w:ascii="宋体" w:hAnsi="宋体" w:cs="宋体" w:eastAsia="宋体" w:hint="default"/>
                <w:sz w:val="24"/>
                <w:szCs w:val="24"/>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18.35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10.27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23" w:right="0"/>
              <w:jc w:val="left"/>
              <w:rPr>
                <w:rFonts w:ascii="宋体" w:hAnsi="宋体" w:cs="宋体" w:eastAsia="宋体" w:hint="default"/>
                <w:sz w:val="24"/>
                <w:szCs w:val="24"/>
              </w:rPr>
            </w:pPr>
            <w:r>
              <w:rPr>
                <w:rFonts w:ascii="宋体" w:hAnsi="宋体" w:cs="宋体" w:eastAsia="宋体" w:hint="default"/>
                <w:sz w:val="24"/>
                <w:szCs w:val="24"/>
              </w:rPr>
              <w:t>增加</w:t>
            </w:r>
            <w:r>
              <w:rPr>
                <w:rFonts w:ascii="宋体" w:hAnsi="宋体" w:cs="宋体" w:eastAsia="宋体" w:hint="default"/>
                <w:sz w:val="24"/>
                <w:szCs w:val="24"/>
              </w:rPr>
              <w:t>8.08</w:t>
            </w:r>
            <w:r>
              <w:rPr>
                <w:rFonts w:ascii="宋体" w:hAnsi="宋体" w:cs="宋体" w:eastAsia="宋体" w:hint="default"/>
                <w:sz w:val="24"/>
                <w:szCs w:val="24"/>
              </w:rPr>
              <w:t>个</w:t>
            </w:r>
          </w:p>
          <w:p>
            <w:pPr>
              <w:pStyle w:val="TableParagraph"/>
              <w:spacing w:line="313" w:lineRule="exact"/>
              <w:ind w:left="703" w:right="-15"/>
              <w:jc w:val="left"/>
              <w:rPr>
                <w:rFonts w:ascii="宋体" w:hAnsi="宋体" w:cs="宋体" w:eastAsia="宋体" w:hint="default"/>
                <w:sz w:val="24"/>
                <w:szCs w:val="24"/>
              </w:rPr>
            </w:pPr>
            <w:r>
              <w:rPr>
                <w:rFonts w:ascii="宋体" w:hAnsi="宋体" w:cs="宋体" w:eastAsia="宋体" w:hint="default"/>
                <w:sz w:val="24"/>
                <w:szCs w:val="24"/>
              </w:rPr>
              <w:t>百分点</w:t>
            </w:r>
            <w:r>
              <w:rPr>
                <w:rFonts w:ascii="宋体" w:hAnsi="宋体" w:cs="宋体" w:eastAsia="宋体" w:hint="default"/>
                <w:sz w:val="24"/>
                <w:szCs w:val="24"/>
              </w:rPr>
              <w:t> </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6.71 </w:t>
            </w:r>
          </w:p>
        </w:tc>
      </w:tr>
      <w:tr>
        <w:trPr>
          <w:trHeight w:val="634" w:hRule="exact"/>
        </w:trPr>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扣除非经常性损益后的加权平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均净资产收益率（</w:t>
            </w:r>
            <w:r>
              <w:rPr>
                <w:rFonts w:ascii="宋体" w:hAnsi="宋体" w:cs="宋体" w:eastAsia="宋体" w:hint="default"/>
                <w:sz w:val="24"/>
                <w:szCs w:val="24"/>
              </w:rPr>
              <w:t>%</w:t>
            </w:r>
            <w:r>
              <w:rPr>
                <w:rFonts w:ascii="宋体" w:hAnsi="宋体" w:cs="宋体" w:eastAsia="宋体" w:hint="default"/>
                <w:sz w:val="24"/>
                <w:szCs w:val="24"/>
              </w:rPr>
              <w:t>）</w:t>
            </w:r>
            <w:r>
              <w:rPr>
                <w:rFonts w:ascii="宋体" w:hAnsi="宋体" w:cs="宋体" w:eastAsia="宋体" w:hint="default"/>
                <w:sz w:val="24"/>
                <w:szCs w:val="24"/>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10.47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8.93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23" w:right="0"/>
              <w:jc w:val="left"/>
              <w:rPr>
                <w:rFonts w:ascii="宋体" w:hAnsi="宋体" w:cs="宋体" w:eastAsia="宋体" w:hint="default"/>
                <w:sz w:val="24"/>
                <w:szCs w:val="24"/>
              </w:rPr>
            </w:pPr>
            <w:r>
              <w:rPr>
                <w:rFonts w:ascii="宋体" w:hAnsi="宋体" w:cs="宋体" w:eastAsia="宋体" w:hint="default"/>
                <w:sz w:val="24"/>
                <w:szCs w:val="24"/>
              </w:rPr>
              <w:t>增加</w:t>
            </w:r>
            <w:r>
              <w:rPr>
                <w:rFonts w:ascii="宋体" w:hAnsi="宋体" w:cs="宋体" w:eastAsia="宋体" w:hint="default"/>
                <w:sz w:val="24"/>
                <w:szCs w:val="24"/>
              </w:rPr>
              <w:t>1.54</w:t>
            </w:r>
            <w:r>
              <w:rPr>
                <w:rFonts w:ascii="宋体" w:hAnsi="宋体" w:cs="宋体" w:eastAsia="宋体" w:hint="default"/>
                <w:sz w:val="24"/>
                <w:szCs w:val="24"/>
              </w:rPr>
              <w:t>个</w:t>
            </w:r>
          </w:p>
          <w:p>
            <w:pPr>
              <w:pStyle w:val="TableParagraph"/>
              <w:spacing w:line="313" w:lineRule="exact"/>
              <w:ind w:left="703" w:right="-15"/>
              <w:jc w:val="left"/>
              <w:rPr>
                <w:rFonts w:ascii="宋体" w:hAnsi="宋体" w:cs="宋体" w:eastAsia="宋体" w:hint="default"/>
                <w:sz w:val="24"/>
                <w:szCs w:val="24"/>
              </w:rPr>
            </w:pPr>
            <w:r>
              <w:rPr>
                <w:rFonts w:ascii="宋体" w:hAnsi="宋体" w:cs="宋体" w:eastAsia="宋体" w:hint="default"/>
                <w:sz w:val="24"/>
                <w:szCs w:val="24"/>
              </w:rPr>
              <w:t>百分点</w:t>
            </w:r>
            <w:r>
              <w:rPr>
                <w:rFonts w:ascii="宋体" w:hAnsi="宋体" w:cs="宋体" w:eastAsia="宋体" w:hint="default"/>
                <w:sz w:val="24"/>
                <w:szCs w:val="24"/>
              </w:rPr>
              <w:t> </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5.05 </w:t>
            </w:r>
          </w:p>
        </w:tc>
      </w:tr>
      <w:tr>
        <w:trPr>
          <w:trHeight w:val="631" w:hRule="exact"/>
        </w:trPr>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每股经营活动产生的现金流量</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净额（元／股）</w:t>
            </w:r>
            <w:r>
              <w:rPr>
                <w:rFonts w:ascii="宋体" w:hAnsi="宋体" w:cs="宋体" w:eastAsia="宋体" w:hint="default"/>
                <w:sz w:val="24"/>
                <w:szCs w:val="24"/>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0.62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0.83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-25.3 </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0.58 </w:t>
            </w:r>
          </w:p>
        </w:tc>
      </w:tr>
      <w:tr>
        <w:trPr>
          <w:trHeight w:val="634" w:hRule="exact"/>
        </w:trPr>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归属于上市公司股东的每股净</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资产（元／股）</w:t>
            </w:r>
            <w:r>
              <w:rPr>
                <w:rFonts w:ascii="宋体" w:hAnsi="宋体" w:cs="宋体" w:eastAsia="宋体" w:hint="default"/>
                <w:sz w:val="24"/>
                <w:szCs w:val="24"/>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2.86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2.64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8.3 </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2.36 </w:t>
            </w:r>
          </w:p>
        </w:tc>
      </w:tr>
      <w:tr>
        <w:trPr>
          <w:trHeight w:val="634" w:hRule="exact"/>
        </w:trPr>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资产负债率（</w:t>
            </w:r>
            <w:r>
              <w:rPr>
                <w:rFonts w:ascii="宋体" w:hAnsi="宋体" w:cs="宋体" w:eastAsia="宋体" w:hint="default"/>
                <w:sz w:val="24"/>
                <w:szCs w:val="24"/>
              </w:rPr>
              <w:t>%</w:t>
            </w:r>
            <w:r>
              <w:rPr>
                <w:rFonts w:ascii="宋体" w:hAnsi="宋体" w:cs="宋体" w:eastAsia="宋体" w:hint="default"/>
                <w:sz w:val="24"/>
                <w:szCs w:val="24"/>
              </w:rPr>
              <w:t>）</w:t>
            </w:r>
            <w:r>
              <w:rPr>
                <w:rFonts w:ascii="宋体" w:hAnsi="宋体" w:cs="宋体" w:eastAsia="宋体" w:hint="default"/>
                <w:sz w:val="24"/>
                <w:szCs w:val="24"/>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52.7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49.7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增加</w:t>
            </w:r>
            <w:r>
              <w:rPr>
                <w:rFonts w:ascii="宋体" w:hAnsi="宋体" w:cs="宋体" w:eastAsia="宋体" w:hint="default"/>
                <w:sz w:val="24"/>
                <w:szCs w:val="24"/>
              </w:rPr>
              <w:t>3</w:t>
            </w:r>
            <w:r>
              <w:rPr>
                <w:rFonts w:ascii="宋体" w:hAnsi="宋体" w:cs="宋体" w:eastAsia="宋体" w:hint="default"/>
                <w:sz w:val="24"/>
                <w:szCs w:val="24"/>
              </w:rPr>
              <w:t>个百分</w:t>
            </w:r>
          </w:p>
          <w:p>
            <w:pPr>
              <w:pStyle w:val="TableParagraph"/>
              <w:spacing w:line="313" w:lineRule="exact"/>
              <w:ind w:right="-15"/>
              <w:jc w:val="right"/>
              <w:rPr>
                <w:rFonts w:ascii="宋体" w:hAnsi="宋体" w:cs="宋体" w:eastAsia="宋体" w:hint="default"/>
                <w:sz w:val="24"/>
                <w:szCs w:val="24"/>
              </w:rPr>
            </w:pPr>
            <w:r>
              <w:rPr>
                <w:rFonts w:ascii="宋体" w:hAnsi="宋体" w:cs="宋体" w:eastAsia="宋体" w:hint="default"/>
                <w:sz w:val="24"/>
                <w:szCs w:val="24"/>
              </w:rPr>
              <w:t>点</w:t>
            </w:r>
            <w:r>
              <w:rPr>
                <w:rFonts w:ascii="宋体" w:hAnsi="宋体" w:cs="宋体" w:eastAsia="宋体" w:hint="default"/>
                <w:sz w:val="24"/>
                <w:szCs w:val="24"/>
              </w:rPr>
              <w:t> </w:t>
            </w:r>
          </w:p>
        </w:tc>
        <w:tc>
          <w:tcPr>
            <w:tcW w:w="153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52.0 </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8"/>
          <w:szCs w:val="18"/>
        </w:rPr>
      </w:pPr>
    </w:p>
    <w:p>
      <w:pPr>
        <w:pStyle w:val="BodyText"/>
        <w:spacing w:line="312" w:lineRule="exact" w:before="26"/>
        <w:ind w:left="216" w:right="0"/>
        <w:jc w:val="left"/>
      </w:pPr>
      <w:r>
        <w:rPr/>
        <w:t>报告期末公司前三年主要会计数据和财务指标的说明</w:t>
      </w:r>
    </w:p>
    <w:p>
      <w:pPr>
        <w:pStyle w:val="BodyText"/>
        <w:spacing w:line="320" w:lineRule="exact"/>
        <w:ind w:left="216"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pStyle w:val="BodyText"/>
        <w:spacing w:line="237" w:lineRule="auto"/>
        <w:ind w:left="216" w:right="219" w:firstLine="480"/>
        <w:jc w:val="left"/>
        <w:rPr>
          <w:rFonts w:ascii="宋体" w:hAnsi="宋体" w:cs="宋体" w:eastAsia="宋体" w:hint="default"/>
        </w:rPr>
      </w:pPr>
      <w:r>
        <w:rPr>
          <w:spacing w:val="-2"/>
        </w:rPr>
        <w:t>基本每股收益、每股经营活动产生的现金流量净额以报告期加权平均股本为基数</w:t>
      </w:r>
      <w:r>
        <w:rPr/>
        <w:t> 计算，本报告期加权平均股数为</w:t>
      </w:r>
      <w:r>
        <w:rPr>
          <w:spacing w:val="-59"/>
        </w:rPr>
        <w:t> </w:t>
      </w:r>
      <w:r>
        <w:rPr>
          <w:rFonts w:ascii="宋体" w:hAnsi="宋体" w:cs="宋体" w:eastAsia="宋体" w:hint="default"/>
        </w:rPr>
        <w:t>2,463,008,117</w:t>
      </w:r>
      <w:r>
        <w:rPr>
          <w:rFonts w:ascii="宋体" w:hAnsi="宋体" w:cs="宋体" w:eastAsia="宋体" w:hint="default"/>
          <w:spacing w:val="-60"/>
        </w:rPr>
        <w:t> </w:t>
      </w:r>
      <w:r>
        <w:rPr/>
        <w:t>股，</w:t>
      </w:r>
      <w:r>
        <w:rPr>
          <w:rFonts w:ascii="宋体" w:hAnsi="宋体" w:cs="宋体" w:eastAsia="宋体" w:hint="default"/>
        </w:rPr>
        <w:t>2018</w:t>
      </w:r>
      <w:r>
        <w:rPr>
          <w:rFonts w:ascii="宋体" w:hAnsi="宋体" w:cs="宋体" w:eastAsia="宋体" w:hint="default"/>
          <w:spacing w:val="-60"/>
        </w:rPr>
        <w:t> </w:t>
      </w:r>
      <w:r>
        <w:rPr/>
        <w:t>年同期的加权平均股数为 </w:t>
      </w:r>
      <w:r>
        <w:rPr>
          <w:rFonts w:ascii="宋体" w:hAnsi="宋体" w:cs="宋体" w:eastAsia="宋体" w:hint="default"/>
        </w:rPr>
        <w:t>1,888,207,287</w:t>
      </w:r>
      <w:r>
        <w:rPr>
          <w:rFonts w:ascii="宋体" w:hAnsi="宋体" w:cs="宋体" w:eastAsia="宋体" w:hint="default"/>
          <w:spacing w:val="-60"/>
        </w:rPr>
        <w:t> </w:t>
      </w:r>
      <w:r>
        <w:rPr>
          <w:spacing w:val="-4"/>
        </w:rPr>
        <w:t>股，</w:t>
      </w:r>
      <w:r>
        <w:rPr>
          <w:rFonts w:ascii="宋体" w:hAnsi="宋体" w:cs="宋体" w:eastAsia="宋体" w:hint="default"/>
          <w:spacing w:val="-4"/>
        </w:rPr>
        <w:t>2018</w:t>
      </w:r>
      <w:r>
        <w:rPr>
          <w:rFonts w:ascii="宋体" w:hAnsi="宋体" w:cs="宋体" w:eastAsia="宋体" w:hint="default"/>
          <w:spacing w:val="-60"/>
        </w:rPr>
        <w:t> </w:t>
      </w:r>
      <w:r>
        <w:rPr/>
        <w:t>年同期调整后的加权平均股数为</w:t>
      </w:r>
      <w:r>
        <w:rPr>
          <w:spacing w:val="-60"/>
        </w:rPr>
        <w:t> </w:t>
      </w:r>
      <w:r>
        <w:rPr>
          <w:rFonts w:ascii="宋体" w:hAnsi="宋体" w:cs="宋体" w:eastAsia="宋体" w:hint="default"/>
        </w:rPr>
        <w:t>2,454,669,455</w:t>
      </w:r>
      <w:r>
        <w:rPr>
          <w:rFonts w:ascii="宋体" w:hAnsi="宋体" w:cs="宋体" w:eastAsia="宋体" w:hint="default"/>
          <w:spacing w:val="-60"/>
        </w:rPr>
        <w:t> </w:t>
      </w:r>
      <w:r>
        <w:rPr>
          <w:spacing w:val="-5"/>
        </w:rPr>
        <w:t>股；归属于</w:t>
      </w:r>
      <w:r>
        <w:rPr/>
        <w:t> 上市公司股东的每股净资产以报告期末总股数为基数计算，本报告期末总股数为 </w:t>
      </w:r>
      <w:r>
        <w:rPr>
          <w:rFonts w:ascii="宋体" w:hAnsi="宋体" w:cs="宋体" w:eastAsia="宋体" w:hint="default"/>
        </w:rPr>
        <w:t>2,503,898,164</w:t>
      </w:r>
      <w:r>
        <w:rPr>
          <w:rFonts w:ascii="宋体" w:hAnsi="宋体" w:cs="宋体" w:eastAsia="宋体" w:hint="default"/>
          <w:spacing w:val="-60"/>
        </w:rPr>
        <w:t> </w:t>
      </w:r>
      <w:r>
        <w:rPr/>
        <w:t>股，追溯调整后上年同期期末总股数为</w:t>
      </w:r>
      <w:r>
        <w:rPr>
          <w:spacing w:val="-59"/>
        </w:rPr>
        <w:t> </w:t>
      </w:r>
      <w:r>
        <w:rPr>
          <w:rFonts w:ascii="宋体" w:hAnsi="宋体" w:cs="宋体" w:eastAsia="宋体" w:hint="default"/>
        </w:rPr>
        <w:t>2,493,182,630 </w:t>
      </w:r>
      <w:r>
        <w:rPr/>
        <w:t>股。</w:t>
      </w:r>
      <w:r>
        <w:rPr>
          <w:rFonts w:ascii="宋体" w:hAnsi="宋体" w:cs="宋体" w:eastAsia="宋体" w:hint="default"/>
        </w:rPr>
        <w:t> </w:t>
      </w:r>
    </w:p>
    <w:p>
      <w:pPr>
        <w:pStyle w:val="BodyText"/>
        <w:spacing w:line="310" w:lineRule="exact"/>
        <w:ind w:left="216" w:right="0"/>
        <w:jc w:val="left"/>
        <w:rPr>
          <w:rFonts w:ascii="宋体" w:hAnsi="宋体" w:cs="宋体" w:eastAsia="宋体" w:hint="default"/>
        </w:rPr>
      </w:pPr>
      <w:r>
        <w:rPr>
          <w:rFonts w:ascii="宋体"/>
        </w:rPr>
        <w:t> </w:t>
      </w:r>
    </w:p>
    <w:p>
      <w:pPr>
        <w:spacing w:after="0" w:line="310" w:lineRule="exact"/>
        <w:jc w:val="left"/>
        <w:rPr>
          <w:rFonts w:ascii="宋体" w:hAnsi="宋体" w:cs="宋体" w:eastAsia="宋体" w:hint="default"/>
        </w:rPr>
        <w:sectPr>
          <w:pgSz w:w="11910" w:h="16840"/>
          <w:pgMar w:header="880" w:footer="1195" w:top="1120" w:bottom="1380" w:left="1060" w:right="1560"/>
        </w:sectPr>
      </w:pPr>
    </w:p>
    <w:p>
      <w:pPr>
        <w:spacing w:line="240" w:lineRule="auto" w:before="2"/>
        <w:rPr>
          <w:rFonts w:ascii="宋体" w:hAnsi="宋体" w:cs="宋体" w:eastAsia="宋体" w:hint="default"/>
          <w:sz w:val="19"/>
          <w:szCs w:val="19"/>
        </w:rPr>
      </w:pPr>
    </w:p>
    <w:p>
      <w:pPr>
        <w:pStyle w:val="Heading2"/>
        <w:spacing w:line="240" w:lineRule="auto" w:before="26"/>
        <w:ind w:left="376" w:right="216"/>
        <w:jc w:val="left"/>
        <w:rPr>
          <w:b w:val="0"/>
          <w:bCs w:val="0"/>
        </w:rPr>
      </w:pPr>
      <w:r>
        <w:rPr/>
        <w:t>八、</w:t>
      </w:r>
      <w:r>
        <w:rPr>
          <w:spacing w:val="-36"/>
        </w:rPr>
        <w:t> </w:t>
      </w:r>
      <w:r>
        <w:rPr>
          <w:rFonts w:ascii="宋体" w:hAnsi="宋体" w:cs="宋体" w:eastAsia="宋体" w:hint="default"/>
          <w:spacing w:val="-36"/>
        </w:rPr>
      </w:r>
      <w:r>
        <w:rPr/>
        <w:t>境内外会计准则下会计数据差异</w:t>
      </w:r>
      <w:r>
        <w:rPr>
          <w:b w:val="0"/>
          <w:bCs w:val="0"/>
        </w:rPr>
      </w:r>
    </w:p>
    <w:p>
      <w:pPr>
        <w:pStyle w:val="Heading2"/>
        <w:spacing w:line="310" w:lineRule="exact" w:before="90"/>
        <w:ind w:left="797" w:right="216" w:hanging="421"/>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4"/>
        </w:rPr>
        <w:t> </w:t>
      </w:r>
      <w:r>
        <w:rPr>
          <w:spacing w:val="6"/>
        </w:rPr>
        <w:t>同时按照国际会计准则与按中国会计准则披露的财务报告中净利润和归属于上</w:t>
      </w:r>
      <w:r>
        <w:rPr>
          <w:w w:val="99"/>
        </w:rPr>
        <w:t> </w:t>
      </w:r>
      <w:r>
        <w:rPr/>
        <w:t>市公司股东的净资产差异情况</w:t>
      </w:r>
      <w:r>
        <w:rPr>
          <w:b w:val="0"/>
          <w:bCs w:val="0"/>
        </w:rPr>
      </w:r>
    </w:p>
    <w:p>
      <w:pPr>
        <w:pStyle w:val="BodyText"/>
        <w:spacing w:line="240" w:lineRule="auto" w:before="29"/>
        <w:ind w:left="376" w:right="216"/>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8"/>
        <w:rPr>
          <w:rFonts w:ascii="宋体" w:hAnsi="宋体" w:cs="宋体" w:eastAsia="宋体" w:hint="default"/>
          <w:sz w:val="26"/>
          <w:szCs w:val="26"/>
        </w:rPr>
      </w:pPr>
    </w:p>
    <w:p>
      <w:pPr>
        <w:pStyle w:val="Heading2"/>
        <w:spacing w:line="310" w:lineRule="exact"/>
        <w:ind w:left="797" w:right="216" w:hanging="421"/>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41"/>
        </w:rPr>
        <w:t> </w:t>
      </w:r>
      <w:r>
        <w:rPr>
          <w:spacing w:val="7"/>
        </w:rPr>
        <w:t>同时按照境外会计准则与按中国会计准则披露的财务报告中净利润和归属于上</w:t>
      </w:r>
      <w:r>
        <w:rPr>
          <w:spacing w:val="7"/>
          <w:w w:val="99"/>
        </w:rPr>
        <w:t> </w:t>
      </w:r>
      <w:r>
        <w:rPr/>
        <w:t>市公司股东的净资产差异情况</w:t>
      </w:r>
      <w:r>
        <w:rPr>
          <w:b w:val="0"/>
          <w:bCs w:val="0"/>
        </w:rPr>
      </w:r>
    </w:p>
    <w:p>
      <w:pPr>
        <w:pStyle w:val="BodyText"/>
        <w:spacing w:line="240" w:lineRule="auto" w:before="29"/>
        <w:ind w:left="376" w:right="216"/>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376" w:right="216"/>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8"/>
        </w:rPr>
        <w:t> </w:t>
      </w:r>
      <w:r>
        <w:rPr/>
        <w:t>境内外会计准则差异的说明：</w:t>
      </w:r>
      <w:r>
        <w:rPr>
          <w:b w:val="0"/>
          <w:bCs w:val="0"/>
        </w:rPr>
      </w:r>
    </w:p>
    <w:p>
      <w:pPr>
        <w:pStyle w:val="BodyText"/>
        <w:spacing w:line="240" w:lineRule="auto" w:before="25"/>
        <w:ind w:left="376" w:right="216"/>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3"/>
        <w:rPr>
          <w:rFonts w:ascii="宋体" w:hAnsi="宋体" w:cs="宋体" w:eastAsia="宋体" w:hint="default"/>
          <w:sz w:val="22"/>
          <w:szCs w:val="22"/>
        </w:rPr>
      </w:pPr>
    </w:p>
    <w:p>
      <w:pPr>
        <w:pStyle w:val="Heading2"/>
        <w:spacing w:line="240" w:lineRule="auto" w:before="26"/>
        <w:ind w:left="376" w:right="216"/>
        <w:jc w:val="left"/>
        <w:rPr>
          <w:rFonts w:ascii="宋体" w:hAnsi="宋体" w:cs="宋体" w:eastAsia="宋体" w:hint="default"/>
          <w:b w:val="0"/>
          <w:bCs w:val="0"/>
        </w:rPr>
      </w:pPr>
      <w:r>
        <w:rPr/>
        <w:t>九、 </w:t>
      </w:r>
      <w:r>
        <w:rPr>
          <w:rFonts w:ascii="宋体" w:hAnsi="宋体" w:cs="宋体" w:eastAsia="宋体" w:hint="default"/>
        </w:rPr>
        <w:t>2019</w:t>
      </w:r>
      <w:r>
        <w:rPr>
          <w:rFonts w:ascii="宋体" w:hAnsi="宋体" w:cs="宋体" w:eastAsia="宋体" w:hint="default"/>
          <w:spacing w:val="-99"/>
        </w:rPr>
        <w:t> </w:t>
      </w:r>
      <w:r>
        <w:rPr/>
        <w:t>年分季度主要财务数据</w:t>
      </w:r>
      <w:r>
        <w:rPr>
          <w:rFonts w:ascii="宋体" w:hAnsi="宋体" w:cs="宋体" w:eastAsia="宋体" w:hint="default"/>
          <w:w w:val="99"/>
        </w:rPr>
        <w:t> </w:t>
      </w:r>
      <w:r>
        <w:rPr>
          <w:rFonts w:ascii="宋体" w:hAnsi="宋体" w:cs="宋体" w:eastAsia="宋体" w:hint="default"/>
          <w:b w:val="0"/>
          <w:bCs w:val="0"/>
        </w:rPr>
      </w:r>
    </w:p>
    <w:p>
      <w:pPr>
        <w:pStyle w:val="BodyText"/>
        <w:tabs>
          <w:tab w:pos="1199" w:val="left" w:leader="none"/>
        </w:tabs>
        <w:spacing w:line="240" w:lineRule="auto" w:before="58"/>
        <w:ind w:left="0" w:right="233"/>
        <w:jc w:val="right"/>
      </w:pPr>
      <w:r>
        <w:rPr/>
        <w:t>单位：元</w:t>
        <w:tab/>
        <w:t>币种：人民币</w:t>
      </w:r>
    </w:p>
    <w:p>
      <w:pPr>
        <w:spacing w:line="240" w:lineRule="auto" w:before="12"/>
        <w:rPr>
          <w:rFonts w:ascii="宋体" w:hAnsi="宋体" w:cs="宋体" w:eastAsia="宋体" w:hint="default"/>
          <w:sz w:val="2"/>
          <w:szCs w:val="2"/>
        </w:rPr>
      </w:pPr>
    </w:p>
    <w:tbl>
      <w:tblPr>
        <w:tblW w:w="0" w:type="auto"/>
        <w:jc w:val="left"/>
        <w:tblInd w:w="263" w:type="dxa"/>
        <w:tblLayout w:type="fixed"/>
        <w:tblCellMar>
          <w:top w:w="0" w:type="dxa"/>
          <w:left w:w="0" w:type="dxa"/>
          <w:bottom w:w="0" w:type="dxa"/>
          <w:right w:w="0" w:type="dxa"/>
        </w:tblCellMar>
        <w:tblLook w:val="01E0"/>
      </w:tblPr>
      <w:tblGrid>
        <w:gridCol w:w="2122"/>
        <w:gridCol w:w="1702"/>
        <w:gridCol w:w="1702"/>
        <w:gridCol w:w="1699"/>
        <w:gridCol w:w="1702"/>
      </w:tblGrid>
      <w:tr>
        <w:trPr>
          <w:trHeight w:val="554"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w w:val="100"/>
                <w:sz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center"/>
              <w:rPr>
                <w:rFonts w:ascii="宋体" w:hAnsi="宋体" w:cs="宋体" w:eastAsia="宋体" w:hint="default"/>
                <w:sz w:val="21"/>
                <w:szCs w:val="21"/>
              </w:rPr>
            </w:pPr>
            <w:r>
              <w:rPr>
                <w:rFonts w:ascii="宋体" w:hAnsi="宋体" w:cs="宋体" w:eastAsia="宋体" w:hint="default"/>
                <w:sz w:val="21"/>
                <w:szCs w:val="21"/>
              </w:rPr>
              <w:t>第一季度</w:t>
            </w:r>
            <w:r>
              <w:rPr>
                <w:rFonts w:ascii="宋体" w:hAnsi="宋体" w:cs="宋体" w:eastAsia="宋体" w:hint="default"/>
                <w:sz w:val="21"/>
                <w:szCs w:val="21"/>
              </w:rPr>
              <w:t> </w:t>
            </w:r>
          </w:p>
          <w:p>
            <w:pPr>
              <w:pStyle w:val="TableParagraph"/>
              <w:spacing w:line="273" w:lineRule="exact"/>
              <w:ind w:left="105"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1-3</w:t>
            </w:r>
            <w:r>
              <w:rPr>
                <w:rFonts w:ascii="宋体" w:hAnsi="宋体" w:cs="宋体" w:eastAsia="宋体" w:hint="default"/>
                <w:spacing w:val="-55"/>
                <w:sz w:val="21"/>
                <w:szCs w:val="21"/>
              </w:rPr>
              <w:t> </w:t>
            </w:r>
            <w:r>
              <w:rPr>
                <w:rFonts w:ascii="宋体" w:hAnsi="宋体" w:cs="宋体" w:eastAsia="宋体" w:hint="default"/>
                <w:sz w:val="21"/>
                <w:szCs w:val="21"/>
              </w:rPr>
              <w:t>月份）</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2" w:right="0"/>
              <w:jc w:val="center"/>
              <w:rPr>
                <w:rFonts w:ascii="宋体" w:hAnsi="宋体" w:cs="宋体" w:eastAsia="宋体" w:hint="default"/>
                <w:sz w:val="21"/>
                <w:szCs w:val="21"/>
              </w:rPr>
            </w:pPr>
            <w:r>
              <w:rPr>
                <w:rFonts w:ascii="宋体" w:hAnsi="宋体" w:cs="宋体" w:eastAsia="宋体" w:hint="default"/>
                <w:sz w:val="21"/>
                <w:szCs w:val="21"/>
              </w:rPr>
              <w:t>第二季度</w:t>
            </w:r>
            <w:r>
              <w:rPr>
                <w:rFonts w:ascii="宋体" w:hAnsi="宋体" w:cs="宋体" w:eastAsia="宋体" w:hint="default"/>
                <w:sz w:val="21"/>
                <w:szCs w:val="21"/>
              </w:rPr>
              <w:t> </w:t>
            </w:r>
          </w:p>
          <w:p>
            <w:pPr>
              <w:pStyle w:val="TableParagraph"/>
              <w:spacing w:line="273" w:lineRule="exact"/>
              <w:ind w:left="105"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4-6</w:t>
            </w:r>
            <w:r>
              <w:rPr>
                <w:rFonts w:ascii="宋体" w:hAnsi="宋体" w:cs="宋体" w:eastAsia="宋体" w:hint="default"/>
                <w:spacing w:val="-55"/>
                <w:sz w:val="21"/>
                <w:szCs w:val="21"/>
              </w:rPr>
              <w:t> </w:t>
            </w:r>
            <w:r>
              <w:rPr>
                <w:rFonts w:ascii="宋体" w:hAnsi="宋体" w:cs="宋体" w:eastAsia="宋体" w:hint="default"/>
                <w:sz w:val="21"/>
                <w:szCs w:val="21"/>
              </w:rPr>
              <w:t>月份）</w:t>
            </w:r>
            <w:r>
              <w:rPr>
                <w:rFonts w:ascii="宋体" w:hAnsi="宋体" w:cs="宋体" w:eastAsia="宋体" w:hint="default"/>
                <w:sz w:val="21"/>
                <w:szCs w:val="21"/>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center"/>
              <w:rPr>
                <w:rFonts w:ascii="宋体" w:hAnsi="宋体" w:cs="宋体" w:eastAsia="宋体" w:hint="default"/>
                <w:sz w:val="21"/>
                <w:szCs w:val="21"/>
              </w:rPr>
            </w:pPr>
            <w:r>
              <w:rPr>
                <w:rFonts w:ascii="宋体" w:hAnsi="宋体" w:cs="宋体" w:eastAsia="宋体" w:hint="default"/>
                <w:sz w:val="21"/>
                <w:szCs w:val="21"/>
              </w:rPr>
              <w:t>第三季度</w:t>
            </w:r>
            <w:r>
              <w:rPr>
                <w:rFonts w:ascii="宋体" w:hAnsi="宋体" w:cs="宋体" w:eastAsia="宋体" w:hint="default"/>
                <w:sz w:val="21"/>
                <w:szCs w:val="21"/>
              </w:rPr>
              <w:t> </w:t>
            </w:r>
          </w:p>
          <w:p>
            <w:pPr>
              <w:pStyle w:val="TableParagraph"/>
              <w:spacing w:line="273" w:lineRule="exact"/>
              <w:ind w:left="103"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7-9</w:t>
            </w:r>
            <w:r>
              <w:rPr>
                <w:rFonts w:ascii="宋体" w:hAnsi="宋体" w:cs="宋体" w:eastAsia="宋体" w:hint="default"/>
                <w:spacing w:val="-55"/>
                <w:sz w:val="21"/>
                <w:szCs w:val="21"/>
              </w:rPr>
              <w:t> </w:t>
            </w:r>
            <w:r>
              <w:rPr>
                <w:rFonts w:ascii="宋体" w:hAnsi="宋体" w:cs="宋体" w:eastAsia="宋体" w:hint="default"/>
                <w:sz w:val="21"/>
                <w:szCs w:val="21"/>
              </w:rPr>
              <w:t>月份）</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center"/>
              <w:rPr>
                <w:rFonts w:ascii="宋体" w:hAnsi="宋体" w:cs="宋体" w:eastAsia="宋体" w:hint="default"/>
                <w:sz w:val="21"/>
                <w:szCs w:val="21"/>
              </w:rPr>
            </w:pPr>
            <w:r>
              <w:rPr>
                <w:rFonts w:ascii="宋体" w:hAnsi="宋体" w:cs="宋体" w:eastAsia="宋体" w:hint="default"/>
                <w:sz w:val="21"/>
                <w:szCs w:val="21"/>
              </w:rPr>
              <w:t>第四季度</w:t>
            </w:r>
            <w:r>
              <w:rPr>
                <w:rFonts w:ascii="宋体" w:hAnsi="宋体" w:cs="宋体" w:eastAsia="宋体" w:hint="default"/>
                <w:sz w:val="21"/>
                <w:szCs w:val="21"/>
              </w:rPr>
              <w:t> </w:t>
            </w:r>
          </w:p>
          <w:p>
            <w:pPr>
              <w:pStyle w:val="TableParagraph"/>
              <w:spacing w:line="273" w:lineRule="exact"/>
              <w:ind w:left="105"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10-12</w:t>
            </w:r>
            <w:r>
              <w:rPr>
                <w:rFonts w:ascii="宋体" w:hAnsi="宋体" w:cs="宋体" w:eastAsia="宋体" w:hint="default"/>
                <w:spacing w:val="-55"/>
                <w:sz w:val="21"/>
                <w:szCs w:val="21"/>
              </w:rPr>
              <w:t> </w:t>
            </w:r>
            <w:r>
              <w:rPr>
                <w:rFonts w:ascii="宋体" w:hAnsi="宋体" w:cs="宋体" w:eastAsia="宋体" w:hint="default"/>
                <w:sz w:val="21"/>
                <w:szCs w:val="21"/>
              </w:rPr>
              <w:t>月份）</w:t>
            </w:r>
            <w:r>
              <w:rPr>
                <w:rFonts w:ascii="宋体" w:hAnsi="宋体" w:cs="宋体" w:eastAsia="宋体" w:hint="default"/>
                <w:sz w:val="21"/>
                <w:szCs w:val="21"/>
              </w:rPr>
              <w:t> </w:t>
            </w:r>
          </w:p>
        </w:tc>
      </w:tr>
      <w:tr>
        <w:trPr>
          <w:trHeight w:val="281"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1,252,286,078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2,060,720,753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1,696,082,649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3,500,570,268 </w:t>
            </w:r>
          </w:p>
        </w:tc>
      </w:tr>
      <w:tr>
        <w:trPr>
          <w:trHeight w:val="554"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的净利润</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82,206,069</w:t>
            </w:r>
            <w:r>
              <w:rPr>
                <w:rFonts w:ascii="宋体"/>
                <w:sz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400,173,520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-35,421,031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736,031,175 </w:t>
            </w:r>
          </w:p>
        </w:tc>
      </w:tr>
      <w:tr>
        <w:trPr>
          <w:trHeight w:val="828"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w:t>
            </w:r>
          </w:p>
          <w:p>
            <w:pPr>
              <w:pStyle w:val="TableParagraph"/>
              <w:spacing w:line="240" w:lineRule="auto"/>
              <w:ind w:left="103" w:right="113"/>
              <w:jc w:val="left"/>
              <w:rPr>
                <w:rFonts w:ascii="宋体" w:hAnsi="宋体" w:cs="宋体" w:eastAsia="宋体" w:hint="default"/>
                <w:sz w:val="21"/>
                <w:szCs w:val="21"/>
              </w:rPr>
            </w:pPr>
            <w:r>
              <w:rPr>
                <w:rFonts w:ascii="宋体" w:hAnsi="宋体" w:cs="宋体" w:eastAsia="宋体" w:hint="default"/>
                <w:sz w:val="21"/>
                <w:szCs w:val="21"/>
              </w:rPr>
              <w:t>的扣除非经常性损益</w:t>
            </w:r>
            <w:r>
              <w:rPr>
                <w:rFonts w:ascii="宋体" w:hAnsi="宋体" w:cs="宋体" w:eastAsia="宋体" w:hint="default"/>
                <w:w w:val="100"/>
                <w:sz w:val="21"/>
                <w:szCs w:val="21"/>
              </w:rPr>
              <w:t> </w:t>
            </w:r>
            <w:r>
              <w:rPr>
                <w:rFonts w:ascii="宋体" w:hAnsi="宋体" w:cs="宋体" w:eastAsia="宋体" w:hint="default"/>
                <w:sz w:val="21"/>
                <w:szCs w:val="21"/>
              </w:rPr>
              <w:t>后的净利润</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spacing w:val="-1"/>
                <w:sz w:val="21"/>
              </w:rPr>
              <w:t>-54,765,840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319,062,402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-90,382,016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503,536,692</w:t>
            </w:r>
            <w:r>
              <w:rPr>
                <w:rFonts w:ascii="宋体"/>
                <w:sz w:val="21"/>
              </w:rPr>
              <w:t> </w:t>
            </w:r>
          </w:p>
        </w:tc>
      </w:tr>
      <w:tr>
        <w:trPr>
          <w:trHeight w:val="555"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流量净额</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-618,102,624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296,247,540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197,698,090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1,657,199,050 </w:t>
            </w:r>
          </w:p>
        </w:tc>
      </w:tr>
    </w:tbl>
    <w:p>
      <w:pPr>
        <w:spacing w:line="240" w:lineRule="auto" w:before="0"/>
        <w:rPr>
          <w:rFonts w:ascii="宋体" w:hAnsi="宋体" w:cs="宋体" w:eastAsia="宋体" w:hint="default"/>
          <w:sz w:val="16"/>
          <w:szCs w:val="16"/>
        </w:rPr>
      </w:pPr>
    </w:p>
    <w:p>
      <w:pPr>
        <w:pStyle w:val="BodyText"/>
        <w:spacing w:line="313" w:lineRule="exact" w:before="26"/>
        <w:ind w:left="376" w:right="216"/>
        <w:jc w:val="left"/>
      </w:pPr>
      <w:r>
        <w:rPr/>
        <w:t>季度数据与已披露定期报告数据差异说明</w:t>
      </w:r>
    </w:p>
    <w:p>
      <w:pPr>
        <w:pStyle w:val="BodyText"/>
        <w:tabs>
          <w:tab w:pos="1337" w:val="left" w:leader="none"/>
        </w:tabs>
        <w:spacing w:line="313" w:lineRule="exact"/>
        <w:ind w:left="376" w:right="216"/>
        <w:jc w:val="left"/>
      </w:pPr>
      <w:r>
        <w:rPr/>
        <w:t>□适用</w:t>
        <w:tab/>
        <w:t>√不适用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0" w:footer="1195" w:top="1120" w:bottom="1380" w:left="900" w:right="1560"/>
        </w:sectPr>
      </w:pPr>
    </w:p>
    <w:p>
      <w:pPr>
        <w:pStyle w:val="Heading2"/>
        <w:spacing w:line="240" w:lineRule="auto" w:before="26"/>
        <w:ind w:left="376" w:right="-17"/>
        <w:jc w:val="left"/>
        <w:rPr>
          <w:b w:val="0"/>
          <w:bCs w:val="0"/>
        </w:rPr>
      </w:pPr>
      <w:r>
        <w:rPr/>
        <w:t>十、</w:t>
      </w:r>
      <w:r>
        <w:rPr>
          <w:spacing w:val="-40"/>
        </w:rPr>
        <w:t> </w:t>
      </w:r>
      <w:r>
        <w:rPr>
          <w:rFonts w:ascii="宋体" w:hAnsi="宋体" w:cs="宋体" w:eastAsia="宋体" w:hint="default"/>
          <w:spacing w:val="-40"/>
        </w:rPr>
      </w:r>
      <w:r>
        <w:rPr/>
        <w:t>非经常性损益项目和金额</w:t>
      </w:r>
      <w:r>
        <w:rPr>
          <w:b w:val="0"/>
          <w:bCs w:val="0"/>
        </w:rPr>
      </w:r>
    </w:p>
    <w:p>
      <w:pPr>
        <w:pStyle w:val="BodyText"/>
        <w:spacing w:line="240" w:lineRule="auto" w:before="55"/>
        <w:ind w:left="376" w:right="-17"/>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spacing w:line="240" w:lineRule="auto"/>
        <w:ind w:left="376" w:right="0"/>
        <w:jc w:val="left"/>
      </w:pPr>
      <w:r>
        <w:rPr/>
        <w:t>单位</w:t>
      </w:r>
      <w:r>
        <w:rPr>
          <w:rFonts w:ascii="Times New Roman" w:hAnsi="Times New Roman" w:cs="Times New Roman" w:eastAsia="Times New Roman" w:hint="default"/>
        </w:rPr>
        <w:t>:</w:t>
      </w:r>
      <w:r>
        <w:rPr/>
        <w:t>元 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120" w:bottom="1380" w:left="900" w:right="1560"/>
          <w:cols w:num="2" w:equalWidth="0">
            <w:col w:w="3593" w:space="3066"/>
            <w:col w:w="2791"/>
          </w:cols>
        </w:sectPr>
      </w:pPr>
    </w:p>
    <w:tbl>
      <w:tblPr>
        <w:tblW w:w="0" w:type="auto"/>
        <w:jc w:val="left"/>
        <w:tblInd w:w="117" w:type="dxa"/>
        <w:tblLayout w:type="fixed"/>
        <w:tblCellMar>
          <w:top w:w="0" w:type="dxa"/>
          <w:left w:w="0" w:type="dxa"/>
          <w:bottom w:w="0" w:type="dxa"/>
          <w:right w:w="0" w:type="dxa"/>
        </w:tblCellMar>
        <w:tblLook w:val="01E0"/>
      </w:tblPr>
      <w:tblGrid>
        <w:gridCol w:w="3426"/>
        <w:gridCol w:w="1574"/>
        <w:gridCol w:w="1172"/>
        <w:gridCol w:w="1452"/>
        <w:gridCol w:w="1577"/>
      </w:tblGrid>
      <w:tr>
        <w:trPr>
          <w:trHeight w:val="631"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744" w:right="0"/>
              <w:jc w:val="left"/>
              <w:rPr>
                <w:rFonts w:ascii="宋体" w:hAnsi="宋体" w:cs="宋体" w:eastAsia="宋体" w:hint="default"/>
                <w:sz w:val="24"/>
                <w:szCs w:val="24"/>
              </w:rPr>
            </w:pPr>
            <w:r>
              <w:rPr>
                <w:rFonts w:ascii="宋体" w:hAnsi="宋体" w:cs="宋体" w:eastAsia="宋体" w:hint="default"/>
                <w:sz w:val="24"/>
                <w:szCs w:val="24"/>
              </w:rPr>
              <w:t>非经常性损益项目</w:t>
            </w:r>
            <w:r>
              <w:rPr>
                <w:rFonts w:ascii="宋体" w:hAnsi="宋体" w:cs="宋体" w:eastAsia="宋体" w:hint="default"/>
                <w:sz w:val="24"/>
                <w:szCs w:val="24"/>
              </w:rPr>
              <w:t> </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35"/>
              <w:jc w:val="right"/>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pacing w:val="-60"/>
                <w:sz w:val="24"/>
                <w:szCs w:val="24"/>
              </w:rPr>
              <w:t> </w:t>
            </w:r>
            <w:r>
              <w:rPr>
                <w:rFonts w:ascii="宋体" w:hAnsi="宋体" w:cs="宋体" w:eastAsia="宋体" w:hint="default"/>
                <w:sz w:val="24"/>
                <w:szCs w:val="24"/>
              </w:rPr>
              <w:t>年金额</w:t>
            </w:r>
            <w:r>
              <w:rPr>
                <w:rFonts w:ascii="宋体" w:hAnsi="宋体" w:cs="宋体" w:eastAsia="宋体" w:hint="default"/>
                <w:sz w:val="24"/>
                <w:szCs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附注（如</w:t>
            </w:r>
          </w:p>
          <w:p>
            <w:pPr>
              <w:pStyle w:val="TableParagraph"/>
              <w:spacing w:line="313" w:lineRule="exact"/>
              <w:ind w:left="119" w:right="0"/>
              <w:jc w:val="center"/>
              <w:rPr>
                <w:rFonts w:ascii="宋体" w:hAnsi="宋体" w:cs="宋体" w:eastAsia="宋体" w:hint="default"/>
                <w:sz w:val="24"/>
                <w:szCs w:val="24"/>
              </w:rPr>
            </w:pPr>
            <w:r>
              <w:rPr>
                <w:rFonts w:ascii="宋体" w:hAnsi="宋体" w:cs="宋体" w:eastAsia="宋体" w:hint="default"/>
                <w:sz w:val="24"/>
                <w:szCs w:val="24"/>
              </w:rPr>
              <w:t>适用）</w:t>
            </w:r>
            <w:r>
              <w:rPr>
                <w:rFonts w:ascii="宋体" w:hAnsi="宋体" w:cs="宋体" w:eastAsia="宋体" w:hint="default"/>
                <w:sz w:val="24"/>
                <w:szCs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7"/>
              <w:jc w:val="right"/>
              <w:rPr>
                <w:rFonts w:ascii="宋体" w:hAnsi="宋体" w:cs="宋体" w:eastAsia="宋体" w:hint="default"/>
                <w:sz w:val="24"/>
                <w:szCs w:val="24"/>
              </w:rPr>
            </w:pPr>
            <w:r>
              <w:rPr>
                <w:rFonts w:ascii="宋体" w:hAnsi="宋体" w:cs="宋体" w:eastAsia="宋体" w:hint="default"/>
                <w:sz w:val="24"/>
                <w:szCs w:val="24"/>
              </w:rPr>
              <w:t>2018</w:t>
            </w:r>
            <w:r>
              <w:rPr>
                <w:rFonts w:ascii="宋体" w:hAnsi="宋体" w:cs="宋体" w:eastAsia="宋体" w:hint="default"/>
                <w:spacing w:val="-84"/>
                <w:sz w:val="24"/>
                <w:szCs w:val="24"/>
              </w:rPr>
              <w:t> </w:t>
            </w:r>
            <w:r>
              <w:rPr>
                <w:rFonts w:ascii="宋体" w:hAnsi="宋体" w:cs="宋体" w:eastAsia="宋体" w:hint="default"/>
                <w:sz w:val="24"/>
                <w:szCs w:val="24"/>
              </w:rPr>
              <w:t>年金额</w:t>
            </w:r>
            <w:r>
              <w:rPr>
                <w:rFonts w:ascii="宋体" w:hAnsi="宋体" w:cs="宋体" w:eastAsia="宋体" w:hint="default"/>
                <w:sz w:val="24"/>
                <w:szCs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35"/>
              <w:jc w:val="right"/>
              <w:rPr>
                <w:rFonts w:ascii="宋体" w:hAnsi="宋体" w:cs="宋体" w:eastAsia="宋体" w:hint="default"/>
                <w:sz w:val="24"/>
                <w:szCs w:val="24"/>
              </w:rPr>
            </w:pPr>
            <w:r>
              <w:rPr>
                <w:rFonts w:ascii="宋体" w:hAnsi="宋体" w:cs="宋体" w:eastAsia="宋体" w:hint="default"/>
                <w:sz w:val="24"/>
                <w:szCs w:val="24"/>
              </w:rPr>
              <w:t>2017</w:t>
            </w:r>
            <w:r>
              <w:rPr>
                <w:rFonts w:ascii="宋体" w:hAnsi="宋体" w:cs="宋体" w:eastAsia="宋体" w:hint="default"/>
                <w:spacing w:val="-60"/>
                <w:sz w:val="24"/>
                <w:szCs w:val="24"/>
              </w:rPr>
              <w:t> </w:t>
            </w:r>
            <w:r>
              <w:rPr>
                <w:rFonts w:ascii="宋体" w:hAnsi="宋体" w:cs="宋体" w:eastAsia="宋体" w:hint="default"/>
                <w:sz w:val="24"/>
                <w:szCs w:val="24"/>
              </w:rPr>
              <w:t>年金额</w:t>
            </w:r>
            <w:r>
              <w:rPr>
                <w:rFonts w:ascii="宋体" w:hAnsi="宋体" w:cs="宋体" w:eastAsia="宋体" w:hint="default"/>
                <w:sz w:val="24"/>
                <w:szCs w:val="24"/>
              </w:rPr>
              <w:t> </w:t>
            </w:r>
          </w:p>
        </w:tc>
      </w:tr>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非流动资产处置损益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905,946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237,405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405,547 </w:t>
            </w:r>
          </w:p>
        </w:tc>
      </w:tr>
      <w:tr>
        <w:trPr>
          <w:trHeight w:val="634"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14"/>
              <w:jc w:val="left"/>
              <w:rPr>
                <w:rFonts w:ascii="宋体" w:hAnsi="宋体" w:cs="宋体" w:eastAsia="宋体" w:hint="default"/>
                <w:sz w:val="24"/>
                <w:szCs w:val="24"/>
              </w:rPr>
            </w:pPr>
            <w:r>
              <w:rPr>
                <w:rFonts w:ascii="宋体" w:hAnsi="宋体" w:cs="宋体" w:eastAsia="宋体" w:hint="default"/>
                <w:spacing w:val="-3"/>
                <w:sz w:val="24"/>
                <w:szCs w:val="24"/>
              </w:rPr>
              <w:t>越权审批，或无正式批准文件，</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或偶发性的税收返还、减免</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9"/>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1565"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计入当期损益的政府补助，但</w:t>
            </w:r>
          </w:p>
          <w:p>
            <w:pPr>
              <w:pStyle w:val="TableParagraph"/>
              <w:spacing w:line="237" w:lineRule="auto" w:before="1"/>
              <w:ind w:left="100" w:right="193"/>
              <w:jc w:val="left"/>
              <w:rPr>
                <w:rFonts w:ascii="宋体" w:hAnsi="宋体" w:cs="宋体" w:eastAsia="宋体" w:hint="default"/>
                <w:sz w:val="24"/>
                <w:szCs w:val="24"/>
              </w:rPr>
            </w:pPr>
            <w:r>
              <w:rPr>
                <w:rFonts w:ascii="宋体" w:hAnsi="宋体" w:cs="宋体" w:eastAsia="宋体" w:hint="default"/>
                <w:sz w:val="24"/>
                <w:szCs w:val="24"/>
              </w:rPr>
              <w:t>与公司正常经营业务密切相 关，符合国家政策规定、按照 一定标准定额或定量持续享受 的政府补助除外</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41,076,344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58,618,096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54,936,885 </w:t>
            </w:r>
          </w:p>
        </w:tc>
      </w:tr>
      <w:tr>
        <w:trPr>
          <w:trHeight w:val="634"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计入当期损益的对非金融企业</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收取的资金占用费</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企业取得子公司、联营企业及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bl>
    <w:p>
      <w:pPr>
        <w:spacing w:after="0" w:line="274" w:lineRule="exact"/>
        <w:jc w:val="right"/>
        <w:rPr>
          <w:rFonts w:ascii="宋体" w:hAnsi="宋体" w:cs="宋体" w:eastAsia="宋体" w:hint="default"/>
          <w:sz w:val="24"/>
          <w:szCs w:val="24"/>
        </w:rPr>
        <w:sectPr>
          <w:type w:val="continuous"/>
          <w:pgSz w:w="11910" w:h="16840"/>
          <w:pgMar w:top="1120" w:bottom="1380" w:left="900" w:right="1560"/>
        </w:sectPr>
      </w:pPr>
    </w:p>
    <w:p>
      <w:pPr>
        <w:spacing w:line="240" w:lineRule="auto" w:before="6"/>
        <w:rPr>
          <w:rFonts w:ascii="Times New Roman" w:hAnsi="Times New Roman" w:cs="Times New Roman" w:eastAsia="Times New Roman" w:hint="default"/>
          <w:sz w:val="27"/>
          <w:szCs w:val="27"/>
        </w:rPr>
      </w:pPr>
    </w:p>
    <w:tbl>
      <w:tblPr>
        <w:tblW w:w="0" w:type="auto"/>
        <w:jc w:val="left"/>
        <w:tblInd w:w="117" w:type="dxa"/>
        <w:tblLayout w:type="fixed"/>
        <w:tblCellMar>
          <w:top w:w="0" w:type="dxa"/>
          <w:left w:w="0" w:type="dxa"/>
          <w:bottom w:w="0" w:type="dxa"/>
          <w:right w:w="0" w:type="dxa"/>
        </w:tblCellMar>
        <w:tblLook w:val="01E0"/>
      </w:tblPr>
      <w:tblGrid>
        <w:gridCol w:w="3426"/>
        <w:gridCol w:w="1574"/>
        <w:gridCol w:w="1172"/>
        <w:gridCol w:w="1452"/>
        <w:gridCol w:w="1577"/>
      </w:tblGrid>
      <w:tr>
        <w:trPr>
          <w:trHeight w:val="944"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合营企业的投资成本小于取得</w:t>
            </w:r>
          </w:p>
          <w:p>
            <w:pPr>
              <w:pStyle w:val="TableParagraph"/>
              <w:spacing w:line="312" w:lineRule="exact" w:before="30"/>
              <w:ind w:left="100" w:right="193"/>
              <w:jc w:val="left"/>
              <w:rPr>
                <w:rFonts w:ascii="宋体" w:hAnsi="宋体" w:cs="宋体" w:eastAsia="宋体" w:hint="default"/>
                <w:sz w:val="24"/>
                <w:szCs w:val="24"/>
              </w:rPr>
            </w:pPr>
            <w:r>
              <w:rPr>
                <w:rFonts w:ascii="宋体" w:hAnsi="宋体" w:cs="宋体" w:eastAsia="宋体" w:hint="default"/>
                <w:sz w:val="24"/>
                <w:szCs w:val="24"/>
              </w:rPr>
              <w:t>投资时应享有被投资单位可辨 认净资产公允价值产生的收益</w:t>
            </w:r>
          </w:p>
        </w:tc>
        <w:tc>
          <w:tcPr>
            <w:tcW w:w="1574"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非货币性资产交换损益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634"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委托他人投资或管理资产的损</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943"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0" w:right="0"/>
              <w:jc w:val="left"/>
              <w:rPr>
                <w:rFonts w:ascii="宋体" w:hAnsi="宋体" w:cs="宋体" w:eastAsia="宋体" w:hint="default"/>
                <w:sz w:val="24"/>
                <w:szCs w:val="24"/>
              </w:rPr>
            </w:pPr>
            <w:r>
              <w:rPr>
                <w:rFonts w:ascii="宋体" w:hAnsi="宋体" w:cs="宋体" w:eastAsia="宋体" w:hint="default"/>
                <w:sz w:val="24"/>
                <w:szCs w:val="24"/>
              </w:rPr>
              <w:t>因不可抗力因素，如遭受自然</w:t>
            </w:r>
          </w:p>
          <w:p>
            <w:pPr>
              <w:pStyle w:val="TableParagraph"/>
              <w:spacing w:line="312" w:lineRule="exact" w:before="28"/>
              <w:ind w:left="100" w:right="193"/>
              <w:jc w:val="left"/>
              <w:rPr>
                <w:rFonts w:ascii="宋体" w:hAnsi="宋体" w:cs="宋体" w:eastAsia="宋体" w:hint="default"/>
                <w:sz w:val="24"/>
                <w:szCs w:val="24"/>
              </w:rPr>
            </w:pPr>
            <w:r>
              <w:rPr>
                <w:rFonts w:ascii="宋体" w:hAnsi="宋体" w:cs="宋体" w:eastAsia="宋体" w:hint="default"/>
                <w:sz w:val="24"/>
                <w:szCs w:val="24"/>
              </w:rPr>
              <w:t>灾害而计提的各项资产减值准 备</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债务重组损益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631"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企业重组费用，如安置职工的</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支出、整合费用等</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634"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交易价格显失公允的交易产生</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的超过公允价值部分的损益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943"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同一控制下企业合并产生的子</w:t>
            </w:r>
          </w:p>
          <w:p>
            <w:pPr>
              <w:pStyle w:val="TableParagraph"/>
              <w:spacing w:line="310" w:lineRule="exact" w:before="31"/>
              <w:ind w:left="100" w:right="193"/>
              <w:jc w:val="left"/>
              <w:rPr>
                <w:rFonts w:ascii="宋体" w:hAnsi="宋体" w:cs="宋体" w:eastAsia="宋体" w:hint="default"/>
                <w:sz w:val="24"/>
                <w:szCs w:val="24"/>
              </w:rPr>
            </w:pPr>
            <w:r>
              <w:rPr>
                <w:rFonts w:ascii="宋体" w:hAnsi="宋体" w:cs="宋体" w:eastAsia="宋体" w:hint="default"/>
                <w:sz w:val="24"/>
                <w:szCs w:val="24"/>
              </w:rPr>
              <w:t>公司期初至合并日的当期净损 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634"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与公司正常经营业务无关的或</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有事项产生的损益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2189"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0" w:right="0"/>
              <w:jc w:val="both"/>
              <w:rPr>
                <w:rFonts w:ascii="宋体" w:hAnsi="宋体" w:cs="宋体" w:eastAsia="宋体" w:hint="default"/>
                <w:sz w:val="24"/>
                <w:szCs w:val="24"/>
              </w:rPr>
            </w:pPr>
            <w:r>
              <w:rPr>
                <w:rFonts w:ascii="宋体" w:hAnsi="宋体" w:cs="宋体" w:eastAsia="宋体" w:hint="default"/>
                <w:sz w:val="24"/>
                <w:szCs w:val="24"/>
              </w:rPr>
              <w:t>除同公司正常经营业务相关的</w:t>
            </w:r>
          </w:p>
          <w:p>
            <w:pPr>
              <w:pStyle w:val="TableParagraph"/>
              <w:spacing w:line="237" w:lineRule="auto"/>
              <w:ind w:left="100" w:right="193"/>
              <w:jc w:val="both"/>
              <w:rPr>
                <w:rFonts w:ascii="宋体" w:hAnsi="宋体" w:cs="宋体" w:eastAsia="宋体" w:hint="default"/>
                <w:sz w:val="24"/>
                <w:szCs w:val="24"/>
              </w:rPr>
            </w:pPr>
            <w:r>
              <w:rPr>
                <w:rFonts w:ascii="宋体" w:hAnsi="宋体" w:cs="宋体" w:eastAsia="宋体" w:hint="default"/>
                <w:sz w:val="24"/>
                <w:szCs w:val="24"/>
              </w:rPr>
              <w:t>有效套期保值业务外，持有交 易性金融资产、交易性金融负 债产生的公允价值变动损益， 以及处置交易性金融资产、交 易性金融负债和可供出售金融 资产取得的投资收益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28,117,614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43,170,732 </w:t>
            </w:r>
          </w:p>
        </w:tc>
      </w:tr>
      <w:tr>
        <w:trPr>
          <w:trHeight w:val="2811"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0" w:right="0"/>
              <w:jc w:val="left"/>
              <w:rPr>
                <w:rFonts w:ascii="宋体" w:hAnsi="宋体" w:cs="宋体" w:eastAsia="宋体" w:hint="default"/>
                <w:sz w:val="24"/>
                <w:szCs w:val="24"/>
              </w:rPr>
            </w:pPr>
            <w:r>
              <w:rPr>
                <w:rFonts w:ascii="宋体" w:hAnsi="宋体" w:cs="宋体" w:eastAsia="宋体" w:hint="default"/>
                <w:sz w:val="24"/>
                <w:szCs w:val="24"/>
              </w:rPr>
              <w:t>除同公司正常经营业务相关的</w:t>
            </w:r>
          </w:p>
          <w:p>
            <w:pPr>
              <w:pStyle w:val="TableParagraph"/>
              <w:spacing w:line="237" w:lineRule="auto"/>
              <w:ind w:left="100" w:right="-14"/>
              <w:jc w:val="left"/>
              <w:rPr>
                <w:rFonts w:ascii="宋体" w:hAnsi="宋体" w:cs="宋体" w:eastAsia="宋体" w:hint="default"/>
                <w:sz w:val="24"/>
                <w:szCs w:val="24"/>
              </w:rPr>
            </w:pPr>
            <w:r>
              <w:rPr>
                <w:rFonts w:ascii="宋体" w:hAnsi="宋体" w:cs="宋体" w:eastAsia="宋体" w:hint="default"/>
                <w:sz w:val="24"/>
                <w:szCs w:val="24"/>
              </w:rPr>
              <w:t>有效套期保值业务外，持有交 </w:t>
            </w:r>
            <w:r>
              <w:rPr>
                <w:rFonts w:ascii="宋体" w:hAnsi="宋体" w:cs="宋体" w:eastAsia="宋体" w:hint="default"/>
                <w:spacing w:val="-3"/>
                <w:sz w:val="24"/>
                <w:szCs w:val="24"/>
              </w:rPr>
              <w:t>易性金融资产、衍生金融资产、</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z w:val="24"/>
                <w:szCs w:val="24"/>
              </w:rPr>
              <w:t>交易性金融负债、衍生金融负 债产生的公允价值变动损益， 以及处置交易性金融资产、衍 </w:t>
            </w:r>
            <w:r>
              <w:rPr>
                <w:rFonts w:ascii="宋体" w:hAnsi="宋体" w:cs="宋体" w:eastAsia="宋体" w:hint="default"/>
                <w:spacing w:val="-3"/>
                <w:sz w:val="24"/>
                <w:szCs w:val="24"/>
              </w:rPr>
              <w:t>生金融资产、交易性金融负债、</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z w:val="24"/>
                <w:szCs w:val="24"/>
              </w:rPr>
              <w:t>衍生金融负债和其他债权投资 取得的投资收益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246,877,964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631"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单独进行减值测试的应收款项</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减值准备转回</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对外委托贷款取得的损益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 </w:t>
            </w:r>
          </w:p>
        </w:tc>
      </w:tr>
      <w:tr>
        <w:trPr>
          <w:trHeight w:val="946"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采用公允价值模式进行后续计</w:t>
            </w:r>
          </w:p>
          <w:p>
            <w:pPr>
              <w:pStyle w:val="TableParagraph"/>
              <w:spacing w:line="312" w:lineRule="exact" w:before="29"/>
              <w:ind w:left="100" w:right="193"/>
              <w:jc w:val="left"/>
              <w:rPr>
                <w:rFonts w:ascii="宋体" w:hAnsi="宋体" w:cs="宋体" w:eastAsia="宋体" w:hint="default"/>
                <w:sz w:val="24"/>
                <w:szCs w:val="24"/>
              </w:rPr>
            </w:pPr>
            <w:r>
              <w:rPr>
                <w:rFonts w:ascii="宋体" w:hAnsi="宋体" w:cs="宋体" w:eastAsia="宋体" w:hint="default"/>
                <w:sz w:val="24"/>
                <w:szCs w:val="24"/>
              </w:rPr>
              <w:t>量的投资性房地产公允价值变 动产生的损益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943"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00" w:right="0"/>
              <w:jc w:val="left"/>
              <w:rPr>
                <w:rFonts w:ascii="宋体" w:hAnsi="宋体" w:cs="宋体" w:eastAsia="宋体" w:hint="default"/>
                <w:sz w:val="24"/>
                <w:szCs w:val="24"/>
              </w:rPr>
            </w:pPr>
            <w:r>
              <w:rPr>
                <w:rFonts w:ascii="宋体" w:hAnsi="宋体" w:cs="宋体" w:eastAsia="宋体" w:hint="default"/>
                <w:sz w:val="24"/>
                <w:szCs w:val="24"/>
              </w:rPr>
              <w:t>根据税收、会计等法律、法规</w:t>
            </w:r>
          </w:p>
          <w:p>
            <w:pPr>
              <w:pStyle w:val="TableParagraph"/>
              <w:spacing w:line="312" w:lineRule="exact" w:before="28"/>
              <w:ind w:left="100" w:right="193"/>
              <w:jc w:val="left"/>
              <w:rPr>
                <w:rFonts w:ascii="宋体" w:hAnsi="宋体" w:cs="宋体" w:eastAsia="宋体" w:hint="default"/>
                <w:sz w:val="24"/>
                <w:szCs w:val="24"/>
              </w:rPr>
            </w:pPr>
            <w:r>
              <w:rPr>
                <w:rFonts w:ascii="宋体" w:hAnsi="宋体" w:cs="宋体" w:eastAsia="宋体" w:hint="default"/>
                <w:sz w:val="24"/>
                <w:szCs w:val="24"/>
              </w:rPr>
              <w:t>的要求对当期损益进行一次性 调整对当期损益的影响</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bl>
    <w:p>
      <w:pPr>
        <w:spacing w:after="0" w:line="274" w:lineRule="exact"/>
        <w:jc w:val="right"/>
        <w:rPr>
          <w:rFonts w:ascii="宋体" w:hAnsi="宋体" w:cs="宋体" w:eastAsia="宋体" w:hint="default"/>
          <w:sz w:val="24"/>
          <w:szCs w:val="24"/>
        </w:rPr>
        <w:sectPr>
          <w:footerReference w:type="default" r:id="rId12"/>
          <w:pgSz w:w="11910" w:h="16840"/>
          <w:pgMar w:footer="1195" w:header="880" w:top="1120" w:bottom="1380" w:left="900" w:right="1560"/>
        </w:sectPr>
      </w:pPr>
    </w:p>
    <w:p>
      <w:pPr>
        <w:spacing w:line="240" w:lineRule="auto" w:before="6"/>
        <w:rPr>
          <w:rFonts w:ascii="Times New Roman" w:hAnsi="Times New Roman" w:cs="Times New Roman" w:eastAsia="Times New Roman" w:hint="default"/>
          <w:sz w:val="27"/>
          <w:szCs w:val="27"/>
        </w:rPr>
      </w:pPr>
    </w:p>
    <w:tbl>
      <w:tblPr>
        <w:tblW w:w="0" w:type="auto"/>
        <w:jc w:val="left"/>
        <w:tblInd w:w="117" w:type="dxa"/>
        <w:tblLayout w:type="fixed"/>
        <w:tblCellMar>
          <w:top w:w="0" w:type="dxa"/>
          <w:left w:w="0" w:type="dxa"/>
          <w:bottom w:w="0" w:type="dxa"/>
          <w:right w:w="0" w:type="dxa"/>
        </w:tblCellMar>
        <w:tblLook w:val="01E0"/>
      </w:tblPr>
      <w:tblGrid>
        <w:gridCol w:w="3426"/>
        <w:gridCol w:w="1574"/>
        <w:gridCol w:w="1172"/>
        <w:gridCol w:w="1452"/>
        <w:gridCol w:w="1577"/>
      </w:tblGrid>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受托经营取得的托管费收入</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631"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除上述各项之外的其他营业外</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收入和支出</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-5,701,551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7"/>
              <w:jc w:val="right"/>
              <w:rPr>
                <w:rFonts w:ascii="宋体" w:hAnsi="宋体" w:cs="宋体" w:eastAsia="宋体" w:hint="default"/>
                <w:sz w:val="24"/>
                <w:szCs w:val="24"/>
              </w:rPr>
            </w:pPr>
            <w:r>
              <w:rPr>
                <w:rFonts w:ascii="宋体"/>
                <w:sz w:val="24"/>
              </w:rPr>
              <w:t>-4,439,520 </w:t>
            </w:r>
          </w:p>
          <w:p>
            <w:pPr>
              <w:pStyle w:val="TableParagraph"/>
              <w:spacing w:line="313"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5"/>
              <w:jc w:val="right"/>
              <w:rPr>
                <w:rFonts w:ascii="宋体" w:hAnsi="宋体" w:cs="宋体" w:eastAsia="宋体" w:hint="default"/>
                <w:sz w:val="24"/>
                <w:szCs w:val="24"/>
              </w:rPr>
            </w:pPr>
            <w:r>
              <w:rPr>
                <w:rFonts w:ascii="宋体"/>
                <w:sz w:val="24"/>
              </w:rPr>
              <w:t>1,180,357 </w:t>
            </w:r>
          </w:p>
          <w:p>
            <w:pPr>
              <w:pStyle w:val="TableParagraph"/>
              <w:spacing w:line="313" w:lineRule="exact"/>
              <w:ind w:right="-15"/>
              <w:jc w:val="right"/>
              <w:rPr>
                <w:rFonts w:ascii="宋体" w:hAnsi="宋体" w:cs="宋体" w:eastAsia="宋体" w:hint="default"/>
                <w:sz w:val="24"/>
                <w:szCs w:val="24"/>
              </w:rPr>
            </w:pPr>
            <w:r>
              <w:rPr>
                <w:rFonts w:ascii="宋体"/>
                <w:sz w:val="24"/>
              </w:rPr>
              <w:t> </w:t>
            </w:r>
          </w:p>
        </w:tc>
      </w:tr>
      <w:tr>
        <w:trPr>
          <w:trHeight w:val="634"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其他符合非经常性损益定义的</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损益项目</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 </w:t>
            </w:r>
          </w:p>
        </w:tc>
      </w:tr>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处置长期股权的投资收益</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256,797,787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4,416,553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6,698,428 </w:t>
            </w:r>
          </w:p>
        </w:tc>
      </w:tr>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少数股东权益影响额</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r>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所得税影响额</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-34,417,995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-6,981,708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-10,386,204 </w:t>
            </w:r>
          </w:p>
        </w:tc>
      </w:tr>
      <w:tr>
        <w:trPr>
          <w:trHeight w:val="322" w:hRule="exact"/>
        </w:trPr>
        <w:tc>
          <w:tcPr>
            <w:tcW w:w="34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合计</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505,538,495 </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79,968,440 </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96,005,745 </w:t>
            </w:r>
          </w:p>
        </w:tc>
      </w:tr>
    </w:tbl>
    <w:p>
      <w:pPr>
        <w:spacing w:line="240" w:lineRule="auto" w:before="5"/>
        <w:rPr>
          <w:rFonts w:ascii="Times New Roman" w:hAnsi="Times New Roman" w:cs="Times New Roman" w:eastAsia="Times New Roman" w:hint="default"/>
          <w:sz w:val="23"/>
          <w:szCs w:val="23"/>
        </w:rPr>
      </w:pPr>
    </w:p>
    <w:p>
      <w:pPr>
        <w:spacing w:after="0" w:line="240" w:lineRule="auto"/>
        <w:rPr>
          <w:rFonts w:ascii="Times New Roman" w:hAnsi="Times New Roman" w:cs="Times New Roman" w:eastAsia="Times New Roman" w:hint="default"/>
          <w:sz w:val="23"/>
          <w:szCs w:val="23"/>
        </w:rPr>
        <w:sectPr>
          <w:footerReference w:type="default" r:id="rId13"/>
          <w:pgSz w:w="11910" w:h="16840"/>
          <w:pgMar w:footer="1195" w:header="880" w:top="1120" w:bottom="1380" w:left="900" w:right="1560"/>
          <w:pgNumType w:start="11"/>
        </w:sectPr>
      </w:pPr>
    </w:p>
    <w:p>
      <w:pPr>
        <w:pStyle w:val="Heading2"/>
        <w:spacing w:line="240" w:lineRule="auto" w:before="26"/>
        <w:ind w:left="376" w:right="-17"/>
        <w:jc w:val="left"/>
        <w:rPr>
          <w:rFonts w:ascii="黑体" w:hAnsi="黑体" w:cs="黑体" w:eastAsia="黑体" w:hint="default"/>
          <w:b w:val="0"/>
          <w:bCs w:val="0"/>
        </w:rPr>
      </w:pPr>
      <w:r>
        <w:rPr>
          <w:rFonts w:ascii="黑体" w:hAnsi="黑体" w:cs="黑体" w:eastAsia="黑体" w:hint="default"/>
        </w:rPr>
        <w:t>十一、</w:t>
      </w:r>
      <w:r>
        <w:rPr>
          <w:rFonts w:ascii="黑体" w:hAnsi="黑体" w:cs="黑体" w:eastAsia="黑体" w:hint="default"/>
          <w:spacing w:val="-8"/>
        </w:rPr>
        <w:t> </w:t>
      </w:r>
      <w:r>
        <w:rPr>
          <w:rFonts w:ascii="宋体" w:hAnsi="宋体" w:cs="宋体" w:eastAsia="宋体" w:hint="default"/>
          <w:spacing w:val="-8"/>
        </w:rPr>
      </w:r>
      <w:r>
        <w:rPr>
          <w:rFonts w:ascii="黑体" w:hAnsi="黑体" w:cs="黑体" w:eastAsia="黑体" w:hint="default"/>
        </w:rPr>
        <w:t>采用公允价值计量的项目</w:t>
      </w:r>
      <w:r>
        <w:rPr>
          <w:rFonts w:ascii="黑体" w:hAnsi="黑体" w:cs="黑体" w:eastAsia="黑体" w:hint="default"/>
          <w:b w:val="0"/>
          <w:bCs w:val="0"/>
        </w:rPr>
      </w:r>
    </w:p>
    <w:p>
      <w:pPr>
        <w:spacing w:before="61"/>
        <w:ind w:left="376" w:right="-17"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pacing w:val="-2"/>
          <w:sz w:val="21"/>
          <w:szCs w:val="21"/>
        </w:rPr>
      </w:r>
      <w:r>
        <w:rPr>
          <w:rFonts w:ascii="宋体" w:hAnsi="宋体" w:cs="宋体" w:eastAsia="宋体" w:hint="default"/>
          <w:sz w:val="21"/>
          <w:szCs w:val="21"/>
        </w:rPr>
        <w:t>□不适用</w:t>
      </w:r>
      <w:r>
        <w:rPr>
          <w:rFonts w:ascii="宋体" w:hAnsi="宋体" w:cs="宋体" w:eastAsia="宋体" w:hint="default"/>
          <w:spacing w:val="-3"/>
          <w:sz w:val="21"/>
          <w:szCs w:val="21"/>
        </w:rPr>
        <w:t> </w:t>
      </w:r>
      <w:r>
        <w:rPr>
          <w:rFonts w:ascii="宋体" w:hAnsi="宋体" w:cs="宋体" w:eastAsia="宋体" w:hint="default"/>
          <w:sz w:val="21"/>
          <w:szCs w:val="21"/>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52"/>
        <w:ind w:left="376"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币种：人民币</w:t>
      </w:r>
      <w:r>
        <w:rPr>
          <w:rFonts w:ascii="宋体" w:hAnsi="宋体" w:cs="宋体" w:eastAsia="宋体" w:hint="default"/>
          <w:sz w:val="21"/>
          <w:szCs w:val="21"/>
        </w:rPr>
        <w:t> </w:t>
      </w:r>
    </w:p>
    <w:p>
      <w:pPr>
        <w:spacing w:after="0"/>
        <w:jc w:val="left"/>
        <w:rPr>
          <w:rFonts w:ascii="宋体" w:hAnsi="宋体" w:cs="宋体" w:eastAsia="宋体" w:hint="default"/>
          <w:sz w:val="21"/>
          <w:szCs w:val="21"/>
        </w:rPr>
        <w:sectPr>
          <w:type w:val="continuous"/>
          <w:pgSz w:w="11910" w:h="16840"/>
          <w:pgMar w:top="1120" w:bottom="1380" w:left="900" w:right="1560"/>
          <w:cols w:num="2" w:equalWidth="0">
            <w:col w:w="3866" w:space="2656"/>
            <w:col w:w="2928"/>
          </w:cols>
        </w:sectPr>
      </w:pPr>
    </w:p>
    <w:p>
      <w:pPr>
        <w:spacing w:line="240" w:lineRule="auto" w:before="4"/>
        <w:rPr>
          <w:rFonts w:ascii="宋体" w:hAnsi="宋体" w:cs="宋体" w:eastAsia="宋体" w:hint="default"/>
          <w:sz w:val="2"/>
          <w:szCs w:val="2"/>
        </w:rPr>
      </w:pPr>
    </w:p>
    <w:tbl>
      <w:tblPr>
        <w:tblW w:w="0" w:type="auto"/>
        <w:jc w:val="left"/>
        <w:tblInd w:w="367" w:type="dxa"/>
        <w:tblLayout w:type="fixed"/>
        <w:tblCellMar>
          <w:top w:w="0" w:type="dxa"/>
          <w:left w:w="0" w:type="dxa"/>
          <w:bottom w:w="0" w:type="dxa"/>
          <w:right w:w="0" w:type="dxa"/>
        </w:tblCellMar>
        <w:tblLook w:val="01E0"/>
      </w:tblPr>
      <w:tblGrid>
        <w:gridCol w:w="1856"/>
        <w:gridCol w:w="1671"/>
        <w:gridCol w:w="1690"/>
        <w:gridCol w:w="1678"/>
        <w:gridCol w:w="1952"/>
      </w:tblGrid>
      <w:tr>
        <w:trPr>
          <w:trHeight w:val="554" w:hRule="exact"/>
        </w:trPr>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502" w:right="0"/>
              <w:jc w:val="left"/>
              <w:rPr>
                <w:rFonts w:ascii="宋体" w:hAnsi="宋体" w:cs="宋体" w:eastAsia="宋体" w:hint="default"/>
                <w:sz w:val="21"/>
                <w:szCs w:val="21"/>
              </w:rPr>
            </w:pPr>
            <w:r>
              <w:rPr>
                <w:rFonts w:ascii="宋体" w:hAnsi="宋体" w:cs="宋体" w:eastAsia="宋体" w:hint="default"/>
                <w:sz w:val="21"/>
                <w:szCs w:val="21"/>
              </w:rPr>
              <w:t>项目名称</w:t>
            </w:r>
            <w:r>
              <w:rPr>
                <w:rFonts w:ascii="宋体" w:hAnsi="宋体" w:cs="宋体" w:eastAsia="宋体" w:hint="default"/>
                <w:sz w:val="21"/>
                <w:szCs w:val="21"/>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10"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20"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12" w:right="0"/>
              <w:jc w:val="left"/>
              <w:rPr>
                <w:rFonts w:ascii="宋体" w:hAnsi="宋体" w:cs="宋体" w:eastAsia="宋体" w:hint="default"/>
                <w:sz w:val="21"/>
                <w:szCs w:val="21"/>
              </w:rPr>
            </w:pPr>
            <w:r>
              <w:rPr>
                <w:rFonts w:ascii="宋体" w:hAnsi="宋体" w:cs="宋体" w:eastAsia="宋体" w:hint="default"/>
                <w:sz w:val="21"/>
                <w:szCs w:val="21"/>
              </w:rPr>
              <w:t>当期变动</w:t>
            </w:r>
            <w:r>
              <w:rPr>
                <w:rFonts w:ascii="宋体" w:hAnsi="宋体" w:cs="宋体" w:eastAsia="宋体" w:hint="default"/>
                <w:sz w:val="21"/>
                <w:szCs w:val="21"/>
              </w:rPr>
              <w:t> </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
              <w:jc w:val="center"/>
              <w:rPr>
                <w:rFonts w:ascii="宋体" w:hAnsi="宋体" w:cs="宋体" w:eastAsia="宋体" w:hint="default"/>
                <w:sz w:val="21"/>
                <w:szCs w:val="21"/>
              </w:rPr>
            </w:pPr>
            <w:r>
              <w:rPr>
                <w:rFonts w:ascii="宋体" w:hAnsi="宋体" w:cs="宋体" w:eastAsia="宋体" w:hint="default"/>
                <w:sz w:val="21"/>
                <w:szCs w:val="21"/>
              </w:rPr>
              <w:t>对当期利润的影响金</w:t>
            </w:r>
          </w:p>
          <w:p>
            <w:pPr>
              <w:pStyle w:val="TableParagraph"/>
              <w:spacing w:line="274" w:lineRule="exact"/>
              <w:ind w:left="98" w:right="0"/>
              <w:jc w:val="center"/>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r>
      <w:tr>
        <w:trPr>
          <w:trHeight w:val="283" w:hRule="exact"/>
        </w:trPr>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left"/>
              <w:rPr>
                <w:rFonts w:ascii="宋体" w:hAnsi="宋体" w:cs="宋体" w:eastAsia="宋体" w:hint="default"/>
                <w:sz w:val="21"/>
                <w:szCs w:val="21"/>
              </w:rPr>
            </w:pPr>
            <w:r>
              <w:rPr>
                <w:rFonts w:ascii="宋体" w:hAnsi="宋体" w:cs="宋体" w:eastAsia="宋体" w:hint="default"/>
                <w:sz w:val="21"/>
                <w:szCs w:val="21"/>
              </w:rPr>
              <w:t>交易性金融资产</w:t>
            </w:r>
            <w:r>
              <w:rPr>
                <w:rFonts w:ascii="宋体" w:hAnsi="宋体" w:cs="宋体" w:eastAsia="宋体" w:hint="default"/>
                <w:sz w:val="21"/>
                <w:szCs w:val="21"/>
              </w:rPr>
              <w:t> </w:t>
            </w:r>
          </w:p>
        </w:tc>
        <w:tc>
          <w:tcPr>
            <w:tcW w:w="1671" w:type="dxa"/>
            <w:tcBorders>
              <w:top w:val="single" w:sz="4" w:space="0" w:color="000000"/>
              <w:left w:val="single" w:sz="4" w:space="0" w:color="000000"/>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221,059,354</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221,059,354</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49,033,089</w:t>
            </w:r>
          </w:p>
        </w:tc>
      </w:tr>
      <w:tr>
        <w:trPr>
          <w:trHeight w:val="554" w:hRule="exact"/>
        </w:trPr>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left"/>
              <w:rPr>
                <w:rFonts w:ascii="宋体" w:hAnsi="宋体" w:cs="宋体" w:eastAsia="宋体" w:hint="default"/>
                <w:sz w:val="21"/>
                <w:szCs w:val="21"/>
              </w:rPr>
            </w:pPr>
            <w:r>
              <w:rPr>
                <w:rFonts w:ascii="宋体" w:hAnsi="宋体" w:cs="宋体" w:eastAsia="宋体" w:hint="default"/>
                <w:spacing w:val="18"/>
                <w:sz w:val="21"/>
                <w:szCs w:val="21"/>
              </w:rPr>
              <w:t>其他非流动金融资</w:t>
            </w:r>
          </w:p>
          <w:p>
            <w:pPr>
              <w:pStyle w:val="TableParagraph"/>
              <w:spacing w:line="274" w:lineRule="exact"/>
              <w:ind w:right="0"/>
              <w:jc w:val="left"/>
              <w:rPr>
                <w:rFonts w:ascii="宋体" w:hAnsi="宋体" w:cs="宋体" w:eastAsia="宋体" w:hint="default"/>
                <w:sz w:val="21"/>
                <w:szCs w:val="21"/>
              </w:rPr>
            </w:pPr>
            <w:r>
              <w:rPr>
                <w:rFonts w:ascii="宋体" w:hAnsi="宋体" w:cs="宋体" w:eastAsia="宋体" w:hint="default"/>
                <w:sz w:val="21"/>
                <w:szCs w:val="21"/>
              </w:rPr>
              <w:t>产</w:t>
            </w:r>
            <w:r>
              <w:rPr>
                <w:rFonts w:ascii="宋体" w:hAnsi="宋体" w:cs="宋体" w:eastAsia="宋体" w:hint="default"/>
                <w:sz w:val="21"/>
                <w:szCs w:val="21"/>
              </w:rPr>
              <w:t> </w:t>
            </w:r>
          </w:p>
        </w:tc>
        <w:tc>
          <w:tcPr>
            <w:tcW w:w="1671" w:type="dxa"/>
            <w:tcBorders>
              <w:top w:val="single" w:sz="4" w:space="0" w:color="000000"/>
              <w:left w:val="single" w:sz="4" w:space="0" w:color="000000"/>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1,069,298,248</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1,069,298,248</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192,717,142</w:t>
            </w:r>
          </w:p>
        </w:tc>
      </w:tr>
      <w:tr>
        <w:trPr>
          <w:trHeight w:val="283" w:hRule="exact"/>
        </w:trPr>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left"/>
              <w:rPr>
                <w:rFonts w:ascii="宋体" w:hAnsi="宋体" w:cs="宋体" w:eastAsia="宋体" w:hint="default"/>
                <w:sz w:val="21"/>
                <w:szCs w:val="21"/>
              </w:rPr>
            </w:pPr>
            <w:r>
              <w:rPr>
                <w:rFonts w:ascii="宋体" w:hAnsi="宋体" w:cs="宋体" w:eastAsia="宋体" w:hint="default"/>
                <w:sz w:val="21"/>
                <w:szCs w:val="21"/>
              </w:rPr>
              <w:t>可供出售金融资产</w:t>
            </w:r>
            <w:r>
              <w:rPr>
                <w:rFonts w:ascii="宋体" w:hAnsi="宋体" w:cs="宋体" w:eastAsia="宋体" w:hint="default"/>
                <w:sz w:val="21"/>
                <w:szCs w:val="21"/>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167,713,557</w:t>
            </w:r>
          </w:p>
        </w:tc>
        <w:tc>
          <w:tcPr>
            <w:tcW w:w="1690"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-167,713,557</w:t>
            </w:r>
          </w:p>
        </w:tc>
        <w:tc>
          <w:tcPr>
            <w:tcW w:w="195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left"/>
              <w:rPr>
                <w:rFonts w:ascii="宋体" w:hAnsi="宋体" w:cs="宋体" w:eastAsia="宋体" w:hint="default"/>
                <w:sz w:val="21"/>
                <w:szCs w:val="21"/>
              </w:rPr>
            </w:pPr>
            <w:r>
              <w:rPr>
                <w:rFonts w:ascii="宋体" w:hAnsi="宋体" w:cs="宋体" w:eastAsia="宋体" w:hint="default"/>
                <w:sz w:val="21"/>
                <w:szCs w:val="21"/>
              </w:rPr>
              <w:t>套期工具</w:t>
            </w:r>
            <w:r>
              <w:rPr>
                <w:rFonts w:ascii="宋体" w:hAnsi="宋体" w:cs="宋体" w:eastAsia="宋体" w:hint="default"/>
                <w:sz w:val="21"/>
                <w:szCs w:val="21"/>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9,549,542</w:t>
            </w:r>
          </w:p>
        </w:tc>
        <w:tc>
          <w:tcPr>
            <w:tcW w:w="1690"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-9,549,542</w:t>
            </w:r>
          </w:p>
        </w:tc>
        <w:tc>
          <w:tcPr>
            <w:tcW w:w="195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left"/>
              <w:rPr>
                <w:rFonts w:ascii="宋体" w:hAnsi="宋体" w:cs="宋体" w:eastAsia="宋体" w:hint="default"/>
                <w:sz w:val="21"/>
                <w:szCs w:val="21"/>
              </w:rPr>
            </w:pPr>
            <w:r>
              <w:rPr>
                <w:rFonts w:ascii="宋体" w:hAnsi="宋体" w:cs="宋体" w:eastAsia="宋体" w:hint="default"/>
                <w:sz w:val="21"/>
                <w:szCs w:val="21"/>
              </w:rPr>
              <w:t>交易性金融负债</w:t>
            </w:r>
            <w:r>
              <w:rPr>
                <w:rFonts w:ascii="宋体" w:hAnsi="宋体" w:cs="宋体" w:eastAsia="宋体" w:hint="default"/>
                <w:sz w:val="21"/>
                <w:szCs w:val="21"/>
              </w:rPr>
              <w:t> </w:t>
            </w:r>
          </w:p>
        </w:tc>
        <w:tc>
          <w:tcPr>
            <w:tcW w:w="1671" w:type="dxa"/>
            <w:tcBorders>
              <w:top w:val="single" w:sz="4" w:space="0" w:color="000000"/>
              <w:left w:val="single" w:sz="4" w:space="0" w:color="000000"/>
              <w:bottom w:val="single" w:sz="4" w:space="0" w:color="000000"/>
              <w:right w:val="single" w:sz="4" w:space="0" w:color="000000"/>
            </w:tcBorders>
          </w:tcPr>
          <w:p>
            <w:pP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6,658,487</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6,658,487</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-6,658,487</w:t>
            </w:r>
          </w:p>
        </w:tc>
      </w:tr>
      <w:tr>
        <w:trPr>
          <w:trHeight w:val="283" w:hRule="exact"/>
        </w:trPr>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13"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177,263,099</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1,297,016,089</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1,119,752,990</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235,091,744</w:t>
            </w:r>
          </w:p>
        </w:tc>
      </w:tr>
    </w:tbl>
    <w:p>
      <w:pPr>
        <w:spacing w:after="0" w:line="241" w:lineRule="exact"/>
        <w:jc w:val="right"/>
        <w:rPr>
          <w:rFonts w:ascii="宋体" w:hAnsi="宋体" w:cs="宋体" w:eastAsia="宋体" w:hint="default"/>
          <w:sz w:val="21"/>
          <w:szCs w:val="21"/>
        </w:rPr>
        <w:sectPr>
          <w:type w:val="continuous"/>
          <w:pgSz w:w="11910" w:h="16840"/>
          <w:pgMar w:top="1120" w:bottom="1380" w:left="900" w:right="1560"/>
        </w:sectPr>
      </w:pPr>
    </w:p>
    <w:p>
      <w:pPr>
        <w:spacing w:line="239" w:lineRule="exact" w:before="0"/>
        <w:ind w:left="376" w:right="0" w:firstLine="0"/>
        <w:jc w:val="left"/>
        <w:rPr>
          <w:rFonts w:ascii="宋体" w:hAnsi="宋体" w:cs="宋体" w:eastAsia="宋体" w:hint="default"/>
          <w:sz w:val="21"/>
          <w:szCs w:val="21"/>
        </w:rPr>
      </w:pPr>
      <w:r>
        <w:rPr>
          <w:rFonts w:ascii="宋体"/>
          <w:w w:val="100"/>
          <w:sz w:val="21"/>
        </w:rPr>
        <w:t> </w:t>
      </w:r>
    </w:p>
    <w:p>
      <w:pPr>
        <w:spacing w:line="273" w:lineRule="exact" w:before="0"/>
        <w:ind w:left="376" w:right="0" w:firstLine="0"/>
        <w:jc w:val="left"/>
        <w:rPr>
          <w:rFonts w:ascii="宋体" w:hAnsi="宋体" w:cs="宋体" w:eastAsia="宋体" w:hint="default"/>
          <w:sz w:val="21"/>
          <w:szCs w:val="21"/>
        </w:rPr>
      </w:pPr>
      <w:r>
        <w:rPr>
          <w:rFonts w:ascii="宋体"/>
          <w:w w:val="100"/>
          <w:sz w:val="21"/>
        </w:rPr>
        <w:t> </w:t>
      </w:r>
    </w:p>
    <w:p>
      <w:pPr>
        <w:pStyle w:val="Heading2"/>
        <w:spacing w:line="240" w:lineRule="auto" w:before="53"/>
        <w:ind w:left="376" w:right="0"/>
        <w:jc w:val="left"/>
        <w:rPr>
          <w:b w:val="0"/>
          <w:bCs w:val="0"/>
        </w:rPr>
      </w:pPr>
      <w:r>
        <w:rPr/>
        <w:t>十二、</w:t>
      </w:r>
      <w:r>
        <w:rPr>
          <w:spacing w:val="-3"/>
        </w:rPr>
        <w:t> </w:t>
      </w:r>
      <w:r>
        <w:rPr>
          <w:rFonts w:ascii="宋体" w:hAnsi="宋体" w:cs="宋体" w:eastAsia="宋体" w:hint="default"/>
          <w:spacing w:val="-3"/>
        </w:rPr>
      </w:r>
      <w:r>
        <w:rPr/>
        <w:t>其他</w:t>
      </w:r>
      <w:r>
        <w:rPr>
          <w:b w:val="0"/>
          <w:bCs w:val="0"/>
        </w:rPr>
      </w:r>
    </w:p>
    <w:p>
      <w:pPr>
        <w:pStyle w:val="BodyText"/>
        <w:spacing w:line="240" w:lineRule="auto" w:before="55"/>
        <w:ind w:left="376" w:right="-18"/>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8"/>
          <w:szCs w:val="28"/>
        </w:rPr>
      </w:pPr>
      <w:r>
        <w:rPr/>
        <w:br w:type="column"/>
      </w:r>
      <w:r>
        <w:rPr>
          <w:rFonts w:ascii="宋体"/>
          <w:sz w:val="28"/>
        </w:rPr>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pStyle w:val="Heading1"/>
        <w:tabs>
          <w:tab w:pos="1636" w:val="left" w:leader="none"/>
        </w:tabs>
        <w:spacing w:line="240" w:lineRule="auto" w:before="199"/>
        <w:ind w:left="376" w:right="0"/>
        <w:jc w:val="left"/>
        <w:rPr>
          <w:b w:val="0"/>
          <w:bCs w:val="0"/>
        </w:rPr>
      </w:pPr>
      <w:bookmarkStart w:name="_bookmark2" w:id="3"/>
      <w:bookmarkEnd w:id="3"/>
      <w:r>
        <w:rPr>
          <w:b w:val="0"/>
          <w:bCs w:val="0"/>
        </w:rPr>
      </w:r>
      <w:r>
        <w:rPr>
          <w:w w:val="95"/>
        </w:rPr>
        <w:t>第三节</w:t>
      </w:r>
      <w:r>
        <w:rPr>
          <w:rFonts w:ascii="宋体" w:hAnsi="宋体" w:cs="宋体" w:eastAsia="宋体" w:hint="default"/>
          <w:w w:val="95"/>
        </w:rPr>
        <w:tab/>
      </w:r>
      <w:r>
        <w:rPr/>
        <w:t>公司业务概要</w:t>
      </w:r>
      <w:r>
        <w:rPr>
          <w:b w:val="0"/>
          <w:bCs w:val="0"/>
        </w:rPr>
      </w:r>
    </w:p>
    <w:p>
      <w:pPr>
        <w:spacing w:after="0" w:line="240" w:lineRule="auto"/>
        <w:jc w:val="left"/>
        <w:sectPr>
          <w:type w:val="continuous"/>
          <w:pgSz w:w="11910" w:h="16840"/>
          <w:pgMar w:top="1120" w:bottom="1380" w:left="900" w:right="1560"/>
          <w:cols w:num="2" w:equalWidth="0">
            <w:col w:w="1974" w:space="970"/>
            <w:col w:w="6506"/>
          </w:cols>
        </w:sectPr>
      </w:pPr>
    </w:p>
    <w:p>
      <w:pPr>
        <w:spacing w:line="240" w:lineRule="auto" w:before="11"/>
        <w:rPr>
          <w:rFonts w:ascii="黑体" w:hAnsi="黑体" w:cs="黑体" w:eastAsia="黑体" w:hint="default"/>
          <w:b/>
          <w:bCs/>
          <w:sz w:val="16"/>
          <w:szCs w:val="16"/>
        </w:rPr>
      </w:pPr>
    </w:p>
    <w:p>
      <w:pPr>
        <w:pStyle w:val="Heading2"/>
        <w:tabs>
          <w:tab w:pos="1217" w:val="left" w:leader="none"/>
        </w:tabs>
        <w:spacing w:line="240" w:lineRule="auto" w:before="26"/>
        <w:ind w:left="376" w:right="216"/>
        <w:jc w:val="left"/>
        <w:rPr>
          <w:b w:val="0"/>
          <w:bCs w:val="0"/>
        </w:rPr>
      </w:pPr>
      <w:r>
        <w:rPr/>
        <w:t>一、</w:t>
        <w:tab/>
        <w:t>报告期内公司所从事的主要业务、经营模式及行业情况说明</w:t>
      </w:r>
      <w:r>
        <w:rPr>
          <w:b w:val="0"/>
          <w:bCs w:val="0"/>
        </w:rPr>
      </w:r>
    </w:p>
    <w:p>
      <w:pPr>
        <w:spacing w:line="240" w:lineRule="auto" w:before="2"/>
        <w:rPr>
          <w:rFonts w:ascii="宋体" w:hAnsi="宋体" w:cs="宋体" w:eastAsia="宋体" w:hint="default"/>
          <w:b/>
          <w:bCs/>
          <w:sz w:val="18"/>
          <w:szCs w:val="18"/>
        </w:rPr>
      </w:pPr>
    </w:p>
    <w:p>
      <w:pPr>
        <w:pStyle w:val="Heading2"/>
        <w:spacing w:line="240" w:lineRule="auto"/>
        <w:ind w:left="857" w:right="216"/>
        <w:jc w:val="left"/>
        <w:rPr>
          <w:b w:val="0"/>
          <w:bCs w:val="0"/>
        </w:rPr>
      </w:pPr>
      <w:r>
        <w:rPr/>
        <w:t>（一）公司主营业务和经营模式</w:t>
      </w:r>
      <w:r>
        <w:rPr>
          <w:b w:val="0"/>
          <w:bCs w:val="0"/>
        </w:rPr>
      </w:r>
    </w:p>
    <w:p>
      <w:pPr>
        <w:pStyle w:val="BodyText"/>
        <w:spacing w:line="237" w:lineRule="auto" w:before="118"/>
        <w:ind w:left="376" w:right="0" w:firstLine="480"/>
        <w:jc w:val="left"/>
        <w:rPr>
          <w:rFonts w:ascii="宋体" w:hAnsi="宋体" w:cs="宋体" w:eastAsia="宋体" w:hint="default"/>
        </w:rPr>
      </w:pPr>
      <w:r>
        <w:rPr/>
        <w:t>在用友</w:t>
      </w:r>
      <w:r>
        <w:rPr>
          <w:spacing w:val="-73"/>
        </w:rPr>
        <w:t> </w:t>
      </w:r>
      <w:r>
        <w:rPr>
          <w:rFonts w:ascii="宋体" w:hAnsi="宋体" w:cs="宋体" w:eastAsia="宋体" w:hint="default"/>
        </w:rPr>
        <w:t>3.0</w:t>
      </w:r>
      <w:r>
        <w:rPr>
          <w:rFonts w:ascii="宋体" w:hAnsi="宋体" w:cs="宋体" w:eastAsia="宋体" w:hint="default"/>
          <w:spacing w:val="-72"/>
        </w:rPr>
        <w:t> </w:t>
      </w:r>
      <w:r>
        <w:rPr/>
        <w:t>战略新时期，公司形成了以用友企业云服务为核心业务，云服务、软 件、金融服务融合发展的新战略布局。公司基于移动互联网、云计算、大数据、人工 智能、物联网、区块链等新一代企业计算技术，按照商业创新平台（</w:t>
      </w:r>
      <w:r>
        <w:rPr>
          <w:rFonts w:ascii="宋体" w:hAnsi="宋体" w:cs="宋体" w:eastAsia="宋体" w:hint="default"/>
        </w:rPr>
        <w:t>BIP</w:t>
      </w:r>
      <w:r>
        <w:rPr/>
        <w:t>）的理念，</w:t>
      </w:r>
      <w:r>
        <w:rPr>
          <w:spacing w:val="-54"/>
        </w:rPr>
        <w:t> </w:t>
      </w:r>
      <w:r>
        <w:rPr/>
        <w:t>充分发挥技术与商业相结合的优势，通过构建和运营全球领先的企业云服务平台，提</w:t>
      </w:r>
      <w:r>
        <w:rPr/>
        <w:t> 供覆盖多领域、多行业的企业服务，包括在营销、制造、采购、金融、财务、人力、</w:t>
      </w:r>
      <w:r>
        <w:rPr>
          <w:spacing w:val="-57"/>
        </w:rPr>
        <w:t> </w:t>
      </w:r>
      <w:r>
        <w:rPr>
          <w:spacing w:val="-57"/>
        </w:rPr>
      </w:r>
      <w:r>
        <w:rPr/>
        <w:t>协同、平台服务等领域为客户提供数字化、智能化、全球化、社会化、安全可信的企</w:t>
      </w:r>
      <w:r>
        <w:rPr/>
        <w:t> 业云服务与解决方案，使商业创新（包括业务创新和管理变革）变得简单、便捷、大 众化、社会化。</w:t>
      </w:r>
      <w:r>
        <w:rPr>
          <w:rFonts w:ascii="宋体" w:hAnsi="宋体" w:cs="宋体" w:eastAsia="宋体" w:hint="default"/>
        </w:rPr>
        <w:t> </w:t>
      </w:r>
    </w:p>
    <w:p>
      <w:pPr>
        <w:pStyle w:val="BodyText"/>
        <w:spacing w:line="312" w:lineRule="exact" w:before="29"/>
        <w:ind w:left="376" w:right="219" w:firstLine="480"/>
        <w:jc w:val="left"/>
        <w:rPr>
          <w:rFonts w:ascii="宋体" w:hAnsi="宋体" w:cs="宋体" w:eastAsia="宋体" w:hint="default"/>
        </w:rPr>
      </w:pPr>
      <w:r>
        <w:rPr/>
        <w:t>公司通过用友 </w:t>
      </w:r>
      <w:r>
        <w:rPr>
          <w:rFonts w:ascii="宋体" w:hAnsi="宋体" w:cs="宋体" w:eastAsia="宋体" w:hint="default"/>
        </w:rPr>
        <w:t>iuap</w:t>
      </w:r>
      <w:r>
        <w:rPr>
          <w:rFonts w:ascii="宋体" w:hAnsi="宋体" w:cs="宋体" w:eastAsia="宋体" w:hint="default"/>
          <w:spacing w:val="-49"/>
        </w:rPr>
        <w:t> </w:t>
      </w:r>
      <w:r>
        <w:rPr/>
        <w:t>向客户和生态伙伴提供云平台服务（</w:t>
      </w:r>
      <w:r>
        <w:rPr>
          <w:rFonts w:ascii="宋体" w:hAnsi="宋体" w:cs="宋体" w:eastAsia="宋体" w:hint="default"/>
        </w:rPr>
        <w:t>PaaS</w:t>
      </w:r>
      <w:r>
        <w:rPr/>
        <w:t>），包括开发、集 成、运行、运维、运营、公共应用与业务、基础数据等服务。</w:t>
      </w:r>
      <w:r>
        <w:rPr>
          <w:rFonts w:ascii="宋体" w:hAnsi="宋体" w:cs="宋体" w:eastAsia="宋体" w:hint="default"/>
        </w:rPr>
        <w:t> </w:t>
      </w:r>
    </w:p>
    <w:p>
      <w:pPr>
        <w:pStyle w:val="BodyText"/>
        <w:spacing w:line="280" w:lineRule="exact"/>
        <w:ind w:left="376" w:right="0" w:firstLine="480"/>
        <w:jc w:val="left"/>
      </w:pPr>
      <w:r>
        <w:rPr/>
        <w:t>用友云市场致力于满足企业客户一站式购买企业服务和一体化应用需求，设有云</w:t>
      </w:r>
    </w:p>
    <w:p>
      <w:pPr>
        <w:pStyle w:val="BodyText"/>
        <w:spacing w:line="312" w:lineRule="exact" w:before="29"/>
        <w:ind w:left="376" w:right="216"/>
        <w:jc w:val="left"/>
        <w:rPr>
          <w:rFonts w:ascii="宋体" w:hAnsi="宋体" w:cs="宋体" w:eastAsia="宋体" w:hint="default"/>
        </w:rPr>
      </w:pPr>
      <w:r>
        <w:rPr>
          <w:spacing w:val="-2"/>
        </w:rPr>
        <w:t>平台服务、企业应用服务、行业云、云解决方案等，与生态伙伴共同赋能各类企业和</w:t>
      </w:r>
      <w:r>
        <w:rPr>
          <w:spacing w:val="-92"/>
        </w:rPr>
        <w:t> </w:t>
      </w:r>
      <w:r>
        <w:rPr>
          <w:spacing w:val="-92"/>
        </w:rPr>
      </w:r>
      <w:r>
        <w:rPr/>
        <w:t>公共组织。</w:t>
      </w:r>
      <w:r>
        <w:rPr>
          <w:rFonts w:ascii="宋体" w:hAnsi="宋体" w:cs="宋体" w:eastAsia="宋体" w:hint="default"/>
        </w:rPr>
        <w:t> </w:t>
      </w:r>
    </w:p>
    <w:p>
      <w:pPr>
        <w:spacing w:after="0" w:line="312" w:lineRule="exact"/>
        <w:jc w:val="left"/>
        <w:rPr>
          <w:rFonts w:ascii="宋体" w:hAnsi="宋体" w:cs="宋体" w:eastAsia="宋体" w:hint="default"/>
        </w:rPr>
        <w:sectPr>
          <w:type w:val="continuous"/>
          <w:pgSz w:w="11910" w:h="16840"/>
          <w:pgMar w:top="1120" w:bottom="1380" w:left="900" w:right="1560"/>
        </w:sectPr>
      </w:pPr>
    </w:p>
    <w:p>
      <w:pPr>
        <w:spacing w:line="240" w:lineRule="auto" w:before="2"/>
        <w:rPr>
          <w:rFonts w:ascii="宋体" w:hAnsi="宋体" w:cs="宋体" w:eastAsia="宋体" w:hint="default"/>
          <w:sz w:val="19"/>
          <w:szCs w:val="19"/>
        </w:rPr>
      </w:pPr>
    </w:p>
    <w:p>
      <w:pPr>
        <w:pStyle w:val="BodyText"/>
        <w:spacing w:line="237" w:lineRule="auto" w:before="28"/>
        <w:ind w:right="111" w:firstLine="480"/>
        <w:jc w:val="both"/>
        <w:rPr>
          <w:rFonts w:ascii="宋体" w:hAnsi="宋体" w:cs="宋体" w:eastAsia="宋体" w:hint="default"/>
        </w:rPr>
      </w:pPr>
      <w:r>
        <w:rPr>
          <w:spacing w:val="2"/>
        </w:rPr>
        <w:t>公司的云服务经营模式为向企业客户与公共组织提供</w:t>
      </w:r>
      <w:r>
        <w:rPr>
          <w:spacing w:val="15"/>
        </w:rPr>
        <w:t> </w:t>
      </w:r>
      <w:r>
        <w:rPr>
          <w:rFonts w:ascii="宋体" w:hAnsi="宋体" w:cs="宋体" w:eastAsia="宋体" w:hint="default"/>
        </w:rPr>
        <w:t>PaaS</w:t>
      </w:r>
      <w:r>
        <w:rPr/>
        <w:t>、</w:t>
      </w:r>
      <w:r>
        <w:rPr>
          <w:rFonts w:ascii="宋体" w:hAnsi="宋体" w:cs="宋体" w:eastAsia="宋体" w:hint="default"/>
        </w:rPr>
        <w:t>SaaS</w:t>
      </w:r>
      <w:r>
        <w:rPr/>
        <w:t>、</w:t>
      </w:r>
      <w:r>
        <w:rPr>
          <w:rFonts w:ascii="宋体" w:hAnsi="宋体" w:cs="宋体" w:eastAsia="宋体" w:hint="default"/>
        </w:rPr>
        <w:t>BaaS</w:t>
      </w:r>
      <w:r>
        <w:rPr/>
        <w:t>、</w:t>
      </w:r>
      <w:r>
        <w:rPr>
          <w:rFonts w:ascii="宋体" w:hAnsi="宋体" w:cs="宋体" w:eastAsia="宋体" w:hint="default"/>
        </w:rPr>
        <w:t>DaaS </w:t>
      </w:r>
      <w:r>
        <w:rPr>
          <w:spacing w:val="-2"/>
        </w:rPr>
        <w:t>等服务，收入主要是平台服务收入、应用服务收入、运营服务收入、信息和数据服务</w:t>
      </w:r>
      <w:r>
        <w:rPr>
          <w:spacing w:val="-94"/>
        </w:rPr>
        <w:t> </w:t>
      </w:r>
      <w:r>
        <w:rPr>
          <w:spacing w:val="-94"/>
        </w:rPr>
      </w:r>
      <w:r>
        <w:rPr>
          <w:spacing w:val="-2"/>
        </w:rPr>
        <w:t>收入、平台交易收入（含分成收入）、推广第三方厂商应用服务获得的分润收入以及</w:t>
      </w:r>
      <w:r>
        <w:rPr>
          <w:spacing w:val="-94"/>
        </w:rPr>
        <w:t> </w:t>
      </w:r>
      <w:r>
        <w:rPr>
          <w:spacing w:val="-94"/>
        </w:rPr>
      </w:r>
      <w:r>
        <w:rPr/>
        <w:t>其他增值服务收入等。</w:t>
      </w:r>
      <w:r>
        <w:rPr>
          <w:rFonts w:ascii="宋体" w:hAnsi="宋体" w:cs="宋体" w:eastAsia="宋体" w:hint="default"/>
        </w:rPr>
        <w:t>  </w:t>
      </w:r>
    </w:p>
    <w:p>
      <w:pPr>
        <w:spacing w:line="240" w:lineRule="auto" w:before="12"/>
        <w:rPr>
          <w:rFonts w:ascii="宋体" w:hAnsi="宋体" w:cs="宋体" w:eastAsia="宋体" w:hint="default"/>
          <w:sz w:val="2"/>
          <w:szCs w:val="2"/>
        </w:rPr>
      </w:pPr>
    </w:p>
    <w:p>
      <w:pPr>
        <w:spacing w:line="4171" w:lineRule="exact"/>
        <w:ind w:left="136"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5651631" cy="2648902"/>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4" cstate="print"/>
                    <a:stretch>
                      <a:fillRect/>
                    </a:stretch>
                  </pic:blipFill>
                  <pic:spPr>
                    <a:xfrm>
                      <a:off x="0" y="0"/>
                      <a:ext cx="5651631" cy="2648902"/>
                    </a:xfrm>
                    <a:prstGeom prst="rect">
                      <a:avLst/>
                    </a:prstGeom>
                  </pic:spPr>
                </pic:pic>
              </a:graphicData>
            </a:graphic>
          </wp:inline>
        </w:drawing>
      </w:r>
      <w:r>
        <w:rPr>
          <w:rFonts w:ascii="宋体" w:hAnsi="宋体" w:cs="宋体" w:eastAsia="宋体" w:hint="default"/>
          <w:position w:val="-82"/>
          <w:sz w:val="20"/>
          <w:szCs w:val="20"/>
        </w:rPr>
      </w:r>
    </w:p>
    <w:p>
      <w:pPr>
        <w:pStyle w:val="Heading2"/>
        <w:spacing w:line="240" w:lineRule="auto" w:before="49"/>
        <w:ind w:left="619" w:right="0"/>
        <w:jc w:val="left"/>
        <w:rPr>
          <w:rFonts w:ascii="宋体" w:hAnsi="宋体" w:cs="宋体" w:eastAsia="宋体" w:hint="default"/>
          <w:b w:val="0"/>
          <w:bCs w:val="0"/>
        </w:rPr>
      </w:pPr>
      <w:r>
        <w:rPr>
          <w:rFonts w:ascii="宋体" w:hAnsi="宋体" w:cs="宋体" w:eastAsia="宋体" w:hint="default"/>
        </w:rPr>
        <w:t>1</w:t>
      </w:r>
      <w:r>
        <w:rPr/>
        <w:t>、大型企业服务业务</w:t>
      </w:r>
      <w:r>
        <w:rPr>
          <w:rFonts w:ascii="宋体" w:hAnsi="宋体" w:cs="宋体" w:eastAsia="宋体" w:hint="default"/>
          <w:w w:val="99"/>
        </w:rPr>
        <w:t> </w:t>
      </w:r>
      <w:r>
        <w:rPr>
          <w:rFonts w:ascii="宋体" w:hAnsi="宋体" w:cs="宋体" w:eastAsia="宋体" w:hint="default"/>
          <w:b w:val="0"/>
          <w:bCs w:val="0"/>
        </w:rPr>
      </w:r>
    </w:p>
    <w:p>
      <w:pPr>
        <w:pStyle w:val="BodyText"/>
        <w:spacing w:line="237" w:lineRule="auto" w:before="120"/>
        <w:ind w:right="113" w:firstLine="480"/>
        <w:jc w:val="both"/>
        <w:rPr>
          <w:rFonts w:ascii="宋体" w:hAnsi="宋体" w:cs="宋体" w:eastAsia="宋体" w:hint="default"/>
        </w:rPr>
      </w:pPr>
      <w:r>
        <w:rPr/>
        <w:t>公司面向大型企业提供用友</w:t>
      </w:r>
      <w:r>
        <w:rPr>
          <w:spacing w:val="-60"/>
        </w:rPr>
        <w:t> </w:t>
      </w:r>
      <w:r>
        <w:rPr>
          <w:rFonts w:ascii="宋体" w:hAnsi="宋体" w:cs="宋体" w:eastAsia="宋体" w:hint="default"/>
        </w:rPr>
        <w:t>NC</w:t>
      </w:r>
      <w:r>
        <w:rPr>
          <w:rFonts w:ascii="宋体" w:hAnsi="宋体" w:cs="宋体" w:eastAsia="宋体" w:hint="default"/>
          <w:spacing w:val="-24"/>
        </w:rPr>
        <w:t> </w:t>
      </w:r>
      <w:r>
        <w:rPr>
          <w:rFonts w:ascii="宋体" w:hAnsi="宋体" w:cs="宋体" w:eastAsia="宋体" w:hint="default"/>
        </w:rPr>
        <w:t>Cloud</w:t>
      </w:r>
      <w:r>
        <w:rPr>
          <w:rFonts w:ascii="宋体" w:hAnsi="宋体" w:cs="宋体" w:eastAsia="宋体" w:hint="default"/>
          <w:spacing w:val="-60"/>
        </w:rPr>
        <w:t> </w:t>
      </w:r>
      <w:r>
        <w:rPr/>
        <w:t>和创新的云服务，新版</w:t>
      </w:r>
      <w:r>
        <w:rPr>
          <w:spacing w:val="-60"/>
        </w:rPr>
        <w:t> </w:t>
      </w:r>
      <w:r>
        <w:rPr>
          <w:rFonts w:ascii="宋体" w:hAnsi="宋体" w:cs="宋体" w:eastAsia="宋体" w:hint="default"/>
        </w:rPr>
        <w:t>NC</w:t>
      </w:r>
      <w:r>
        <w:rPr>
          <w:rFonts w:ascii="宋体" w:hAnsi="宋体" w:cs="宋体" w:eastAsia="宋体" w:hint="default"/>
          <w:spacing w:val="-24"/>
        </w:rPr>
        <w:t> </w:t>
      </w:r>
      <w:r>
        <w:rPr>
          <w:rFonts w:ascii="宋体" w:hAnsi="宋体" w:cs="宋体" w:eastAsia="宋体" w:hint="default"/>
        </w:rPr>
        <w:t>Cloud</w:t>
      </w:r>
      <w:r>
        <w:rPr>
          <w:rFonts w:ascii="宋体" w:hAnsi="宋体" w:cs="宋体" w:eastAsia="宋体" w:hint="default"/>
          <w:spacing w:val="-60"/>
        </w:rPr>
        <w:t> </w:t>
      </w:r>
      <w:r>
        <w:rPr/>
        <w:t>和创新云 </w:t>
      </w:r>
      <w:r>
        <w:rPr>
          <w:spacing w:val="-2"/>
        </w:rPr>
        <w:t>服务基于云原生架构，支持公有云、混合云、专属云的灵活部署模式，包括了数字营</w:t>
      </w:r>
      <w:r>
        <w:rPr>
          <w:spacing w:val="-94"/>
        </w:rPr>
        <w:t> </w:t>
      </w:r>
      <w:r>
        <w:rPr>
          <w:spacing w:val="-94"/>
        </w:rPr>
      </w:r>
      <w:r>
        <w:rPr>
          <w:spacing w:val="-2"/>
        </w:rPr>
        <w:t>销与新零售、数字化工厂与智能制造、数字采购与供应链协同、财务共享、智慧税务</w:t>
      </w:r>
      <w:r>
        <w:rPr>
          <w:spacing w:val="-94"/>
        </w:rPr>
        <w:t> </w:t>
      </w:r>
      <w:r>
        <w:rPr>
          <w:spacing w:val="-94"/>
        </w:rPr>
      </w:r>
      <w:r>
        <w:rPr>
          <w:spacing w:val="-2"/>
        </w:rPr>
        <w:t>与电子发票、绩效与人才管理、社交协同等企业数字化创新应用，并提供覆盖各大行</w:t>
      </w:r>
      <w:r>
        <w:rPr>
          <w:spacing w:val="-94"/>
        </w:rPr>
        <w:t> </w:t>
      </w:r>
      <w:r>
        <w:rPr>
          <w:spacing w:val="-94"/>
        </w:rPr>
      </w:r>
      <w:r>
        <w:rPr/>
        <w:t>业的企业数字化最佳应用。</w:t>
      </w:r>
      <w:r>
        <w:rPr>
          <w:rFonts w:ascii="宋体" w:hAnsi="宋体" w:cs="宋体" w:eastAsia="宋体" w:hint="default"/>
        </w:rPr>
        <w:t> </w:t>
      </w:r>
    </w:p>
    <w:p>
      <w:pPr>
        <w:pStyle w:val="BodyText"/>
        <w:spacing w:line="312" w:lineRule="exact" w:before="26"/>
        <w:ind w:right="115" w:firstLine="480"/>
        <w:jc w:val="both"/>
        <w:rPr>
          <w:rFonts w:ascii="宋体" w:hAnsi="宋体" w:cs="宋体" w:eastAsia="宋体" w:hint="default"/>
        </w:rPr>
      </w:pPr>
      <w:r>
        <w:rPr>
          <w:spacing w:val="-2"/>
        </w:rPr>
        <w:t>公司面向汽车、金融、烟草、广电和电信、餐饮等行业业务由公司各控股子公司</w:t>
      </w:r>
      <w:r>
        <w:rPr/>
        <w:t> </w:t>
      </w:r>
      <w:r>
        <w:rPr>
          <w:spacing w:val="-2"/>
        </w:rPr>
        <w:t>提供标准产品及解决方案，同时也提供部分云服务，收入主要是产品许可收入、产品</w:t>
      </w:r>
      <w:r>
        <w:rPr>
          <w:spacing w:val="-96"/>
        </w:rPr>
        <w:t> </w:t>
      </w:r>
      <w:r>
        <w:rPr>
          <w:spacing w:val="-96"/>
        </w:rPr>
      </w:r>
      <w:r>
        <w:rPr/>
        <w:t>支持与运维服务收入、咨询实施收入等。</w:t>
      </w:r>
      <w:r>
        <w:rPr>
          <w:rFonts w:ascii="宋体" w:hAnsi="宋体" w:cs="宋体" w:eastAsia="宋体" w:hint="default"/>
        </w:rPr>
        <w:t> </w:t>
      </w:r>
    </w:p>
    <w:p>
      <w:pPr>
        <w:pStyle w:val="Heading2"/>
        <w:spacing w:line="240" w:lineRule="auto" w:before="87"/>
        <w:ind w:left="619" w:right="0"/>
        <w:jc w:val="left"/>
        <w:rPr>
          <w:rFonts w:ascii="宋体" w:hAnsi="宋体" w:cs="宋体" w:eastAsia="宋体" w:hint="default"/>
          <w:b w:val="0"/>
          <w:bCs w:val="0"/>
        </w:rPr>
      </w:pPr>
      <w:r>
        <w:rPr>
          <w:rFonts w:ascii="宋体" w:hAnsi="宋体" w:cs="宋体" w:eastAsia="宋体" w:hint="default"/>
        </w:rPr>
        <w:t>2</w:t>
      </w:r>
      <w:r>
        <w:rPr/>
        <w:t>、中型企业服务业务</w:t>
      </w:r>
      <w:r>
        <w:rPr>
          <w:rFonts w:ascii="宋体" w:hAnsi="宋体" w:cs="宋体" w:eastAsia="宋体" w:hint="default"/>
          <w:w w:val="99"/>
        </w:rPr>
        <w:t> </w:t>
      </w:r>
      <w:r>
        <w:rPr>
          <w:rFonts w:ascii="宋体" w:hAnsi="宋体" w:cs="宋体" w:eastAsia="宋体" w:hint="default"/>
          <w:b w:val="0"/>
          <w:bCs w:val="0"/>
        </w:rPr>
      </w:r>
    </w:p>
    <w:p>
      <w:pPr>
        <w:pStyle w:val="BodyText"/>
        <w:spacing w:line="237" w:lineRule="auto" w:before="120"/>
        <w:ind w:right="111" w:firstLine="480"/>
        <w:jc w:val="both"/>
        <w:rPr>
          <w:rFonts w:ascii="宋体" w:hAnsi="宋体" w:cs="宋体" w:eastAsia="宋体" w:hint="default"/>
        </w:rPr>
      </w:pPr>
      <w:r>
        <w:rPr/>
        <w:t>公司面向中型企业提供云服务套件 </w:t>
      </w:r>
      <w:r>
        <w:rPr>
          <w:rFonts w:ascii="宋体" w:hAnsi="宋体" w:cs="宋体" w:eastAsia="宋体" w:hint="default"/>
        </w:rPr>
        <w:t>YonSuite</w:t>
      </w:r>
      <w:r>
        <w:rPr/>
        <w:t>。</w:t>
      </w:r>
      <w:r>
        <w:rPr>
          <w:rFonts w:ascii="宋体" w:hAnsi="宋体" w:cs="宋体" w:eastAsia="宋体" w:hint="default"/>
        </w:rPr>
        <w:t>YonSuite</w:t>
      </w:r>
      <w:r>
        <w:rPr>
          <w:rFonts w:ascii="宋体" w:hAnsi="宋体" w:cs="宋体" w:eastAsia="宋体" w:hint="default"/>
          <w:spacing w:val="-48"/>
        </w:rPr>
        <w:t> </w:t>
      </w:r>
      <w:r>
        <w:rPr/>
        <w:t>基于云原生架构，公有 </w:t>
      </w:r>
      <w:r>
        <w:rPr>
          <w:spacing w:val="-8"/>
        </w:rPr>
        <w:t>云部署，聚焦服务、流通、制造等行业的数字化应用，为中型企业提供“营销、制造、</w:t>
      </w:r>
      <w:r>
        <w:rPr>
          <w:spacing w:val="-104"/>
        </w:rPr>
        <w:t> </w:t>
      </w:r>
      <w:r>
        <w:rPr>
          <w:spacing w:val="-104"/>
        </w:rPr>
      </w:r>
      <w:r>
        <w:rPr>
          <w:spacing w:val="-7"/>
        </w:rPr>
        <w:t>采购、财务、人力、办公、平台”融合一体、支持企业社会化商业的云服务。</w:t>
      </w:r>
      <w:r>
        <w:rPr>
          <w:rFonts w:ascii="宋体" w:hAnsi="宋体" w:cs="宋体" w:eastAsia="宋体" w:hint="default"/>
          <w:spacing w:val="-7"/>
        </w:rPr>
        <w:t>YonSuite</w:t>
      </w:r>
      <w:r>
        <w:rPr>
          <w:rFonts w:ascii="宋体" w:hAnsi="宋体" w:cs="宋体" w:eastAsia="宋体" w:hint="default"/>
          <w:spacing w:val="-111"/>
        </w:rPr>
        <w:t> </w:t>
      </w:r>
      <w:r>
        <w:rPr/>
        <w:t>基于用友</w:t>
      </w:r>
      <w:r>
        <w:rPr>
          <w:spacing w:val="-60"/>
        </w:rPr>
        <w:t> </w:t>
      </w:r>
      <w:r>
        <w:rPr>
          <w:rFonts w:ascii="宋体" w:hAnsi="宋体" w:cs="宋体" w:eastAsia="宋体" w:hint="default"/>
        </w:rPr>
        <w:t>iuap</w:t>
      </w:r>
      <w:r>
        <w:rPr>
          <w:rFonts w:ascii="宋体" w:hAnsi="宋体" w:cs="宋体" w:eastAsia="宋体" w:hint="default"/>
          <w:spacing w:val="-60"/>
        </w:rPr>
        <w:t> </w:t>
      </w:r>
      <w:r>
        <w:rPr/>
        <w:t>云平台开发、开放与运营，建立全面的生态能力。</w:t>
      </w:r>
      <w:r>
        <w:rPr>
          <w:rFonts w:ascii="宋体" w:hAnsi="宋体" w:cs="宋体" w:eastAsia="宋体" w:hint="default"/>
        </w:rPr>
        <w:t> </w:t>
      </w:r>
    </w:p>
    <w:p>
      <w:pPr>
        <w:pStyle w:val="BodyText"/>
        <w:spacing w:line="237" w:lineRule="auto" w:before="1"/>
        <w:ind w:right="111" w:firstLine="480"/>
        <w:jc w:val="both"/>
        <w:rPr>
          <w:rFonts w:ascii="宋体" w:hAnsi="宋体" w:cs="宋体" w:eastAsia="宋体" w:hint="default"/>
        </w:rPr>
      </w:pPr>
      <w:r>
        <w:rPr/>
        <w:t>公司面向中型企业继续提供</w:t>
      </w:r>
      <w:r>
        <w:rPr>
          <w:spacing w:val="-55"/>
        </w:rPr>
        <w:t> </w:t>
      </w:r>
      <w:r>
        <w:rPr>
          <w:rFonts w:ascii="宋体" w:hAnsi="宋体" w:cs="宋体" w:eastAsia="宋体" w:hint="default"/>
        </w:rPr>
        <w:t>ERP</w:t>
      </w:r>
      <w:r>
        <w:rPr>
          <w:rFonts w:ascii="宋体" w:hAnsi="宋体" w:cs="宋体" w:eastAsia="宋体" w:hint="default"/>
          <w:spacing w:val="-56"/>
        </w:rPr>
        <w:t> </w:t>
      </w:r>
      <w:r>
        <w:rPr/>
        <w:t>套件、解决方案，主要产品为</w:t>
      </w:r>
      <w:r>
        <w:rPr>
          <w:spacing w:val="-55"/>
        </w:rPr>
        <w:t> </w:t>
      </w:r>
      <w:r>
        <w:rPr>
          <w:rFonts w:ascii="宋体" w:hAnsi="宋体" w:cs="宋体" w:eastAsia="宋体" w:hint="default"/>
        </w:rPr>
        <w:t>U8+</w:t>
      </w:r>
      <w:r>
        <w:rPr/>
        <w:t>产品线，包括 </w:t>
      </w:r>
      <w:r>
        <w:rPr>
          <w:spacing w:val="-2"/>
        </w:rPr>
        <w:t>智能制造、营销、业务管控、供应链、财务核算以及人力资源等领域应用。该业务经</w:t>
      </w:r>
      <w:r>
        <w:rPr>
          <w:spacing w:val="-96"/>
        </w:rPr>
        <w:t> </w:t>
      </w:r>
      <w:r>
        <w:rPr>
          <w:spacing w:val="-96"/>
        </w:rPr>
      </w:r>
      <w:r>
        <w:rPr>
          <w:spacing w:val="-2"/>
        </w:rPr>
        <w:t>营模式是为客户提供标准产品及解决方案，采取全分销销售模式，收入主要是标准产</w:t>
      </w:r>
      <w:r>
        <w:rPr>
          <w:spacing w:val="-94"/>
        </w:rPr>
        <w:t> </w:t>
      </w:r>
      <w:r>
        <w:rPr>
          <w:spacing w:val="-94"/>
        </w:rPr>
      </w:r>
      <w:r>
        <w:rPr/>
        <w:t>品许可收入、产品支持与运维服务收入等。</w:t>
      </w:r>
      <w:r>
        <w:rPr>
          <w:rFonts w:ascii="宋体" w:hAnsi="宋体" w:cs="宋体" w:eastAsia="宋体" w:hint="default"/>
        </w:rPr>
        <w:t> </w:t>
      </w:r>
    </w:p>
    <w:p>
      <w:pPr>
        <w:spacing w:line="328" w:lineRule="auto" w:before="118"/>
        <w:ind w:left="617" w:right="0" w:firstLine="2"/>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、小微企业服务业务</w:t>
      </w:r>
      <w:r>
        <w:rPr>
          <w:rFonts w:ascii="宋体" w:hAnsi="宋体" w:cs="宋体" w:eastAsia="宋体" w:hint="default"/>
          <w:b/>
          <w:bCs/>
          <w:w w:val="99"/>
          <w:sz w:val="24"/>
          <w:szCs w:val="24"/>
        </w:rPr>
        <w:t> </w:t>
      </w:r>
      <w:r>
        <w:rPr>
          <w:rFonts w:ascii="宋体" w:hAnsi="宋体" w:cs="宋体" w:eastAsia="宋体" w:hint="default"/>
          <w:spacing w:val="4"/>
          <w:sz w:val="24"/>
          <w:szCs w:val="24"/>
        </w:rPr>
        <w:t>公司面向小微企业的云服务业务是由公司控股子公司畅捷通信息技术股份有限</w:t>
      </w:r>
    </w:p>
    <w:p>
      <w:pPr>
        <w:pStyle w:val="BodyText"/>
        <w:spacing w:line="222" w:lineRule="exact"/>
        <w:ind w:right="0"/>
        <w:jc w:val="both"/>
      </w:pPr>
      <w:r>
        <w:rPr/>
        <w:t>公司（下称“畅捷通公司”）提供。畅捷通公司全面打通小微企业的人、财、货、客</w:t>
      </w:r>
    </w:p>
    <w:p>
      <w:pPr>
        <w:pStyle w:val="BodyText"/>
        <w:spacing w:line="237" w:lineRule="auto" w:before="1"/>
        <w:ind w:right="111"/>
        <w:jc w:val="both"/>
      </w:pPr>
      <w:r>
        <w:rPr>
          <w:spacing w:val="-2"/>
        </w:rPr>
        <w:t>管理，整合财务、进销存、客户收支、协同办公等应用，覆盖小微企业从找客户、跑</w:t>
      </w:r>
      <w:r>
        <w:rPr>
          <w:spacing w:val="-96"/>
        </w:rPr>
        <w:t> </w:t>
      </w:r>
      <w:r>
        <w:rPr>
          <w:spacing w:val="-96"/>
        </w:rPr>
      </w:r>
      <w:r>
        <w:rPr>
          <w:spacing w:val="-10"/>
        </w:rPr>
        <w:t>客户到服务客户的生意全过程，主要云服务产品包括好会计、好生意、易代账、</w:t>
      </w:r>
      <w:r>
        <w:rPr>
          <w:rFonts w:ascii="宋体" w:hAnsi="宋体" w:cs="宋体" w:eastAsia="宋体" w:hint="default"/>
          <w:spacing w:val="-10"/>
        </w:rPr>
        <w:t>T+Cloud</w:t>
      </w:r>
      <w:r>
        <w:rPr>
          <w:rFonts w:ascii="宋体" w:hAnsi="宋体" w:cs="宋体" w:eastAsia="宋体" w:hint="default"/>
          <w:spacing w:val="-105"/>
        </w:rPr>
        <w:t> </w:t>
      </w:r>
      <w:r>
        <w:rPr/>
        <w:t>等产品。</w:t>
      </w:r>
    </w:p>
    <w:p>
      <w:pPr>
        <w:spacing w:after="0" w:line="237" w:lineRule="auto"/>
        <w:jc w:val="both"/>
        <w:sectPr>
          <w:pgSz w:w="11910" w:h="16840"/>
          <w:pgMar w:header="880" w:footer="1195" w:top="1120" w:bottom="1380" w:left="1140" w:right="1680"/>
        </w:sectPr>
      </w:pPr>
    </w:p>
    <w:p>
      <w:pPr>
        <w:spacing w:line="240" w:lineRule="auto" w:before="2"/>
        <w:rPr>
          <w:rFonts w:ascii="宋体" w:hAnsi="宋体" w:cs="宋体" w:eastAsia="宋体" w:hint="default"/>
          <w:sz w:val="19"/>
          <w:szCs w:val="19"/>
        </w:rPr>
      </w:pPr>
    </w:p>
    <w:p>
      <w:pPr>
        <w:spacing w:line="331" w:lineRule="auto" w:before="26"/>
        <w:ind w:left="617" w:right="0" w:firstLine="2"/>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z w:val="24"/>
          <w:szCs w:val="24"/>
        </w:rPr>
        <w:t>、政府与其他公共组织服务业务</w:t>
      </w:r>
      <w:r>
        <w:rPr>
          <w:rFonts w:ascii="宋体" w:hAnsi="宋体" w:cs="宋体" w:eastAsia="宋体" w:hint="default"/>
          <w:b/>
          <w:bCs/>
          <w:w w:val="99"/>
          <w:sz w:val="24"/>
          <w:szCs w:val="24"/>
        </w:rPr>
        <w:t> </w:t>
      </w:r>
      <w:r>
        <w:rPr>
          <w:rFonts w:ascii="宋体" w:hAnsi="宋体" w:cs="宋体" w:eastAsia="宋体" w:hint="default"/>
          <w:spacing w:val="5"/>
          <w:sz w:val="24"/>
          <w:szCs w:val="24"/>
        </w:rPr>
        <w:t>公司财政管理与政府财务管理业务由公司控股子公司北京用友政务软件股份有</w:t>
      </w:r>
    </w:p>
    <w:p>
      <w:pPr>
        <w:pStyle w:val="BodyText"/>
        <w:spacing w:line="217" w:lineRule="exact"/>
        <w:ind w:right="0"/>
        <w:jc w:val="left"/>
      </w:pPr>
      <w:r>
        <w:rPr/>
        <w:t>限公司（下称“用友政务公司”）提供。用友政务公司产品和服务包括财政一体化解</w:t>
      </w:r>
    </w:p>
    <w:p>
      <w:pPr>
        <w:pStyle w:val="BodyText"/>
        <w:spacing w:line="237" w:lineRule="auto" w:before="1"/>
        <w:ind w:right="0"/>
        <w:jc w:val="left"/>
        <w:rPr>
          <w:rFonts w:ascii="宋体" w:hAnsi="宋体" w:cs="宋体" w:eastAsia="宋体" w:hint="default"/>
        </w:rPr>
      </w:pPr>
      <w:r>
        <w:rPr/>
        <w:t>决方案、互联网</w:t>
      </w:r>
      <w:r>
        <w:rPr>
          <w:rFonts w:ascii="宋体" w:hAnsi="宋体" w:cs="宋体" w:eastAsia="宋体" w:hint="default"/>
        </w:rPr>
        <w:t>+</w:t>
      </w:r>
      <w:r>
        <w:rPr/>
        <w:t>政务服务一体化平台、政府采购云服务平台、资产云、政府大数据</w:t>
      </w:r>
      <w:r>
        <w:rPr>
          <w:spacing w:val="-57"/>
        </w:rPr>
        <w:t> </w:t>
      </w:r>
      <w:r>
        <w:rPr>
          <w:spacing w:val="-57"/>
        </w:rPr>
      </w:r>
      <w:r>
        <w:rPr/>
        <w:t>分析、社保整体解决方案等。收入主要是标准产品许可收入、支持与运维服务收入、</w:t>
      </w:r>
      <w:r>
        <w:rPr>
          <w:spacing w:val="-57"/>
        </w:rPr>
        <w:t> </w:t>
      </w:r>
      <w:r>
        <w:rPr>
          <w:spacing w:val="-57"/>
        </w:rPr>
      </w:r>
      <w:r>
        <w:rPr/>
        <w:t>咨询实施收入等。</w:t>
      </w:r>
      <w:r>
        <w:rPr>
          <w:rFonts w:ascii="宋体" w:hAnsi="宋体" w:cs="宋体" w:eastAsia="宋体" w:hint="default"/>
        </w:rPr>
        <w:t> </w:t>
      </w:r>
    </w:p>
    <w:p>
      <w:pPr>
        <w:pStyle w:val="BodyText"/>
        <w:spacing w:line="237" w:lineRule="auto" w:before="1"/>
        <w:ind w:right="0" w:firstLine="480"/>
        <w:jc w:val="left"/>
        <w:rPr>
          <w:rFonts w:ascii="宋体" w:hAnsi="宋体" w:cs="宋体" w:eastAsia="宋体" w:hint="default"/>
        </w:rPr>
      </w:pPr>
      <w:r>
        <w:rPr/>
        <w:t>公司面向院校教育业务由公司控股子公司新道科技股份有限公司（下称“新道科 技公司”）提供。新道科技公司与院校围绕会计、营销和工商管理等专业开展协同育 人共建服务，培养符合新时代特征的应用型、复合型人才，服务中国产业转型升级。</w:t>
      </w:r>
      <w:r>
        <w:rPr>
          <w:spacing w:val="-57"/>
        </w:rPr>
        <w:t> </w:t>
      </w:r>
      <w:r>
        <w:rPr>
          <w:spacing w:val="-57"/>
        </w:rPr>
      </w:r>
      <w:r>
        <w:rPr/>
        <w:t>公司为院校提供商科实践教学解决方案、创新创业教育解决方案、数字营销沙盘系统</w:t>
      </w:r>
      <w:r>
        <w:rPr/>
        <w:t> 等。收入主要是标准产品许可收入、支持与运维服务收入、咨询实施收入以及其他增 值服务收入等。</w:t>
      </w:r>
      <w:r>
        <w:rPr>
          <w:rFonts w:ascii="宋体" w:hAnsi="宋体" w:cs="宋体" w:eastAsia="宋体" w:hint="default"/>
        </w:rPr>
        <w:t> </w:t>
      </w:r>
    </w:p>
    <w:p>
      <w:pPr>
        <w:spacing w:line="331" w:lineRule="auto" w:before="116"/>
        <w:ind w:left="617" w:right="0" w:firstLine="2"/>
        <w:jc w:val="left"/>
        <w:rPr>
          <w:rFonts w:ascii="宋体" w:hAnsi="宋体" w:cs="宋体" w:eastAsia="宋体" w:hint="default"/>
          <w:sz w:val="24"/>
          <w:szCs w:val="24"/>
        </w:rPr>
      </w:pPr>
      <w:r>
        <w:rPr>
          <w:rFonts w:ascii="宋体" w:hAnsi="宋体" w:cs="宋体" w:eastAsia="宋体" w:hint="default"/>
          <w:b/>
          <w:bCs/>
          <w:sz w:val="24"/>
          <w:szCs w:val="24"/>
        </w:rPr>
        <w:t>5</w:t>
      </w:r>
      <w:r>
        <w:rPr>
          <w:rFonts w:ascii="宋体" w:hAnsi="宋体" w:cs="宋体" w:eastAsia="宋体" w:hint="default"/>
          <w:b/>
          <w:bCs/>
          <w:sz w:val="24"/>
          <w:szCs w:val="24"/>
        </w:rPr>
        <w:t>、金融等其他服务业务</w:t>
      </w:r>
      <w:r>
        <w:rPr>
          <w:rFonts w:ascii="宋体" w:hAnsi="宋体" w:cs="宋体" w:eastAsia="宋体" w:hint="default"/>
          <w:b/>
          <w:bCs/>
          <w:w w:val="99"/>
          <w:sz w:val="24"/>
          <w:szCs w:val="24"/>
        </w:rPr>
        <w:t> </w:t>
      </w:r>
      <w:r>
        <w:rPr>
          <w:rFonts w:ascii="宋体" w:hAnsi="宋体" w:cs="宋体" w:eastAsia="宋体" w:hint="default"/>
          <w:spacing w:val="4"/>
          <w:sz w:val="24"/>
          <w:szCs w:val="24"/>
        </w:rPr>
        <w:t>公司企业支付服务业务由公司控股子公司北京畅捷通支付技术有限公司（下称</w:t>
      </w:r>
    </w:p>
    <w:p>
      <w:pPr>
        <w:pStyle w:val="BodyText"/>
        <w:spacing w:line="219" w:lineRule="exact"/>
        <w:ind w:right="0"/>
        <w:jc w:val="left"/>
      </w:pPr>
      <w:r>
        <w:rPr/>
        <w:t>“畅捷通支付公司”）提供。畅捷通支付公司面向企业级市场，致力创新金融服务并</w:t>
      </w:r>
    </w:p>
    <w:p>
      <w:pPr>
        <w:pStyle w:val="BodyText"/>
        <w:spacing w:line="312" w:lineRule="exact" w:before="28"/>
        <w:ind w:right="218"/>
        <w:jc w:val="left"/>
        <w:rPr>
          <w:rFonts w:ascii="宋体" w:hAnsi="宋体" w:cs="宋体" w:eastAsia="宋体" w:hint="default"/>
        </w:rPr>
      </w:pPr>
      <w:r>
        <w:rPr/>
        <w:t>将其融入到企业业务场景中，提供包括聚合支付、</w:t>
      </w:r>
      <w:r>
        <w:rPr>
          <w:rFonts w:ascii="宋体" w:hAnsi="宋体" w:cs="宋体" w:eastAsia="宋体" w:hint="default"/>
        </w:rPr>
        <w:t>POS</w:t>
      </w:r>
      <w:r>
        <w:rPr>
          <w:rFonts w:ascii="宋体" w:hAnsi="宋体" w:cs="宋体" w:eastAsia="宋体" w:hint="default"/>
          <w:spacing w:val="-48"/>
        </w:rPr>
        <w:t> </w:t>
      </w:r>
      <w:r>
        <w:rPr/>
        <w:t>收单、网银支付、快捷支付、 扫码支付、代收</w:t>
      </w:r>
      <w:r>
        <w:rPr>
          <w:rFonts w:ascii="宋体" w:hAnsi="宋体" w:cs="宋体" w:eastAsia="宋体" w:hint="default"/>
        </w:rPr>
        <w:t>/</w:t>
      </w:r>
      <w:r>
        <w:rPr/>
        <w:t>代付、鉴权等多种方便、快捷与低成本的支付服务。</w:t>
      </w:r>
      <w:r>
        <w:rPr>
          <w:rFonts w:ascii="宋体" w:hAnsi="宋体" w:cs="宋体" w:eastAsia="宋体" w:hint="default"/>
        </w:rPr>
        <w:t> </w:t>
      </w:r>
    </w:p>
    <w:p>
      <w:pPr>
        <w:pStyle w:val="BodyText"/>
        <w:spacing w:line="310" w:lineRule="exact" w:before="1"/>
        <w:ind w:right="0" w:firstLine="480"/>
        <w:jc w:val="left"/>
      </w:pPr>
      <w:r>
        <w:rPr>
          <w:spacing w:val="4"/>
        </w:rPr>
        <w:t>互联网投融资信息服务业务由公司控股子公司深圳前海用友力合金融服务有限</w:t>
      </w:r>
      <w:r>
        <w:rPr/>
        <w:t> </w:t>
      </w:r>
      <w:r>
        <w:rPr>
          <w:spacing w:val="-2"/>
        </w:rPr>
        <w:t>公司（下称“友金所”）提供，友金所将按照金融监管部门的指引与要求转型升级服</w:t>
      </w:r>
    </w:p>
    <w:p>
      <w:pPr>
        <w:pStyle w:val="BodyText"/>
        <w:spacing w:line="312" w:lineRule="exact"/>
        <w:ind w:left="617" w:right="0" w:hanging="481"/>
        <w:jc w:val="left"/>
      </w:pPr>
      <w:r>
        <w:rPr/>
        <w:t>务业务及经营模式。</w:t>
      </w:r>
      <w:r>
        <w:rPr>
          <w:rFonts w:ascii="宋体" w:hAnsi="宋体" w:cs="宋体" w:eastAsia="宋体" w:hint="default"/>
        </w:rPr>
        <w:t> </w:t>
      </w:r>
      <w:r>
        <w:rPr>
          <w:spacing w:val="-2"/>
        </w:rPr>
        <w:t>公司互联网保险经纪业务由公司控股子公司友太安保险经纪有限公司（下称“友</w:t>
      </w:r>
    </w:p>
    <w:p>
      <w:pPr>
        <w:pStyle w:val="BodyText"/>
        <w:spacing w:line="280" w:lineRule="exact"/>
        <w:ind w:right="0"/>
        <w:jc w:val="left"/>
      </w:pPr>
      <w:r>
        <w:rPr/>
        <w:t>太安保险经纪公司”）提供。友太安保险经纪公司产品包括面向企业的团险及员工福</w:t>
      </w:r>
    </w:p>
    <w:p>
      <w:pPr>
        <w:pStyle w:val="BodyText"/>
        <w:spacing w:line="312" w:lineRule="exact" w:before="30"/>
        <w:ind w:right="217"/>
        <w:jc w:val="left"/>
        <w:rPr>
          <w:rFonts w:ascii="宋体" w:hAnsi="宋体" w:cs="宋体" w:eastAsia="宋体" w:hint="default"/>
        </w:rPr>
      </w:pPr>
      <w:r>
        <w:rPr/>
        <w:t>利保障“友企保”平台和面向个人及家庭的“家家</w:t>
      </w:r>
      <w:r>
        <w:rPr>
          <w:spacing w:val="-47"/>
        </w:rPr>
        <w:t> </w:t>
      </w:r>
      <w:r>
        <w:rPr>
          <w:rFonts w:ascii="宋体" w:hAnsi="宋体" w:cs="宋体" w:eastAsia="宋体" w:hint="default"/>
        </w:rPr>
        <w:t>365</w:t>
      </w:r>
      <w:r>
        <w:rPr/>
        <w:t>”，并积极开拓互联网保险经 纪服务业务。</w:t>
      </w:r>
      <w:r>
        <w:rPr>
          <w:rFonts w:ascii="宋体" w:hAnsi="宋体" w:cs="宋体" w:eastAsia="宋体" w:hint="default"/>
        </w:rPr>
        <w:t> </w:t>
      </w:r>
    </w:p>
    <w:p>
      <w:pPr>
        <w:pStyle w:val="BodyText"/>
        <w:spacing w:line="310" w:lineRule="exact" w:before="1"/>
        <w:ind w:right="0" w:firstLine="480"/>
        <w:jc w:val="left"/>
      </w:pPr>
      <w:r>
        <w:rPr/>
        <w:t>公司社会化用工综合服务业务由公司控股子公司用友薪福社云科技有限公司（下 称“薪福社”）提供。薪福社云平台为社会化用工模式的新兴企业以及处于社会化用</w:t>
      </w:r>
    </w:p>
    <w:p>
      <w:pPr>
        <w:pStyle w:val="BodyText"/>
        <w:spacing w:line="284" w:lineRule="exact"/>
        <w:ind w:right="0"/>
        <w:jc w:val="left"/>
        <w:rPr>
          <w:rFonts w:ascii="宋体" w:hAnsi="宋体" w:cs="宋体" w:eastAsia="宋体" w:hint="default"/>
        </w:rPr>
      </w:pPr>
      <w:r>
        <w:rPr/>
        <w:t>工转型期的传统</w:t>
      </w:r>
      <w:r>
        <w:rPr>
          <w:spacing w:val="2"/>
        </w:rPr>
        <w:t>行业企业，提供高效、安全与合规的社会化用工整体服务解决方案</w:t>
      </w:r>
      <w:r>
        <w:rPr>
          <w:spacing w:val="-109"/>
        </w:rPr>
        <w:t>。</w:t>
      </w:r>
      <w:r>
        <w:rPr>
          <w:rFonts w:ascii="宋体" w:hAnsi="宋体" w:cs="宋体" w:eastAsia="宋体" w:hint="default"/>
        </w:rPr>
        <w:t> </w:t>
      </w:r>
    </w:p>
    <w:p>
      <w:pPr>
        <w:spacing w:line="240" w:lineRule="auto" w:before="2"/>
        <w:rPr>
          <w:rFonts w:ascii="宋体" w:hAnsi="宋体" w:cs="宋体" w:eastAsia="宋体" w:hint="default"/>
          <w:sz w:val="18"/>
          <w:szCs w:val="18"/>
        </w:rPr>
      </w:pPr>
    </w:p>
    <w:p>
      <w:pPr>
        <w:pStyle w:val="BodyText"/>
        <w:spacing w:line="328" w:lineRule="auto"/>
        <w:ind w:left="617" w:right="0" w:firstLine="2"/>
        <w:jc w:val="left"/>
      </w:pPr>
      <w:r>
        <w:rPr>
          <w:rFonts w:ascii="宋体" w:hAnsi="宋体" w:cs="宋体" w:eastAsia="宋体" w:hint="default"/>
          <w:b/>
          <w:bCs/>
        </w:rPr>
        <w:t>（二）行业情况</w:t>
      </w:r>
      <w:r>
        <w:rPr>
          <w:rFonts w:ascii="宋体" w:hAnsi="宋体" w:cs="宋体" w:eastAsia="宋体" w:hint="default"/>
          <w:b/>
          <w:bCs/>
          <w:w w:val="99"/>
        </w:rPr>
        <w:t> </w:t>
      </w:r>
      <w:r>
        <w:rPr>
          <w:spacing w:val="-2"/>
        </w:rPr>
        <w:t>公司主营业务形成了云服务、软件、金融服务融合发展态势，全面服务企业、政</w:t>
      </w:r>
    </w:p>
    <w:p>
      <w:pPr>
        <w:pStyle w:val="BodyText"/>
        <w:spacing w:line="222" w:lineRule="exact"/>
        <w:ind w:right="0"/>
        <w:jc w:val="left"/>
        <w:rPr>
          <w:rFonts w:ascii="宋体" w:hAnsi="宋体" w:cs="宋体" w:eastAsia="宋体" w:hint="default"/>
        </w:rPr>
      </w:pPr>
      <w:r>
        <w:rPr/>
        <w:t>府及其他公共组织数智化，所处行业具有广阔发展前景。联合国贸发会发布的《</w:t>
      </w:r>
      <w:r>
        <w:rPr>
          <w:rFonts w:ascii="宋体" w:hAnsi="宋体" w:cs="宋体" w:eastAsia="宋体" w:hint="default"/>
        </w:rPr>
        <w:t>2019</w:t>
      </w:r>
    </w:p>
    <w:p>
      <w:pPr>
        <w:pStyle w:val="BodyText"/>
        <w:spacing w:line="237" w:lineRule="auto" w:before="1"/>
        <w:ind w:right="0"/>
        <w:jc w:val="left"/>
      </w:pPr>
      <w:r>
        <w:rPr/>
        <w:t>年数字经济报告：价值创造和捕获，对发展中国家的影响》报告指出：“数字革命以 前所未有的速度和规模改变了我们的生活和社会，带来巨大的机遇和严峻的挑战。数 字化正在以不同的方式改造价值链，并为增值和更广泛的结构变革开辟新的渠道。数 据已经成为创造和捕获价值的新经济资源，是所有迅速出现的数字技术的核心”。中 国今天的企业处在一个数智化、国产化、全球化三浪叠加的巨大历史变革与机遇中。</w:t>
      </w:r>
      <w:r>
        <w:rPr>
          <w:spacing w:val="-57"/>
        </w:rPr>
        <w:t> </w:t>
      </w:r>
      <w:r>
        <w:rPr>
          <w:spacing w:val="-57"/>
        </w:rPr>
      </w:r>
      <w:r>
        <w:rPr/>
        <w:t>在数智化浪潮中，企业通过数字化、智能化等新技术应用实现转型升级；在全球化浪</w:t>
      </w:r>
      <w:r>
        <w:rPr/>
        <w:t> 潮中，企业加速向全球市场拓展；在国产化浪潮中，中国本土企业自身产品、技术水 平和服务质量不断提升，越来越多的消费者和企业更愿意选择本土企业产品和服务。</w:t>
      </w:r>
      <w:r>
        <w:rPr>
          <w:spacing w:val="-57"/>
        </w:rPr>
        <w:t> </w:t>
      </w:r>
      <w:r>
        <w:rPr>
          <w:spacing w:val="-57"/>
        </w:rPr>
      </w:r>
      <w:r>
        <w:rPr/>
        <w:t>企业数智化的浪潮已经来临，企业将充分运用新一代数字与智能技术，实现企业转型</w:t>
      </w:r>
      <w:r>
        <w:rPr/>
        <w:t> 升级，实现企业更强竞争优势、更高经营绩效和更可持续发展。在数字经济新时代，</w:t>
      </w:r>
      <w:r>
        <w:rPr>
          <w:spacing w:val="-57"/>
        </w:rPr>
        <w:t> </w:t>
      </w:r>
      <w:r>
        <w:rPr>
          <w:spacing w:val="-57"/>
        </w:rPr>
      </w:r>
      <w:r>
        <w:rPr/>
        <w:t>新一代数字与智能技术影响和改变着商业，并将引领中国企业商业模式、管理方式及</w:t>
      </w:r>
      <w:r>
        <w:rPr/>
        <w:t> 商业技术创新发展，走在世界前列。</w:t>
      </w:r>
    </w:p>
    <w:p>
      <w:pPr>
        <w:spacing w:after="0" w:line="237" w:lineRule="auto"/>
        <w:jc w:val="left"/>
        <w:sectPr>
          <w:pgSz w:w="11910" w:h="16840"/>
          <w:pgMar w:header="880" w:footer="1195" w:top="1120" w:bottom="1380" w:left="1140" w:right="156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pStyle w:val="Heading2"/>
        <w:spacing w:line="240" w:lineRule="auto" w:before="26"/>
        <w:ind w:left="136" w:right="0"/>
        <w:jc w:val="both"/>
        <w:rPr>
          <w:rFonts w:ascii="宋体" w:hAnsi="宋体" w:cs="宋体" w:eastAsia="宋体" w:hint="default"/>
          <w:b w:val="0"/>
          <w:bCs w:val="0"/>
        </w:rPr>
      </w:pPr>
      <w:r>
        <w:rPr/>
        <w:t>二、 </w:t>
      </w:r>
      <w:r>
        <w:rPr>
          <w:spacing w:val="114"/>
        </w:rPr>
        <w:t> </w:t>
      </w:r>
      <w:r>
        <w:rPr/>
        <w:t>报告期内公司主要资产发生重大变化情况的说明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both"/>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spacing w:line="240" w:lineRule="auto"/>
        <w:ind w:left="136" w:right="0"/>
        <w:jc w:val="both"/>
        <w:rPr>
          <w:rFonts w:ascii="宋体" w:hAnsi="宋体" w:cs="宋体" w:eastAsia="宋体" w:hint="default"/>
          <w:b w:val="0"/>
          <w:bCs w:val="0"/>
        </w:rPr>
      </w:pPr>
      <w:r>
        <w:rPr/>
        <w:t>三、 </w:t>
      </w:r>
      <w:r>
        <w:rPr>
          <w:spacing w:val="114"/>
        </w:rPr>
        <w:t> </w:t>
      </w:r>
      <w:r>
        <w:rPr/>
        <w:t>报告期内核心竞争力分析</w:t>
      </w:r>
      <w:r>
        <w:rPr>
          <w:rFonts w:ascii="宋体" w:hAnsi="宋体" w:cs="宋体" w:eastAsia="宋体" w:hint="default"/>
          <w:w w:val="99"/>
        </w:rPr>
        <w:t> </w:t>
      </w:r>
      <w:r>
        <w:rPr>
          <w:rFonts w:ascii="宋体" w:hAnsi="宋体" w:cs="宋体" w:eastAsia="宋体" w:hint="default"/>
          <w:b w:val="0"/>
          <w:bCs w:val="0"/>
        </w:rPr>
      </w:r>
    </w:p>
    <w:p>
      <w:pPr>
        <w:pStyle w:val="BodyText"/>
        <w:spacing w:line="322" w:lineRule="exact" w:before="58"/>
        <w:ind w:right="0"/>
        <w:jc w:val="both"/>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pStyle w:val="BodyText"/>
        <w:spacing w:line="237" w:lineRule="auto"/>
        <w:ind w:right="0" w:firstLine="480"/>
        <w:jc w:val="left"/>
        <w:rPr>
          <w:rFonts w:ascii="宋体" w:hAnsi="宋体" w:cs="宋体" w:eastAsia="宋体" w:hint="default"/>
        </w:rPr>
      </w:pPr>
      <w:r>
        <w:rPr/>
        <w:t>公司专注企业服务 </w:t>
      </w:r>
      <w:r>
        <w:rPr>
          <w:rFonts w:ascii="宋体" w:hAnsi="宋体" w:cs="宋体" w:eastAsia="宋体" w:hint="default"/>
        </w:rPr>
        <w:t>31</w:t>
      </w:r>
      <w:r>
        <w:rPr>
          <w:rFonts w:ascii="宋体" w:hAnsi="宋体" w:cs="宋体" w:eastAsia="宋体" w:hint="default"/>
          <w:spacing w:val="-49"/>
        </w:rPr>
        <w:t> </w:t>
      </w:r>
      <w:r>
        <w:rPr/>
        <w:t>年，是全球领先的企业与公共组织云服务、软件、金融服 务提供商。公司充分发挥技术与商业相结合的优势，提供覆盖多领域、多行业的企业 服务，在营销、制造、采购、金融、财务、人力、协同、平台服务等领域为客户提供 数字化、智能化、全球化、社会化、安全可信的企业云服务产品与解决方案。公司致 </w:t>
      </w:r>
      <w:r>
        <w:rPr>
          <w:spacing w:val="-2"/>
        </w:rPr>
        <w:t>力于用创想和技术推动商业和社会进步，通过构建和运营全球领先的企业云服务平台，</w:t>
      </w:r>
      <w:r>
        <w:rPr>
          <w:spacing w:val="-92"/>
        </w:rPr>
        <w:t> </w:t>
      </w:r>
      <w:r>
        <w:rPr>
          <w:spacing w:val="-92"/>
        </w:rPr>
      </w:r>
      <w:r>
        <w:rPr/>
        <w:t>服务企业数智化转型和商业创新，成就千万数智企业，让企业云服务随需而用，让数</w:t>
      </w:r>
      <w:r>
        <w:rPr/>
        <w:t> 智价值无处不在，让商业创新便捷高效，积极创造经济价值和社会价值。报告期内，</w:t>
      </w:r>
      <w:r>
        <w:rPr>
          <w:spacing w:val="-51"/>
        </w:rPr>
        <w:t> </w:t>
      </w:r>
      <w:r>
        <w:rPr>
          <w:spacing w:val="-51"/>
        </w:rPr>
      </w:r>
      <w:r>
        <w:rPr/>
        <w:t>公司核心竞争力主要体现在下述几个方面：</w:t>
      </w:r>
      <w:r>
        <w:rPr>
          <w:rFonts w:ascii="宋体" w:hAnsi="宋体" w:cs="宋体" w:eastAsia="宋体" w:hint="default"/>
        </w:rPr>
        <w:t> </w:t>
      </w:r>
    </w:p>
    <w:p>
      <w:pPr>
        <w:pStyle w:val="Heading2"/>
        <w:spacing w:line="240" w:lineRule="auto" w:before="116"/>
        <w:ind w:left="619" w:right="0"/>
        <w:jc w:val="left"/>
        <w:rPr>
          <w:b w:val="0"/>
          <w:bCs w:val="0"/>
        </w:rPr>
      </w:pPr>
      <w:r>
        <w:rPr/>
        <w:t>（一）产品优势</w:t>
      </w:r>
      <w:r>
        <w:rPr>
          <w:b w:val="0"/>
          <w:bCs w:val="0"/>
        </w:rPr>
      </w:r>
    </w:p>
    <w:p>
      <w:pPr>
        <w:pStyle w:val="BodyText"/>
        <w:spacing w:line="237" w:lineRule="auto" w:before="120"/>
        <w:ind w:right="349"/>
        <w:jc w:val="both"/>
        <w:rPr>
          <w:rFonts w:ascii="宋体" w:hAnsi="宋体" w:cs="宋体" w:eastAsia="宋体" w:hint="default"/>
        </w:rPr>
      </w:pPr>
      <w:r>
        <w:rPr>
          <w:rFonts w:ascii="宋体" w:hAnsi="宋体" w:cs="宋体" w:eastAsia="宋体" w:hint="default"/>
        </w:rPr>
        <w:t>  </w:t>
      </w:r>
      <w:r>
        <w:rPr>
          <w:rFonts w:ascii="宋体" w:hAnsi="宋体" w:cs="宋体" w:eastAsia="宋体" w:hint="default"/>
          <w:b/>
          <w:bCs/>
          <w:w w:val="99"/>
          <w:sz w:val="21"/>
          <w:szCs w:val="21"/>
        </w:rPr>
        <w:t> </w:t>
      </w:r>
      <w:r>
        <w:rPr>
          <w:rFonts w:ascii="宋体" w:hAnsi="宋体" w:cs="宋体" w:eastAsia="宋体" w:hint="default"/>
          <w:b/>
          <w:bCs/>
          <w:spacing w:val="2"/>
          <w:w w:val="99"/>
          <w:sz w:val="21"/>
          <w:szCs w:val="21"/>
        </w:rPr>
        <w:t> </w:t>
      </w:r>
      <w:r>
        <w:rPr>
          <w:spacing w:val="-1"/>
        </w:rPr>
        <w:t>用友</w:t>
      </w:r>
      <w:r>
        <w:rPr>
          <w:rFonts w:ascii="宋体" w:hAnsi="宋体" w:cs="宋体" w:eastAsia="宋体" w:hint="default"/>
          <w:spacing w:val="-1"/>
        </w:rPr>
        <w:t>iuap</w:t>
      </w:r>
      <w:r>
        <w:rPr>
          <w:spacing w:val="-1"/>
        </w:rPr>
        <w:t>云平台是用友自主研发的新一代数字化、智能化、全球化、社会化、安</w:t>
      </w:r>
      <w:r>
        <w:rPr/>
        <w:t> </w:t>
      </w:r>
      <w:r>
        <w:rPr>
          <w:spacing w:val="-8"/>
        </w:rPr>
        <w:t>全可信的商业创新服务平台，采用移动互联网、云计算、大数据、人工智能、物联网、</w:t>
      </w:r>
      <w:r>
        <w:rPr>
          <w:spacing w:val="-106"/>
        </w:rPr>
        <w:t> </w:t>
      </w:r>
      <w:r>
        <w:rPr>
          <w:spacing w:val="-106"/>
        </w:rPr>
      </w:r>
      <w:r>
        <w:rPr/>
        <w:t>区块链等新一代技术，具有云原生、微服务、</w:t>
      </w:r>
      <w:r>
        <w:rPr>
          <w:rFonts w:ascii="宋体" w:hAnsi="宋体" w:cs="宋体" w:eastAsia="宋体" w:hint="default"/>
        </w:rPr>
        <w:t>DevOps</w:t>
      </w:r>
      <w:r>
        <w:rPr/>
        <w:t>、低</w:t>
      </w:r>
      <w:r>
        <w:rPr>
          <w:rFonts w:ascii="宋体" w:hAnsi="宋体" w:cs="宋体" w:eastAsia="宋体" w:hint="default"/>
        </w:rPr>
        <w:t>/</w:t>
      </w:r>
      <w:r>
        <w:rPr/>
        <w:t>无代码开发、社会化连接</w:t>
      </w:r>
      <w:r>
        <w:rPr>
          <w:spacing w:val="-58"/>
        </w:rPr>
        <w:t> </w:t>
      </w:r>
      <w:r>
        <w:rPr>
          <w:spacing w:val="-58"/>
        </w:rPr>
      </w:r>
      <w:r>
        <w:rPr/>
        <w:t>集成、混合云、数据智能、</w:t>
      </w:r>
      <w:r>
        <w:rPr>
          <w:rFonts w:ascii="宋体" w:hAnsi="宋体" w:cs="宋体" w:eastAsia="宋体" w:hint="default"/>
        </w:rPr>
        <w:t>VPA/RPA</w:t>
      </w:r>
      <w:r>
        <w:rPr/>
        <w:t>等丰富领域及行业应用融合的关键技术优势，形</w:t>
      </w:r>
      <w:r>
        <w:rPr>
          <w:spacing w:val="-56"/>
        </w:rPr>
        <w:t> </w:t>
      </w:r>
      <w:r>
        <w:rPr>
          <w:spacing w:val="-56"/>
        </w:rPr>
      </w:r>
      <w:r>
        <w:rPr>
          <w:spacing w:val="-2"/>
        </w:rPr>
        <w:t>成以技术中台、业务中台、数据中台为核心的中台架构，支撑起公司领域云、行业云</w:t>
      </w:r>
      <w:r>
        <w:rPr>
          <w:spacing w:val="-94"/>
        </w:rPr>
        <w:t> </w:t>
      </w:r>
      <w:r>
        <w:rPr>
          <w:spacing w:val="-94"/>
        </w:rPr>
      </w:r>
      <w:r>
        <w:rPr/>
        <w:t>及平台生态的快速发展。</w:t>
      </w:r>
      <w:r>
        <w:rPr>
          <w:rFonts w:ascii="宋体" w:hAnsi="宋体" w:cs="宋体" w:eastAsia="宋体" w:hint="default"/>
        </w:rPr>
        <w:t> </w:t>
      </w:r>
    </w:p>
    <w:p>
      <w:pPr>
        <w:pStyle w:val="BodyText"/>
        <w:spacing w:line="237" w:lineRule="auto" w:before="1"/>
        <w:ind w:right="0" w:firstLine="480"/>
        <w:jc w:val="left"/>
        <w:rPr>
          <w:rFonts w:ascii="宋体" w:hAnsi="宋体" w:cs="宋体" w:eastAsia="宋体" w:hint="default"/>
        </w:rPr>
      </w:pPr>
      <w:r>
        <w:rPr/>
        <w:t>公司在用友</w:t>
      </w:r>
      <w:r>
        <w:rPr>
          <w:rFonts w:ascii="宋体" w:hAnsi="宋体" w:cs="宋体" w:eastAsia="宋体" w:hint="default"/>
        </w:rPr>
        <w:t>1.0</w:t>
      </w:r>
      <w:r>
        <w:rPr/>
        <w:t>战略发展阶段的核心产品是财务软件，在</w:t>
      </w:r>
      <w:r>
        <w:rPr>
          <w:rFonts w:ascii="宋体" w:hAnsi="宋体" w:cs="宋体" w:eastAsia="宋体" w:hint="default"/>
        </w:rPr>
        <w:t>2.0</w:t>
      </w:r>
      <w:r>
        <w:rPr/>
        <w:t>战略发展阶段的核心 产品是以</w:t>
      </w:r>
      <w:r>
        <w:rPr>
          <w:rFonts w:ascii="宋体" w:hAnsi="宋体" w:cs="宋体" w:eastAsia="宋体" w:hint="default"/>
        </w:rPr>
        <w:t>ERP</w:t>
      </w:r>
      <w:r>
        <w:rPr/>
        <w:t>为代表的管理软件，在新的</w:t>
      </w:r>
      <w:r>
        <w:rPr>
          <w:rFonts w:ascii="宋体" w:hAnsi="宋体" w:cs="宋体" w:eastAsia="宋体" w:hint="default"/>
        </w:rPr>
        <w:t>3.0</w:t>
      </w:r>
      <w:r>
        <w:rPr/>
        <w:t>战略发展阶段，形成了以用友企业云服务 为核心业务，云服务、软件、金融服务融合发展的新战略布局，服务层级从部门级到 </w:t>
      </w:r>
      <w:r>
        <w:rPr>
          <w:spacing w:val="-5"/>
        </w:rPr>
        <w:t>企业级走向社会级。公司通过构建和运营全球领先的企业云服务平台，积极发展营销、</w:t>
      </w:r>
      <w:r>
        <w:rPr>
          <w:spacing w:val="-98"/>
        </w:rPr>
        <w:t> </w:t>
      </w:r>
      <w:r>
        <w:rPr>
          <w:spacing w:val="-98"/>
        </w:rPr>
      </w:r>
      <w:r>
        <w:rPr/>
        <w:t>制造、采购、金融、财务、人力、协同等</w:t>
      </w:r>
      <w:r>
        <w:rPr>
          <w:rFonts w:ascii="宋体" w:hAnsi="宋体" w:cs="宋体" w:eastAsia="宋体" w:hint="default"/>
        </w:rPr>
        <w:t>SaaS</w:t>
      </w:r>
      <w:r>
        <w:rPr/>
        <w:t>服务，大力拓展以创新业务服务为核心 的</w:t>
      </w:r>
      <w:r>
        <w:rPr>
          <w:rFonts w:ascii="宋体" w:hAnsi="宋体" w:cs="宋体" w:eastAsia="宋体" w:hint="default"/>
        </w:rPr>
        <w:t>BaaS</w:t>
      </w:r>
      <w:r>
        <w:rPr/>
        <w:t>服务和以数据服务为核心的</w:t>
      </w:r>
      <w:r>
        <w:rPr>
          <w:rFonts w:ascii="宋体" w:hAnsi="宋体" w:cs="宋体" w:eastAsia="宋体" w:hint="default"/>
        </w:rPr>
        <w:t>DaaS</w:t>
      </w:r>
      <w:r>
        <w:rPr/>
        <w:t>服务，支撑与运营客户的商业创新，帮助企业 客户实现数智化转型。用友云产品技术持续保持国内领先水平。</w:t>
      </w:r>
      <w:r>
        <w:rPr>
          <w:rFonts w:ascii="宋体" w:hAnsi="宋体" w:cs="宋体" w:eastAsia="宋体" w:hint="default"/>
        </w:rPr>
        <w:t> </w:t>
      </w:r>
    </w:p>
    <w:p>
      <w:pPr>
        <w:pStyle w:val="BodyText"/>
        <w:spacing w:line="237" w:lineRule="auto" w:before="1"/>
        <w:ind w:right="352" w:firstLine="480"/>
        <w:jc w:val="both"/>
        <w:rPr>
          <w:rFonts w:ascii="宋体" w:hAnsi="宋体" w:cs="宋体" w:eastAsia="宋体" w:hint="default"/>
        </w:rPr>
      </w:pPr>
      <w:r>
        <w:rPr/>
        <w:t>公司以用友商业创新服务平台为核心，聚合</w:t>
      </w:r>
      <w:r>
        <w:rPr>
          <w:rFonts w:ascii="宋体" w:hAnsi="宋体" w:cs="宋体" w:eastAsia="宋体" w:hint="default"/>
        </w:rPr>
        <w:t>IaaS</w:t>
      </w:r>
      <w:r>
        <w:rPr/>
        <w:t>战略合作伙伴、</w:t>
      </w:r>
      <w:r>
        <w:rPr>
          <w:rFonts w:ascii="宋体" w:hAnsi="宋体" w:cs="宋体" w:eastAsia="宋体" w:hint="default"/>
        </w:rPr>
        <w:t>ISV</w:t>
      </w:r>
      <w:r>
        <w:rPr/>
        <w:t>伙伴、创新 </w:t>
      </w:r>
      <w:r>
        <w:rPr>
          <w:spacing w:val="-2"/>
        </w:rPr>
        <w:t>开发者、渠道分销、咨询实施、业务服务、数据服务、金融服务等数字化产品与服务</w:t>
      </w:r>
      <w:r>
        <w:rPr>
          <w:spacing w:val="-96"/>
        </w:rPr>
        <w:t> </w:t>
      </w:r>
      <w:r>
        <w:rPr>
          <w:spacing w:val="-96"/>
        </w:rPr>
      </w:r>
      <w:r>
        <w:rPr>
          <w:spacing w:val="-2"/>
        </w:rPr>
        <w:t>提供商，构建强大的“共生、共建、共荣”的用友云生态体系。公司从产品融合到营</w:t>
      </w:r>
      <w:r>
        <w:rPr>
          <w:spacing w:val="-97"/>
        </w:rPr>
        <w:t> </w:t>
      </w:r>
      <w:r>
        <w:rPr>
          <w:spacing w:val="-97"/>
        </w:rPr>
      </w:r>
      <w:r>
        <w:rPr>
          <w:spacing w:val="-2"/>
        </w:rPr>
        <w:t>销推广、从销售协同到实施运营服务等，与各类商业合作伙伴形成全面深入的合作模</w:t>
      </w:r>
      <w:r>
        <w:rPr>
          <w:spacing w:val="-94"/>
        </w:rPr>
        <w:t> </w:t>
      </w:r>
      <w:r>
        <w:rPr>
          <w:spacing w:val="-94"/>
        </w:rPr>
      </w:r>
      <w:r>
        <w:rPr>
          <w:spacing w:val="-2"/>
        </w:rPr>
        <w:t>式。用友云市场聚合所有生态伙伴的应用与服务产品，向企业客户提供从购买、部署</w:t>
      </w:r>
      <w:r>
        <w:rPr>
          <w:spacing w:val="-96"/>
        </w:rPr>
        <w:t> </w:t>
      </w:r>
      <w:r>
        <w:rPr>
          <w:spacing w:val="-96"/>
        </w:rPr>
      </w:r>
      <w:r>
        <w:rPr/>
        <w:t>到运营、培训的一站式服务。</w:t>
      </w:r>
      <w:r>
        <w:rPr>
          <w:rFonts w:ascii="宋体" w:hAnsi="宋体" w:cs="宋体" w:eastAsia="宋体" w:hint="default"/>
        </w:rPr>
        <w:t> </w:t>
      </w:r>
    </w:p>
    <w:p>
      <w:pPr>
        <w:pStyle w:val="BodyText"/>
        <w:spacing w:line="331" w:lineRule="auto" w:before="118"/>
        <w:ind w:left="617" w:right="0" w:firstLine="2"/>
        <w:jc w:val="left"/>
      </w:pPr>
      <w:r>
        <w:rPr>
          <w:rFonts w:ascii="宋体" w:hAnsi="宋体" w:cs="宋体" w:eastAsia="宋体" w:hint="default"/>
          <w:b/>
          <w:bCs/>
        </w:rPr>
        <w:t>（二）研发优势</w:t>
      </w:r>
      <w:r>
        <w:rPr>
          <w:rFonts w:ascii="宋体" w:hAnsi="宋体" w:cs="宋体" w:eastAsia="宋体" w:hint="default"/>
          <w:b/>
          <w:bCs/>
          <w:w w:val="99"/>
        </w:rPr>
        <w:t> </w:t>
      </w:r>
      <w:r>
        <w:rPr>
          <w:spacing w:val="-2"/>
        </w:rPr>
        <w:t>公司自创立开始就注重构建自主研发能力，保障研发投入，形成研发体系，经过</w:t>
      </w:r>
      <w:r>
        <w:rPr/>
      </w:r>
    </w:p>
    <w:p>
      <w:pPr>
        <w:pStyle w:val="BodyText"/>
        <w:spacing w:line="217" w:lineRule="exact"/>
        <w:ind w:right="0"/>
        <w:jc w:val="both"/>
      </w:pPr>
      <w:r>
        <w:rPr/>
        <w:t>多年的持续发展，现在已经形成在企业和公共组织数智化领域从平台、到领域、重点</w:t>
      </w:r>
    </w:p>
    <w:p>
      <w:pPr>
        <w:pStyle w:val="BodyText"/>
        <w:spacing w:line="237" w:lineRule="auto" w:before="1"/>
        <w:ind w:right="346"/>
        <w:jc w:val="both"/>
        <w:rPr>
          <w:rFonts w:ascii="宋体" w:hAnsi="宋体" w:cs="宋体" w:eastAsia="宋体" w:hint="default"/>
        </w:rPr>
      </w:pPr>
      <w:r>
        <w:rPr>
          <w:spacing w:val="-8"/>
        </w:rPr>
        <w:t>行业和生态的产品与技术研发体系。除北京总部研发中心外，在、先后在南京、重庆、</w:t>
      </w:r>
      <w:r>
        <w:rPr>
          <w:spacing w:val="-103"/>
        </w:rPr>
        <w:t> </w:t>
      </w:r>
      <w:r>
        <w:rPr>
          <w:spacing w:val="-103"/>
        </w:rPr>
      </w:r>
      <w:r>
        <w:rPr>
          <w:spacing w:val="-2"/>
        </w:rPr>
        <w:t>上海、深圳及海外先后建立了研发组织。同时公司持续加大研发投入，引进高端技术</w:t>
      </w:r>
      <w:r>
        <w:rPr>
          <w:spacing w:val="-95"/>
        </w:rPr>
        <w:t> </w:t>
      </w:r>
      <w:r>
        <w:rPr>
          <w:spacing w:val="-95"/>
        </w:rPr>
      </w:r>
      <w:r>
        <w:rPr/>
        <w:t>人才，在用友</w:t>
      </w:r>
      <w:r>
        <w:rPr>
          <w:rFonts w:ascii="宋体" w:hAnsi="宋体" w:cs="宋体" w:eastAsia="宋体" w:hint="default"/>
        </w:rPr>
        <w:t>3.0</w:t>
      </w:r>
      <w:r>
        <w:rPr/>
        <w:t>战略阶段，构建实现全球领先的企业云服务平台的专业研发人才队</w:t>
      </w:r>
      <w:r>
        <w:rPr>
          <w:spacing w:val="-48"/>
        </w:rPr>
        <w:t> </w:t>
      </w:r>
      <w:r>
        <w:rPr>
          <w:spacing w:val="-48"/>
        </w:rPr>
      </w:r>
      <w:r>
        <w:rPr/>
        <w:t>伍和体系。</w:t>
      </w:r>
      <w:r>
        <w:rPr>
          <w:rFonts w:ascii="宋体" w:hAnsi="宋体" w:cs="宋体" w:eastAsia="宋体" w:hint="default"/>
        </w:rPr>
        <w:t> </w:t>
      </w:r>
    </w:p>
    <w:p>
      <w:pPr>
        <w:spacing w:after="0" w:line="237" w:lineRule="auto"/>
        <w:jc w:val="both"/>
        <w:rPr>
          <w:rFonts w:ascii="宋体" w:hAnsi="宋体" w:cs="宋体" w:eastAsia="宋体" w:hint="default"/>
        </w:rPr>
        <w:sectPr>
          <w:pgSz w:w="11910" w:h="16840"/>
          <w:pgMar w:header="880" w:footer="1195" w:top="1120" w:bottom="1380" w:left="1140" w:right="1440"/>
        </w:sectPr>
      </w:pPr>
    </w:p>
    <w:p>
      <w:pPr>
        <w:spacing w:line="240" w:lineRule="auto" w:before="2"/>
        <w:rPr>
          <w:rFonts w:ascii="宋体" w:hAnsi="宋体" w:cs="宋体" w:eastAsia="宋体" w:hint="default"/>
          <w:sz w:val="19"/>
          <w:szCs w:val="19"/>
        </w:rPr>
      </w:pPr>
    </w:p>
    <w:p>
      <w:pPr>
        <w:pStyle w:val="BodyText"/>
        <w:spacing w:line="237" w:lineRule="auto" w:before="28"/>
        <w:ind w:right="0" w:firstLine="480"/>
        <w:jc w:val="left"/>
        <w:rPr>
          <w:rFonts w:ascii="宋体" w:hAnsi="宋体" w:cs="宋体" w:eastAsia="宋体" w:hint="default"/>
        </w:rPr>
      </w:pPr>
      <w:r>
        <w:rPr/>
        <w:t>公司拥有国家发改委批复的企业智能云开发与应用国家地方联合工程研究中心、</w:t>
      </w:r>
      <w:r>
        <w:rPr>
          <w:spacing w:val="2"/>
        </w:rPr>
        <w:t> </w:t>
      </w:r>
      <w:r>
        <w:rPr/>
        <w:t>企业云平台关键技术北京市工程实验室，是中国电子工业标准化技术协会、国家信息</w:t>
      </w:r>
      <w:r>
        <w:rPr/>
        <w:t> </w:t>
      </w:r>
      <w:r>
        <w:rPr>
          <w:spacing w:val="-5"/>
        </w:rPr>
        <w:t>技术服务标准工作组、</w:t>
      </w:r>
      <w:r>
        <w:rPr>
          <w:rFonts w:ascii="宋体" w:hAnsi="宋体" w:cs="宋体" w:eastAsia="宋体" w:hint="default"/>
          <w:spacing w:val="-5"/>
        </w:rPr>
        <w:t>5G</w:t>
      </w:r>
      <w:r>
        <w:rPr>
          <w:rFonts w:ascii="宋体" w:hAnsi="宋体" w:cs="宋体" w:eastAsia="宋体" w:hint="default"/>
          <w:spacing w:val="-50"/>
        </w:rPr>
        <w:t> </w:t>
      </w:r>
      <w:r>
        <w:rPr>
          <w:spacing w:val="-3"/>
        </w:rPr>
        <w:t>应用产业方阵等七家国产化核心组织成员之一。公司用友云</w:t>
      </w:r>
      <w:r>
        <w:rPr>
          <w:spacing w:val="-99"/>
        </w:rPr>
        <w:t> </w:t>
      </w:r>
      <w:r>
        <w:rPr>
          <w:spacing w:val="-99"/>
        </w:rPr>
      </w:r>
      <w:r>
        <w:rPr/>
        <w:t>平台、精智工业互联网平台等荣获了六项国家级权威产品资质，公司获得了二十余项</w:t>
      </w:r>
      <w:r>
        <w:rPr/>
        <w:t> 自主可信、互信及产品兼容认证，公司通过了全球软件领域最高级别</w:t>
      </w:r>
      <w:r>
        <w:rPr>
          <w:spacing w:val="-71"/>
        </w:rPr>
        <w:t> </w:t>
      </w:r>
      <w:r>
        <w:rPr>
          <w:rFonts w:ascii="宋体" w:hAnsi="宋体" w:cs="宋体" w:eastAsia="宋体" w:hint="default"/>
        </w:rPr>
        <w:t>CMMI5</w:t>
      </w:r>
      <w:r>
        <w:rPr>
          <w:rFonts w:ascii="宋体" w:hAnsi="宋体" w:cs="宋体" w:eastAsia="宋体" w:hint="default"/>
          <w:spacing w:val="-72"/>
        </w:rPr>
        <w:t> </w:t>
      </w:r>
      <w:r>
        <w:rPr/>
        <w:t>级认证评 估、</w:t>
      </w:r>
      <w:r>
        <w:rPr>
          <w:rFonts w:ascii="宋体" w:hAnsi="宋体" w:cs="宋体" w:eastAsia="宋体" w:hint="default"/>
        </w:rPr>
        <w:t>ISO27001 </w:t>
      </w:r>
      <w:r>
        <w:rPr/>
        <w:t>信息安全管理体系认证、</w:t>
      </w:r>
      <w:r>
        <w:rPr>
          <w:rFonts w:ascii="宋体" w:hAnsi="宋体" w:cs="宋体" w:eastAsia="宋体" w:hint="default"/>
        </w:rPr>
        <w:t>ISO20000IT</w:t>
      </w:r>
      <w:r>
        <w:rPr>
          <w:rFonts w:ascii="宋体" w:hAnsi="宋体" w:cs="宋体" w:eastAsia="宋体" w:hint="default"/>
          <w:spacing w:val="-49"/>
        </w:rPr>
        <w:t> </w:t>
      </w:r>
      <w:r>
        <w:rPr/>
        <w:t>服务管理体系认证，具备全球顶 级的软件成熟度及软件项目管理能力。</w:t>
      </w:r>
      <w:r>
        <w:rPr>
          <w:rFonts w:ascii="宋体" w:hAnsi="宋体" w:cs="宋体" w:eastAsia="宋体" w:hint="default"/>
        </w:rPr>
        <w:t> </w:t>
      </w:r>
    </w:p>
    <w:p>
      <w:pPr>
        <w:spacing w:line="331" w:lineRule="auto" w:before="118"/>
        <w:ind w:left="617" w:right="0" w:firstLine="2"/>
        <w:jc w:val="left"/>
        <w:rPr>
          <w:rFonts w:ascii="宋体" w:hAnsi="宋体" w:cs="宋体" w:eastAsia="宋体" w:hint="default"/>
          <w:sz w:val="24"/>
          <w:szCs w:val="24"/>
        </w:rPr>
      </w:pPr>
      <w:r>
        <w:rPr>
          <w:rFonts w:ascii="宋体" w:hAnsi="宋体" w:cs="宋体" w:eastAsia="宋体" w:hint="default"/>
          <w:b/>
          <w:bCs/>
          <w:sz w:val="24"/>
          <w:szCs w:val="24"/>
        </w:rPr>
        <w:t>（三）品牌及市场优势</w:t>
      </w:r>
      <w:r>
        <w:rPr>
          <w:rFonts w:ascii="宋体" w:hAnsi="宋体" w:cs="宋体" w:eastAsia="宋体" w:hint="default"/>
          <w:b/>
          <w:bCs/>
          <w:w w:val="99"/>
          <w:sz w:val="24"/>
          <w:szCs w:val="24"/>
        </w:rPr>
        <w:t> </w:t>
      </w:r>
      <w:r>
        <w:rPr>
          <w:rFonts w:ascii="宋体" w:hAnsi="宋体" w:cs="宋体" w:eastAsia="宋体" w:hint="default"/>
          <w:spacing w:val="-2"/>
          <w:sz w:val="24"/>
          <w:szCs w:val="24"/>
        </w:rPr>
        <w:t>公司品牌和产品在行业内受到广泛认可，在多个权威评选中斩获佳绩。据赛迪顾</w:t>
      </w:r>
    </w:p>
    <w:p>
      <w:pPr>
        <w:pStyle w:val="BodyText"/>
        <w:spacing w:line="217" w:lineRule="exact"/>
        <w:ind w:right="0"/>
        <w:jc w:val="left"/>
      </w:pPr>
      <w:r>
        <w:rPr/>
        <w:t>问数据显示，公司荣获</w:t>
      </w:r>
      <w:r>
        <w:rPr>
          <w:rFonts w:ascii="宋体" w:hAnsi="宋体" w:cs="宋体" w:eastAsia="宋体" w:hint="default"/>
        </w:rPr>
        <w:t>2019</w:t>
      </w:r>
      <w:r>
        <w:rPr/>
        <w:t>年度中国企业</w:t>
      </w:r>
      <w:r>
        <w:rPr>
          <w:rFonts w:ascii="宋体" w:hAnsi="宋体" w:cs="宋体" w:eastAsia="宋体" w:hint="default"/>
        </w:rPr>
        <w:t>SaaS</w:t>
      </w:r>
      <w:r>
        <w:rPr/>
        <w:t>市场占有率第一、</w:t>
      </w:r>
      <w:r>
        <w:rPr>
          <w:rFonts w:ascii="宋体" w:hAnsi="宋体" w:cs="宋体" w:eastAsia="宋体" w:hint="default"/>
        </w:rPr>
        <w:t>2019</w:t>
      </w:r>
      <w:r>
        <w:rPr/>
        <w:t>年度中国企业云</w:t>
      </w:r>
    </w:p>
    <w:p>
      <w:pPr>
        <w:pStyle w:val="BodyText"/>
        <w:spacing w:line="237" w:lineRule="auto" w:before="1"/>
        <w:ind w:right="0"/>
        <w:jc w:val="left"/>
        <w:rPr>
          <w:rFonts w:ascii="宋体" w:hAnsi="宋体" w:cs="宋体" w:eastAsia="宋体" w:hint="default"/>
        </w:rPr>
      </w:pPr>
      <w:r>
        <w:rPr/>
        <w:t>服务市场占有率第一、</w:t>
      </w:r>
      <w:r>
        <w:rPr>
          <w:rFonts w:ascii="宋体" w:hAnsi="宋体" w:cs="宋体" w:eastAsia="宋体" w:hint="default"/>
        </w:rPr>
        <w:t>2019</w:t>
      </w:r>
      <w:r>
        <w:rPr/>
        <w:t>年度中国企业级应用软件市场占有率第一、</w:t>
      </w:r>
      <w:r>
        <w:rPr>
          <w:rFonts w:ascii="宋体" w:hAnsi="宋体" w:cs="宋体" w:eastAsia="宋体" w:hint="default"/>
        </w:rPr>
        <w:t>2019</w:t>
      </w:r>
      <w:r>
        <w:rPr/>
        <w:t>年度中国 企业财务云市场占有率第一、</w:t>
      </w:r>
      <w:r>
        <w:rPr>
          <w:rFonts w:ascii="宋体" w:hAnsi="宋体" w:cs="宋体" w:eastAsia="宋体" w:hint="default"/>
        </w:rPr>
        <w:t>2019</w:t>
      </w:r>
      <w:r>
        <w:rPr/>
        <w:t>年度中国企业工业云市场占有率第一等。公司在工 业互联网领域优势明显，影响力不断提升，据国际数据机构</w:t>
      </w:r>
      <w:r>
        <w:rPr>
          <w:rFonts w:ascii="宋体" w:hAnsi="宋体" w:cs="宋体" w:eastAsia="宋体" w:hint="default"/>
        </w:rPr>
        <w:t>IDC</w:t>
      </w:r>
      <w:r>
        <w:rPr/>
        <w:t>《中国工业云解决方</w:t>
      </w:r>
      <w:r>
        <w:rPr>
          <w:spacing w:val="-54"/>
        </w:rPr>
        <w:t> </w:t>
      </w:r>
      <w:r>
        <w:rPr>
          <w:spacing w:val="-54"/>
        </w:rPr>
      </w:r>
      <w:r>
        <w:rPr/>
        <w:t>案市场追踪（</w:t>
      </w:r>
      <w:r>
        <w:rPr>
          <w:rFonts w:ascii="宋体" w:hAnsi="宋体" w:cs="宋体" w:eastAsia="宋体" w:hint="default"/>
        </w:rPr>
        <w:t>2019H1</w:t>
      </w:r>
      <w:r>
        <w:rPr/>
        <w:t>）》报告显示，用友工业云解决方案市场占有率第一。用友精智 </w:t>
      </w:r>
      <w:r>
        <w:rPr>
          <w:spacing w:val="-5"/>
        </w:rPr>
        <w:t>工业互联网平台被工业和信息化部授予“</w:t>
      </w:r>
      <w:r>
        <w:rPr>
          <w:rFonts w:ascii="宋体" w:hAnsi="宋体" w:cs="宋体" w:eastAsia="宋体" w:hint="default"/>
          <w:spacing w:val="-5"/>
        </w:rPr>
        <w:t>2019</w:t>
      </w:r>
      <w:r>
        <w:rPr>
          <w:spacing w:val="-5"/>
        </w:rPr>
        <w:t>年十大跨行业跨领域工业互联网平台”，</w:t>
      </w:r>
      <w:r>
        <w:rPr>
          <w:spacing w:val="-87"/>
        </w:rPr>
        <w:t> </w:t>
      </w:r>
      <w:r>
        <w:rPr>
          <w:spacing w:val="-87"/>
        </w:rPr>
      </w:r>
      <w:r>
        <w:rPr/>
        <w:t>用友智能工厂解决方案被中国信息协会评为“</w:t>
      </w:r>
      <w:r>
        <w:rPr>
          <w:rFonts w:ascii="宋体" w:hAnsi="宋体" w:cs="宋体" w:eastAsia="宋体" w:hint="default"/>
        </w:rPr>
        <w:t>2019</w:t>
      </w:r>
      <w:r>
        <w:rPr/>
        <w:t>中国工业数字化优秀解决方案”，</w:t>
      </w:r>
      <w:r>
        <w:rPr>
          <w:spacing w:val="-54"/>
        </w:rPr>
        <w:t> </w:t>
      </w:r>
      <w:r>
        <w:rPr>
          <w:spacing w:val="-54"/>
        </w:rPr>
      </w:r>
      <w:r>
        <w:rPr/>
        <w:t>用友云</w:t>
      </w:r>
      <w:r>
        <w:rPr>
          <w:rFonts w:ascii="宋体" w:hAnsi="宋体" w:cs="宋体" w:eastAsia="宋体" w:hint="default"/>
        </w:rPr>
        <w:t>IoT</w:t>
      </w:r>
      <w:r>
        <w:rPr/>
        <w:t>解决方案被全球工业互联网大会评为“工业互联网优秀解决方案”。</w:t>
      </w:r>
      <w:r>
        <w:rPr>
          <w:rFonts w:ascii="宋体" w:hAnsi="宋体" w:cs="宋体" w:eastAsia="宋体" w:hint="default"/>
        </w:rPr>
        <w:t> </w:t>
      </w:r>
    </w:p>
    <w:p>
      <w:pPr>
        <w:pStyle w:val="BodyText"/>
        <w:spacing w:line="237" w:lineRule="auto" w:before="1"/>
        <w:ind w:right="233" w:firstLine="480"/>
        <w:jc w:val="both"/>
        <w:rPr>
          <w:rFonts w:ascii="宋体" w:hAnsi="宋体" w:cs="宋体" w:eastAsia="宋体" w:hint="default"/>
        </w:rPr>
      </w:pPr>
      <w:r>
        <w:rPr>
          <w:spacing w:val="-2"/>
        </w:rPr>
        <w:t>公司与华为、中国工商银行、中国联通等龙头企业形成了深度的战略合作，通过</w:t>
      </w:r>
      <w:r>
        <w:rPr/>
        <w:t> </w:t>
      </w:r>
      <w:r>
        <w:rPr>
          <w:spacing w:val="-2"/>
        </w:rPr>
        <w:t>生态合力，进一步强化品牌实力，为客户打造更具创新价值的产品和服务。在</w:t>
      </w:r>
      <w:r>
        <w:rPr>
          <w:rFonts w:ascii="宋体" w:hAnsi="宋体" w:cs="宋体" w:eastAsia="宋体" w:hint="default"/>
          <w:spacing w:val="-2"/>
        </w:rPr>
        <w:t>2019</w:t>
      </w:r>
      <w:r>
        <w:rPr>
          <w:spacing w:val="-2"/>
        </w:rPr>
        <w:t>华</w:t>
      </w:r>
      <w:r>
        <w:rPr>
          <w:spacing w:val="-90"/>
        </w:rPr>
        <w:t> </w:t>
      </w:r>
      <w:r>
        <w:rPr>
          <w:spacing w:val="-2"/>
        </w:rPr>
        <w:t>为全联接大会上，公司成为唯一一家荣摘“华为云生态合作最佳实践伙伴”、“鲲鹏</w:t>
      </w:r>
      <w:r>
        <w:rPr>
          <w:spacing w:val="-96"/>
        </w:rPr>
        <w:t> </w:t>
      </w:r>
      <w:r>
        <w:rPr>
          <w:spacing w:val="-96"/>
        </w:rPr>
      </w:r>
      <w:r>
        <w:rPr>
          <w:spacing w:val="-2"/>
        </w:rPr>
        <w:t>生态合作最佳实践伙伴”双项殊荣的华为云战略级合作伙伴。同时，公司联合行业头</w:t>
      </w:r>
      <w:r>
        <w:rPr>
          <w:spacing w:val="-93"/>
        </w:rPr>
        <w:t> </w:t>
      </w:r>
      <w:r>
        <w:rPr>
          <w:spacing w:val="-93"/>
        </w:rPr>
      </w:r>
      <w:r>
        <w:rPr>
          <w:spacing w:val="-2"/>
        </w:rPr>
        <w:t>部企业及第三方权威机构成立“企业数字化服务领导厂商联盟”，打造信息自主创新</w:t>
      </w:r>
      <w:r>
        <w:rPr>
          <w:spacing w:val="-93"/>
        </w:rPr>
        <w:t> </w:t>
      </w:r>
      <w:r>
        <w:rPr>
          <w:spacing w:val="-93"/>
        </w:rPr>
      </w:r>
      <w:r>
        <w:rPr/>
        <w:t>生态。</w:t>
      </w:r>
      <w:r>
        <w:rPr>
          <w:rFonts w:ascii="宋体" w:hAnsi="宋体" w:cs="宋体" w:eastAsia="宋体" w:hint="default"/>
        </w:rPr>
        <w:t> </w:t>
      </w:r>
    </w:p>
    <w:p>
      <w:pPr>
        <w:spacing w:line="331" w:lineRule="auto" w:before="118"/>
        <w:ind w:left="617" w:right="0" w:firstLine="2"/>
        <w:jc w:val="left"/>
        <w:rPr>
          <w:rFonts w:ascii="宋体" w:hAnsi="宋体" w:cs="宋体" w:eastAsia="宋体" w:hint="default"/>
          <w:sz w:val="24"/>
          <w:szCs w:val="24"/>
        </w:rPr>
      </w:pPr>
      <w:r>
        <w:rPr>
          <w:rFonts w:ascii="宋体" w:hAnsi="宋体" w:cs="宋体" w:eastAsia="宋体" w:hint="default"/>
          <w:b/>
          <w:bCs/>
          <w:sz w:val="24"/>
          <w:szCs w:val="24"/>
        </w:rPr>
        <w:t>（四）营销服务网络优势</w:t>
      </w:r>
      <w:r>
        <w:rPr>
          <w:rFonts w:ascii="宋体" w:hAnsi="宋体" w:cs="宋体" w:eastAsia="宋体" w:hint="default"/>
          <w:b/>
          <w:bCs/>
          <w:w w:val="99"/>
          <w:sz w:val="24"/>
          <w:szCs w:val="24"/>
        </w:rPr>
        <w:t> </w:t>
      </w:r>
      <w:r>
        <w:rPr>
          <w:rFonts w:ascii="宋体" w:hAnsi="宋体" w:cs="宋体" w:eastAsia="宋体" w:hint="default"/>
          <w:spacing w:val="-2"/>
          <w:sz w:val="24"/>
          <w:szCs w:val="24"/>
        </w:rPr>
        <w:t>公司拥有完善的营销服务网络。公司中高端客户业务营销服务网络遍布全国，拥</w:t>
      </w:r>
    </w:p>
    <w:p>
      <w:pPr>
        <w:pStyle w:val="BodyText"/>
        <w:spacing w:line="217" w:lineRule="exact"/>
        <w:ind w:right="0"/>
        <w:jc w:val="left"/>
      </w:pPr>
      <w:r>
        <w:rPr/>
        <w:t>有百余家分支机构，开展客户营销、销售、服务等业务，为国内大中型企业提供及时</w:t>
      </w:r>
    </w:p>
    <w:p>
      <w:pPr>
        <w:pStyle w:val="BodyText"/>
        <w:spacing w:line="237" w:lineRule="auto" w:before="1"/>
        <w:ind w:right="233"/>
        <w:jc w:val="both"/>
        <w:rPr>
          <w:rFonts w:ascii="宋体" w:hAnsi="宋体" w:cs="宋体" w:eastAsia="宋体" w:hint="default"/>
        </w:rPr>
      </w:pPr>
      <w:r>
        <w:rPr>
          <w:spacing w:val="-2"/>
        </w:rPr>
        <w:t>快捷的本地化贴身服务。公司成立的海外客户事业本部在多个国家和地区设立营销服</w:t>
      </w:r>
      <w:r>
        <w:rPr>
          <w:spacing w:val="-94"/>
        </w:rPr>
        <w:t> </w:t>
      </w:r>
      <w:r>
        <w:rPr>
          <w:spacing w:val="-94"/>
        </w:rPr>
      </w:r>
      <w:r>
        <w:rPr/>
        <w:t>务机构，拓展海外中高端客户市场。公司面向小微企业客户业务拥有近 </w:t>
      </w:r>
      <w:r>
        <w:rPr>
          <w:rFonts w:ascii="宋体" w:hAnsi="宋体" w:cs="宋体" w:eastAsia="宋体" w:hint="default"/>
        </w:rPr>
        <w:t>2000</w:t>
      </w:r>
      <w:r>
        <w:rPr>
          <w:rFonts w:ascii="宋体" w:hAnsi="宋体" w:cs="宋体" w:eastAsia="宋体" w:hint="default"/>
          <w:spacing w:val="-47"/>
        </w:rPr>
        <w:t> </w:t>
      </w:r>
      <w:r>
        <w:rPr/>
        <w:t>家渠道 </w:t>
      </w:r>
      <w:r>
        <w:rPr>
          <w:spacing w:val="-2"/>
        </w:rPr>
        <w:t>合作伙伴，遍布全国各地，其中云服务业务发展了新的资源型渠道伙伴，逐步建立起</w:t>
      </w:r>
      <w:r>
        <w:rPr>
          <w:spacing w:val="-95"/>
        </w:rPr>
        <w:t> </w:t>
      </w:r>
      <w:r>
        <w:rPr>
          <w:spacing w:val="-95"/>
        </w:rPr>
      </w:r>
      <w:r>
        <w:rPr>
          <w:spacing w:val="-2"/>
        </w:rPr>
        <w:t>了与云服务业务相适应的多元化渠道体系。公司行业业务在汽车、金融、烟草、电信</w:t>
      </w:r>
      <w:r>
        <w:rPr>
          <w:spacing w:val="-94"/>
        </w:rPr>
        <w:t> </w:t>
      </w:r>
      <w:r>
        <w:rPr>
          <w:spacing w:val="-94"/>
        </w:rPr>
      </w:r>
      <w:r>
        <w:rPr>
          <w:spacing w:val="-2"/>
        </w:rPr>
        <w:t>和广电、财政等行业已具有非常成熟的营销网络及服务生态链。同时，公司内部加快</w:t>
      </w:r>
      <w:r>
        <w:rPr>
          <w:spacing w:val="-97"/>
        </w:rPr>
        <w:t> </w:t>
      </w:r>
      <w:r>
        <w:rPr>
          <w:spacing w:val="-97"/>
        </w:rPr>
      </w:r>
      <w:r>
        <w:rPr/>
        <w:t>组织裂变，升级客户运营体系，加大营销覆盖，并按照行业、指名客户建立</w:t>
      </w:r>
      <w:r>
        <w:rPr>
          <w:spacing w:val="-82"/>
        </w:rPr>
        <w:t> </w:t>
      </w:r>
      <w:r>
        <w:rPr>
          <w:rFonts w:ascii="宋体" w:hAnsi="宋体" w:cs="宋体" w:eastAsia="宋体" w:hint="default"/>
        </w:rPr>
        <w:t>ABU</w:t>
      </w:r>
      <w:r>
        <w:rPr>
          <w:rFonts w:ascii="宋体" w:hAnsi="宋体" w:cs="宋体" w:eastAsia="宋体" w:hint="default"/>
          <w:spacing w:val="-83"/>
        </w:rPr>
        <w:t> </w:t>
      </w:r>
      <w:r>
        <w:rPr/>
        <w:t>专属 </w:t>
      </w:r>
      <w:r>
        <w:rPr>
          <w:spacing w:val="-2"/>
        </w:rPr>
        <w:t>经营组织，做深客户，做专行业。公司的“全程服务模式”根据客户在不同阶段所遇</w:t>
      </w:r>
      <w:r>
        <w:rPr>
          <w:spacing w:val="-96"/>
        </w:rPr>
        <w:t> </w:t>
      </w:r>
      <w:r>
        <w:rPr>
          <w:spacing w:val="-96"/>
        </w:rPr>
      </w:r>
      <w:r>
        <w:rPr>
          <w:spacing w:val="-8"/>
        </w:rPr>
        <w:t>到的数字化管理问题，提供针对性的专业服务，包括经营诊断、在线服务、远程服务、</w:t>
      </w:r>
      <w:r>
        <w:rPr>
          <w:spacing w:val="-104"/>
        </w:rPr>
        <w:t> </w:t>
      </w:r>
      <w:r>
        <w:rPr>
          <w:spacing w:val="-104"/>
        </w:rPr>
      </w:r>
      <w:r>
        <w:rPr/>
        <w:t>现场服务、用户培训等客户定制化服务，提升客户价值与满意度。</w:t>
      </w:r>
      <w:r>
        <w:rPr>
          <w:rFonts w:ascii="宋体" w:hAnsi="宋体" w:cs="宋体" w:eastAsia="宋体" w:hint="default"/>
        </w:rPr>
        <w:t> </w:t>
      </w:r>
    </w:p>
    <w:p>
      <w:pPr>
        <w:pStyle w:val="Heading2"/>
        <w:spacing w:line="240" w:lineRule="auto" w:before="118"/>
        <w:ind w:left="619" w:right="0"/>
        <w:jc w:val="left"/>
        <w:rPr>
          <w:rFonts w:ascii="宋体" w:hAnsi="宋体" w:cs="宋体" w:eastAsia="宋体" w:hint="default"/>
          <w:b w:val="0"/>
          <w:bCs w:val="0"/>
        </w:rPr>
      </w:pPr>
      <w:r>
        <w:rPr/>
        <w:t>（五）公司客户基础优势</w:t>
      </w:r>
      <w:r>
        <w:rPr>
          <w:rFonts w:ascii="宋体" w:hAnsi="宋体" w:cs="宋体" w:eastAsia="宋体" w:hint="default"/>
          <w:w w:val="99"/>
        </w:rPr>
        <w:t>  </w:t>
      </w:r>
      <w:r>
        <w:rPr>
          <w:rFonts w:ascii="宋体" w:hAnsi="宋体" w:cs="宋体" w:eastAsia="宋体" w:hint="default"/>
          <w:b w:val="0"/>
          <w:bCs w:val="0"/>
        </w:rPr>
      </w:r>
    </w:p>
    <w:p>
      <w:pPr>
        <w:pStyle w:val="BodyText"/>
        <w:spacing w:line="237" w:lineRule="auto" w:before="120"/>
        <w:ind w:right="234" w:firstLine="480"/>
        <w:jc w:val="both"/>
      </w:pPr>
      <w:r>
        <w:rPr/>
        <w:t>公司专注企业服务 </w:t>
      </w:r>
      <w:r>
        <w:rPr>
          <w:rFonts w:ascii="宋体" w:hAnsi="宋体" w:cs="宋体" w:eastAsia="宋体" w:hint="default"/>
        </w:rPr>
        <w:t>31</w:t>
      </w:r>
      <w:r>
        <w:rPr>
          <w:rFonts w:ascii="宋体" w:hAnsi="宋体" w:cs="宋体" w:eastAsia="宋体" w:hint="default"/>
          <w:spacing w:val="-49"/>
        </w:rPr>
        <w:t> </w:t>
      </w:r>
      <w:r>
        <w:rPr/>
        <w:t>年，形成了庞大的客户基础，客户粘性高。公司通过云服 </w:t>
      </w:r>
      <w:r>
        <w:rPr>
          <w:spacing w:val="-2"/>
        </w:rPr>
        <w:t>务、软件与金融服务融合发展，通过构建和运营全球领先的企业云服务平台，建立用</w:t>
      </w:r>
      <w:r>
        <w:rPr>
          <w:spacing w:val="-96"/>
        </w:rPr>
        <w:t> </w:t>
      </w:r>
      <w:r>
        <w:rPr>
          <w:spacing w:val="-96"/>
        </w:rPr>
      </w:r>
      <w:r>
        <w:rPr>
          <w:spacing w:val="-2"/>
        </w:rPr>
        <w:t>友云生态体系，为中国及全球企业与公共组织提供一站式综合服务。目前，公司累计</w:t>
      </w:r>
      <w:r>
        <w:rPr>
          <w:spacing w:val="-95"/>
        </w:rPr>
        <w:t> </w:t>
      </w:r>
      <w:r>
        <w:rPr>
          <w:spacing w:val="-95"/>
        </w:rPr>
      </w:r>
      <w:r>
        <w:rPr/>
        <w:t>服务的企业超过</w:t>
      </w:r>
      <w:r>
        <w:rPr>
          <w:spacing w:val="-58"/>
        </w:rPr>
        <w:t> </w:t>
      </w:r>
      <w:r>
        <w:rPr>
          <w:rFonts w:ascii="宋体" w:hAnsi="宋体" w:cs="宋体" w:eastAsia="宋体" w:hint="default"/>
        </w:rPr>
        <w:t>600</w:t>
      </w:r>
      <w:r>
        <w:rPr>
          <w:rFonts w:ascii="宋体" w:hAnsi="宋体" w:cs="宋体" w:eastAsia="宋体" w:hint="default"/>
          <w:spacing w:val="-58"/>
        </w:rPr>
        <w:t> </w:t>
      </w:r>
      <w:r>
        <w:rPr/>
        <w:t>万家，超过</w:t>
      </w:r>
      <w:r>
        <w:rPr>
          <w:spacing w:val="-57"/>
        </w:rPr>
        <w:t> </w:t>
      </w:r>
      <w:r>
        <w:rPr>
          <w:rFonts w:ascii="宋体" w:hAnsi="宋体" w:cs="宋体" w:eastAsia="宋体" w:hint="default"/>
        </w:rPr>
        <w:t>60%</w:t>
      </w:r>
      <w:r>
        <w:rPr/>
        <w:t>的中国</w:t>
      </w:r>
      <w:r>
        <w:rPr>
          <w:spacing w:val="-58"/>
        </w:rPr>
        <w:t> </w:t>
      </w:r>
      <w:r>
        <w:rPr>
          <w:rFonts w:ascii="宋体" w:hAnsi="宋体" w:cs="宋体" w:eastAsia="宋体" w:hint="default"/>
        </w:rPr>
        <w:t>500</w:t>
      </w:r>
      <w:r>
        <w:rPr>
          <w:rFonts w:ascii="宋体" w:hAnsi="宋体" w:cs="宋体" w:eastAsia="宋体" w:hint="default"/>
          <w:spacing w:val="-58"/>
        </w:rPr>
        <w:t> </w:t>
      </w:r>
      <w:r>
        <w:rPr/>
        <w:t>强企业与用友建立了合作关系。新时 </w:t>
      </w:r>
      <w:r>
        <w:rPr>
          <w:spacing w:val="-2"/>
        </w:rPr>
        <w:t>期，公司将以构建和运营全球领先的企业云服务平台为战略目标，服务超过千万家企</w:t>
      </w:r>
    </w:p>
    <w:p>
      <w:pPr>
        <w:spacing w:after="0" w:line="237" w:lineRule="auto"/>
        <w:jc w:val="both"/>
        <w:sectPr>
          <w:pgSz w:w="11910" w:h="16840"/>
          <w:pgMar w:header="880" w:footer="1195" w:top="1120" w:bottom="1380" w:left="1140" w:right="1560"/>
        </w:sectPr>
      </w:pPr>
    </w:p>
    <w:p>
      <w:pPr>
        <w:spacing w:line="240" w:lineRule="auto" w:before="2"/>
        <w:rPr>
          <w:rFonts w:ascii="宋体" w:hAnsi="宋体" w:cs="宋体" w:eastAsia="宋体" w:hint="default"/>
          <w:sz w:val="19"/>
          <w:szCs w:val="19"/>
        </w:rPr>
      </w:pPr>
    </w:p>
    <w:p>
      <w:pPr>
        <w:pStyle w:val="BodyText"/>
        <w:spacing w:line="240" w:lineRule="auto" w:before="26"/>
        <w:ind w:right="0"/>
        <w:jc w:val="left"/>
        <w:rPr>
          <w:rFonts w:ascii="宋体" w:hAnsi="宋体" w:cs="宋体" w:eastAsia="宋体" w:hint="default"/>
        </w:rPr>
      </w:pPr>
      <w:r>
        <w:rPr>
          <w:spacing w:val="-2"/>
        </w:rPr>
        <w:t>业客户，聚合十万家生态伙伴、亿级社群个人，为中国和全球的商业创新创造独特价</w:t>
      </w:r>
      <w:r>
        <w:rPr>
          <w:spacing w:val="-94"/>
        </w:rPr>
        <w:t> </w:t>
      </w:r>
      <w:r>
        <w:rPr>
          <w:spacing w:val="-94"/>
        </w:rPr>
      </w:r>
      <w:r>
        <w:rPr/>
        <w:t>值。</w:t>
      </w:r>
      <w:r>
        <w:rPr>
          <w:rFonts w:ascii="宋体" w:hAnsi="宋体" w:cs="宋体" w:eastAsia="宋体" w:hint="default"/>
        </w:rPr>
        <w:t> </w:t>
      </w:r>
    </w:p>
    <w:p>
      <w:pPr>
        <w:pStyle w:val="BodyText"/>
        <w:spacing w:line="310" w:lineRule="exact"/>
        <w:ind w:right="0"/>
        <w:jc w:val="left"/>
        <w:rPr>
          <w:rFonts w:ascii="宋体" w:hAnsi="宋体" w:cs="宋体" w:eastAsia="宋体" w:hint="default"/>
        </w:rPr>
      </w:pPr>
      <w:r>
        <w:rPr>
          <w:rFonts w:ascii="宋体"/>
        </w:rPr>
        <w:t> </w:t>
      </w:r>
    </w:p>
    <w:p>
      <w:pPr>
        <w:pStyle w:val="Heading1"/>
        <w:tabs>
          <w:tab w:pos="1260" w:val="left" w:leader="none"/>
        </w:tabs>
        <w:spacing w:line="240" w:lineRule="auto" w:before="52"/>
        <w:ind w:right="104"/>
        <w:jc w:val="center"/>
        <w:rPr>
          <w:b w:val="0"/>
          <w:bCs w:val="0"/>
        </w:rPr>
      </w:pPr>
      <w:bookmarkStart w:name="_bookmark3" w:id="4"/>
      <w:bookmarkEnd w:id="4"/>
      <w:r>
        <w:rPr>
          <w:b w:val="0"/>
          <w:bCs w:val="0"/>
        </w:rPr>
      </w:r>
      <w:r>
        <w:rPr>
          <w:w w:val="95"/>
        </w:rPr>
        <w:t>第四节</w:t>
      </w:r>
      <w:r>
        <w:rPr>
          <w:rFonts w:ascii="宋体" w:hAnsi="宋体" w:cs="宋体" w:eastAsia="宋体" w:hint="default"/>
          <w:w w:val="95"/>
        </w:rPr>
        <w:tab/>
      </w:r>
      <w:r>
        <w:rPr/>
        <w:t>经营情况讨论与分析</w:t>
      </w:r>
      <w:r>
        <w:rPr>
          <w:b w:val="0"/>
          <w:bCs w:val="0"/>
        </w:rPr>
      </w:r>
    </w:p>
    <w:p>
      <w:pPr>
        <w:pStyle w:val="Heading2"/>
        <w:spacing w:line="240" w:lineRule="auto" w:before="62"/>
        <w:ind w:left="136" w:right="0"/>
        <w:jc w:val="both"/>
        <w:rPr>
          <w:b w:val="0"/>
          <w:bCs w:val="0"/>
        </w:rPr>
      </w:pPr>
      <w:r>
        <w:rPr/>
        <w:t>一、经营情况讨论与分析</w:t>
      </w:r>
      <w:r>
        <w:rPr>
          <w:b w:val="0"/>
          <w:bCs w:val="0"/>
        </w:rPr>
      </w:r>
    </w:p>
    <w:p>
      <w:pPr>
        <w:spacing w:line="240" w:lineRule="auto" w:before="2"/>
        <w:rPr>
          <w:rFonts w:ascii="宋体" w:hAnsi="宋体" w:cs="宋体" w:eastAsia="宋体" w:hint="default"/>
          <w:b/>
          <w:bCs/>
          <w:sz w:val="18"/>
          <w:szCs w:val="18"/>
        </w:rPr>
      </w:pPr>
    </w:p>
    <w:p>
      <w:pPr>
        <w:pStyle w:val="Heading2"/>
        <w:spacing w:line="240" w:lineRule="auto"/>
        <w:ind w:left="619" w:right="0"/>
        <w:jc w:val="left"/>
        <w:rPr>
          <w:b w:val="0"/>
          <w:bCs w:val="0"/>
        </w:rPr>
      </w:pPr>
      <w:r>
        <w:rPr/>
        <w:t>（一）报告期内公司业务经营总体情况</w:t>
      </w:r>
      <w:r>
        <w:rPr>
          <w:b w:val="0"/>
          <w:bCs w:val="0"/>
        </w:rPr>
      </w:r>
    </w:p>
    <w:p>
      <w:pPr>
        <w:pStyle w:val="BodyText"/>
        <w:spacing w:line="237" w:lineRule="auto" w:before="120"/>
        <w:ind w:right="231" w:firstLine="420"/>
        <w:jc w:val="both"/>
      </w:pPr>
      <w:r>
        <w:rPr/>
        <w:t>报告期内，公司实现营业收入</w:t>
      </w:r>
      <w:r>
        <w:rPr>
          <w:spacing w:val="-58"/>
        </w:rPr>
        <w:t> </w:t>
      </w:r>
      <w:r>
        <w:rPr>
          <w:rFonts w:ascii="宋体" w:hAnsi="宋体" w:cs="宋体" w:eastAsia="宋体" w:hint="default"/>
        </w:rPr>
        <w:t>8,509,659,748</w:t>
      </w:r>
      <w:r>
        <w:rPr>
          <w:rFonts w:ascii="宋体" w:hAnsi="宋体" w:cs="宋体" w:eastAsia="宋体" w:hint="default"/>
          <w:spacing w:val="-55"/>
        </w:rPr>
        <w:t> </w:t>
      </w:r>
      <w:r>
        <w:rPr/>
        <w:t>元，同比增加</w:t>
      </w:r>
      <w:r>
        <w:rPr>
          <w:spacing w:val="-58"/>
        </w:rPr>
        <w:t> </w:t>
      </w:r>
      <w:r>
        <w:rPr>
          <w:rFonts w:ascii="宋体" w:hAnsi="宋体" w:cs="宋体" w:eastAsia="宋体" w:hint="default"/>
        </w:rPr>
        <w:t>806,164,702</w:t>
      </w:r>
      <w:r>
        <w:rPr>
          <w:rFonts w:ascii="宋体" w:hAnsi="宋体" w:cs="宋体" w:eastAsia="宋体" w:hint="default"/>
          <w:spacing w:val="-58"/>
        </w:rPr>
        <w:t> </w:t>
      </w:r>
      <w:r>
        <w:rPr/>
        <w:t>元，增 长</w:t>
      </w:r>
      <w:r>
        <w:rPr>
          <w:spacing w:val="31"/>
        </w:rPr>
        <w:t> </w:t>
      </w:r>
      <w:r>
        <w:rPr>
          <w:rFonts w:ascii="宋体" w:hAnsi="宋体" w:cs="宋体" w:eastAsia="宋体" w:hint="default"/>
        </w:rPr>
        <w:t>10.5%</w:t>
      </w:r>
      <w:r>
        <w:rPr>
          <w:rFonts w:ascii="宋体" w:hAnsi="宋体" w:cs="宋体" w:eastAsia="宋体" w:hint="default"/>
          <w:spacing w:val="-89"/>
        </w:rPr>
        <w:t> </w:t>
      </w:r>
      <w:r>
        <w:rPr/>
        <w:t>，</w:t>
      </w:r>
      <w:r>
        <w:rPr>
          <w:spacing w:val="-90"/>
        </w:rPr>
        <w:t> </w:t>
      </w:r>
      <w:r>
        <w:rPr>
          <w:spacing w:val="14"/>
        </w:rPr>
        <w:t>实现</w:t>
      </w:r>
      <w:r>
        <w:rPr>
          <w:spacing w:val="-90"/>
        </w:rPr>
        <w:t> </w:t>
      </w:r>
      <w:r>
        <w:rPr/>
        <w:t>了</w:t>
      </w:r>
      <w:r>
        <w:rPr>
          <w:spacing w:val="-90"/>
        </w:rPr>
        <w:t> </w:t>
      </w:r>
      <w:r>
        <w:rPr>
          <w:spacing w:val="14"/>
        </w:rPr>
        <w:t>主营</w:t>
      </w:r>
      <w:r>
        <w:rPr>
          <w:spacing w:val="-90"/>
        </w:rPr>
        <w:t> </w:t>
      </w:r>
      <w:r>
        <w:rPr/>
        <w:t>业</w:t>
      </w:r>
      <w:r>
        <w:rPr>
          <w:spacing w:val="-90"/>
        </w:rPr>
        <w:t> </w:t>
      </w:r>
      <w:r>
        <w:rPr/>
        <w:t>务</w:t>
      </w:r>
      <w:r>
        <w:rPr>
          <w:spacing w:val="-90"/>
        </w:rPr>
        <w:t> </w:t>
      </w:r>
      <w:r>
        <w:rPr>
          <w:spacing w:val="14"/>
        </w:rPr>
        <w:t>收入</w:t>
      </w:r>
      <w:r>
        <w:rPr>
          <w:spacing w:val="-90"/>
        </w:rPr>
        <w:t> </w:t>
      </w:r>
      <w:r>
        <w:rPr/>
        <w:t>稳</w:t>
      </w:r>
      <w:r>
        <w:rPr>
          <w:spacing w:val="-90"/>
        </w:rPr>
        <w:t> </w:t>
      </w:r>
      <w:r>
        <w:rPr/>
        <w:t>定</w:t>
      </w:r>
      <w:r>
        <w:rPr>
          <w:spacing w:val="-90"/>
        </w:rPr>
        <w:t> </w:t>
      </w:r>
      <w:r>
        <w:rPr>
          <w:spacing w:val="18"/>
        </w:rPr>
        <w:t>增长。</w:t>
      </w:r>
      <w:r>
        <w:rPr>
          <w:spacing w:val="-85"/>
        </w:rPr>
        <w:t> </w:t>
      </w:r>
      <w:r>
        <w:rPr/>
        <w:t>归</w:t>
      </w:r>
      <w:r>
        <w:rPr>
          <w:spacing w:val="-90"/>
        </w:rPr>
        <w:t> </w:t>
      </w:r>
      <w:r>
        <w:rPr/>
        <w:t>属</w:t>
      </w:r>
      <w:r>
        <w:rPr>
          <w:spacing w:val="-90"/>
        </w:rPr>
        <w:t> </w:t>
      </w:r>
      <w:r>
        <w:rPr>
          <w:spacing w:val="14"/>
        </w:rPr>
        <w:t>于上</w:t>
      </w:r>
      <w:r>
        <w:rPr>
          <w:spacing w:val="-90"/>
        </w:rPr>
        <w:t> </w:t>
      </w:r>
      <w:r>
        <w:rPr/>
        <w:t>市</w:t>
      </w:r>
      <w:r>
        <w:rPr>
          <w:spacing w:val="-90"/>
        </w:rPr>
        <w:t> </w:t>
      </w:r>
      <w:r>
        <w:rPr/>
        <w:t>公</w:t>
      </w:r>
      <w:r>
        <w:rPr>
          <w:spacing w:val="-90"/>
        </w:rPr>
        <w:t> </w:t>
      </w:r>
      <w:r>
        <w:rPr>
          <w:spacing w:val="18"/>
        </w:rPr>
        <w:t>司股东</w:t>
      </w:r>
      <w:r>
        <w:rPr>
          <w:spacing w:val="-90"/>
        </w:rPr>
        <w:t> </w:t>
      </w:r>
      <w:r>
        <w:rPr/>
        <w:t>的</w:t>
      </w:r>
      <w:r>
        <w:rPr>
          <w:spacing w:val="-90"/>
        </w:rPr>
        <w:t> </w:t>
      </w:r>
      <w:r>
        <w:rPr/>
        <w:t>净</w:t>
      </w:r>
      <w:r>
        <w:rPr>
          <w:spacing w:val="-90"/>
        </w:rPr>
        <w:t> </w:t>
      </w:r>
      <w:r>
        <w:rPr>
          <w:spacing w:val="14"/>
        </w:rPr>
        <w:t>利润</w:t>
      </w:r>
      <w:r>
        <w:rPr>
          <w:spacing w:val="-90"/>
        </w:rPr>
        <w:t> </w:t>
      </w:r>
      <w:r>
        <w:rPr/>
        <w:t>为</w:t>
      </w:r>
      <w:r>
        <w:rPr/>
        <w:t> </w:t>
      </w:r>
      <w:r>
        <w:rPr>
          <w:rFonts w:ascii="宋体" w:hAnsi="宋体" w:cs="宋体" w:eastAsia="宋体" w:hint="default"/>
        </w:rPr>
        <w:t>1,182,989,733</w:t>
      </w:r>
      <w:r>
        <w:rPr>
          <w:rFonts w:ascii="宋体" w:hAnsi="宋体" w:cs="宋体" w:eastAsia="宋体" w:hint="default"/>
          <w:spacing w:val="-42"/>
        </w:rPr>
        <w:t> </w:t>
      </w:r>
      <w:r>
        <w:rPr/>
        <w:t>元，同比增加</w:t>
      </w:r>
      <w:r>
        <w:rPr>
          <w:spacing w:val="-42"/>
        </w:rPr>
        <w:t> </w:t>
      </w:r>
      <w:r>
        <w:rPr>
          <w:rFonts w:ascii="宋体" w:hAnsi="宋体" w:cs="宋体" w:eastAsia="宋体" w:hint="default"/>
        </w:rPr>
        <w:t>570,859,351</w:t>
      </w:r>
      <w:r>
        <w:rPr>
          <w:rFonts w:ascii="宋体" w:hAnsi="宋体" w:cs="宋体" w:eastAsia="宋体" w:hint="default"/>
          <w:spacing w:val="-42"/>
        </w:rPr>
        <w:t> </w:t>
      </w:r>
      <w:r>
        <w:rPr/>
        <w:t>元，增长</w:t>
      </w:r>
      <w:r>
        <w:rPr>
          <w:spacing w:val="-42"/>
        </w:rPr>
        <w:t> </w:t>
      </w:r>
      <w:r>
        <w:rPr>
          <w:rFonts w:ascii="宋体" w:hAnsi="宋体" w:cs="宋体" w:eastAsia="宋体" w:hint="default"/>
        </w:rPr>
        <w:t>93.3%</w:t>
      </w:r>
      <w:r>
        <w:rPr/>
        <w:t>；归属于上市公司股东的</w:t>
      </w:r>
    </w:p>
    <w:p>
      <w:pPr>
        <w:pStyle w:val="BodyText"/>
        <w:spacing w:line="310" w:lineRule="exact" w:before="30"/>
        <w:ind w:right="217"/>
        <w:jc w:val="left"/>
        <w:rPr>
          <w:rFonts w:ascii="宋体" w:hAnsi="宋体" w:cs="宋体" w:eastAsia="宋体" w:hint="default"/>
        </w:rPr>
      </w:pPr>
      <w:r>
        <w:rPr/>
        <w:t>扣除非经常性损益后的净利润为 </w:t>
      </w:r>
      <w:r>
        <w:rPr>
          <w:rFonts w:ascii="宋体" w:hAnsi="宋体" w:cs="宋体" w:eastAsia="宋体" w:hint="default"/>
        </w:rPr>
        <w:t>677,451,238 </w:t>
      </w:r>
      <w:r>
        <w:rPr/>
        <w:t>元，同比增加 </w:t>
      </w:r>
      <w:r>
        <w:rPr>
          <w:rFonts w:ascii="宋体" w:hAnsi="宋体" w:cs="宋体" w:eastAsia="宋体" w:hint="default"/>
        </w:rPr>
        <w:t>145,289,296</w:t>
      </w:r>
      <w:r>
        <w:rPr>
          <w:rFonts w:ascii="宋体" w:hAnsi="宋体" w:cs="宋体" w:eastAsia="宋体" w:hint="default"/>
          <w:spacing w:val="-47"/>
        </w:rPr>
        <w:t> </w:t>
      </w:r>
      <w:r>
        <w:rPr/>
        <w:t>元，增长 </w:t>
      </w:r>
      <w:r>
        <w:rPr>
          <w:rFonts w:ascii="宋体" w:hAnsi="宋体" w:cs="宋体" w:eastAsia="宋体" w:hint="default"/>
        </w:rPr>
        <w:t>27.3%</w:t>
      </w:r>
      <w:r>
        <w:rPr/>
        <w:t>，经营效益得到大幅提升。</w:t>
      </w:r>
      <w:r>
        <w:rPr>
          <w:rFonts w:ascii="宋体" w:hAnsi="宋体" w:cs="宋体" w:eastAsia="宋体" w:hint="default"/>
        </w:rPr>
        <w:t> </w:t>
      </w:r>
    </w:p>
    <w:p>
      <w:pPr>
        <w:pStyle w:val="BodyText"/>
        <w:spacing w:line="312" w:lineRule="exact"/>
        <w:ind w:right="231" w:firstLine="420"/>
        <w:jc w:val="both"/>
      </w:pPr>
      <w:r>
        <w:rPr/>
        <w:t>报告期内，公司云服务业务（不含金融类云服务业务）实现收入</w:t>
      </w:r>
      <w:r>
        <w:rPr>
          <w:spacing w:val="13"/>
        </w:rPr>
        <w:t> </w:t>
      </w:r>
      <w:r>
        <w:rPr>
          <w:rFonts w:ascii="宋体" w:hAnsi="宋体" w:cs="宋体" w:eastAsia="宋体" w:hint="default"/>
        </w:rPr>
        <w:t>1,970,234,805 </w:t>
      </w:r>
      <w:r>
        <w:rPr>
          <w:spacing w:val="-5"/>
        </w:rPr>
        <w:t>元，同比增长</w:t>
      </w:r>
      <w:r>
        <w:rPr>
          <w:spacing w:val="-54"/>
        </w:rPr>
        <w:t> </w:t>
      </w:r>
      <w:r>
        <w:rPr>
          <w:rFonts w:ascii="宋体" w:hAnsi="宋体" w:cs="宋体" w:eastAsia="宋体" w:hint="default"/>
          <w:spacing w:val="-3"/>
        </w:rPr>
        <w:t>131.6%</w:t>
      </w:r>
      <w:r>
        <w:rPr>
          <w:spacing w:val="-3"/>
        </w:rPr>
        <w:t>，继续保持高速增长；软件业务实现收入</w:t>
      </w:r>
      <w:r>
        <w:rPr>
          <w:spacing w:val="-52"/>
        </w:rPr>
        <w:t> </w:t>
      </w:r>
      <w:r>
        <w:rPr>
          <w:rFonts w:ascii="宋体" w:hAnsi="宋体" w:cs="宋体" w:eastAsia="宋体" w:hint="default"/>
        </w:rPr>
        <w:t>5,195,058,608</w:t>
      </w:r>
      <w:r>
        <w:rPr>
          <w:rFonts w:ascii="宋体" w:hAnsi="宋体" w:cs="宋体" w:eastAsia="宋体" w:hint="default"/>
          <w:spacing w:val="-54"/>
        </w:rPr>
        <w:t> </w:t>
      </w:r>
      <w:r>
        <w:rPr>
          <w:spacing w:val="-9"/>
        </w:rPr>
        <w:t>元，同</w:t>
      </w:r>
    </w:p>
    <w:p>
      <w:pPr>
        <w:pStyle w:val="BodyText"/>
        <w:spacing w:line="310" w:lineRule="exact" w:before="1"/>
        <w:ind w:right="218"/>
        <w:jc w:val="left"/>
      </w:pPr>
      <w:r>
        <w:rPr/>
        <w:t>比下降</w:t>
      </w:r>
      <w:r>
        <w:rPr>
          <w:spacing w:val="-42"/>
        </w:rPr>
        <w:t> </w:t>
      </w:r>
      <w:r>
        <w:rPr>
          <w:rFonts w:ascii="宋体" w:hAnsi="宋体" w:cs="宋体" w:eastAsia="宋体" w:hint="default"/>
        </w:rPr>
        <w:t>6.9%</w:t>
      </w:r>
      <w:r>
        <w:rPr/>
        <w:t>；支付服务业务实现收入</w:t>
      </w:r>
      <w:r>
        <w:rPr>
          <w:spacing w:val="-42"/>
        </w:rPr>
        <w:t> </w:t>
      </w:r>
      <w:r>
        <w:rPr>
          <w:rFonts w:ascii="宋体" w:hAnsi="宋体" w:cs="宋体" w:eastAsia="宋体" w:hint="default"/>
        </w:rPr>
        <w:t>650,510,224</w:t>
      </w:r>
      <w:r>
        <w:rPr>
          <w:rFonts w:ascii="宋体" w:hAnsi="宋体" w:cs="宋体" w:eastAsia="宋体" w:hint="default"/>
          <w:spacing w:val="-42"/>
        </w:rPr>
        <w:t> </w:t>
      </w:r>
      <w:r>
        <w:rPr/>
        <w:t>元，同比增长</w:t>
      </w:r>
      <w:r>
        <w:rPr>
          <w:spacing w:val="-42"/>
        </w:rPr>
        <w:t> </w:t>
      </w:r>
      <w:r>
        <w:rPr>
          <w:rFonts w:ascii="宋体" w:hAnsi="宋体" w:cs="宋体" w:eastAsia="宋体" w:hint="default"/>
        </w:rPr>
        <w:t>319.1%</w:t>
      </w:r>
      <w:r>
        <w:rPr/>
        <w:t>，继续保持 </w:t>
      </w:r>
      <w:r>
        <w:rPr>
          <w:spacing w:val="-2"/>
        </w:rPr>
        <w:t>高速增长；互联网投融资信息服务业务在继续坚持稳健经营、控制适度规模的方针指</w:t>
      </w:r>
    </w:p>
    <w:p>
      <w:pPr>
        <w:pStyle w:val="BodyText"/>
        <w:spacing w:line="312" w:lineRule="exact"/>
        <w:ind w:left="557" w:right="229" w:hanging="421"/>
        <w:jc w:val="left"/>
      </w:pPr>
      <w:r>
        <w:rPr/>
        <w:t>引下，实现收入</w:t>
      </w:r>
      <w:r>
        <w:rPr>
          <w:spacing w:val="-60"/>
        </w:rPr>
        <w:t> </w:t>
      </w:r>
      <w:r>
        <w:rPr>
          <w:rFonts w:ascii="宋体" w:hAnsi="宋体" w:cs="宋体" w:eastAsia="宋体" w:hint="default"/>
        </w:rPr>
        <w:t>641,995,155</w:t>
      </w:r>
      <w:r>
        <w:rPr>
          <w:rFonts w:ascii="宋体" w:hAnsi="宋体" w:cs="宋体" w:eastAsia="宋体" w:hint="default"/>
          <w:spacing w:val="-60"/>
        </w:rPr>
        <w:t> </w:t>
      </w:r>
      <w:r>
        <w:rPr/>
        <w:t>元，同比下降</w:t>
      </w:r>
      <w:r>
        <w:rPr>
          <w:spacing w:val="-60"/>
        </w:rPr>
        <w:t> </w:t>
      </w:r>
      <w:r>
        <w:rPr>
          <w:rFonts w:ascii="宋体" w:hAnsi="宋体" w:cs="宋体" w:eastAsia="宋体" w:hint="default"/>
        </w:rPr>
        <w:t>41.0%</w:t>
      </w:r>
      <w:r>
        <w:rPr/>
        <w:t>。</w:t>
      </w:r>
      <w:r>
        <w:rPr>
          <w:rFonts w:ascii="宋体" w:hAnsi="宋体" w:cs="宋体" w:eastAsia="宋体" w:hint="default"/>
        </w:rPr>
        <w:t> </w:t>
      </w:r>
      <w:r>
        <w:rPr/>
        <w:t>报告期内，公司云服务业务收入（不含金融类云服务业务收入）按照企业规模分</w:t>
      </w:r>
    </w:p>
    <w:p>
      <w:pPr>
        <w:pStyle w:val="BodyText"/>
        <w:spacing w:line="280" w:lineRule="exact"/>
        <w:ind w:right="0"/>
        <w:jc w:val="both"/>
      </w:pPr>
      <w:r>
        <w:rPr/>
        <w:t>类，小微企业云服务业务实现收入</w:t>
      </w:r>
      <w:r>
        <w:rPr>
          <w:spacing w:val="-55"/>
        </w:rPr>
        <w:t> </w:t>
      </w:r>
      <w:r>
        <w:rPr>
          <w:rFonts w:ascii="宋体" w:hAnsi="宋体" w:cs="宋体" w:eastAsia="宋体" w:hint="default"/>
        </w:rPr>
        <w:t>14,600</w:t>
      </w:r>
      <w:r>
        <w:rPr>
          <w:rFonts w:ascii="宋体" w:hAnsi="宋体" w:cs="宋体" w:eastAsia="宋体" w:hint="default"/>
          <w:spacing w:val="-56"/>
        </w:rPr>
        <w:t> </w:t>
      </w:r>
      <w:r>
        <w:rPr/>
        <w:t>万元，增长</w:t>
      </w:r>
      <w:r>
        <w:rPr>
          <w:spacing w:val="-55"/>
        </w:rPr>
        <w:t> </w:t>
      </w:r>
      <w:r>
        <w:rPr>
          <w:rFonts w:ascii="宋体" w:hAnsi="宋体" w:cs="宋体" w:eastAsia="宋体" w:hint="default"/>
        </w:rPr>
        <w:t>289.1%</w:t>
      </w:r>
      <w:r>
        <w:rPr/>
        <w:t>；大中型企业云服务业</w:t>
      </w:r>
    </w:p>
    <w:p>
      <w:pPr>
        <w:pStyle w:val="BodyText"/>
        <w:spacing w:line="237" w:lineRule="auto" w:before="1"/>
        <w:ind w:right="231"/>
        <w:jc w:val="both"/>
        <w:rPr>
          <w:rFonts w:ascii="宋体" w:hAnsi="宋体" w:cs="宋体" w:eastAsia="宋体" w:hint="default"/>
        </w:rPr>
      </w:pPr>
      <w:r>
        <w:rPr/>
        <w:t>务实现收入</w:t>
      </w:r>
      <w:r>
        <w:rPr>
          <w:spacing w:val="-57"/>
        </w:rPr>
        <w:t> </w:t>
      </w:r>
      <w:r>
        <w:rPr>
          <w:rFonts w:ascii="宋体" w:hAnsi="宋体" w:cs="宋体" w:eastAsia="宋体" w:hint="default"/>
        </w:rPr>
        <w:t>182,423</w:t>
      </w:r>
      <w:r>
        <w:rPr>
          <w:rFonts w:ascii="宋体" w:hAnsi="宋体" w:cs="宋体" w:eastAsia="宋体" w:hint="default"/>
          <w:spacing w:val="-57"/>
        </w:rPr>
        <w:t> </w:t>
      </w:r>
      <w:r>
        <w:rPr>
          <w:spacing w:val="-8"/>
        </w:rPr>
        <w:t>万元，增长</w:t>
      </w:r>
      <w:r>
        <w:rPr>
          <w:spacing w:val="-57"/>
        </w:rPr>
        <w:t> </w:t>
      </w:r>
      <w:r>
        <w:rPr>
          <w:rFonts w:ascii="宋体" w:hAnsi="宋体" w:cs="宋体" w:eastAsia="宋体" w:hint="default"/>
          <w:spacing w:val="-3"/>
        </w:rPr>
        <w:t>124.4%</w:t>
      </w:r>
      <w:r>
        <w:rPr>
          <w:spacing w:val="-3"/>
        </w:rPr>
        <w:t>。截至报告期末，公司云服务业务的累计企业</w:t>
      </w:r>
      <w:r>
        <w:rPr/>
        <w:t> 客户数为</w:t>
      </w:r>
      <w:r>
        <w:rPr>
          <w:spacing w:val="-29"/>
        </w:rPr>
        <w:t> </w:t>
      </w:r>
      <w:r>
        <w:rPr>
          <w:rFonts w:ascii="宋体" w:hAnsi="宋体" w:cs="宋体" w:eastAsia="宋体" w:hint="default"/>
        </w:rPr>
        <w:t>543.09</w:t>
      </w:r>
      <w:r>
        <w:rPr>
          <w:rFonts w:ascii="宋体" w:hAnsi="宋体" w:cs="宋体" w:eastAsia="宋体" w:hint="default"/>
          <w:spacing w:val="-29"/>
        </w:rPr>
        <w:t> </w:t>
      </w:r>
      <w:r>
        <w:rPr/>
        <w:t>万家，其中累计付费企业客户数为</w:t>
      </w:r>
      <w:r>
        <w:rPr>
          <w:spacing w:val="-28"/>
        </w:rPr>
        <w:t> </w:t>
      </w:r>
      <w:r>
        <w:rPr>
          <w:rFonts w:ascii="宋体" w:hAnsi="宋体" w:cs="宋体" w:eastAsia="宋体" w:hint="default"/>
        </w:rPr>
        <w:t>51.22</w:t>
      </w:r>
      <w:r>
        <w:rPr>
          <w:rFonts w:ascii="宋体" w:hAnsi="宋体" w:cs="宋体" w:eastAsia="宋体" w:hint="default"/>
          <w:spacing w:val="-29"/>
        </w:rPr>
        <w:t> </w:t>
      </w:r>
      <w:r>
        <w:rPr/>
        <w:t>万家</w:t>
      </w:r>
      <w:r>
        <w:rPr>
          <w:rFonts w:ascii="宋体" w:hAnsi="宋体" w:cs="宋体" w:eastAsia="宋体" w:hint="default"/>
        </w:rPr>
        <w:t>,</w:t>
      </w:r>
      <w:r>
        <w:rPr>
          <w:rFonts w:ascii="宋体" w:hAnsi="宋体" w:cs="宋体" w:eastAsia="宋体" w:hint="default"/>
          <w:spacing w:val="2"/>
        </w:rPr>
        <w:t> </w:t>
      </w:r>
      <w:r>
        <w:rPr/>
        <w:t>较</w:t>
      </w:r>
      <w:r>
        <w:rPr>
          <w:spacing w:val="-29"/>
        </w:rPr>
        <w:t> </w:t>
      </w:r>
      <w:r>
        <w:rPr>
          <w:rFonts w:ascii="宋体" w:hAnsi="宋体" w:cs="宋体" w:eastAsia="宋体" w:hint="default"/>
        </w:rPr>
        <w:t>2018</w:t>
      </w:r>
      <w:r>
        <w:rPr>
          <w:rFonts w:ascii="宋体" w:hAnsi="宋体" w:cs="宋体" w:eastAsia="宋体" w:hint="default"/>
          <w:spacing w:val="-29"/>
        </w:rPr>
        <w:t> </w:t>
      </w:r>
      <w:r>
        <w:rPr/>
        <w:t>年末增长 </w:t>
      </w:r>
      <w:r>
        <w:rPr>
          <w:rFonts w:ascii="宋体" w:hAnsi="宋体" w:cs="宋体" w:eastAsia="宋体" w:hint="default"/>
        </w:rPr>
        <w:t>41.5%</w:t>
      </w:r>
      <w:r>
        <w:rPr/>
        <w:t>；公司企业客户续约率和客单价稳步提高；公司云服务业务（不含金融类云服</w:t>
      </w:r>
      <w:r>
        <w:rPr>
          <w:spacing w:val="-59"/>
        </w:rPr>
        <w:t> </w:t>
      </w:r>
      <w:r>
        <w:rPr>
          <w:spacing w:val="-59"/>
        </w:rPr>
      </w:r>
      <w:r>
        <w:rPr>
          <w:spacing w:val="-4"/>
        </w:rPr>
        <w:t>务业务）预收账款</w:t>
      </w:r>
      <w:r>
        <w:rPr>
          <w:spacing w:val="-55"/>
        </w:rPr>
        <w:t> </w:t>
      </w:r>
      <w:r>
        <w:rPr>
          <w:rFonts w:ascii="宋体" w:hAnsi="宋体" w:cs="宋体" w:eastAsia="宋体" w:hint="default"/>
        </w:rPr>
        <w:t>59,350</w:t>
      </w:r>
      <w:r>
        <w:rPr>
          <w:rFonts w:ascii="宋体" w:hAnsi="宋体" w:cs="宋体" w:eastAsia="宋体" w:hint="default"/>
          <w:spacing w:val="-55"/>
        </w:rPr>
        <w:t> </w:t>
      </w:r>
      <w:r>
        <w:rPr>
          <w:spacing w:val="-4"/>
        </w:rPr>
        <w:t>万元，比年初增长</w:t>
      </w:r>
      <w:r>
        <w:rPr>
          <w:spacing w:val="-55"/>
        </w:rPr>
        <w:t> </w:t>
      </w:r>
      <w:r>
        <w:rPr>
          <w:rFonts w:ascii="宋体" w:hAnsi="宋体" w:cs="宋体" w:eastAsia="宋体" w:hint="default"/>
          <w:spacing w:val="-3"/>
        </w:rPr>
        <w:t>97.0%</w:t>
      </w:r>
      <w:r>
        <w:rPr>
          <w:spacing w:val="-3"/>
        </w:rPr>
        <w:t>；公司云服务业务收入（不含金融</w:t>
      </w:r>
      <w:r>
        <w:rPr/>
        <w:t> 类云服务业务收入）占公司主营业务收入</w:t>
      </w:r>
      <w:r>
        <w:rPr>
          <w:spacing w:val="-58"/>
        </w:rPr>
        <w:t> </w:t>
      </w:r>
      <w:r>
        <w:rPr>
          <w:rFonts w:ascii="宋体" w:hAnsi="宋体" w:cs="宋体" w:eastAsia="宋体" w:hint="default"/>
        </w:rPr>
        <w:t>23.2%</w:t>
      </w:r>
      <w:r>
        <w:rPr/>
        <w:t>，云服务业务收入占比持续提升。</w:t>
      </w:r>
      <w:r>
        <w:rPr>
          <w:rFonts w:ascii="宋体" w:hAnsi="宋体" w:cs="宋体" w:eastAsia="宋体" w:hint="default"/>
        </w:rPr>
        <w:t> </w:t>
      </w:r>
    </w:p>
    <w:p>
      <w:pPr>
        <w:spacing w:line="331" w:lineRule="auto" w:before="116"/>
        <w:ind w:left="617" w:right="0" w:firstLine="2"/>
        <w:jc w:val="left"/>
        <w:rPr>
          <w:rFonts w:ascii="宋体" w:hAnsi="宋体" w:cs="宋体" w:eastAsia="宋体" w:hint="default"/>
          <w:sz w:val="24"/>
          <w:szCs w:val="24"/>
        </w:rPr>
      </w:pPr>
      <w:r>
        <w:rPr>
          <w:rFonts w:ascii="宋体" w:hAnsi="宋体" w:cs="宋体" w:eastAsia="宋体" w:hint="default"/>
          <w:b/>
          <w:bCs/>
          <w:sz w:val="24"/>
          <w:szCs w:val="24"/>
        </w:rPr>
        <w:t>（二）报告期内公司各项业务发展情况</w:t>
      </w:r>
      <w:r>
        <w:rPr>
          <w:rFonts w:ascii="宋体" w:hAnsi="宋体" w:cs="宋体" w:eastAsia="宋体" w:hint="default"/>
          <w:b/>
          <w:bCs/>
          <w:w w:val="99"/>
          <w:sz w:val="24"/>
          <w:szCs w:val="24"/>
        </w:rPr>
        <w:t> </w:t>
      </w:r>
      <w:r>
        <w:rPr>
          <w:rFonts w:ascii="宋体" w:hAnsi="宋体" w:cs="宋体" w:eastAsia="宋体" w:hint="default"/>
          <w:spacing w:val="-2"/>
          <w:sz w:val="24"/>
          <w:szCs w:val="24"/>
        </w:rPr>
        <w:t>报告期内，公司抓住企业与公共组织数智化、产业国产化带来的机会，克服经济</w:t>
      </w:r>
    </w:p>
    <w:p>
      <w:pPr>
        <w:pStyle w:val="BodyText"/>
        <w:spacing w:line="219" w:lineRule="exact"/>
        <w:ind w:right="0"/>
        <w:jc w:val="both"/>
      </w:pPr>
      <w:r>
        <w:rPr/>
        <w:t>下行等困难，坚定执行用友</w:t>
      </w:r>
      <w:r>
        <w:rPr>
          <w:spacing w:val="-84"/>
        </w:rPr>
        <w:t> </w:t>
      </w:r>
      <w:r>
        <w:rPr>
          <w:rFonts w:ascii="宋体" w:hAnsi="宋体" w:cs="宋体" w:eastAsia="宋体" w:hint="default"/>
        </w:rPr>
        <w:t>3.0</w:t>
      </w:r>
      <w:r>
        <w:rPr>
          <w:rFonts w:ascii="宋体" w:hAnsi="宋体" w:cs="宋体" w:eastAsia="宋体" w:hint="default"/>
          <w:spacing w:val="-84"/>
        </w:rPr>
        <w:t> </w:t>
      </w:r>
      <w:r>
        <w:rPr/>
        <w:t>战略，加速推进各项业务发展，实现了公司主营业务</w:t>
      </w:r>
    </w:p>
    <w:p>
      <w:pPr>
        <w:pStyle w:val="BodyText"/>
        <w:spacing w:line="312" w:lineRule="exact" w:before="28"/>
        <w:ind w:right="0"/>
        <w:jc w:val="left"/>
        <w:rPr>
          <w:rFonts w:ascii="宋体" w:hAnsi="宋体" w:cs="宋体" w:eastAsia="宋体" w:hint="default"/>
        </w:rPr>
      </w:pPr>
      <w:r>
        <w:rPr>
          <w:spacing w:val="-2"/>
        </w:rPr>
        <w:t>收入稳定增长、云服务业务收入高速增长、净利润大幅增长的优良业绩，全面完成年</w:t>
      </w:r>
      <w:r>
        <w:rPr>
          <w:spacing w:val="-96"/>
        </w:rPr>
        <w:t> </w:t>
      </w:r>
      <w:r>
        <w:rPr>
          <w:spacing w:val="-96"/>
        </w:rPr>
      </w:r>
      <w:r>
        <w:rPr/>
        <w:t>度计划目标。</w:t>
      </w:r>
      <w:r>
        <w:rPr>
          <w:rFonts w:ascii="宋体" w:hAnsi="宋体" w:cs="宋体" w:eastAsia="宋体" w:hint="default"/>
        </w:rPr>
        <w:t> </w:t>
      </w:r>
    </w:p>
    <w:p>
      <w:pPr>
        <w:pStyle w:val="BodyText"/>
        <w:spacing w:line="282" w:lineRule="exact"/>
        <w:ind w:left="617" w:right="0"/>
        <w:jc w:val="left"/>
      </w:pPr>
      <w:r>
        <w:rPr/>
        <w:t>报告期内，公司继续加大产品研发投入力度，重点增加了云服务研发人员，发布</w:t>
      </w:r>
    </w:p>
    <w:p>
      <w:pPr>
        <w:pStyle w:val="BodyText"/>
        <w:spacing w:line="310" w:lineRule="exact" w:before="31"/>
        <w:ind w:right="220"/>
        <w:jc w:val="left"/>
        <w:rPr>
          <w:rFonts w:ascii="宋体" w:hAnsi="宋体" w:cs="宋体" w:eastAsia="宋体" w:hint="default"/>
        </w:rPr>
      </w:pPr>
      <w:r>
        <w:rPr/>
        <w:t>了</w:t>
      </w:r>
      <w:r>
        <w:rPr>
          <w:spacing w:val="-42"/>
        </w:rPr>
        <w:t> </w:t>
      </w:r>
      <w:r>
        <w:rPr>
          <w:rFonts w:ascii="宋体" w:hAnsi="宋体" w:cs="宋体" w:eastAsia="宋体" w:hint="default"/>
        </w:rPr>
        <w:t>YonSuite</w:t>
      </w:r>
      <w:r>
        <w:rPr/>
        <w:t>、</w:t>
      </w:r>
      <w:r>
        <w:rPr>
          <w:rFonts w:ascii="宋体" w:hAnsi="宋体" w:cs="宋体" w:eastAsia="宋体" w:hint="default"/>
        </w:rPr>
        <w:t>NC</w:t>
      </w:r>
      <w:r>
        <w:rPr>
          <w:rFonts w:ascii="宋体" w:hAnsi="宋体" w:cs="宋体" w:eastAsia="宋体" w:hint="default"/>
          <w:spacing w:val="-2"/>
        </w:rPr>
        <w:t> </w:t>
      </w:r>
      <w:r>
        <w:rPr>
          <w:rFonts w:ascii="宋体" w:hAnsi="宋体" w:cs="宋体" w:eastAsia="宋体" w:hint="default"/>
        </w:rPr>
        <w:t>Cloud1909</w:t>
      </w:r>
      <w:r>
        <w:rPr>
          <w:rFonts w:ascii="宋体" w:hAnsi="宋体" w:cs="宋体" w:eastAsia="宋体" w:hint="default"/>
          <w:spacing w:val="-42"/>
        </w:rPr>
        <w:t> </w:t>
      </w:r>
      <w:r>
        <w:rPr/>
        <w:t>及全新一代企业云服务平台</w:t>
      </w:r>
      <w:r>
        <w:rPr>
          <w:spacing w:val="-42"/>
        </w:rPr>
        <w:t> </w:t>
      </w:r>
      <w:r>
        <w:rPr>
          <w:rFonts w:ascii="宋体" w:hAnsi="宋体" w:cs="宋体" w:eastAsia="宋体" w:hint="default"/>
        </w:rPr>
        <w:t>iuap5.0</w:t>
      </w:r>
      <w:r>
        <w:rPr>
          <w:rFonts w:ascii="宋体" w:hAnsi="宋体" w:cs="宋体" w:eastAsia="宋体" w:hint="default"/>
          <w:spacing w:val="-42"/>
        </w:rPr>
        <w:t> </w:t>
      </w:r>
      <w:r>
        <w:rPr/>
        <w:t>等重要产品，产品 发展取得重要进展；优化了公司研发体系，推动了公司研发成果共享。</w:t>
      </w:r>
      <w:r>
        <w:rPr>
          <w:rFonts w:ascii="宋体" w:hAnsi="宋体" w:cs="宋体" w:eastAsia="宋体" w:hint="default"/>
        </w:rPr>
        <w:t> </w:t>
      </w:r>
    </w:p>
    <w:p>
      <w:pPr>
        <w:pStyle w:val="BodyText"/>
        <w:spacing w:line="283" w:lineRule="exact"/>
        <w:ind w:left="557" w:right="0"/>
        <w:jc w:val="left"/>
      </w:pPr>
      <w:r>
        <w:rPr/>
        <w:t>报告期内，公司持续升级客户运营体系，针对重点行业和高端客户通过客户经营</w:t>
      </w:r>
    </w:p>
    <w:p>
      <w:pPr>
        <w:pStyle w:val="BodyText"/>
        <w:spacing w:line="310" w:lineRule="exact" w:before="31"/>
        <w:ind w:right="0"/>
        <w:jc w:val="left"/>
        <w:rPr>
          <w:rFonts w:ascii="宋体" w:hAnsi="宋体" w:cs="宋体" w:eastAsia="宋体" w:hint="default"/>
        </w:rPr>
      </w:pPr>
      <w:r>
        <w:rPr/>
        <w:t>组织裂变加强市场覆盖，加大经营深度；针对战略客户公司成立专属经营服务组织，</w:t>
      </w:r>
      <w:r>
        <w:rPr>
          <w:spacing w:val="-57"/>
        </w:rPr>
        <w:t> </w:t>
      </w:r>
      <w:r>
        <w:rPr>
          <w:spacing w:val="-57"/>
        </w:rPr>
      </w:r>
      <w:r>
        <w:rPr/>
        <w:t>与多家战略客户达成合作，并战略加强生态建设，助力战略客户实现数字化转型。</w:t>
      </w:r>
      <w:r>
        <w:rPr>
          <w:rFonts w:ascii="宋体" w:hAnsi="宋体" w:cs="宋体" w:eastAsia="宋体" w:hint="default"/>
        </w:rPr>
        <w:t> </w:t>
      </w:r>
    </w:p>
    <w:p>
      <w:pPr>
        <w:pStyle w:val="BodyText"/>
        <w:spacing w:line="283" w:lineRule="exact"/>
        <w:ind w:right="0" w:firstLine="420"/>
        <w:jc w:val="both"/>
      </w:pPr>
      <w:r>
        <w:rPr/>
        <w:t>报告期内，公司发布了以“融合”为核心的用友企业云服务新生态战略，推动行</w:t>
      </w:r>
    </w:p>
    <w:p>
      <w:pPr>
        <w:pStyle w:val="BodyText"/>
        <w:spacing w:line="310" w:lineRule="exact" w:before="31"/>
        <w:ind w:right="217"/>
        <w:jc w:val="left"/>
      </w:pPr>
      <w:r>
        <w:rPr>
          <w:spacing w:val="-2"/>
        </w:rPr>
        <w:t>业头部企业战略联盟，特别加强了与华为、中国工商银行、中国联通等龙头企业的战</w:t>
      </w:r>
      <w:r>
        <w:rPr>
          <w:spacing w:val="-94"/>
        </w:rPr>
        <w:t> </w:t>
      </w:r>
      <w:r>
        <w:rPr>
          <w:spacing w:val="-94"/>
        </w:rPr>
      </w:r>
      <w:r>
        <w:rPr/>
        <w:t>略合作；公司云市场建设持续发力，实现入驻伙伴突破 </w:t>
      </w:r>
      <w:r>
        <w:rPr>
          <w:rFonts w:ascii="宋体" w:hAnsi="宋体" w:cs="宋体" w:eastAsia="宋体" w:hint="default"/>
        </w:rPr>
        <w:t>5000</w:t>
      </w:r>
      <w:r>
        <w:rPr>
          <w:rFonts w:ascii="宋体" w:hAnsi="宋体" w:cs="宋体" w:eastAsia="宋体" w:hint="default"/>
          <w:spacing w:val="-47"/>
        </w:rPr>
        <w:t> </w:t>
      </w:r>
      <w:r>
        <w:rPr/>
        <w:t>家，入驻产品及服务突</w:t>
      </w:r>
    </w:p>
    <w:p>
      <w:pPr>
        <w:pStyle w:val="BodyText"/>
        <w:spacing w:line="283" w:lineRule="exact"/>
        <w:ind w:right="0"/>
        <w:jc w:val="both"/>
        <w:rPr>
          <w:rFonts w:ascii="宋体" w:hAnsi="宋体" w:cs="宋体" w:eastAsia="宋体" w:hint="default"/>
        </w:rPr>
      </w:pPr>
      <w:r>
        <w:rPr/>
        <w:t>破</w:t>
      </w:r>
      <w:r>
        <w:rPr>
          <w:spacing w:val="-60"/>
        </w:rPr>
        <w:t> </w:t>
      </w:r>
      <w:r>
        <w:rPr>
          <w:rFonts w:ascii="宋体" w:hAnsi="宋体" w:cs="宋体" w:eastAsia="宋体" w:hint="default"/>
        </w:rPr>
        <w:t>8000</w:t>
      </w:r>
      <w:r>
        <w:rPr>
          <w:rFonts w:ascii="宋体" w:hAnsi="宋体" w:cs="宋体" w:eastAsia="宋体" w:hint="default"/>
          <w:spacing w:val="-61"/>
        </w:rPr>
        <w:t> </w:t>
      </w:r>
      <w:r>
        <w:rPr/>
        <w:t>个。</w:t>
      </w:r>
      <w:r>
        <w:rPr>
          <w:rFonts w:ascii="宋体" w:hAnsi="宋体" w:cs="宋体" w:eastAsia="宋体" w:hint="default"/>
        </w:rPr>
        <w:t> </w:t>
      </w:r>
    </w:p>
    <w:p>
      <w:pPr>
        <w:pStyle w:val="BodyText"/>
        <w:spacing w:line="237" w:lineRule="auto" w:before="1"/>
        <w:ind w:right="231" w:firstLine="420"/>
        <w:jc w:val="both"/>
      </w:pPr>
      <w:r>
        <w:rPr/>
        <w:t>报告期内，公司成功举办了</w:t>
      </w:r>
      <w:r>
        <w:rPr>
          <w:spacing w:val="-36"/>
        </w:rPr>
        <w:t> </w:t>
      </w:r>
      <w:r>
        <w:rPr>
          <w:rFonts w:ascii="宋体" w:hAnsi="宋体" w:cs="宋体" w:eastAsia="宋体" w:hint="default"/>
        </w:rPr>
        <w:t>2019</w:t>
      </w:r>
      <w:r>
        <w:rPr>
          <w:rFonts w:ascii="宋体" w:hAnsi="宋体" w:cs="宋体" w:eastAsia="宋体" w:hint="default"/>
          <w:spacing w:val="-36"/>
        </w:rPr>
        <w:t> </w:t>
      </w:r>
      <w:r>
        <w:rPr/>
        <w:t>用友商业伙伴大会、</w:t>
      </w:r>
      <w:r>
        <w:rPr>
          <w:rFonts w:ascii="宋体" w:hAnsi="宋体" w:cs="宋体" w:eastAsia="宋体" w:hint="default"/>
        </w:rPr>
        <w:t>2019</w:t>
      </w:r>
      <w:r>
        <w:rPr>
          <w:rFonts w:ascii="宋体" w:hAnsi="宋体" w:cs="宋体" w:eastAsia="宋体" w:hint="default"/>
          <w:spacing w:val="-36"/>
        </w:rPr>
        <w:t> </w:t>
      </w:r>
      <w:r>
        <w:rPr/>
        <w:t>用友企业云服务春季 新品发布会和 </w:t>
      </w:r>
      <w:r>
        <w:rPr>
          <w:rFonts w:ascii="宋体" w:hAnsi="宋体" w:cs="宋体" w:eastAsia="宋体" w:hint="default"/>
        </w:rPr>
        <w:t>2019</w:t>
      </w:r>
      <w:r>
        <w:rPr>
          <w:rFonts w:ascii="宋体" w:hAnsi="宋体" w:cs="宋体" w:eastAsia="宋体" w:hint="default"/>
          <w:spacing w:val="-48"/>
        </w:rPr>
        <w:t> </w:t>
      </w:r>
      <w:r>
        <w:rPr/>
        <w:t>全球企业服务大会等多场重要营销活动。报告期内，公司获得多 </w:t>
      </w:r>
      <w:r>
        <w:rPr>
          <w:spacing w:val="-4"/>
        </w:rPr>
        <w:t>项荣誉，用友精智工业互联网平台被工业和信息化部授予“</w:t>
      </w:r>
      <w:r>
        <w:rPr>
          <w:rFonts w:ascii="宋体" w:hAnsi="宋体" w:cs="宋体" w:eastAsia="宋体" w:hint="default"/>
          <w:spacing w:val="-4"/>
        </w:rPr>
        <w:t>2019</w:t>
      </w:r>
      <w:r>
        <w:rPr>
          <w:rFonts w:ascii="宋体" w:hAnsi="宋体" w:cs="宋体" w:eastAsia="宋体" w:hint="default"/>
          <w:spacing w:val="-47"/>
        </w:rPr>
        <w:t> </w:t>
      </w:r>
      <w:r>
        <w:rPr/>
        <w:t>年十大跨行业跨领域 </w:t>
      </w:r>
      <w:r>
        <w:rPr>
          <w:spacing w:val="-3"/>
        </w:rPr>
        <w:t>工业互联网平台”。据赛迪顾问数据显示，公司荣获</w:t>
      </w:r>
      <w:r>
        <w:rPr>
          <w:spacing w:val="-54"/>
        </w:rPr>
        <w:t> </w:t>
      </w:r>
      <w:r>
        <w:rPr>
          <w:rFonts w:ascii="宋体" w:hAnsi="宋体" w:cs="宋体" w:eastAsia="宋体" w:hint="default"/>
        </w:rPr>
        <w:t>2019</w:t>
      </w:r>
      <w:r>
        <w:rPr>
          <w:rFonts w:ascii="宋体" w:hAnsi="宋体" w:cs="宋体" w:eastAsia="宋体" w:hint="default"/>
          <w:spacing w:val="-55"/>
        </w:rPr>
        <w:t> </w:t>
      </w:r>
      <w:r>
        <w:rPr/>
        <w:t>年度中国企业</w:t>
      </w:r>
      <w:r>
        <w:rPr>
          <w:spacing w:val="-55"/>
        </w:rPr>
        <w:t> </w:t>
      </w:r>
      <w:r>
        <w:rPr>
          <w:rFonts w:ascii="宋体" w:hAnsi="宋体" w:cs="宋体" w:eastAsia="宋体" w:hint="default"/>
        </w:rPr>
        <w:t>SaaS</w:t>
      </w:r>
      <w:r>
        <w:rPr>
          <w:rFonts w:ascii="宋体" w:hAnsi="宋体" w:cs="宋体" w:eastAsia="宋体" w:hint="default"/>
          <w:spacing w:val="-55"/>
        </w:rPr>
        <w:t> </w:t>
      </w:r>
      <w:r>
        <w:rPr/>
        <w:t>市场占</w:t>
      </w:r>
    </w:p>
    <w:p>
      <w:pPr>
        <w:spacing w:after="0" w:line="237" w:lineRule="auto"/>
        <w:jc w:val="both"/>
        <w:sectPr>
          <w:pgSz w:w="11910" w:h="16840"/>
          <w:pgMar w:header="880" w:footer="1195" w:top="1120" w:bottom="1380" w:left="1140" w:right="1560"/>
        </w:sectPr>
      </w:pPr>
    </w:p>
    <w:p>
      <w:pPr>
        <w:spacing w:line="240" w:lineRule="auto" w:before="2"/>
        <w:rPr>
          <w:rFonts w:ascii="宋体" w:hAnsi="宋体" w:cs="宋体" w:eastAsia="宋体" w:hint="default"/>
          <w:sz w:val="19"/>
          <w:szCs w:val="19"/>
        </w:rPr>
      </w:pPr>
    </w:p>
    <w:p>
      <w:pPr>
        <w:pStyle w:val="BodyText"/>
        <w:spacing w:line="237" w:lineRule="auto" w:before="28"/>
        <w:ind w:right="234"/>
        <w:jc w:val="both"/>
        <w:rPr>
          <w:rFonts w:ascii="宋体" w:hAnsi="宋体" w:cs="宋体" w:eastAsia="宋体" w:hint="default"/>
        </w:rPr>
      </w:pPr>
      <w:r>
        <w:rPr>
          <w:spacing w:val="-3"/>
        </w:rPr>
        <w:t>有率第一、</w:t>
      </w:r>
      <w:r>
        <w:rPr>
          <w:rFonts w:ascii="宋体" w:hAnsi="宋体" w:cs="宋体" w:eastAsia="宋体" w:hint="default"/>
          <w:spacing w:val="-3"/>
        </w:rPr>
        <w:t>2019</w:t>
      </w:r>
      <w:r>
        <w:rPr>
          <w:rFonts w:ascii="宋体" w:hAnsi="宋体" w:cs="宋体" w:eastAsia="宋体" w:hint="default"/>
          <w:spacing w:val="-65"/>
        </w:rPr>
        <w:t> </w:t>
      </w:r>
      <w:r>
        <w:rPr/>
        <w:t>年度中国企业云服务市场占有率第一、</w:t>
      </w:r>
      <w:r>
        <w:rPr>
          <w:spacing w:val="-10"/>
        </w:rPr>
        <w:t> </w:t>
      </w:r>
      <w:r>
        <w:rPr>
          <w:rFonts w:ascii="宋体" w:hAnsi="宋体" w:cs="宋体" w:eastAsia="宋体" w:hint="default"/>
          <w:spacing w:val="-10"/>
        </w:rPr>
      </w:r>
      <w:r>
        <w:rPr>
          <w:rFonts w:ascii="宋体" w:hAnsi="宋体" w:cs="宋体" w:eastAsia="宋体" w:hint="default"/>
        </w:rPr>
        <w:t>2019</w:t>
      </w:r>
      <w:r>
        <w:rPr>
          <w:rFonts w:ascii="宋体" w:hAnsi="宋体" w:cs="宋体" w:eastAsia="宋体" w:hint="default"/>
          <w:spacing w:val="-65"/>
        </w:rPr>
        <w:t> </w:t>
      </w:r>
      <w:r>
        <w:rPr/>
        <w:t>年度中国企业级应用软 件市场占有率第一、</w:t>
      </w:r>
      <w:r>
        <w:rPr>
          <w:rFonts w:ascii="宋体" w:hAnsi="宋体" w:cs="宋体" w:eastAsia="宋体" w:hint="default"/>
        </w:rPr>
        <w:t>2019 </w:t>
      </w:r>
      <w:r>
        <w:rPr/>
        <w:t>年度中国企业财务云市场占有率第一、</w:t>
      </w:r>
      <w:r>
        <w:rPr>
          <w:rFonts w:ascii="宋体" w:hAnsi="宋体" w:cs="宋体" w:eastAsia="宋体" w:hint="default"/>
        </w:rPr>
        <w:t>2019</w:t>
      </w:r>
      <w:r>
        <w:rPr>
          <w:rFonts w:ascii="宋体" w:hAnsi="宋体" w:cs="宋体" w:eastAsia="宋体" w:hint="default"/>
          <w:spacing w:val="-48"/>
        </w:rPr>
        <w:t> </w:t>
      </w:r>
      <w:r>
        <w:rPr/>
        <w:t>年度中国企业 工业云市场占有率第一等。</w:t>
      </w:r>
      <w:r>
        <w:rPr>
          <w:rFonts w:ascii="宋体" w:hAnsi="宋体" w:cs="宋体" w:eastAsia="宋体" w:hint="default"/>
        </w:rPr>
        <w:t> </w:t>
      </w:r>
    </w:p>
    <w:p>
      <w:pPr>
        <w:pStyle w:val="Heading2"/>
        <w:spacing w:line="240" w:lineRule="auto" w:before="118"/>
        <w:ind w:left="619" w:right="0"/>
        <w:jc w:val="left"/>
        <w:rPr>
          <w:rFonts w:ascii="宋体" w:hAnsi="宋体" w:cs="宋体" w:eastAsia="宋体" w:hint="default"/>
          <w:b w:val="0"/>
          <w:bCs w:val="0"/>
        </w:rPr>
      </w:pPr>
      <w:r>
        <w:rPr>
          <w:rFonts w:ascii="宋体" w:hAnsi="宋体" w:cs="宋体" w:eastAsia="宋体" w:hint="default"/>
        </w:rPr>
        <w:t>1</w:t>
      </w:r>
      <w:r>
        <w:rPr/>
        <w:t>、大型企业业务发展情况</w:t>
      </w:r>
      <w:r>
        <w:rPr>
          <w:rFonts w:ascii="宋体" w:hAnsi="宋体" w:cs="宋体" w:eastAsia="宋体" w:hint="default"/>
          <w:w w:val="99"/>
        </w:rPr>
        <w:t> </w:t>
      </w:r>
      <w:r>
        <w:rPr>
          <w:rFonts w:ascii="宋体" w:hAnsi="宋体" w:cs="宋体" w:eastAsia="宋体" w:hint="default"/>
          <w:b w:val="0"/>
          <w:bCs w:val="0"/>
        </w:rPr>
      </w:r>
    </w:p>
    <w:p>
      <w:pPr>
        <w:pStyle w:val="BodyText"/>
        <w:spacing w:line="237" w:lineRule="auto" w:before="120"/>
        <w:ind w:right="0" w:firstLine="420"/>
        <w:jc w:val="left"/>
        <w:rPr>
          <w:rFonts w:ascii="宋体" w:hAnsi="宋体" w:cs="宋体" w:eastAsia="宋体" w:hint="default"/>
        </w:rPr>
      </w:pPr>
      <w:r>
        <w:rPr>
          <w:spacing w:val="-14"/>
        </w:rPr>
        <w:t>报告期内，公司加大</w:t>
      </w:r>
      <w:r>
        <w:rPr>
          <w:spacing w:val="-75"/>
        </w:rPr>
        <w:t> </w:t>
      </w:r>
      <w:r>
        <w:rPr>
          <w:rFonts w:ascii="宋体" w:hAnsi="宋体" w:cs="宋体" w:eastAsia="宋体" w:hint="default"/>
        </w:rPr>
        <w:t>NC</w:t>
      </w:r>
      <w:r>
        <w:rPr>
          <w:rFonts w:ascii="宋体" w:hAnsi="宋体" w:cs="宋体" w:eastAsia="宋体" w:hint="default"/>
          <w:spacing w:val="-55"/>
        </w:rPr>
        <w:t> </w:t>
      </w:r>
      <w:r>
        <w:rPr>
          <w:rFonts w:ascii="宋体" w:hAnsi="宋体" w:cs="宋体" w:eastAsia="宋体" w:hint="default"/>
        </w:rPr>
        <w:t>Cloud</w:t>
      </w:r>
      <w:r>
        <w:rPr>
          <w:rFonts w:ascii="宋体" w:hAnsi="宋体" w:cs="宋体" w:eastAsia="宋体" w:hint="default"/>
          <w:spacing w:val="-75"/>
        </w:rPr>
        <w:t> </w:t>
      </w:r>
      <w:r>
        <w:rPr>
          <w:spacing w:val="-8"/>
        </w:rPr>
        <w:t>和创新云服务产品研发投入，发布了</w:t>
      </w:r>
      <w:r>
        <w:rPr>
          <w:spacing w:val="-75"/>
        </w:rPr>
        <w:t> </w:t>
      </w:r>
      <w:r>
        <w:rPr>
          <w:rFonts w:ascii="宋体" w:hAnsi="宋体" w:cs="宋体" w:eastAsia="宋体" w:hint="default"/>
        </w:rPr>
        <w:t>NC</w:t>
      </w:r>
      <w:r>
        <w:rPr>
          <w:rFonts w:ascii="宋体" w:hAnsi="宋体" w:cs="宋体" w:eastAsia="宋体" w:hint="default"/>
          <w:spacing w:val="-55"/>
        </w:rPr>
        <w:t> </w:t>
      </w:r>
      <w:r>
        <w:rPr>
          <w:rFonts w:ascii="宋体" w:hAnsi="宋体" w:cs="宋体" w:eastAsia="宋体" w:hint="default"/>
          <w:spacing w:val="-1"/>
        </w:rPr>
        <w:t>Cloud1903</w:t>
      </w:r>
      <w:r>
        <w:rPr>
          <w:spacing w:val="-1"/>
        </w:rPr>
        <w:t>、</w:t>
      </w:r>
      <w:r>
        <w:rPr/>
        <w:t> </w:t>
      </w:r>
      <w:r>
        <w:rPr>
          <w:rFonts w:ascii="宋体" w:hAnsi="宋体" w:cs="宋体" w:eastAsia="宋体" w:hint="default"/>
        </w:rPr>
        <w:t>1909</w:t>
      </w:r>
      <w:r>
        <w:rPr>
          <w:rFonts w:ascii="宋体" w:hAnsi="宋体" w:cs="宋体" w:eastAsia="宋体" w:hint="default"/>
          <w:spacing w:val="-51"/>
        </w:rPr>
        <w:t> </w:t>
      </w:r>
      <w:r>
        <w:rPr>
          <w:spacing w:val="-4"/>
        </w:rPr>
        <w:t>版本和多项创新云服务产品。该产品基于移动互联网、云计算、大数据、人工智</w:t>
      </w:r>
      <w:r>
        <w:rPr>
          <w:spacing w:val="-99"/>
        </w:rPr>
        <w:t> </w:t>
      </w:r>
      <w:r>
        <w:rPr>
          <w:spacing w:val="-99"/>
        </w:rPr>
      </w:r>
      <w:r>
        <w:rPr>
          <w:spacing w:val="-5"/>
        </w:rPr>
        <w:t>能、物联网等新一代企业计算技术，并结合自主创新需求构建了全栈国产化解决方案；</w:t>
      </w:r>
      <w:r>
        <w:rPr>
          <w:spacing w:val="-97"/>
        </w:rPr>
        <w:t> </w:t>
      </w:r>
      <w:r>
        <w:rPr>
          <w:spacing w:val="-97"/>
        </w:rPr>
      </w:r>
      <w:r>
        <w:rPr/>
        <w:t>该产品支持大型企业混合云、专属云和公有云等多种模式部署。报告期内，公司抓住</w:t>
      </w:r>
      <w:r>
        <w:rPr/>
        <w:t> 大型企业集团管控、共享服务、数字营销、智能制造、产业互联等数字化转型机会，</w:t>
      </w:r>
      <w:r>
        <w:rPr>
          <w:spacing w:val="-57"/>
        </w:rPr>
        <w:t> </w:t>
      </w:r>
      <w:r>
        <w:rPr>
          <w:spacing w:val="-57"/>
        </w:rPr>
      </w:r>
      <w:r>
        <w:rPr/>
        <w:t>实现了面向大型企业云服务业务的规模化销售，成功签约华新丽华、中免集团、厦门</w:t>
      </w:r>
      <w:r>
        <w:rPr/>
        <w:t> 航空等一批大型综合性集团企业。</w:t>
      </w:r>
      <w:r>
        <w:rPr>
          <w:rFonts w:ascii="宋体" w:hAnsi="宋体" w:cs="宋体" w:eastAsia="宋体" w:hint="default"/>
        </w:rPr>
        <w:t> </w:t>
      </w:r>
    </w:p>
    <w:p>
      <w:pPr>
        <w:spacing w:line="240" w:lineRule="auto" w:before="0"/>
        <w:rPr>
          <w:rFonts w:ascii="宋体" w:hAnsi="宋体" w:cs="宋体" w:eastAsia="宋体" w:hint="default"/>
          <w:sz w:val="24"/>
          <w:szCs w:val="24"/>
        </w:rPr>
      </w:pPr>
    </w:p>
    <w:p>
      <w:pPr>
        <w:spacing w:line="3792" w:lineRule="exact"/>
        <w:ind w:left="392"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415.3pt;height:189.6pt;mso-position-horizontal-relative:char;mso-position-vertical-relative:line" coordorigin="0,0" coordsize="8306,3792">
            <v:shape style="position:absolute;left:7;top:0;width:8292;height:1261" type="#_x0000_t75" stroked="false">
              <v:imagedata r:id="rId15" o:title=""/>
            </v:shape>
            <v:shape style="position:absolute;left:0;top:1261;width:5535;height:1269" type="#_x0000_t75" stroked="false">
              <v:imagedata r:id="rId16" o:title=""/>
            </v:shape>
            <v:shape style="position:absolute;left:5528;top:1268;width:2778;height:1255" type="#_x0000_t75" stroked="false">
              <v:imagedata r:id="rId17" o:title=""/>
            </v:shape>
            <v:shape style="position:absolute;left:0;top:2530;width:8306;height:1262" type="#_x0000_t75" stroked="false">
              <v:imagedata r:id="rId18" o:title=""/>
            </v:shape>
          </v:group>
        </w:pict>
      </w:r>
      <w:r>
        <w:rPr>
          <w:rFonts w:ascii="宋体" w:hAnsi="宋体" w:cs="宋体" w:eastAsia="宋体" w:hint="default"/>
          <w:position w:val="-75"/>
          <w:sz w:val="20"/>
          <w:szCs w:val="20"/>
        </w:rPr>
      </w:r>
    </w:p>
    <w:p>
      <w:pPr>
        <w:spacing w:line="240" w:lineRule="auto" w:before="12"/>
        <w:rPr>
          <w:rFonts w:ascii="宋体" w:hAnsi="宋体" w:cs="宋体" w:eastAsia="宋体" w:hint="default"/>
          <w:sz w:val="18"/>
          <w:szCs w:val="18"/>
        </w:rPr>
      </w:pPr>
    </w:p>
    <w:p>
      <w:pPr>
        <w:pStyle w:val="BodyText"/>
        <w:spacing w:line="237" w:lineRule="auto"/>
        <w:ind w:right="232" w:firstLine="420"/>
        <w:jc w:val="both"/>
        <w:rPr>
          <w:rFonts w:ascii="宋体" w:hAnsi="宋体" w:cs="宋体" w:eastAsia="宋体" w:hint="default"/>
        </w:rPr>
      </w:pPr>
      <w:r>
        <w:rPr/>
        <w:pict>
          <v:shape style="position:absolute;margin-left:81.625pt;margin-top:64.085457pt;width:406.1pt;height:157.56pt;mso-position-horizontal-relative:page;mso-position-vertical-relative:paragraph;z-index:-1341328" type="#_x0000_t75" stroked="false">
            <v:imagedata r:id="rId19" o:title=""/>
          </v:shape>
        </w:pict>
      </w:r>
      <w:r>
        <w:rPr>
          <w:spacing w:val="-5"/>
        </w:rPr>
        <w:t>报告期内，公司加快发展用友</w:t>
      </w:r>
      <w:r>
        <w:rPr>
          <w:spacing w:val="-52"/>
        </w:rPr>
        <w:t> </w:t>
      </w:r>
      <w:r>
        <w:rPr>
          <w:rFonts w:ascii="宋体" w:hAnsi="宋体" w:cs="宋体" w:eastAsia="宋体" w:hint="default"/>
        </w:rPr>
        <w:t>iuap</w:t>
      </w:r>
      <w:r>
        <w:rPr>
          <w:rFonts w:ascii="宋体" w:hAnsi="宋体" w:cs="宋体" w:eastAsia="宋体" w:hint="default"/>
          <w:spacing w:val="-52"/>
        </w:rPr>
        <w:t> </w:t>
      </w:r>
      <w:r>
        <w:rPr>
          <w:spacing w:val="-3"/>
        </w:rPr>
        <w:t>云平台建设，发布了全新一代企业云服务平台</w:t>
      </w:r>
      <w:r>
        <w:rPr/>
        <w:t> </w:t>
      </w:r>
      <w:r>
        <w:rPr>
          <w:rFonts w:ascii="宋体" w:hAnsi="宋体" w:cs="宋体" w:eastAsia="宋体" w:hint="default"/>
        </w:rPr>
        <w:t>iuap5.0</w:t>
      </w:r>
      <w:r>
        <w:rPr/>
        <w:t>，云平台累计签约 </w:t>
      </w:r>
      <w:r>
        <w:rPr>
          <w:rFonts w:ascii="宋体" w:hAnsi="宋体" w:cs="宋体" w:eastAsia="宋体" w:hint="default"/>
        </w:rPr>
        <w:t>500</w:t>
      </w:r>
      <w:r>
        <w:rPr>
          <w:rFonts w:ascii="宋体" w:hAnsi="宋体" w:cs="宋体" w:eastAsia="宋体" w:hint="default"/>
          <w:spacing w:val="-49"/>
        </w:rPr>
        <w:t> </w:t>
      </w:r>
      <w:r>
        <w:rPr/>
        <w:t>多家行业龙头客户。同时，用友精智工业互联网平台 取得重大进展，平台升级到</w:t>
      </w:r>
      <w:r>
        <w:rPr>
          <w:spacing w:val="-42"/>
        </w:rPr>
        <w:t> </w:t>
      </w:r>
      <w:r>
        <w:rPr>
          <w:rFonts w:ascii="宋体" w:hAnsi="宋体" w:cs="宋体" w:eastAsia="宋体" w:hint="default"/>
        </w:rPr>
        <w:t>2.0</w:t>
      </w:r>
      <w:r>
        <w:rPr>
          <w:rFonts w:ascii="宋体" w:hAnsi="宋体" w:cs="宋体" w:eastAsia="宋体" w:hint="default"/>
          <w:spacing w:val="-43"/>
        </w:rPr>
        <w:t> </w:t>
      </w:r>
      <w:r>
        <w:rPr/>
        <w:t>版本，形成了融合</w:t>
      </w:r>
      <w:r>
        <w:rPr>
          <w:spacing w:val="-43"/>
        </w:rPr>
        <w:t> </w:t>
      </w:r>
      <w:r>
        <w:rPr>
          <w:rFonts w:ascii="宋体" w:hAnsi="宋体" w:cs="宋体" w:eastAsia="宋体" w:hint="default"/>
        </w:rPr>
        <w:t>IT</w:t>
      </w:r>
      <w:r>
        <w:rPr/>
        <w:t>、</w:t>
      </w:r>
      <w:r>
        <w:rPr>
          <w:rFonts w:ascii="宋体" w:hAnsi="宋体" w:cs="宋体" w:eastAsia="宋体" w:hint="default"/>
        </w:rPr>
        <w:t>OT</w:t>
      </w:r>
      <w:r>
        <w:rPr/>
        <w:t>、</w:t>
      </w:r>
      <w:r>
        <w:rPr>
          <w:rFonts w:ascii="宋体" w:hAnsi="宋体" w:cs="宋体" w:eastAsia="宋体" w:hint="default"/>
        </w:rPr>
        <w:t>AI</w:t>
      </w:r>
      <w:r>
        <w:rPr>
          <w:rFonts w:ascii="宋体" w:hAnsi="宋体" w:cs="宋体" w:eastAsia="宋体" w:hint="default"/>
          <w:spacing w:val="-43"/>
        </w:rPr>
        <w:t> </w:t>
      </w:r>
      <w:r>
        <w:rPr/>
        <w:t>及企业核心业务应用 于一体的“制造中台”。</w:t>
      </w:r>
      <w:r>
        <w:rPr>
          <w:rFonts w:ascii="宋体" w:hAnsi="宋体" w:cs="宋体" w:eastAsia="宋体" w:hint="default"/>
        </w:rPr>
        <w:t> </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182" w:lineRule="auto" w:before="158"/>
        <w:ind w:left="557" w:right="-7956" w:firstLine="8055"/>
        <w:jc w:val="left"/>
      </w:pPr>
      <w:r>
        <w:rPr>
          <w:rFonts w:ascii="宋体" w:hAnsi="宋体" w:cs="宋体" w:eastAsia="宋体" w:hint="default"/>
        </w:rPr>
        <w:t> </w:t>
      </w:r>
      <w:r>
        <w:rPr/>
        <w:t>报告期内，公司</w:t>
      </w:r>
      <w:r>
        <w:rPr>
          <w:spacing w:val="2"/>
        </w:rPr>
        <w:t>加</w:t>
      </w:r>
      <w:r>
        <w:rPr/>
        <w:t>强</w:t>
      </w:r>
      <w:r>
        <w:rPr>
          <w:spacing w:val="3"/>
        </w:rPr>
        <w:t>了</w:t>
      </w:r>
      <w:r>
        <w:rPr/>
        <w:t>汽车、金融、烟草</w:t>
      </w:r>
      <w:r>
        <w:rPr>
          <w:spacing w:val="2"/>
        </w:rPr>
        <w:t>、电</w:t>
      </w:r>
      <w:r>
        <w:rPr/>
        <w:t>信和广电、餐饮等</w:t>
      </w:r>
      <w:r>
        <w:rPr>
          <w:spacing w:val="2"/>
        </w:rPr>
        <w:t>行业</w:t>
      </w:r>
      <w:r>
        <w:rPr/>
        <w:t>大型企</w:t>
      </w:r>
      <w:r>
        <w:rPr>
          <w:spacing w:val="-3"/>
        </w:rPr>
        <w:t>业</w:t>
      </w:r>
      <w:r>
        <w:rPr/>
        <w:t>解</w:t>
      </w:r>
    </w:p>
    <w:p>
      <w:pPr>
        <w:spacing w:line="331" w:lineRule="auto" w:before="6"/>
        <w:ind w:left="619" w:right="3770" w:hanging="483"/>
        <w:jc w:val="left"/>
        <w:rPr>
          <w:rFonts w:ascii="宋体" w:hAnsi="宋体" w:cs="宋体" w:eastAsia="宋体" w:hint="default"/>
          <w:sz w:val="24"/>
          <w:szCs w:val="24"/>
        </w:rPr>
      </w:pPr>
      <w:r>
        <w:rPr>
          <w:rFonts w:ascii="宋体" w:hAnsi="宋体" w:cs="宋体" w:eastAsia="宋体" w:hint="default"/>
          <w:sz w:val="24"/>
          <w:szCs w:val="24"/>
        </w:rPr>
        <w:t>决方案业务；同时，稳步推进了行业云服务业务。 </w:t>
      </w:r>
      <w:r>
        <w:rPr>
          <w:rFonts w:ascii="宋体" w:hAnsi="宋体" w:cs="宋体" w:eastAsia="宋体" w:hint="default"/>
          <w:b/>
          <w:bCs/>
          <w:sz w:val="24"/>
          <w:szCs w:val="24"/>
        </w:rPr>
        <w:t>2</w:t>
      </w:r>
      <w:r>
        <w:rPr>
          <w:rFonts w:ascii="宋体" w:hAnsi="宋体" w:cs="宋体" w:eastAsia="宋体" w:hint="default"/>
          <w:b/>
          <w:bCs/>
          <w:sz w:val="24"/>
          <w:szCs w:val="24"/>
        </w:rPr>
        <w:t>、中型企业业务发展情况</w:t>
      </w:r>
      <w:r>
        <w:rPr>
          <w:rFonts w:ascii="宋体" w:hAnsi="宋体" w:cs="宋体" w:eastAsia="宋体" w:hint="default"/>
          <w:b/>
          <w:bCs/>
          <w:w w:val="99"/>
          <w:sz w:val="24"/>
          <w:szCs w:val="24"/>
        </w:rPr>
        <w:t> </w:t>
      </w:r>
      <w:r>
        <w:rPr>
          <w:rFonts w:ascii="宋体" w:hAnsi="宋体" w:cs="宋体" w:eastAsia="宋体" w:hint="default"/>
          <w:sz w:val="24"/>
          <w:szCs w:val="24"/>
        </w:rPr>
      </w:r>
    </w:p>
    <w:p>
      <w:pPr>
        <w:spacing w:after="0" w:line="331" w:lineRule="auto"/>
        <w:jc w:val="left"/>
        <w:rPr>
          <w:rFonts w:ascii="宋体" w:hAnsi="宋体" w:cs="宋体" w:eastAsia="宋体" w:hint="default"/>
          <w:sz w:val="24"/>
          <w:szCs w:val="24"/>
        </w:rPr>
        <w:sectPr>
          <w:pgSz w:w="11910" w:h="16840"/>
          <w:pgMar w:header="880" w:footer="1195" w:top="1120" w:bottom="1380" w:left="1140" w:right="1560"/>
        </w:sectPr>
      </w:pPr>
    </w:p>
    <w:p>
      <w:pPr>
        <w:spacing w:line="240" w:lineRule="auto" w:before="2"/>
        <w:rPr>
          <w:rFonts w:ascii="宋体" w:hAnsi="宋体" w:cs="宋体" w:eastAsia="宋体" w:hint="default"/>
          <w:b/>
          <w:bCs/>
          <w:sz w:val="19"/>
          <w:szCs w:val="19"/>
        </w:rPr>
      </w:pPr>
    </w:p>
    <w:p>
      <w:pPr>
        <w:pStyle w:val="BodyText"/>
        <w:spacing w:line="237" w:lineRule="auto" w:before="28"/>
        <w:ind w:right="353" w:firstLine="420"/>
        <w:jc w:val="both"/>
        <w:rPr>
          <w:rFonts w:ascii="宋体" w:hAnsi="宋体" w:cs="宋体" w:eastAsia="宋体" w:hint="default"/>
        </w:rPr>
      </w:pPr>
      <w:r>
        <w:rPr/>
        <w:t>报告期内，公司面向中型企业的云服务产品持续创新，率先推出了基于云原生架 构、一体化、智能化的云服务套件产品</w:t>
      </w:r>
      <w:r>
        <w:rPr>
          <w:spacing w:val="-71"/>
        </w:rPr>
        <w:t> </w:t>
      </w:r>
      <w:r>
        <w:rPr>
          <w:rFonts w:ascii="宋体" w:hAnsi="宋体" w:cs="宋体" w:eastAsia="宋体" w:hint="default"/>
        </w:rPr>
        <w:t>YonSuite</w:t>
      </w:r>
      <w:r>
        <w:rPr/>
        <w:t>，并全公有云部署。</w:t>
      </w:r>
      <w:r>
        <w:rPr>
          <w:spacing w:val="-24"/>
        </w:rPr>
        <w:t> </w:t>
      </w:r>
      <w:r>
        <w:rPr>
          <w:rFonts w:ascii="宋体" w:hAnsi="宋体" w:cs="宋体" w:eastAsia="宋体" w:hint="default"/>
          <w:spacing w:val="-24"/>
        </w:rPr>
      </w:r>
      <w:r>
        <w:rPr>
          <w:rFonts w:ascii="宋体" w:hAnsi="宋体" w:cs="宋体" w:eastAsia="宋体" w:hint="default"/>
        </w:rPr>
        <w:t>YonSuite</w:t>
      </w:r>
      <w:r>
        <w:rPr>
          <w:rFonts w:ascii="宋体" w:hAnsi="宋体" w:cs="宋体" w:eastAsia="宋体" w:hint="default"/>
          <w:spacing w:val="-72"/>
        </w:rPr>
        <w:t> </w:t>
      </w:r>
      <w:r>
        <w:rPr/>
        <w:t>产品 </w:t>
      </w:r>
      <w:r>
        <w:rPr>
          <w:spacing w:val="-2"/>
        </w:rPr>
        <w:t>聚焦服务、流通、制造等行业客户需求，提供一体化的在线交易、在线运营、在线管</w:t>
      </w:r>
      <w:r>
        <w:rPr>
          <w:spacing w:val="-96"/>
        </w:rPr>
        <w:t> </w:t>
      </w:r>
      <w:r>
        <w:rPr>
          <w:spacing w:val="-96"/>
        </w:rPr>
      </w:r>
      <w:r>
        <w:rPr/>
        <w:t>理、在线协同的数字化平台。产品发布后，公司在全国开展</w:t>
      </w:r>
      <w:r>
        <w:rPr>
          <w:spacing w:val="-83"/>
        </w:rPr>
        <w:t> </w:t>
      </w:r>
      <w:r>
        <w:rPr>
          <w:rFonts w:ascii="宋体" w:hAnsi="宋体" w:cs="宋体" w:eastAsia="宋体" w:hint="default"/>
        </w:rPr>
        <w:t>100</w:t>
      </w:r>
      <w:r>
        <w:rPr>
          <w:rFonts w:ascii="宋体" w:hAnsi="宋体" w:cs="宋体" w:eastAsia="宋体" w:hint="default"/>
          <w:spacing w:val="-83"/>
        </w:rPr>
        <w:t> </w:t>
      </w:r>
      <w:r>
        <w:rPr/>
        <w:t>多场市场活动，成功 塑造了用友</w:t>
      </w:r>
      <w:r>
        <w:rPr>
          <w:spacing w:val="-60"/>
        </w:rPr>
        <w:t> </w:t>
      </w:r>
      <w:r>
        <w:rPr>
          <w:rFonts w:ascii="宋体" w:hAnsi="宋体" w:cs="宋体" w:eastAsia="宋体" w:hint="default"/>
        </w:rPr>
        <w:t>YonSuite</w:t>
      </w:r>
      <w:r>
        <w:rPr>
          <w:rFonts w:ascii="宋体" w:hAnsi="宋体" w:cs="宋体" w:eastAsia="宋体" w:hint="default"/>
          <w:spacing w:val="-60"/>
        </w:rPr>
        <w:t> </w:t>
      </w:r>
      <w:r>
        <w:rPr/>
        <w:t>产品作为“成长型企业”云服务第一品牌形象。</w:t>
      </w:r>
      <w:r>
        <w:rPr>
          <w:rFonts w:ascii="宋体" w:hAnsi="宋体" w:cs="宋体" w:eastAsia="宋体" w:hint="default"/>
        </w:rPr>
        <w:t> </w:t>
      </w:r>
    </w:p>
    <w:p>
      <w:pPr>
        <w:spacing w:line="240" w:lineRule="auto" w:before="11"/>
        <w:rPr>
          <w:rFonts w:ascii="宋体" w:hAnsi="宋体" w:cs="宋体" w:eastAsia="宋体" w:hint="default"/>
          <w:sz w:val="2"/>
          <w:szCs w:val="2"/>
        </w:rPr>
      </w:pPr>
    </w:p>
    <w:p>
      <w:pPr>
        <w:spacing w:line="4650" w:lineRule="exact"/>
        <w:ind w:left="492"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5098795" cy="2953226"/>
            <wp:effectExtent l="0" t="0" r="0" b="0"/>
            <wp:docPr id="3" name="image7.jpeg" descr=""/>
            <wp:cNvGraphicFramePr>
              <a:graphicFrameLocks noChangeAspect="1"/>
            </wp:cNvGraphicFramePr>
            <a:graphic>
              <a:graphicData uri="http://schemas.openxmlformats.org/drawingml/2006/picture">
                <pic:pic>
                  <pic:nvPicPr>
                    <pic:cNvPr id="4" name="image7.jpeg"/>
                    <pic:cNvPicPr/>
                  </pic:nvPicPr>
                  <pic:blipFill>
                    <a:blip r:embed="rId20" cstate="print"/>
                    <a:stretch>
                      <a:fillRect/>
                    </a:stretch>
                  </pic:blipFill>
                  <pic:spPr>
                    <a:xfrm>
                      <a:off x="0" y="0"/>
                      <a:ext cx="5098795" cy="2953226"/>
                    </a:xfrm>
                    <a:prstGeom prst="rect">
                      <a:avLst/>
                    </a:prstGeom>
                  </pic:spPr>
                </pic:pic>
              </a:graphicData>
            </a:graphic>
          </wp:inline>
        </w:drawing>
      </w:r>
      <w:r>
        <w:rPr>
          <w:rFonts w:ascii="宋体" w:hAnsi="宋体" w:cs="宋体" w:eastAsia="宋体" w:hint="default"/>
          <w:position w:val="-92"/>
          <w:sz w:val="20"/>
          <w:szCs w:val="20"/>
        </w:rPr>
      </w:r>
    </w:p>
    <w:p>
      <w:pPr>
        <w:pStyle w:val="BodyText"/>
        <w:spacing w:line="312" w:lineRule="exact" w:before="61"/>
        <w:ind w:right="354" w:firstLine="420"/>
        <w:jc w:val="both"/>
        <w:rPr>
          <w:rFonts w:ascii="宋体" w:hAnsi="宋体" w:cs="宋体" w:eastAsia="宋体" w:hint="default"/>
        </w:rPr>
      </w:pPr>
      <w:r>
        <w:rPr/>
        <w:t>报告期内，公司面向中型企业的软件业务稳定发展，迭代推出了</w:t>
      </w:r>
      <w:r>
        <w:rPr>
          <w:spacing w:val="9"/>
        </w:rPr>
        <w:t> </w:t>
      </w:r>
      <w:r>
        <w:rPr>
          <w:rFonts w:ascii="宋体" w:hAnsi="宋体" w:cs="宋体" w:eastAsia="宋体" w:hint="default"/>
        </w:rPr>
        <w:t>U8+</w:t>
      </w:r>
      <w:r>
        <w:rPr/>
        <w:t>产品的多种 升级应用，推动了</w:t>
      </w:r>
      <w:r>
        <w:rPr>
          <w:spacing w:val="-60"/>
        </w:rPr>
        <w:t> </w:t>
      </w:r>
      <w:r>
        <w:rPr>
          <w:rFonts w:ascii="宋体" w:hAnsi="宋体" w:cs="宋体" w:eastAsia="宋体" w:hint="default"/>
        </w:rPr>
        <w:t>U8+</w:t>
      </w:r>
      <w:r>
        <w:rPr/>
        <w:t>产品服务生命周期管理落地，促进</w:t>
      </w:r>
      <w:r>
        <w:rPr>
          <w:spacing w:val="-59"/>
        </w:rPr>
        <w:t> </w:t>
      </w:r>
      <w:r>
        <w:rPr>
          <w:rFonts w:ascii="宋体" w:hAnsi="宋体" w:cs="宋体" w:eastAsia="宋体" w:hint="default"/>
        </w:rPr>
        <w:t>12000</w:t>
      </w:r>
      <w:r>
        <w:rPr>
          <w:rFonts w:ascii="宋体" w:hAnsi="宋体" w:cs="宋体" w:eastAsia="宋体" w:hint="default"/>
          <w:spacing w:val="-60"/>
        </w:rPr>
        <w:t> </w:t>
      </w:r>
      <w:r>
        <w:rPr/>
        <w:t>多家客户升级。</w:t>
      </w:r>
      <w:r>
        <w:rPr>
          <w:rFonts w:ascii="宋体" w:hAnsi="宋体" w:cs="宋体" w:eastAsia="宋体" w:hint="default"/>
        </w:rPr>
        <w:t> </w:t>
      </w:r>
    </w:p>
    <w:p>
      <w:pPr>
        <w:spacing w:line="331" w:lineRule="auto" w:before="87"/>
        <w:ind w:left="557" w:right="349" w:firstLine="62"/>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、小微企业业务发展情况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报告期内，公司持续加大面向小微企业的云服务业务投入，全力加速客户上云、</w:t>
      </w:r>
    </w:p>
    <w:p>
      <w:pPr>
        <w:pStyle w:val="BodyText"/>
        <w:spacing w:line="220" w:lineRule="exact"/>
        <w:ind w:right="0"/>
        <w:jc w:val="both"/>
      </w:pPr>
      <w:r>
        <w:rPr/>
        <w:t>迁云、融云的业务推进，帮助新老客户实现数智化升级。</w:t>
      </w:r>
      <w:r>
        <w:rPr>
          <w:rFonts w:ascii="宋体" w:hAnsi="宋体" w:cs="宋体" w:eastAsia="宋体" w:hint="default"/>
        </w:rPr>
        <w:t>T</w:t>
      </w:r>
      <w:r>
        <w:rPr/>
        <w:t>﹢</w:t>
      </w:r>
      <w:r>
        <w:rPr>
          <w:rFonts w:ascii="宋体" w:hAnsi="宋体" w:cs="宋体" w:eastAsia="宋体" w:hint="default"/>
        </w:rPr>
        <w:t>Cloud</w:t>
      </w:r>
      <w:r>
        <w:rPr>
          <w:rFonts w:ascii="宋体" w:hAnsi="宋体" w:cs="宋体" w:eastAsia="宋体" w:hint="default"/>
          <w:spacing w:val="-47"/>
        </w:rPr>
        <w:t> </w:t>
      </w:r>
      <w:r>
        <w:rPr/>
        <w:t>产品加强了“人、</w:t>
      </w:r>
    </w:p>
    <w:p>
      <w:pPr>
        <w:pStyle w:val="BodyText"/>
        <w:spacing w:line="237" w:lineRule="auto" w:before="1"/>
        <w:ind w:right="353"/>
        <w:jc w:val="both"/>
        <w:rPr>
          <w:rFonts w:ascii="宋体" w:hAnsi="宋体" w:cs="宋体" w:eastAsia="宋体" w:hint="default"/>
        </w:rPr>
      </w:pPr>
      <w:r>
        <w:rPr>
          <w:spacing w:val="-2"/>
        </w:rPr>
        <w:t>财、货、客”一体化企业管理特性，全面支持小微企业互联网运营模式。好会计、好</w:t>
      </w:r>
      <w:r>
        <w:rPr>
          <w:spacing w:val="-97"/>
        </w:rPr>
        <w:t> </w:t>
      </w:r>
      <w:r>
        <w:rPr>
          <w:spacing w:val="-97"/>
        </w:rPr>
      </w:r>
      <w:r>
        <w:rPr>
          <w:spacing w:val="-2"/>
        </w:rPr>
        <w:t>生意、易代账产品不断深化迭代，大幅度提升了客户体验和对新应用场景和模式的支</w:t>
      </w:r>
      <w:r>
        <w:rPr>
          <w:spacing w:val="-94"/>
        </w:rPr>
        <w:t> </w:t>
      </w:r>
      <w:r>
        <w:rPr>
          <w:spacing w:val="-94"/>
        </w:rPr>
      </w:r>
      <w:r>
        <w:rPr/>
        <w:t>持。</w:t>
      </w:r>
      <w:r>
        <w:rPr>
          <w:rFonts w:ascii="宋体" w:hAnsi="宋体" w:cs="宋体" w:eastAsia="宋体" w:hint="default"/>
        </w:rPr>
        <w:t> </w:t>
      </w:r>
    </w:p>
    <w:p>
      <w:pPr>
        <w:pStyle w:val="BodyText"/>
        <w:spacing w:line="237" w:lineRule="auto" w:before="1"/>
        <w:ind w:right="351" w:firstLine="420"/>
        <w:jc w:val="both"/>
        <w:rPr>
          <w:rFonts w:ascii="宋体" w:hAnsi="宋体" w:cs="宋体" w:eastAsia="宋体" w:hint="default"/>
        </w:rPr>
      </w:pPr>
      <w:r>
        <w:rPr/>
        <w:t>报告期内，公司大力拓展新生态渠道合作，建立生态合作圈，好会计等云产品成 </w:t>
      </w:r>
      <w:r>
        <w:rPr>
          <w:spacing w:val="-10"/>
        </w:rPr>
        <w:t>功入驻华为云、阿里云、腾讯云等平台。公司打造的畅捷通服务商运营专区赋能近</w:t>
      </w:r>
      <w:r>
        <w:rPr>
          <w:spacing w:val="-48"/>
        </w:rPr>
        <w:t> </w:t>
      </w:r>
      <w:r>
        <w:rPr>
          <w:rFonts w:ascii="宋体" w:hAnsi="宋体" w:cs="宋体" w:eastAsia="宋体" w:hint="default"/>
        </w:rPr>
        <w:t>1500 </w:t>
      </w:r>
      <w:r>
        <w:rPr>
          <w:spacing w:val="-3"/>
        </w:rPr>
        <w:t>家合作伙伴。《中国小微企业云财务应用市场专题分析</w:t>
      </w:r>
      <w:r>
        <w:rPr>
          <w:spacing w:val="-38"/>
        </w:rPr>
        <w:t> </w:t>
      </w:r>
      <w:r>
        <w:rPr>
          <w:rFonts w:ascii="宋体" w:hAnsi="宋体" w:cs="宋体" w:eastAsia="宋体" w:hint="default"/>
          <w:spacing w:val="-4"/>
        </w:rPr>
        <w:t>2019</w:t>
      </w:r>
      <w:r>
        <w:rPr>
          <w:spacing w:val="-4"/>
        </w:rPr>
        <w:t>》报告显示，畅捷通市场</w:t>
      </w:r>
      <w:r>
        <w:rPr>
          <w:spacing w:val="-117"/>
        </w:rPr>
        <w:t> </w:t>
      </w:r>
      <w:r>
        <w:rPr>
          <w:spacing w:val="-117"/>
        </w:rPr>
      </w:r>
      <w:r>
        <w:rPr/>
        <w:t>覆盖第一。</w:t>
      </w:r>
      <w:r>
        <w:rPr>
          <w:rFonts w:ascii="宋体" w:hAnsi="宋体" w:cs="宋体" w:eastAsia="宋体" w:hint="default"/>
        </w:rPr>
        <w:t> </w:t>
      </w:r>
    </w:p>
    <w:p>
      <w:pPr>
        <w:pStyle w:val="BodyText"/>
        <w:spacing w:line="312" w:lineRule="exact" w:before="26"/>
        <w:ind w:right="353" w:firstLine="480"/>
        <w:jc w:val="both"/>
        <w:rPr>
          <w:rFonts w:ascii="宋体" w:hAnsi="宋体" w:cs="宋体" w:eastAsia="宋体" w:hint="default"/>
        </w:rPr>
      </w:pPr>
      <w:r>
        <w:rPr/>
        <w:t>报告期内，公司坚持小微企业软件业务效益化增长策略，发版了 </w:t>
      </w:r>
      <w:r>
        <w:rPr>
          <w:rFonts w:ascii="宋体" w:hAnsi="宋体" w:cs="宋体" w:eastAsia="宋体" w:hint="default"/>
        </w:rPr>
        <w:t>T+ V13.0</w:t>
      </w:r>
      <w:r>
        <w:rPr>
          <w:rFonts w:ascii="宋体" w:hAnsi="宋体" w:cs="宋体" w:eastAsia="宋体" w:hint="default"/>
          <w:spacing w:val="-48"/>
        </w:rPr>
        <w:t> </w:t>
      </w:r>
      <w:r>
        <w:rPr/>
        <w:t>迭代 版本产品，强化了合作伙伴的获客能力和面向客户数智化运营服务能力。</w:t>
      </w:r>
      <w:r>
        <w:rPr>
          <w:rFonts w:ascii="宋体" w:hAnsi="宋体" w:cs="宋体" w:eastAsia="宋体" w:hint="default"/>
        </w:rPr>
        <w:t> </w:t>
      </w:r>
    </w:p>
    <w:p>
      <w:pPr>
        <w:spacing w:line="328" w:lineRule="auto" w:before="90"/>
        <w:ind w:left="557" w:right="349" w:firstLine="62"/>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z w:val="24"/>
          <w:szCs w:val="24"/>
        </w:rPr>
        <w:t>、政府与其他公共组织业务发展情况</w:t>
      </w:r>
      <w:r>
        <w:rPr>
          <w:rFonts w:ascii="宋体" w:hAnsi="宋体" w:cs="宋体" w:eastAsia="宋体" w:hint="default"/>
          <w:b/>
          <w:bCs/>
          <w:w w:val="99"/>
          <w:sz w:val="24"/>
          <w:szCs w:val="24"/>
        </w:rPr>
        <w:t> </w:t>
      </w:r>
      <w:r>
        <w:rPr>
          <w:rFonts w:ascii="宋体" w:hAnsi="宋体" w:cs="宋体" w:eastAsia="宋体" w:hint="default"/>
          <w:sz w:val="24"/>
          <w:szCs w:val="24"/>
        </w:rPr>
        <w:t>报告期内，公司面向财政管理与政府财务管理业务持续高增长。在政府管理数字</w:t>
      </w:r>
    </w:p>
    <w:p>
      <w:pPr>
        <w:pStyle w:val="BodyText"/>
        <w:spacing w:line="222" w:lineRule="exact"/>
        <w:ind w:right="0"/>
        <w:jc w:val="both"/>
      </w:pPr>
      <w:r>
        <w:rPr/>
        <w:t>化转型的大趋势下，公司财政管理数字化新产品发展和国产化适配取得了实质性进展；</w:t>
      </w:r>
    </w:p>
    <w:p>
      <w:pPr>
        <w:pStyle w:val="BodyText"/>
        <w:spacing w:line="310" w:lineRule="exact" w:before="31"/>
        <w:ind w:right="0"/>
        <w:jc w:val="left"/>
        <w:rPr>
          <w:rFonts w:ascii="宋体" w:hAnsi="宋体" w:cs="宋体" w:eastAsia="宋体" w:hint="default"/>
        </w:rPr>
      </w:pPr>
      <w:r>
        <w:rPr/>
        <w:t>人大、社保业务实现突破性增长；政府采购云服务业务快速发展，交易额不断攀升；</w:t>
      </w:r>
      <w:r>
        <w:rPr>
          <w:spacing w:val="-57"/>
        </w:rPr>
        <w:t> </w:t>
      </w:r>
      <w:r>
        <w:rPr>
          <w:spacing w:val="-57"/>
        </w:rPr>
      </w:r>
      <w:r>
        <w:rPr/>
        <w:t>政采云系统通过了“国家信息系统安全等级保护三级测评”。</w:t>
      </w:r>
      <w:r>
        <w:rPr>
          <w:rFonts w:ascii="宋体" w:hAnsi="宋体" w:cs="宋体" w:eastAsia="宋体" w:hint="default"/>
        </w:rPr>
        <w:t> </w:t>
      </w:r>
    </w:p>
    <w:p>
      <w:pPr>
        <w:pStyle w:val="BodyText"/>
        <w:spacing w:line="312" w:lineRule="exact"/>
        <w:ind w:right="219" w:firstLine="480"/>
        <w:jc w:val="left"/>
        <w:rPr>
          <w:rFonts w:ascii="宋体" w:hAnsi="宋体" w:cs="宋体" w:eastAsia="宋体" w:hint="default"/>
        </w:rPr>
      </w:pPr>
      <w:r>
        <w:rPr/>
        <w:t>报告期内，公司面向院校教育业务稳步发展，与院校深度合作会计、营销和工商 管理等专业协同育人共建，发布了 </w:t>
      </w:r>
      <w:r>
        <w:rPr>
          <w:rFonts w:ascii="宋体" w:hAnsi="宋体" w:cs="宋体" w:eastAsia="宋体" w:hint="default"/>
        </w:rPr>
        <w:t>5</w:t>
      </w:r>
      <w:r>
        <w:rPr>
          <w:rFonts w:ascii="宋体" w:hAnsi="宋体" w:cs="宋体" w:eastAsia="宋体" w:hint="default"/>
          <w:spacing w:val="-49"/>
        </w:rPr>
        <w:t> </w:t>
      </w:r>
      <w:r>
        <w:rPr/>
        <w:t>款数字化人才培养新产品和数字化教学云平台。 公司数字化教学云平台荣获中教全媒体评选的“</w:t>
      </w:r>
      <w:r>
        <w:rPr>
          <w:rFonts w:ascii="宋体" w:hAnsi="宋体" w:cs="宋体" w:eastAsia="宋体" w:hint="default"/>
        </w:rPr>
        <w:t>2019</w:t>
      </w:r>
      <w:r>
        <w:rPr>
          <w:rFonts w:ascii="宋体" w:hAnsi="宋体" w:cs="宋体" w:eastAsia="宋体" w:hint="default"/>
          <w:spacing w:val="-57"/>
        </w:rPr>
        <w:t> </w:t>
      </w:r>
      <w:r>
        <w:rPr>
          <w:spacing w:val="-8"/>
        </w:rPr>
        <w:t>中国在线教育优秀平台”十强。</w:t>
      </w:r>
      <w:r>
        <w:rPr>
          <w:rFonts w:ascii="宋体" w:hAnsi="宋体" w:cs="宋体" w:eastAsia="宋体" w:hint="default"/>
        </w:rPr>
        <w:t> </w:t>
      </w:r>
    </w:p>
    <w:p>
      <w:pPr>
        <w:spacing w:after="0" w:line="312" w:lineRule="exact"/>
        <w:jc w:val="left"/>
        <w:rPr>
          <w:rFonts w:ascii="宋体" w:hAnsi="宋体" w:cs="宋体" w:eastAsia="宋体" w:hint="default"/>
        </w:rPr>
        <w:sectPr>
          <w:pgSz w:w="11910" w:h="16840"/>
          <w:pgMar w:header="880" w:footer="1195" w:top="1120" w:bottom="1380" w:left="1140" w:right="1440"/>
        </w:sectPr>
      </w:pPr>
    </w:p>
    <w:p>
      <w:pPr>
        <w:spacing w:line="240" w:lineRule="auto" w:before="2"/>
        <w:rPr>
          <w:rFonts w:ascii="宋体" w:hAnsi="宋体" w:cs="宋体" w:eastAsia="宋体" w:hint="default"/>
          <w:sz w:val="19"/>
          <w:szCs w:val="19"/>
        </w:rPr>
      </w:pPr>
    </w:p>
    <w:p>
      <w:pPr>
        <w:spacing w:line="331" w:lineRule="auto" w:before="26"/>
        <w:ind w:left="637" w:right="0" w:firstLine="62"/>
        <w:jc w:val="left"/>
        <w:rPr>
          <w:rFonts w:ascii="宋体" w:hAnsi="宋体" w:cs="宋体" w:eastAsia="宋体" w:hint="default"/>
          <w:sz w:val="24"/>
          <w:szCs w:val="24"/>
        </w:rPr>
      </w:pPr>
      <w:r>
        <w:rPr>
          <w:rFonts w:ascii="宋体" w:hAnsi="宋体" w:cs="宋体" w:eastAsia="宋体" w:hint="default"/>
          <w:b/>
          <w:bCs/>
          <w:sz w:val="24"/>
          <w:szCs w:val="24"/>
        </w:rPr>
        <w:t>5</w:t>
      </w:r>
      <w:r>
        <w:rPr>
          <w:rFonts w:ascii="宋体" w:hAnsi="宋体" w:cs="宋体" w:eastAsia="宋体" w:hint="default"/>
          <w:b/>
          <w:bCs/>
          <w:sz w:val="24"/>
          <w:szCs w:val="24"/>
        </w:rPr>
        <w:t>、金融等其他服务业务发展情况</w:t>
      </w:r>
      <w:r>
        <w:rPr>
          <w:rFonts w:ascii="宋体" w:hAnsi="宋体" w:cs="宋体" w:eastAsia="宋体" w:hint="default"/>
          <w:b/>
          <w:bCs/>
          <w:w w:val="99"/>
          <w:sz w:val="24"/>
          <w:szCs w:val="24"/>
        </w:rPr>
        <w:t> </w:t>
      </w:r>
      <w:r>
        <w:rPr>
          <w:rFonts w:ascii="宋体" w:hAnsi="宋体" w:cs="宋体" w:eastAsia="宋体" w:hint="default"/>
          <w:spacing w:val="-7"/>
          <w:sz w:val="24"/>
          <w:szCs w:val="24"/>
        </w:rPr>
        <w:t>报告期内，公司企业支付业务保持高速增长，完成了支付业务许可证的续展工作，</w:t>
      </w:r>
    </w:p>
    <w:p>
      <w:pPr>
        <w:pStyle w:val="BodyText"/>
        <w:spacing w:line="217" w:lineRule="exact"/>
        <w:ind w:left="216" w:right="0"/>
        <w:jc w:val="left"/>
        <w:rPr>
          <w:rFonts w:ascii="宋体" w:hAnsi="宋体" w:cs="宋体" w:eastAsia="宋体" w:hint="default"/>
        </w:rPr>
      </w:pPr>
      <w:r>
        <w:rPr/>
        <w:t>全面提升了企业支付综合服务能力。</w:t>
      </w:r>
      <w:r>
        <w:rPr>
          <w:rFonts w:ascii="宋体" w:hAnsi="宋体" w:cs="宋体" w:eastAsia="宋体" w:hint="default"/>
        </w:rPr>
        <w:t> </w:t>
      </w:r>
    </w:p>
    <w:p>
      <w:pPr>
        <w:pStyle w:val="BodyText"/>
        <w:spacing w:line="312" w:lineRule="exact" w:before="29"/>
        <w:ind w:left="216" w:right="230" w:firstLine="420"/>
        <w:jc w:val="left"/>
        <w:rPr>
          <w:rFonts w:ascii="宋体" w:hAnsi="宋体" w:cs="宋体" w:eastAsia="宋体" w:hint="default"/>
        </w:rPr>
      </w:pPr>
      <w:r>
        <w:rPr/>
        <w:t>报告期内，公司互联网投融资信息服务业务坚持稳健经营策略，持续推进业务转 型与升级，满足监管政策发展与自身发展需求。</w:t>
      </w:r>
      <w:r>
        <w:rPr>
          <w:rFonts w:ascii="宋体" w:hAnsi="宋体" w:cs="宋体" w:eastAsia="宋体" w:hint="default"/>
        </w:rPr>
        <w:t> </w:t>
      </w:r>
    </w:p>
    <w:p>
      <w:pPr>
        <w:pStyle w:val="BodyText"/>
        <w:spacing w:line="280" w:lineRule="exact"/>
        <w:ind w:left="637" w:right="0"/>
        <w:jc w:val="left"/>
      </w:pPr>
      <w:r>
        <w:rPr/>
        <w:t>报告期内，公司互联网保险经纪业务稳定发展，加快推进了项目性保险经纪服务</w:t>
      </w:r>
    </w:p>
    <w:p>
      <w:pPr>
        <w:pStyle w:val="BodyText"/>
        <w:spacing w:line="312" w:lineRule="exact" w:before="29"/>
        <w:ind w:left="637" w:right="229" w:hanging="421"/>
        <w:jc w:val="left"/>
      </w:pPr>
      <w:r>
        <w:rPr/>
        <w:t>业务，并积极探索开展互联网保险经纪服务业务。</w:t>
      </w:r>
      <w:r>
        <w:rPr>
          <w:rFonts w:ascii="宋体" w:hAnsi="宋体" w:cs="宋体" w:eastAsia="宋体" w:hint="default"/>
          <w:color w:val="FF0000"/>
        </w:rPr>
        <w:t> </w:t>
      </w:r>
      <w:r>
        <w:rPr/>
        <w:t>报告期内，公司的社会化用工服务业务为客户提供社会化用工整体解决方案。公</w:t>
      </w:r>
    </w:p>
    <w:p>
      <w:pPr>
        <w:pStyle w:val="BodyText"/>
        <w:spacing w:line="283" w:lineRule="exact"/>
        <w:ind w:left="216" w:right="0"/>
        <w:jc w:val="left"/>
        <w:rPr>
          <w:rFonts w:ascii="宋体" w:hAnsi="宋体" w:cs="宋体" w:eastAsia="宋体" w:hint="default"/>
        </w:rPr>
      </w:pPr>
      <w:r>
        <w:rPr/>
        <w:t>司荣获“</w:t>
      </w:r>
      <w:r>
        <w:rPr>
          <w:rFonts w:ascii="宋体" w:hAnsi="宋体" w:cs="宋体" w:eastAsia="宋体" w:hint="default"/>
        </w:rPr>
        <w:t>2019</w:t>
      </w:r>
      <w:r>
        <w:rPr>
          <w:rFonts w:ascii="宋体" w:hAnsi="宋体" w:cs="宋体" w:eastAsia="宋体" w:hint="default"/>
          <w:spacing w:val="-60"/>
        </w:rPr>
        <w:t> </w:t>
      </w:r>
      <w:r>
        <w:rPr/>
        <w:t>企业人才发展</w:t>
      </w:r>
      <w:r>
        <w:rPr>
          <w:rFonts w:ascii="宋体" w:hAnsi="宋体" w:cs="宋体" w:eastAsia="宋体" w:hint="default"/>
        </w:rPr>
        <w:t>--</w:t>
      </w:r>
      <w:r>
        <w:rPr/>
        <w:t>优秀社会化用工服务机构奖”等荣誉。</w:t>
      </w:r>
      <w:r>
        <w:rPr>
          <w:rFonts w:ascii="宋体" w:hAnsi="宋体" w:cs="宋体" w:eastAsia="宋体" w:hint="default"/>
        </w:rPr>
        <w:t> </w:t>
      </w:r>
    </w:p>
    <w:p>
      <w:pPr>
        <w:pStyle w:val="Heading2"/>
        <w:spacing w:line="240" w:lineRule="auto" w:before="115"/>
        <w:ind w:left="699" w:right="0"/>
        <w:jc w:val="left"/>
        <w:rPr>
          <w:rFonts w:ascii="宋体" w:hAnsi="宋体" w:cs="宋体" w:eastAsia="宋体" w:hint="default"/>
          <w:b w:val="0"/>
          <w:bCs w:val="0"/>
        </w:rPr>
      </w:pPr>
      <w:r>
        <w:rPr>
          <w:rFonts w:ascii="宋体" w:hAnsi="宋体" w:cs="宋体" w:eastAsia="宋体" w:hint="default"/>
        </w:rPr>
        <w:t>6</w:t>
      </w:r>
      <w:r>
        <w:rPr/>
        <w:t>、人力发展情况</w:t>
      </w:r>
      <w:r>
        <w:rPr>
          <w:rFonts w:ascii="宋体" w:hAnsi="宋体" w:cs="宋体" w:eastAsia="宋体" w:hint="default"/>
          <w:w w:val="99"/>
        </w:rPr>
        <w:t> </w:t>
      </w:r>
      <w:r>
        <w:rPr>
          <w:rFonts w:ascii="宋体" w:hAnsi="宋体" w:cs="宋体" w:eastAsia="宋体" w:hint="default"/>
          <w:b w:val="0"/>
          <w:bCs w:val="0"/>
        </w:rPr>
      </w:r>
    </w:p>
    <w:p>
      <w:pPr>
        <w:pStyle w:val="BodyText"/>
        <w:spacing w:line="237" w:lineRule="auto" w:before="120"/>
        <w:ind w:left="216" w:right="233" w:firstLine="480"/>
        <w:jc w:val="both"/>
        <w:rPr>
          <w:rFonts w:ascii="宋体" w:hAnsi="宋体" w:cs="宋体" w:eastAsia="宋体" w:hint="default"/>
        </w:rPr>
      </w:pPr>
      <w:r>
        <w:rPr/>
        <w:pict>
          <v:shape style="position:absolute;margin-left:76.625pt;margin-top:83.935478pt;width:415.3pt;height:125.82pt;mso-position-horizontal-relative:page;mso-position-vertical-relative:paragraph;z-index:-1341304" type="#_x0000_t75" stroked="false">
            <v:imagedata r:id="rId21" o:title=""/>
          </v:shape>
        </w:pict>
      </w:r>
      <w:r>
        <w:rPr/>
        <w:t>报告期末，公司员工总数 </w:t>
      </w:r>
      <w:r>
        <w:rPr>
          <w:rFonts w:ascii="宋体" w:hAnsi="宋体" w:cs="宋体" w:eastAsia="宋体" w:hint="default"/>
        </w:rPr>
        <w:t>17,271</w:t>
      </w:r>
      <w:r>
        <w:rPr>
          <w:rFonts w:ascii="宋体" w:hAnsi="宋体" w:cs="宋体" w:eastAsia="宋体" w:hint="default"/>
          <w:spacing w:val="-48"/>
        </w:rPr>
        <w:t> </w:t>
      </w:r>
      <w:r>
        <w:rPr/>
        <w:t>人。报告期内，公司继续加强了核心研发人才 </w:t>
      </w:r>
      <w:r>
        <w:rPr>
          <w:spacing w:val="-2"/>
        </w:rPr>
        <w:t>的引进，规模化招聘了高素质应届毕业生，对新引进的核心骨干员工实施了股权激励</w:t>
      </w:r>
      <w:r>
        <w:rPr>
          <w:spacing w:val="-94"/>
        </w:rPr>
        <w:t> </w:t>
      </w:r>
      <w:r>
        <w:rPr>
          <w:spacing w:val="-94"/>
        </w:rPr>
      </w:r>
      <w:r>
        <w:rPr>
          <w:spacing w:val="-2"/>
        </w:rPr>
        <w:t>计划。公司加强了干部队伍年轻化建设，加大了各级干部轮岗力度，落实了人才双通</w:t>
      </w:r>
      <w:r>
        <w:rPr>
          <w:spacing w:val="-94"/>
        </w:rPr>
        <w:t> </w:t>
      </w:r>
      <w:r>
        <w:rPr>
          <w:spacing w:val="-94"/>
        </w:rPr>
      </w:r>
      <w:r>
        <w:rPr/>
        <w:t>道发展机制，加强了文化建设工作，推行了文化官考评机制。</w:t>
      </w:r>
      <w:r>
        <w:rPr>
          <w:rFonts w:ascii="宋体" w:hAnsi="宋体" w:cs="宋体" w:eastAsia="宋体" w:hint="default"/>
        </w:rPr>
        <w:t> </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1"/>
          <w:szCs w:val="21"/>
        </w:rPr>
      </w:pPr>
    </w:p>
    <w:p>
      <w:pPr>
        <w:pStyle w:val="Heading2"/>
        <w:spacing w:line="283" w:lineRule="auto"/>
        <w:ind w:right="6040"/>
        <w:jc w:val="left"/>
        <w:rPr>
          <w:b w:val="0"/>
          <w:bCs w:val="0"/>
        </w:rPr>
      </w:pPr>
      <w:r>
        <w:rPr>
          <w:rFonts w:ascii="宋体" w:hAnsi="宋体" w:cs="宋体" w:eastAsia="宋体" w:hint="default"/>
          <w:b w:val="0"/>
          <w:bCs w:val="0"/>
        </w:rPr>
        <w:t> </w:t>
      </w:r>
      <w:r>
        <w:rPr>
          <w:spacing w:val="2"/>
          <w:w w:val="99"/>
        </w:rPr>
        <w:t>二</w:t>
      </w:r>
      <w:r>
        <w:rPr>
          <w:w w:val="99"/>
        </w:rPr>
        <w:t>、</w:t>
      </w:r>
      <w:r>
        <w:rPr>
          <w:spacing w:val="2"/>
          <w:w w:val="99"/>
        </w:rPr>
        <w:t>报</w:t>
      </w:r>
      <w:r>
        <w:rPr>
          <w:w w:val="99"/>
        </w:rPr>
        <w:t>告</w:t>
      </w:r>
      <w:r>
        <w:rPr>
          <w:spacing w:val="2"/>
          <w:w w:val="99"/>
        </w:rPr>
        <w:t>期</w:t>
      </w:r>
      <w:r>
        <w:rPr>
          <w:w w:val="99"/>
        </w:rPr>
        <w:t>内主</w:t>
      </w:r>
      <w:r>
        <w:rPr>
          <w:spacing w:val="2"/>
          <w:w w:val="99"/>
        </w:rPr>
        <w:t>要</w:t>
      </w:r>
      <w:r>
        <w:rPr>
          <w:w w:val="99"/>
        </w:rPr>
        <w:t>经</w:t>
      </w:r>
      <w:r>
        <w:rPr>
          <w:spacing w:val="2"/>
          <w:w w:val="99"/>
        </w:rPr>
        <w:t>营</w:t>
      </w:r>
      <w:r>
        <w:rPr>
          <w:w w:val="99"/>
        </w:rPr>
        <w:t>情况</w:t>
      </w:r>
      <w:r>
        <w:rPr>
          <w:b w:val="0"/>
          <w:bCs w:val="0"/>
        </w:rPr>
      </w:r>
    </w:p>
    <w:p>
      <w:pPr>
        <w:pStyle w:val="BodyText"/>
        <w:spacing w:line="240" w:lineRule="auto" w:before="14"/>
        <w:ind w:left="697" w:right="0"/>
        <w:jc w:val="left"/>
      </w:pPr>
      <w:r>
        <w:rPr>
          <w:spacing w:val="-8"/>
        </w:rPr>
        <w:t>参见“一、经营情况讨论与分析”中“（二）报告期内公司各项业务发展情况”。</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0" w:footer="1195" w:top="1120" w:bottom="1380" w:left="1060" w:right="1560"/>
        </w:sectPr>
      </w:pPr>
    </w:p>
    <w:p>
      <w:pPr>
        <w:pStyle w:val="Heading2"/>
        <w:tabs>
          <w:tab w:pos="1057" w:val="left" w:leader="none"/>
        </w:tabs>
        <w:spacing w:line="240" w:lineRule="auto" w:before="26"/>
        <w:ind w:right="0"/>
        <w:jc w:val="left"/>
        <w:rPr>
          <w:b w:val="0"/>
          <w:bCs w:val="0"/>
        </w:rPr>
      </w:pPr>
      <w:r>
        <w:rPr>
          <w:rFonts w:ascii="宋体" w:hAnsi="宋体" w:cs="宋体" w:eastAsia="宋体" w:hint="default"/>
          <w:w w:val="95"/>
        </w:rPr>
        <w:t>(</w:t>
      </w:r>
      <w:r>
        <w:rPr>
          <w:w w:val="95"/>
        </w:rPr>
        <w:t>一</w:t>
      </w:r>
      <w:r>
        <w:rPr>
          <w:rFonts w:ascii="宋体" w:hAnsi="宋体" w:cs="宋体" w:eastAsia="宋体" w:hint="default"/>
          <w:w w:val="95"/>
        </w:rPr>
        <w:t>)</w:t>
        <w:tab/>
      </w:r>
      <w:r>
        <w:rPr/>
        <w:t>主营业务分析</w:t>
      </w:r>
      <w:r>
        <w:rPr>
          <w:b w:val="0"/>
          <w:bCs w:val="0"/>
        </w:rPr>
      </w:r>
    </w:p>
    <w:p>
      <w:pPr>
        <w:pStyle w:val="Heading2"/>
        <w:spacing w:line="240" w:lineRule="auto" w:before="55"/>
        <w:ind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56"/>
        </w:rPr>
        <w:t> </w:t>
      </w:r>
      <w:r>
        <w:rPr/>
        <w:t>利润表及现金流量表相关科目变动分析表</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4"/>
          <w:szCs w:val="24"/>
        </w:rPr>
      </w:pPr>
      <w:r>
        <w:rPr/>
        <w:br w:type="column"/>
      </w:r>
      <w:r>
        <w:rPr>
          <w:rFonts w:ascii="宋体"/>
          <w:b/>
          <w:sz w:val="24"/>
        </w:rPr>
      </w:r>
    </w:p>
    <w:p>
      <w:pPr>
        <w:spacing w:line="240" w:lineRule="auto" w:before="9"/>
        <w:rPr>
          <w:rFonts w:ascii="宋体" w:hAnsi="宋体" w:cs="宋体" w:eastAsia="宋体" w:hint="default"/>
          <w:b/>
          <w:bCs/>
          <w:sz w:val="34"/>
          <w:szCs w:val="34"/>
        </w:rPr>
      </w:pPr>
    </w:p>
    <w:p>
      <w:pPr>
        <w:pStyle w:val="BodyText"/>
        <w:spacing w:line="240" w:lineRule="auto"/>
        <w:ind w:left="216" w:right="0"/>
        <w:jc w:val="left"/>
        <w:rPr>
          <w:rFonts w:ascii="宋体" w:hAnsi="宋体" w:cs="宋体" w:eastAsia="宋体" w:hint="default"/>
        </w:rPr>
      </w:pPr>
      <w:r>
        <w:rPr/>
        <w:t>单位</w:t>
      </w:r>
      <w:r>
        <w:rPr>
          <w:rFonts w:ascii="宋体" w:hAnsi="宋体" w:cs="宋体" w:eastAsia="宋体" w:hint="default"/>
        </w:rPr>
        <w:t>:</w:t>
      </w:r>
      <w:r>
        <w:rPr/>
        <w:t>元  </w:t>
      </w:r>
      <w:r>
        <w:rPr>
          <w:rFonts w:ascii="宋体" w:hAnsi="宋体" w:cs="宋体" w:eastAsia="宋体" w:hint="default"/>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120" w:bottom="1380" w:left="1060" w:right="1560"/>
          <w:cols w:num="2" w:equalWidth="0">
            <w:col w:w="5095" w:space="1338"/>
            <w:col w:w="2857"/>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476"/>
        <w:gridCol w:w="1901"/>
        <w:gridCol w:w="1889"/>
        <w:gridCol w:w="1784"/>
      </w:tblGrid>
      <w:tr>
        <w:trPr>
          <w:trHeight w:val="322"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5" w:right="0"/>
              <w:jc w:val="center"/>
              <w:rPr>
                <w:rFonts w:ascii="宋体" w:hAnsi="宋体" w:cs="宋体" w:eastAsia="宋体" w:hint="default"/>
                <w:sz w:val="24"/>
                <w:szCs w:val="24"/>
              </w:rPr>
            </w:pPr>
            <w:r>
              <w:rPr>
                <w:rFonts w:ascii="宋体" w:hAnsi="宋体" w:cs="宋体" w:eastAsia="宋体" w:hint="default"/>
                <w:sz w:val="24"/>
                <w:szCs w:val="24"/>
              </w:rPr>
              <w:t>科目</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本期数</w:t>
            </w:r>
            <w:r>
              <w:rPr>
                <w:rFonts w:ascii="宋体" w:hAnsi="宋体" w:cs="宋体" w:eastAsia="宋体" w:hint="default"/>
                <w:sz w:val="24"/>
                <w:szCs w:val="24"/>
              </w:rPr>
              <w:t>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35" w:right="0"/>
              <w:jc w:val="left"/>
              <w:rPr>
                <w:rFonts w:ascii="宋体" w:hAnsi="宋体" w:cs="宋体" w:eastAsia="宋体" w:hint="default"/>
                <w:sz w:val="24"/>
                <w:szCs w:val="24"/>
              </w:rPr>
            </w:pPr>
            <w:r>
              <w:rPr>
                <w:rFonts w:ascii="宋体" w:hAnsi="宋体" w:cs="宋体" w:eastAsia="宋体" w:hint="default"/>
                <w:sz w:val="24"/>
                <w:szCs w:val="24"/>
              </w:rPr>
              <w:t>上年同期数</w:t>
            </w:r>
            <w:r>
              <w:rPr>
                <w:rFonts w:ascii="宋体" w:hAnsi="宋体" w:cs="宋体" w:eastAsia="宋体" w:hint="default"/>
                <w:sz w:val="24"/>
                <w:szCs w:val="24"/>
              </w:rPr>
              <w:t>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
              <w:jc w:val="right"/>
              <w:rPr>
                <w:rFonts w:ascii="宋体" w:hAnsi="宋体" w:cs="宋体" w:eastAsia="宋体" w:hint="default"/>
                <w:sz w:val="24"/>
                <w:szCs w:val="24"/>
              </w:rPr>
            </w:pPr>
            <w:r>
              <w:rPr>
                <w:rFonts w:ascii="宋体" w:hAnsi="宋体" w:cs="宋体" w:eastAsia="宋体" w:hint="default"/>
                <w:sz w:val="24"/>
                <w:szCs w:val="24"/>
              </w:rPr>
              <w:t>变动比例（</w:t>
            </w:r>
            <w:r>
              <w:rPr>
                <w:rFonts w:ascii="宋体" w:hAnsi="宋体" w:cs="宋体" w:eastAsia="宋体" w:hint="default"/>
                <w:sz w:val="24"/>
                <w:szCs w:val="24"/>
              </w:rPr>
              <w:t>%</w:t>
            </w:r>
            <w:r>
              <w:rPr>
                <w:rFonts w:ascii="宋体" w:hAnsi="宋体" w:cs="宋体" w:eastAsia="宋体" w:hint="default"/>
                <w:sz w:val="24"/>
                <w:szCs w:val="24"/>
              </w:rPr>
              <w:t>）</w:t>
            </w:r>
            <w:r>
              <w:rPr>
                <w:rFonts w:ascii="宋体" w:hAnsi="宋体" w:cs="宋体" w:eastAsia="宋体" w:hint="default"/>
                <w:sz w:val="24"/>
                <w:szCs w:val="24"/>
              </w:rPr>
              <w:t> </w:t>
            </w:r>
          </w:p>
        </w:tc>
      </w:tr>
      <w:tr>
        <w:trPr>
          <w:trHeight w:val="319"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营业收入</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8,509,659,748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7,703,495,046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10.5 </w:t>
            </w:r>
          </w:p>
        </w:tc>
      </w:tr>
      <w:tr>
        <w:trPr>
          <w:trHeight w:val="322"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营业成本</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5"/>
              <w:jc w:val="right"/>
              <w:rPr>
                <w:rFonts w:ascii="宋体" w:hAnsi="宋体" w:cs="宋体" w:eastAsia="宋体" w:hint="default"/>
                <w:sz w:val="24"/>
                <w:szCs w:val="24"/>
              </w:rPr>
            </w:pPr>
            <w:r>
              <w:rPr>
                <w:rFonts w:ascii="宋体"/>
                <w:sz w:val="24"/>
              </w:rPr>
              <w:t>2,942,232,116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5"/>
              <w:jc w:val="right"/>
              <w:rPr>
                <w:rFonts w:ascii="宋体" w:hAnsi="宋体" w:cs="宋体" w:eastAsia="宋体" w:hint="default"/>
                <w:sz w:val="24"/>
                <w:szCs w:val="24"/>
              </w:rPr>
            </w:pPr>
            <w:r>
              <w:rPr>
                <w:rFonts w:ascii="宋体"/>
                <w:sz w:val="24"/>
              </w:rPr>
              <w:t>2,314,825,198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27.1 </w:t>
            </w:r>
          </w:p>
        </w:tc>
      </w:tr>
      <w:tr>
        <w:trPr>
          <w:trHeight w:val="322"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销售费用</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1,633,777,585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1,648,802,131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-0.9 </w:t>
            </w:r>
          </w:p>
        </w:tc>
      </w:tr>
      <w:tr>
        <w:trPr>
          <w:trHeight w:val="322"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管理费用</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1,389,010,908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1,375,436,146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 </w:t>
            </w:r>
          </w:p>
        </w:tc>
      </w:tr>
      <w:tr>
        <w:trPr>
          <w:trHeight w:val="322"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研发费用</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1,630,127,520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1,390,242,512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17.3 </w:t>
            </w:r>
          </w:p>
        </w:tc>
      </w:tr>
      <w:tr>
        <w:trPr>
          <w:trHeight w:val="322"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财务费用</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117,794,200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109,612,998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7.5 </w:t>
            </w:r>
          </w:p>
        </w:tc>
      </w:tr>
      <w:tr>
        <w:trPr>
          <w:trHeight w:val="322"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经营活动产生的现金流量净额</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1,533,042,056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2,042,653,091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-24.9 </w:t>
            </w:r>
          </w:p>
        </w:tc>
      </w:tr>
      <w:tr>
        <w:trPr>
          <w:trHeight w:val="319"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投资活动产生的现金流量净额</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-182,957,669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151,643,539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-220.6 </w:t>
            </w:r>
          </w:p>
        </w:tc>
      </w:tr>
      <w:tr>
        <w:trPr>
          <w:trHeight w:val="322"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筹资活动产生的现金流量净额</w:t>
            </w:r>
            <w:r>
              <w:rPr>
                <w:rFonts w:ascii="宋体" w:hAnsi="宋体" w:cs="宋体" w:eastAsia="宋体" w:hint="default"/>
                <w:sz w:val="24"/>
                <w:szCs w:val="24"/>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-154,597,871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-766,603,220 </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hAnsi="宋体" w:cs="宋体" w:eastAsia="宋体" w:hint="default"/>
                <w:sz w:val="24"/>
                <w:szCs w:val="24"/>
              </w:rPr>
              <w:t>不适用</w:t>
            </w:r>
            <w:r>
              <w:rPr>
                <w:rFonts w:ascii="宋体" w:hAnsi="宋体" w:cs="宋体" w:eastAsia="宋体" w:hint="default"/>
                <w:sz w:val="24"/>
                <w:szCs w:val="24"/>
              </w:rPr>
              <w:t> </w:t>
            </w:r>
          </w:p>
        </w:tc>
      </w:tr>
    </w:tbl>
    <w:p>
      <w:pPr>
        <w:spacing w:after="0" w:line="276" w:lineRule="exact"/>
        <w:jc w:val="right"/>
        <w:rPr>
          <w:rFonts w:ascii="宋体" w:hAnsi="宋体" w:cs="宋体" w:eastAsia="宋体" w:hint="default"/>
          <w:sz w:val="24"/>
          <w:szCs w:val="24"/>
        </w:rPr>
        <w:sectPr>
          <w:type w:val="continuous"/>
          <w:pgSz w:w="11910" w:h="16840"/>
          <w:pgMar w:top="1120" w:bottom="1380" w:left="1060" w:right="1560"/>
        </w:sectPr>
      </w:pPr>
    </w:p>
    <w:p>
      <w:pPr>
        <w:spacing w:line="240" w:lineRule="auto" w:before="2"/>
        <w:rPr>
          <w:rFonts w:ascii="宋体" w:hAnsi="宋体" w:cs="宋体" w:eastAsia="宋体" w:hint="default"/>
          <w:sz w:val="19"/>
          <w:szCs w:val="19"/>
        </w:rPr>
      </w:pPr>
    </w:p>
    <w:p>
      <w:pPr>
        <w:pStyle w:val="Heading2"/>
        <w:spacing w:line="240" w:lineRule="auto" w:before="26"/>
        <w:ind w:left="236" w:right="4250"/>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spacing w:val="56"/>
        </w:rPr>
        <w:t> </w:t>
      </w:r>
      <w:r>
        <w:rPr/>
        <w:t>收入和成本分析</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13"/>
        <w:rPr>
          <w:rFonts w:ascii="宋体" w:hAnsi="宋体" w:cs="宋体" w:eastAsia="宋体" w:hint="default"/>
          <w:sz w:val="21"/>
          <w:szCs w:val="21"/>
        </w:rPr>
      </w:pPr>
    </w:p>
    <w:p>
      <w:pPr>
        <w:pStyle w:val="Heading2"/>
        <w:spacing w:line="240" w:lineRule="auto" w:before="26"/>
        <w:ind w:left="236" w:right="4250"/>
        <w:jc w:val="left"/>
        <w:rPr>
          <w:b w:val="0"/>
          <w:bCs w:val="0"/>
        </w:rPr>
      </w:pPr>
      <w:r>
        <w:rPr>
          <w:rFonts w:ascii="宋体" w:hAnsi="宋体" w:cs="宋体" w:eastAsia="宋体" w:hint="default"/>
        </w:rPr>
        <w:t>(1).</w:t>
      </w:r>
      <w:r>
        <w:rPr>
          <w:rFonts w:ascii="宋体" w:hAnsi="宋体" w:cs="宋体" w:eastAsia="宋体" w:hint="default"/>
          <w:spacing w:val="-41"/>
        </w:rPr>
        <w:t> </w:t>
      </w:r>
      <w:r>
        <w:rPr/>
        <w:t>主营业务分行业、分产品、分地区情况</w:t>
      </w:r>
      <w:r>
        <w:rPr>
          <w:b w:val="0"/>
          <w:bCs w:val="0"/>
        </w:rPr>
      </w:r>
    </w:p>
    <w:p>
      <w:pPr>
        <w:pStyle w:val="BodyText"/>
        <w:tabs>
          <w:tab w:pos="1027" w:val="left" w:leader="none"/>
        </w:tabs>
        <w:spacing w:line="240" w:lineRule="auto" w:before="58"/>
        <w:ind w:left="0" w:right="233"/>
        <w:jc w:val="righ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tbl>
      <w:tblPr>
        <w:tblW w:w="0" w:type="auto"/>
        <w:jc w:val="left"/>
        <w:tblInd w:w="119" w:type="dxa"/>
        <w:tblLayout w:type="fixed"/>
        <w:tblCellMar>
          <w:top w:w="0" w:type="dxa"/>
          <w:left w:w="0" w:type="dxa"/>
          <w:bottom w:w="0" w:type="dxa"/>
          <w:right w:w="0" w:type="dxa"/>
        </w:tblCellMar>
        <w:tblLook w:val="01E0"/>
      </w:tblPr>
      <w:tblGrid>
        <w:gridCol w:w="1080"/>
        <w:gridCol w:w="1820"/>
        <w:gridCol w:w="1622"/>
        <w:gridCol w:w="1150"/>
        <w:gridCol w:w="1018"/>
        <w:gridCol w:w="1162"/>
        <w:gridCol w:w="1203"/>
      </w:tblGrid>
      <w:tr>
        <w:trPr>
          <w:trHeight w:val="281" w:hRule="exact"/>
        </w:trPr>
        <w:tc>
          <w:tcPr>
            <w:tcW w:w="9055" w:type="dxa"/>
            <w:gridSpan w:val="7"/>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109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218" w:right="0"/>
              <w:jc w:val="left"/>
              <w:rPr>
                <w:rFonts w:ascii="宋体" w:hAnsi="宋体" w:cs="宋体" w:eastAsia="宋体" w:hint="default"/>
                <w:sz w:val="21"/>
                <w:szCs w:val="21"/>
              </w:rPr>
            </w:pPr>
            <w:r>
              <w:rPr>
                <w:rFonts w:ascii="宋体" w:hAnsi="宋体" w:cs="宋体" w:eastAsia="宋体" w:hint="default"/>
                <w:sz w:val="21"/>
                <w:szCs w:val="21"/>
              </w:rPr>
              <w:t>分行业</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48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386"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74" w:lineRule="exact"/>
              <w:ind w:left="252" w:right="0"/>
              <w:jc w:val="left"/>
              <w:rPr>
                <w:rFonts w:ascii="宋体" w:hAnsi="宋体" w:cs="宋体" w:eastAsia="宋体" w:hint="default"/>
                <w:sz w:val="21"/>
                <w:szCs w:val="21"/>
              </w:rPr>
            </w:pPr>
            <w:r>
              <w:rPr>
                <w:rFonts w:ascii="宋体" w:hAnsi="宋体" w:cs="宋体" w:eastAsia="宋体" w:hint="default"/>
                <w:sz w:val="21"/>
                <w:szCs w:val="21"/>
              </w:rPr>
              <w:t>毛利率</w:t>
            </w:r>
          </w:p>
          <w:p>
            <w:pPr>
              <w:pStyle w:val="TableParagraph"/>
              <w:spacing w:line="290" w:lineRule="exact"/>
              <w:ind w:left="26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84" w:right="0"/>
              <w:jc w:val="left"/>
              <w:rPr>
                <w:rFonts w:ascii="宋体" w:hAnsi="宋体" w:cs="宋体" w:eastAsia="宋体" w:hint="default"/>
                <w:sz w:val="21"/>
                <w:szCs w:val="21"/>
              </w:rPr>
            </w:pPr>
            <w:r>
              <w:rPr>
                <w:rFonts w:ascii="宋体" w:hAnsi="宋体" w:cs="宋体" w:eastAsia="宋体" w:hint="default"/>
                <w:sz w:val="21"/>
                <w:szCs w:val="21"/>
              </w:rPr>
              <w:t>营业收</w:t>
            </w:r>
          </w:p>
          <w:p>
            <w:pPr>
              <w:pStyle w:val="TableParagraph"/>
              <w:spacing w:line="240" w:lineRule="auto"/>
              <w:ind w:left="184" w:right="187"/>
              <w:jc w:val="left"/>
              <w:rPr>
                <w:rFonts w:ascii="宋体" w:hAnsi="宋体" w:cs="宋体" w:eastAsia="宋体" w:hint="default"/>
                <w:sz w:val="21"/>
                <w:szCs w:val="21"/>
              </w:rPr>
            </w:pPr>
            <w:r>
              <w:rPr>
                <w:rFonts w:ascii="宋体" w:hAnsi="宋体" w:cs="宋体" w:eastAsia="宋体" w:hint="default"/>
                <w:sz w:val="21"/>
                <w:szCs w:val="21"/>
              </w:rPr>
              <w:t>入比上</w:t>
            </w:r>
            <w:r>
              <w:rPr>
                <w:rFonts w:ascii="宋体" w:hAnsi="宋体" w:cs="宋体" w:eastAsia="宋体" w:hint="default"/>
                <w:spacing w:val="-102"/>
                <w:sz w:val="21"/>
                <w:szCs w:val="21"/>
              </w:rPr>
              <w:t> </w:t>
            </w:r>
            <w:r>
              <w:rPr>
                <w:rFonts w:ascii="宋体" w:hAnsi="宋体" w:cs="宋体" w:eastAsia="宋体" w:hint="default"/>
                <w:sz w:val="21"/>
                <w:szCs w:val="21"/>
              </w:rPr>
              <w:t>年增减</w:t>
            </w:r>
          </w:p>
          <w:p>
            <w:pPr>
              <w:pStyle w:val="TableParagraph"/>
              <w:spacing w:line="287" w:lineRule="exact"/>
              <w:ind w:left="204"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56" w:right="151"/>
              <w:jc w:val="both"/>
              <w:rPr>
                <w:rFonts w:ascii="宋体" w:hAnsi="宋体" w:cs="宋体" w:eastAsia="宋体" w:hint="default"/>
                <w:sz w:val="21"/>
                <w:szCs w:val="21"/>
              </w:rPr>
            </w:pPr>
            <w:r>
              <w:rPr>
                <w:rFonts w:ascii="宋体" w:hAnsi="宋体" w:cs="宋体" w:eastAsia="宋体" w:hint="default"/>
                <w:sz w:val="21"/>
                <w:szCs w:val="21"/>
              </w:rPr>
              <w:t>营业成本</w:t>
            </w:r>
            <w:r>
              <w:rPr>
                <w:rFonts w:ascii="宋体" w:hAnsi="宋体" w:cs="宋体" w:eastAsia="宋体" w:hint="default"/>
                <w:w w:val="100"/>
                <w:sz w:val="21"/>
                <w:szCs w:val="21"/>
              </w:rPr>
              <w:t> </w:t>
            </w:r>
            <w:r>
              <w:rPr>
                <w:rFonts w:ascii="宋体" w:hAnsi="宋体" w:cs="宋体" w:eastAsia="宋体" w:hint="default"/>
                <w:sz w:val="21"/>
                <w:szCs w:val="21"/>
              </w:rPr>
              <w:t>比上年增</w:t>
            </w:r>
            <w:r>
              <w:rPr>
                <w:rFonts w:ascii="宋体" w:hAnsi="宋体" w:cs="宋体" w:eastAsia="宋体" w:hint="default"/>
                <w:w w:val="100"/>
                <w:sz w:val="21"/>
                <w:szCs w:val="21"/>
              </w:rPr>
              <w:t> </w:t>
            </w: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75" w:right="173" w:hanging="1"/>
              <w:jc w:val="center"/>
              <w:rPr>
                <w:rFonts w:ascii="宋体" w:hAnsi="宋体" w:cs="宋体" w:eastAsia="宋体" w:hint="default"/>
                <w:sz w:val="21"/>
                <w:szCs w:val="21"/>
              </w:rPr>
            </w:pPr>
            <w:r>
              <w:rPr>
                <w:rFonts w:ascii="宋体" w:hAnsi="宋体" w:cs="宋体" w:eastAsia="宋体" w:hint="default"/>
                <w:sz w:val="21"/>
                <w:szCs w:val="21"/>
              </w:rPr>
              <w:t>毛利率比</w:t>
            </w:r>
            <w:r>
              <w:rPr>
                <w:rFonts w:ascii="宋体" w:hAnsi="宋体" w:cs="宋体" w:eastAsia="宋体" w:hint="default"/>
                <w:w w:val="100"/>
                <w:sz w:val="21"/>
                <w:szCs w:val="21"/>
              </w:rPr>
              <w:t> </w:t>
            </w:r>
            <w:r>
              <w:rPr>
                <w:rFonts w:ascii="宋体" w:hAnsi="宋体" w:cs="宋体" w:eastAsia="宋体" w:hint="default"/>
                <w:sz w:val="21"/>
                <w:szCs w:val="21"/>
              </w:rPr>
              <w:t>上年增减</w:t>
            </w:r>
          </w:p>
          <w:p>
            <w:pPr>
              <w:pStyle w:val="TableParagraph"/>
              <w:spacing w:line="287" w:lineRule="exact"/>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57"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软件行业</w:t>
            </w:r>
            <w:r>
              <w:rPr>
                <w:rFonts w:ascii="宋体" w:hAnsi="宋体" w:cs="宋体" w:eastAsia="宋体" w:hint="default"/>
                <w:sz w:val="21"/>
                <w:szCs w:val="21"/>
              </w:rPr>
              <w:t> </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8,216,645,764</w:t>
            </w:r>
            <w:r>
              <w:rPr>
                <w:rFonts w:ascii="宋体"/>
                <w:sz w:val="21"/>
              </w:rPr>
              <w:t> </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2,912,640,628</w:t>
            </w:r>
            <w:r>
              <w:rPr>
                <w:rFonts w:ascii="宋体"/>
                <w:sz w:val="21"/>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64.6</w:t>
            </w:r>
            <w:r>
              <w:rPr>
                <w:rFonts w:ascii="宋体"/>
                <w:sz w:val="21"/>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10.4</w:t>
            </w:r>
            <w:r>
              <w:rPr>
                <w:rFonts w:ascii="宋体"/>
                <w:sz w:val="21"/>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27.4</w:t>
            </w: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0" w:right="-3" w:firstLine="52"/>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4.7</w:t>
            </w:r>
          </w:p>
          <w:p>
            <w:pPr>
              <w:pStyle w:val="TableParagraph"/>
              <w:spacing w:line="273" w:lineRule="exact"/>
              <w:ind w:left="250" w:right="-3"/>
              <w:jc w:val="left"/>
              <w:rPr>
                <w:rFonts w:ascii="宋体" w:hAnsi="宋体" w:cs="宋体" w:eastAsia="宋体" w:hint="default"/>
                <w:sz w:val="21"/>
                <w:szCs w:val="21"/>
              </w:rPr>
            </w:pPr>
            <w:r>
              <w:rPr>
                <w:rFonts w:ascii="宋体" w:hAnsi="宋体" w:cs="宋体" w:eastAsia="宋体" w:hint="default"/>
                <w:sz w:val="21"/>
                <w:szCs w:val="21"/>
              </w:rPr>
              <w:t>个百分点</w:t>
            </w:r>
            <w:r>
              <w:rPr>
                <w:rFonts w:ascii="宋体" w:hAnsi="宋体" w:cs="宋体" w:eastAsia="宋体" w:hint="default"/>
                <w:sz w:val="21"/>
                <w:szCs w:val="21"/>
              </w:rPr>
              <w:t> </w:t>
            </w:r>
          </w:p>
        </w:tc>
      </w:tr>
      <w:tr>
        <w:trPr>
          <w:trHeight w:val="281" w:hRule="exact"/>
        </w:trPr>
        <w:tc>
          <w:tcPr>
            <w:tcW w:w="9055" w:type="dxa"/>
            <w:gridSpan w:val="7"/>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主营业务分产品情况</w:t>
            </w:r>
            <w:r>
              <w:rPr>
                <w:rFonts w:ascii="宋体" w:hAnsi="宋体" w:cs="宋体" w:eastAsia="宋体" w:hint="default"/>
                <w:sz w:val="21"/>
                <w:szCs w:val="21"/>
              </w:rPr>
              <w:t> </w:t>
            </w:r>
          </w:p>
        </w:tc>
      </w:tr>
      <w:tr>
        <w:trPr>
          <w:trHeight w:val="109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218" w:right="0"/>
              <w:jc w:val="left"/>
              <w:rPr>
                <w:rFonts w:ascii="宋体" w:hAnsi="宋体" w:cs="宋体" w:eastAsia="宋体" w:hint="default"/>
                <w:sz w:val="21"/>
                <w:szCs w:val="21"/>
              </w:rPr>
            </w:pPr>
            <w:r>
              <w:rPr>
                <w:rFonts w:ascii="宋体" w:hAnsi="宋体" w:cs="宋体" w:eastAsia="宋体" w:hint="default"/>
                <w:sz w:val="21"/>
                <w:szCs w:val="21"/>
              </w:rPr>
              <w:t>分产品</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484" w:right="0"/>
              <w:jc w:val="left"/>
              <w:rPr>
                <w:rFonts w:ascii="宋体" w:hAnsi="宋体" w:cs="宋体" w:eastAsia="宋体" w:hint="default"/>
                <w:sz w:val="21"/>
                <w:szCs w:val="21"/>
              </w:rPr>
            </w:pPr>
            <w:r>
              <w:rPr>
                <w:rFonts w:ascii="宋体" w:hAnsi="宋体" w:cs="宋体" w:eastAsia="宋体" w:hint="default"/>
                <w:sz w:val="21"/>
                <w:szCs w:val="21"/>
              </w:rPr>
              <w:t>营业收入</w:t>
            </w:r>
            <w:r>
              <w:rPr>
                <w:rFonts w:ascii="宋体" w:hAnsi="宋体" w:cs="宋体" w:eastAsia="宋体" w:hint="default"/>
                <w:sz w:val="21"/>
                <w:szCs w:val="21"/>
              </w:rPr>
              <w:t> </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386" w:right="0"/>
              <w:jc w:val="left"/>
              <w:rPr>
                <w:rFonts w:ascii="宋体" w:hAnsi="宋体" w:cs="宋体" w:eastAsia="宋体" w:hint="default"/>
                <w:sz w:val="21"/>
                <w:szCs w:val="21"/>
              </w:rPr>
            </w:pPr>
            <w:r>
              <w:rPr>
                <w:rFonts w:ascii="宋体" w:hAnsi="宋体" w:cs="宋体" w:eastAsia="宋体" w:hint="default"/>
                <w:sz w:val="21"/>
                <w:szCs w:val="21"/>
              </w:rPr>
              <w:t>营业成本</w:t>
            </w:r>
            <w:r>
              <w:rPr>
                <w:rFonts w:ascii="宋体" w:hAnsi="宋体" w:cs="宋体" w:eastAsia="宋体" w:hint="default"/>
                <w:sz w:val="21"/>
                <w:szCs w:val="21"/>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73" w:lineRule="exact"/>
              <w:ind w:left="252" w:right="0"/>
              <w:jc w:val="left"/>
              <w:rPr>
                <w:rFonts w:ascii="宋体" w:hAnsi="宋体" w:cs="宋体" w:eastAsia="宋体" w:hint="default"/>
                <w:sz w:val="21"/>
                <w:szCs w:val="21"/>
              </w:rPr>
            </w:pPr>
            <w:r>
              <w:rPr>
                <w:rFonts w:ascii="宋体" w:hAnsi="宋体" w:cs="宋体" w:eastAsia="宋体" w:hint="default"/>
                <w:sz w:val="21"/>
                <w:szCs w:val="21"/>
              </w:rPr>
              <w:t>毛利率</w:t>
            </w:r>
          </w:p>
          <w:p>
            <w:pPr>
              <w:pStyle w:val="TableParagraph"/>
              <w:spacing w:line="273" w:lineRule="exact"/>
              <w:ind w:left="30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4" w:right="0"/>
              <w:jc w:val="left"/>
              <w:rPr>
                <w:rFonts w:ascii="宋体" w:hAnsi="宋体" w:cs="宋体" w:eastAsia="宋体" w:hint="default"/>
                <w:sz w:val="21"/>
                <w:szCs w:val="21"/>
              </w:rPr>
            </w:pPr>
            <w:r>
              <w:rPr>
                <w:rFonts w:ascii="宋体" w:hAnsi="宋体" w:cs="宋体" w:eastAsia="宋体" w:hint="default"/>
                <w:sz w:val="21"/>
                <w:szCs w:val="21"/>
              </w:rPr>
              <w:t>营业收</w:t>
            </w:r>
          </w:p>
          <w:p>
            <w:pPr>
              <w:pStyle w:val="TableParagraph"/>
              <w:spacing w:line="272" w:lineRule="exact" w:before="27"/>
              <w:ind w:left="184" w:right="187"/>
              <w:jc w:val="left"/>
              <w:rPr>
                <w:rFonts w:ascii="宋体" w:hAnsi="宋体" w:cs="宋体" w:eastAsia="宋体" w:hint="default"/>
                <w:sz w:val="21"/>
                <w:szCs w:val="21"/>
              </w:rPr>
            </w:pPr>
            <w:r>
              <w:rPr>
                <w:rFonts w:ascii="宋体" w:hAnsi="宋体" w:cs="宋体" w:eastAsia="宋体" w:hint="default"/>
                <w:sz w:val="21"/>
                <w:szCs w:val="21"/>
              </w:rPr>
              <w:t>入比上</w:t>
            </w:r>
            <w:r>
              <w:rPr>
                <w:rFonts w:ascii="宋体" w:hAnsi="宋体" w:cs="宋体" w:eastAsia="宋体" w:hint="default"/>
                <w:spacing w:val="-102"/>
                <w:sz w:val="21"/>
                <w:szCs w:val="21"/>
              </w:rPr>
              <w:t> </w:t>
            </w:r>
            <w:r>
              <w:rPr>
                <w:rFonts w:ascii="宋体" w:hAnsi="宋体" w:cs="宋体" w:eastAsia="宋体" w:hint="default"/>
                <w:sz w:val="21"/>
                <w:szCs w:val="21"/>
              </w:rPr>
              <w:t>年增减</w:t>
            </w:r>
          </w:p>
          <w:p>
            <w:pPr>
              <w:pStyle w:val="TableParagraph"/>
              <w:spacing w:line="249" w:lineRule="exact"/>
              <w:ind w:left="23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56" w:right="101"/>
              <w:jc w:val="both"/>
              <w:rPr>
                <w:rFonts w:ascii="宋体" w:hAnsi="宋体" w:cs="宋体" w:eastAsia="宋体" w:hint="default"/>
                <w:sz w:val="21"/>
                <w:szCs w:val="21"/>
              </w:rPr>
            </w:pPr>
            <w:r>
              <w:rPr>
                <w:rFonts w:ascii="宋体" w:hAnsi="宋体" w:cs="宋体" w:eastAsia="宋体" w:hint="default"/>
                <w:sz w:val="21"/>
                <w:szCs w:val="21"/>
              </w:rPr>
              <w:t>营业成本</w:t>
            </w:r>
            <w:r>
              <w:rPr>
                <w:rFonts w:ascii="宋体" w:hAnsi="宋体" w:cs="宋体" w:eastAsia="宋体" w:hint="default"/>
                <w:w w:val="100"/>
                <w:sz w:val="21"/>
                <w:szCs w:val="21"/>
              </w:rPr>
              <w:t> </w:t>
            </w:r>
            <w:r>
              <w:rPr>
                <w:rFonts w:ascii="宋体" w:hAnsi="宋体" w:cs="宋体" w:eastAsia="宋体" w:hint="default"/>
                <w:sz w:val="21"/>
                <w:szCs w:val="21"/>
              </w:rPr>
              <w:t>比上年增</w:t>
            </w:r>
            <w:r>
              <w:rPr>
                <w:rFonts w:ascii="宋体" w:hAnsi="宋体" w:cs="宋体" w:eastAsia="宋体" w:hint="default"/>
                <w:w w:val="100"/>
                <w:sz w:val="21"/>
                <w:szCs w:val="21"/>
              </w:rPr>
              <w:t> </w:t>
            </w:r>
            <w:r>
              <w:rPr>
                <w:rFonts w:ascii="宋体" w:hAnsi="宋体" w:cs="宋体" w:eastAsia="宋体" w:hint="default"/>
                <w:sz w:val="21"/>
                <w:szCs w:val="21"/>
              </w:rPr>
              <w:t>减（</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75" w:right="173" w:hanging="1"/>
              <w:jc w:val="center"/>
              <w:rPr>
                <w:rFonts w:ascii="宋体" w:hAnsi="宋体" w:cs="宋体" w:eastAsia="宋体" w:hint="default"/>
                <w:sz w:val="21"/>
                <w:szCs w:val="21"/>
              </w:rPr>
            </w:pPr>
            <w:r>
              <w:rPr>
                <w:rFonts w:ascii="宋体" w:hAnsi="宋体" w:cs="宋体" w:eastAsia="宋体" w:hint="default"/>
                <w:sz w:val="21"/>
                <w:szCs w:val="21"/>
              </w:rPr>
              <w:t>毛利率比</w:t>
            </w:r>
            <w:r>
              <w:rPr>
                <w:rFonts w:ascii="宋体" w:hAnsi="宋体" w:cs="宋体" w:eastAsia="宋体" w:hint="default"/>
                <w:w w:val="100"/>
                <w:sz w:val="21"/>
                <w:szCs w:val="21"/>
              </w:rPr>
              <w:t> </w:t>
            </w:r>
            <w:r>
              <w:rPr>
                <w:rFonts w:ascii="宋体" w:hAnsi="宋体" w:cs="宋体" w:eastAsia="宋体" w:hint="default"/>
                <w:sz w:val="21"/>
                <w:szCs w:val="21"/>
              </w:rPr>
              <w:t>上年增减</w:t>
            </w:r>
          </w:p>
          <w:p>
            <w:pPr>
              <w:pStyle w:val="TableParagraph"/>
              <w:spacing w:line="271" w:lineRule="exact"/>
              <w:ind w:left="106"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软件产品</w:t>
            </w:r>
            <w:r>
              <w:rPr>
                <w:rFonts w:ascii="宋体" w:hAnsi="宋体" w:cs="宋体" w:eastAsia="宋体" w:hint="default"/>
                <w:sz w:val="21"/>
                <w:szCs w:val="21"/>
              </w:rPr>
              <w:t> </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2,750,001,026</w:t>
            </w:r>
            <w:r>
              <w:rPr>
                <w:rFonts w:ascii="宋体"/>
                <w:sz w:val="21"/>
              </w:rPr>
              <w:t> </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46,287,629</w:t>
            </w:r>
            <w:r>
              <w:rPr>
                <w:rFonts w:ascii="宋体"/>
                <w:sz w:val="21"/>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98.3</w:t>
            </w:r>
            <w:r>
              <w:rPr>
                <w:rFonts w:ascii="宋体"/>
                <w:sz w:val="21"/>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2.2</w:t>
            </w:r>
            <w:r>
              <w:rPr>
                <w:rFonts w:ascii="宋体"/>
                <w:sz w:val="21"/>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13.6</w:t>
            </w: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50" w:right="-3" w:firstLine="52"/>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0.2</w:t>
            </w:r>
          </w:p>
          <w:p>
            <w:pPr>
              <w:pStyle w:val="TableParagraph"/>
              <w:spacing w:line="274" w:lineRule="exact"/>
              <w:ind w:left="250" w:right="-3"/>
              <w:jc w:val="left"/>
              <w:rPr>
                <w:rFonts w:ascii="宋体" w:hAnsi="宋体" w:cs="宋体" w:eastAsia="宋体" w:hint="default"/>
                <w:sz w:val="21"/>
                <w:szCs w:val="21"/>
              </w:rPr>
            </w:pPr>
            <w:r>
              <w:rPr>
                <w:rFonts w:ascii="宋体" w:hAnsi="宋体" w:cs="宋体" w:eastAsia="宋体" w:hint="default"/>
                <w:sz w:val="21"/>
                <w:szCs w:val="21"/>
              </w:rPr>
              <w:t>个百分点</w:t>
            </w:r>
            <w:r>
              <w:rPr>
                <w:rFonts w:ascii="宋体" w:hAnsi="宋体" w:cs="宋体" w:eastAsia="宋体" w:hint="default"/>
                <w:sz w:val="21"/>
                <w:szCs w:val="21"/>
              </w:rPr>
              <w:t> </w:t>
            </w:r>
          </w:p>
        </w:tc>
      </w:tr>
      <w:tr>
        <w:trPr>
          <w:trHeight w:val="557"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技术服务</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及培训</w:t>
            </w:r>
            <w:r>
              <w:rPr>
                <w:rFonts w:ascii="宋体" w:hAnsi="宋体" w:cs="宋体" w:eastAsia="宋体" w:hint="default"/>
                <w:sz w:val="21"/>
                <w:szCs w:val="21"/>
              </w:rPr>
              <w:t> </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5,336,070,968</w:t>
            </w:r>
            <w:r>
              <w:rPr>
                <w:rFonts w:ascii="宋体"/>
                <w:sz w:val="21"/>
              </w:rPr>
              <w:t> </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2,760,537,498</w:t>
            </w:r>
            <w:r>
              <w:rPr>
                <w:rFonts w:ascii="宋体"/>
                <w:sz w:val="21"/>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48.3</w:t>
            </w:r>
            <w:r>
              <w:rPr>
                <w:rFonts w:ascii="宋体"/>
                <w:sz w:val="21"/>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16.1</w:t>
            </w:r>
            <w:r>
              <w:rPr>
                <w:rFonts w:ascii="宋体"/>
                <w:sz w:val="21"/>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30.2</w:t>
            </w: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0" w:right="-3" w:firstLine="52"/>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5.6</w:t>
            </w:r>
          </w:p>
          <w:p>
            <w:pPr>
              <w:pStyle w:val="TableParagraph"/>
              <w:spacing w:line="273" w:lineRule="exact"/>
              <w:ind w:left="250" w:right="-3"/>
              <w:jc w:val="left"/>
              <w:rPr>
                <w:rFonts w:ascii="宋体" w:hAnsi="宋体" w:cs="宋体" w:eastAsia="宋体" w:hint="default"/>
                <w:sz w:val="21"/>
                <w:szCs w:val="21"/>
              </w:rPr>
            </w:pPr>
            <w:r>
              <w:rPr>
                <w:rFonts w:ascii="宋体" w:hAnsi="宋体" w:cs="宋体" w:eastAsia="宋体" w:hint="default"/>
                <w:sz w:val="21"/>
                <w:szCs w:val="21"/>
              </w:rPr>
              <w:t>个百分点</w:t>
            </w:r>
            <w:r>
              <w:rPr>
                <w:rFonts w:ascii="宋体" w:hAnsi="宋体" w:cs="宋体" w:eastAsia="宋体" w:hint="default"/>
                <w:sz w:val="21"/>
                <w:szCs w:val="21"/>
              </w:rPr>
              <w:t> </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130,573,770</w:t>
            </w:r>
            <w:r>
              <w:rPr>
                <w:rFonts w:ascii="宋体"/>
                <w:sz w:val="21"/>
              </w:rPr>
              <w:t> </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105,815,501</w:t>
            </w:r>
            <w:r>
              <w:rPr>
                <w:rFonts w:ascii="宋体"/>
                <w:sz w:val="21"/>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19.0</w:t>
            </w:r>
            <w:r>
              <w:rPr>
                <w:rFonts w:ascii="宋体"/>
                <w:sz w:val="21"/>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-17.5</w:t>
            </w:r>
            <w:r>
              <w:rPr>
                <w:rFonts w:ascii="宋体"/>
                <w:sz w:val="21"/>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-15.9</w:t>
            </w: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50" w:right="-3" w:firstLine="52"/>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2"/>
                <w:sz w:val="21"/>
                <w:szCs w:val="21"/>
              </w:rPr>
              <w:t> </w:t>
            </w:r>
            <w:r>
              <w:rPr>
                <w:rFonts w:ascii="宋体" w:hAnsi="宋体" w:cs="宋体" w:eastAsia="宋体" w:hint="default"/>
                <w:sz w:val="21"/>
                <w:szCs w:val="21"/>
              </w:rPr>
              <w:t>1.6</w:t>
            </w:r>
          </w:p>
          <w:p>
            <w:pPr>
              <w:pStyle w:val="TableParagraph"/>
              <w:spacing w:line="273" w:lineRule="exact"/>
              <w:ind w:left="250" w:right="-3"/>
              <w:jc w:val="left"/>
              <w:rPr>
                <w:rFonts w:ascii="宋体" w:hAnsi="宋体" w:cs="宋体" w:eastAsia="宋体" w:hint="default"/>
                <w:sz w:val="21"/>
                <w:szCs w:val="21"/>
              </w:rPr>
            </w:pPr>
            <w:r>
              <w:rPr>
                <w:rFonts w:ascii="宋体" w:hAnsi="宋体" w:cs="宋体" w:eastAsia="宋体" w:hint="default"/>
                <w:sz w:val="21"/>
                <w:szCs w:val="21"/>
              </w:rPr>
              <w:t>个百分点</w:t>
            </w:r>
            <w:r>
              <w:rPr>
                <w:rFonts w:ascii="宋体" w:hAnsi="宋体" w:cs="宋体" w:eastAsia="宋体" w:hint="default"/>
                <w:sz w:val="21"/>
                <w:szCs w:val="21"/>
              </w:rPr>
              <w:t> </w:t>
            </w:r>
          </w:p>
        </w:tc>
      </w:tr>
      <w:tr>
        <w:trPr>
          <w:trHeight w:val="281" w:hRule="exact"/>
        </w:trPr>
        <w:tc>
          <w:tcPr>
            <w:tcW w:w="9055" w:type="dxa"/>
            <w:gridSpan w:val="7"/>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主营业务分地区情况</w:t>
            </w:r>
            <w:r>
              <w:rPr>
                <w:rFonts w:ascii="宋体" w:hAnsi="宋体" w:cs="宋体" w:eastAsia="宋体" w:hint="default"/>
                <w:sz w:val="21"/>
                <w:szCs w:val="21"/>
              </w:rPr>
              <w:t> </w:t>
            </w:r>
          </w:p>
        </w:tc>
      </w:tr>
      <w:tr>
        <w:trPr>
          <w:trHeight w:val="110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218" w:right="0"/>
              <w:jc w:val="left"/>
              <w:rPr>
                <w:rFonts w:ascii="宋体" w:hAnsi="宋体" w:cs="宋体" w:eastAsia="宋体" w:hint="default"/>
                <w:sz w:val="21"/>
                <w:szCs w:val="21"/>
              </w:rPr>
            </w:pPr>
            <w:r>
              <w:rPr>
                <w:rFonts w:ascii="宋体" w:hAnsi="宋体" w:cs="宋体" w:eastAsia="宋体" w:hint="default"/>
                <w:sz w:val="21"/>
                <w:szCs w:val="21"/>
              </w:rPr>
              <w:t>分地区</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484" w:right="0"/>
              <w:jc w:val="left"/>
              <w:rPr>
                <w:rFonts w:ascii="宋体" w:hAnsi="宋体" w:cs="宋体" w:eastAsia="宋体" w:hint="default"/>
                <w:sz w:val="21"/>
                <w:szCs w:val="21"/>
              </w:rPr>
            </w:pPr>
            <w:r>
              <w:rPr>
                <w:rFonts w:ascii="宋体" w:hAnsi="宋体" w:cs="宋体" w:eastAsia="宋体" w:hint="default"/>
                <w:sz w:val="21"/>
                <w:szCs w:val="21"/>
              </w:rPr>
              <w:t>营业收入</w:t>
            </w:r>
            <w:r>
              <w:rPr>
                <w:rFonts w:ascii="宋体" w:hAnsi="宋体" w:cs="宋体" w:eastAsia="宋体" w:hint="default"/>
                <w:sz w:val="21"/>
                <w:szCs w:val="21"/>
              </w:rPr>
              <w:t> </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386" w:right="0"/>
              <w:jc w:val="left"/>
              <w:rPr>
                <w:rFonts w:ascii="宋体" w:hAnsi="宋体" w:cs="宋体" w:eastAsia="宋体" w:hint="default"/>
                <w:sz w:val="21"/>
                <w:szCs w:val="21"/>
              </w:rPr>
            </w:pPr>
            <w:r>
              <w:rPr>
                <w:rFonts w:ascii="宋体" w:hAnsi="宋体" w:cs="宋体" w:eastAsia="宋体" w:hint="default"/>
                <w:sz w:val="21"/>
                <w:szCs w:val="21"/>
              </w:rPr>
              <w:t>营业成本</w:t>
            </w:r>
            <w:r>
              <w:rPr>
                <w:rFonts w:ascii="宋体" w:hAnsi="宋体" w:cs="宋体" w:eastAsia="宋体" w:hint="default"/>
                <w:sz w:val="21"/>
                <w:szCs w:val="21"/>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73" w:lineRule="exact"/>
              <w:ind w:left="252" w:right="0"/>
              <w:jc w:val="left"/>
              <w:rPr>
                <w:rFonts w:ascii="宋体" w:hAnsi="宋体" w:cs="宋体" w:eastAsia="宋体" w:hint="default"/>
                <w:sz w:val="21"/>
                <w:szCs w:val="21"/>
              </w:rPr>
            </w:pPr>
            <w:r>
              <w:rPr>
                <w:rFonts w:ascii="宋体" w:hAnsi="宋体" w:cs="宋体" w:eastAsia="宋体" w:hint="default"/>
                <w:sz w:val="21"/>
                <w:szCs w:val="21"/>
              </w:rPr>
              <w:t>毛利率</w:t>
            </w:r>
          </w:p>
          <w:p>
            <w:pPr>
              <w:pStyle w:val="TableParagraph"/>
              <w:spacing w:line="273" w:lineRule="exact"/>
              <w:ind w:left="30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4" w:right="0"/>
              <w:jc w:val="left"/>
              <w:rPr>
                <w:rFonts w:ascii="宋体" w:hAnsi="宋体" w:cs="宋体" w:eastAsia="宋体" w:hint="default"/>
                <w:sz w:val="21"/>
                <w:szCs w:val="21"/>
              </w:rPr>
            </w:pPr>
            <w:r>
              <w:rPr>
                <w:rFonts w:ascii="宋体" w:hAnsi="宋体" w:cs="宋体" w:eastAsia="宋体" w:hint="default"/>
                <w:sz w:val="21"/>
                <w:szCs w:val="21"/>
              </w:rPr>
              <w:t>营业收</w:t>
            </w:r>
          </w:p>
          <w:p>
            <w:pPr>
              <w:pStyle w:val="TableParagraph"/>
              <w:spacing w:line="272" w:lineRule="exact" w:before="27"/>
              <w:ind w:left="184" w:right="187"/>
              <w:jc w:val="left"/>
              <w:rPr>
                <w:rFonts w:ascii="宋体" w:hAnsi="宋体" w:cs="宋体" w:eastAsia="宋体" w:hint="default"/>
                <w:sz w:val="21"/>
                <w:szCs w:val="21"/>
              </w:rPr>
            </w:pPr>
            <w:r>
              <w:rPr>
                <w:rFonts w:ascii="宋体" w:hAnsi="宋体" w:cs="宋体" w:eastAsia="宋体" w:hint="default"/>
                <w:sz w:val="21"/>
                <w:szCs w:val="21"/>
              </w:rPr>
              <w:t>入比上</w:t>
            </w:r>
            <w:r>
              <w:rPr>
                <w:rFonts w:ascii="宋体" w:hAnsi="宋体" w:cs="宋体" w:eastAsia="宋体" w:hint="default"/>
                <w:spacing w:val="-102"/>
                <w:sz w:val="21"/>
                <w:szCs w:val="21"/>
              </w:rPr>
              <w:t> </w:t>
            </w:r>
            <w:r>
              <w:rPr>
                <w:rFonts w:ascii="宋体" w:hAnsi="宋体" w:cs="宋体" w:eastAsia="宋体" w:hint="default"/>
                <w:sz w:val="21"/>
                <w:szCs w:val="21"/>
              </w:rPr>
              <w:t>年增减</w:t>
            </w:r>
          </w:p>
          <w:p>
            <w:pPr>
              <w:pStyle w:val="TableParagraph"/>
              <w:spacing w:line="249" w:lineRule="exact"/>
              <w:ind w:left="237"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56" w:right="101"/>
              <w:jc w:val="both"/>
              <w:rPr>
                <w:rFonts w:ascii="宋体" w:hAnsi="宋体" w:cs="宋体" w:eastAsia="宋体" w:hint="default"/>
                <w:sz w:val="21"/>
                <w:szCs w:val="21"/>
              </w:rPr>
            </w:pPr>
            <w:r>
              <w:rPr>
                <w:rFonts w:ascii="宋体" w:hAnsi="宋体" w:cs="宋体" w:eastAsia="宋体" w:hint="default"/>
                <w:sz w:val="21"/>
                <w:szCs w:val="21"/>
              </w:rPr>
              <w:t>营业成本</w:t>
            </w:r>
            <w:r>
              <w:rPr>
                <w:rFonts w:ascii="宋体" w:hAnsi="宋体" w:cs="宋体" w:eastAsia="宋体" w:hint="default"/>
                <w:w w:val="100"/>
                <w:sz w:val="21"/>
                <w:szCs w:val="21"/>
              </w:rPr>
              <w:t> </w:t>
            </w:r>
            <w:r>
              <w:rPr>
                <w:rFonts w:ascii="宋体" w:hAnsi="宋体" w:cs="宋体" w:eastAsia="宋体" w:hint="default"/>
                <w:sz w:val="21"/>
                <w:szCs w:val="21"/>
              </w:rPr>
              <w:t>比上年增</w:t>
            </w:r>
            <w:r>
              <w:rPr>
                <w:rFonts w:ascii="宋体" w:hAnsi="宋体" w:cs="宋体" w:eastAsia="宋体" w:hint="default"/>
                <w:w w:val="100"/>
                <w:sz w:val="21"/>
                <w:szCs w:val="21"/>
              </w:rPr>
              <w:t> </w:t>
            </w:r>
            <w:r>
              <w:rPr>
                <w:rFonts w:ascii="宋体" w:hAnsi="宋体" w:cs="宋体" w:eastAsia="宋体" w:hint="default"/>
                <w:sz w:val="21"/>
                <w:szCs w:val="21"/>
              </w:rPr>
              <w:t>减（</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75" w:right="173" w:hanging="1"/>
              <w:jc w:val="center"/>
              <w:rPr>
                <w:rFonts w:ascii="宋体" w:hAnsi="宋体" w:cs="宋体" w:eastAsia="宋体" w:hint="default"/>
                <w:sz w:val="21"/>
                <w:szCs w:val="21"/>
              </w:rPr>
            </w:pPr>
            <w:r>
              <w:rPr>
                <w:rFonts w:ascii="宋体" w:hAnsi="宋体" w:cs="宋体" w:eastAsia="宋体" w:hint="default"/>
                <w:sz w:val="21"/>
                <w:szCs w:val="21"/>
              </w:rPr>
              <w:t>毛利率比</w:t>
            </w:r>
            <w:r>
              <w:rPr>
                <w:rFonts w:ascii="宋体" w:hAnsi="宋体" w:cs="宋体" w:eastAsia="宋体" w:hint="default"/>
                <w:w w:val="100"/>
                <w:sz w:val="21"/>
                <w:szCs w:val="21"/>
              </w:rPr>
              <w:t> </w:t>
            </w:r>
            <w:r>
              <w:rPr>
                <w:rFonts w:ascii="宋体" w:hAnsi="宋体" w:cs="宋体" w:eastAsia="宋体" w:hint="default"/>
                <w:sz w:val="21"/>
                <w:szCs w:val="21"/>
              </w:rPr>
              <w:t>上年增减</w:t>
            </w:r>
          </w:p>
          <w:p>
            <w:pPr>
              <w:pStyle w:val="TableParagraph"/>
              <w:spacing w:line="271" w:lineRule="exact"/>
              <w:ind w:left="106"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826"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中国境内</w:t>
            </w:r>
            <w:r>
              <w:rPr>
                <w:rFonts w:ascii="宋体" w:hAnsi="宋体" w:cs="宋体" w:eastAsia="宋体" w:hint="default"/>
                <w:sz w:val="21"/>
                <w:szCs w:val="21"/>
              </w:rPr>
              <w:t> </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8,109,808,312</w:t>
            </w:r>
            <w:r>
              <w:rPr>
                <w:rFonts w:ascii="宋体"/>
                <w:sz w:val="21"/>
              </w:rPr>
              <w:t> </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2,871,166,058</w:t>
            </w:r>
            <w:r>
              <w:rPr>
                <w:rFonts w:ascii="宋体"/>
                <w:sz w:val="21"/>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64.6</w:t>
            </w:r>
            <w:r>
              <w:rPr>
                <w:rFonts w:ascii="宋体"/>
                <w:sz w:val="21"/>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10.3</w:t>
            </w:r>
            <w:r>
              <w:rPr>
                <w:rFonts w:ascii="宋体"/>
                <w:sz w:val="21"/>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27.4</w:t>
            </w: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82" w:right="0" w:firstLine="52"/>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2"/>
                <w:sz w:val="21"/>
                <w:szCs w:val="21"/>
              </w:rPr>
              <w:t> </w:t>
            </w:r>
            <w:r>
              <w:rPr>
                <w:rFonts w:ascii="宋体" w:hAnsi="宋体" w:cs="宋体" w:eastAsia="宋体" w:hint="default"/>
                <w:sz w:val="21"/>
                <w:szCs w:val="21"/>
              </w:rPr>
              <w:t>4.7</w:t>
            </w:r>
          </w:p>
          <w:p>
            <w:pPr>
              <w:pStyle w:val="TableParagraph"/>
              <w:spacing w:line="273" w:lineRule="exact"/>
              <w:ind w:left="182" w:right="0"/>
              <w:jc w:val="left"/>
              <w:rPr>
                <w:rFonts w:ascii="宋体" w:hAnsi="宋体" w:cs="宋体" w:eastAsia="宋体" w:hint="default"/>
                <w:sz w:val="21"/>
                <w:szCs w:val="21"/>
              </w:rPr>
            </w:pPr>
            <w:r>
              <w:rPr>
                <w:rFonts w:ascii="宋体" w:hAnsi="宋体" w:cs="宋体" w:eastAsia="宋体" w:hint="default"/>
                <w:sz w:val="21"/>
                <w:szCs w:val="21"/>
              </w:rPr>
              <w:t>个百分点</w:t>
            </w:r>
            <w:r>
              <w:rPr>
                <w:rFonts w:ascii="宋体" w:hAnsi="宋体" w:cs="宋体" w:eastAsia="宋体" w:hint="default"/>
                <w:sz w:val="21"/>
                <w:szCs w:val="21"/>
              </w:rPr>
              <w:t> </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中国境外</w:t>
            </w:r>
            <w:r>
              <w:rPr>
                <w:rFonts w:ascii="宋体" w:hAnsi="宋体" w:cs="宋体" w:eastAsia="宋体" w:hint="default"/>
                <w:sz w:val="21"/>
                <w:szCs w:val="21"/>
              </w:rPr>
              <w:t> </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106,837,452</w:t>
            </w:r>
            <w:r>
              <w:rPr>
                <w:rFonts w:ascii="宋体"/>
                <w:sz w:val="21"/>
              </w:rPr>
              <w:t> </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41,474,570</w:t>
            </w:r>
            <w:r>
              <w:rPr>
                <w:rFonts w:ascii="宋体"/>
                <w:sz w:val="21"/>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61.2</w:t>
            </w:r>
            <w:r>
              <w:rPr>
                <w:rFonts w:ascii="宋体"/>
                <w:sz w:val="21"/>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15.4</w:t>
            </w:r>
            <w:r>
              <w:rPr>
                <w:rFonts w:ascii="宋体"/>
                <w:sz w:val="21"/>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24.0</w:t>
            </w: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82" w:right="0" w:firstLine="52"/>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2"/>
                <w:sz w:val="21"/>
                <w:szCs w:val="21"/>
              </w:rPr>
              <w:t> </w:t>
            </w:r>
            <w:r>
              <w:rPr>
                <w:rFonts w:ascii="宋体" w:hAnsi="宋体" w:cs="宋体" w:eastAsia="宋体" w:hint="default"/>
                <w:sz w:val="21"/>
                <w:szCs w:val="21"/>
              </w:rPr>
              <w:t>2.7</w:t>
            </w:r>
          </w:p>
          <w:p>
            <w:pPr>
              <w:pStyle w:val="TableParagraph"/>
              <w:spacing w:line="273" w:lineRule="exact"/>
              <w:ind w:left="182" w:right="0"/>
              <w:jc w:val="left"/>
              <w:rPr>
                <w:rFonts w:ascii="宋体" w:hAnsi="宋体" w:cs="宋体" w:eastAsia="宋体" w:hint="default"/>
                <w:sz w:val="21"/>
                <w:szCs w:val="21"/>
              </w:rPr>
            </w:pPr>
            <w:r>
              <w:rPr>
                <w:rFonts w:ascii="宋体" w:hAnsi="宋体" w:cs="宋体" w:eastAsia="宋体" w:hint="default"/>
                <w:sz w:val="21"/>
                <w:szCs w:val="21"/>
              </w:rPr>
              <w:t>个百分点</w:t>
            </w:r>
            <w:r>
              <w:rPr>
                <w:rFonts w:ascii="宋体" w:hAnsi="宋体" w:cs="宋体" w:eastAsia="宋体" w:hint="default"/>
                <w:sz w:val="21"/>
                <w:szCs w:val="21"/>
              </w:rPr>
              <w:t> </w:t>
            </w:r>
          </w:p>
        </w:tc>
      </w:tr>
    </w:tbl>
    <w:p>
      <w:pPr>
        <w:spacing w:line="240" w:lineRule="auto" w:before="7"/>
        <w:rPr>
          <w:rFonts w:ascii="宋体" w:hAnsi="宋体" w:cs="宋体" w:eastAsia="宋体" w:hint="default"/>
          <w:sz w:val="17"/>
          <w:szCs w:val="17"/>
        </w:rPr>
      </w:pPr>
    </w:p>
    <w:p>
      <w:pPr>
        <w:pStyle w:val="BodyText"/>
        <w:spacing w:line="312" w:lineRule="exact" w:before="56"/>
        <w:ind w:left="236" w:right="4250"/>
        <w:jc w:val="left"/>
      </w:pPr>
      <w:r>
        <w:rPr/>
        <w:t>主营业务分行业、分产品、分地区情况的说明 无</w:t>
      </w:r>
    </w:p>
    <w:p>
      <w:pPr>
        <w:spacing w:line="240" w:lineRule="auto" w:before="3"/>
        <w:rPr>
          <w:rFonts w:ascii="宋体" w:hAnsi="宋体" w:cs="宋体" w:eastAsia="宋体" w:hint="default"/>
          <w:sz w:val="23"/>
          <w:szCs w:val="23"/>
        </w:rPr>
      </w:pPr>
    </w:p>
    <w:p>
      <w:pPr>
        <w:pStyle w:val="Heading2"/>
        <w:spacing w:line="240" w:lineRule="auto"/>
        <w:ind w:left="236" w:right="4250"/>
        <w:jc w:val="left"/>
        <w:rPr>
          <w:b w:val="0"/>
          <w:bCs w:val="0"/>
        </w:rPr>
      </w:pPr>
      <w:r>
        <w:rPr>
          <w:rFonts w:ascii="宋体" w:hAnsi="宋体" w:cs="宋体" w:eastAsia="宋体" w:hint="default"/>
        </w:rPr>
        <w:t>(2).</w:t>
      </w:r>
      <w:r>
        <w:rPr>
          <w:rFonts w:ascii="宋体" w:hAnsi="宋体" w:cs="宋体" w:eastAsia="宋体" w:hint="default"/>
          <w:spacing w:val="-41"/>
        </w:rPr>
        <w:t> </w:t>
      </w:r>
      <w:r>
        <w:rPr/>
        <w:t>产销量情况分析表</w:t>
      </w:r>
      <w:r>
        <w:rPr>
          <w:b w:val="0"/>
          <w:bCs w:val="0"/>
        </w:rPr>
      </w:r>
    </w:p>
    <w:p>
      <w:pPr>
        <w:pStyle w:val="BodyText"/>
        <w:spacing w:line="240" w:lineRule="auto" w:before="58"/>
        <w:ind w:left="236" w:right="425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2"/>
          <w:szCs w:val="22"/>
        </w:rPr>
      </w:pPr>
    </w:p>
    <w:p>
      <w:pPr>
        <w:pStyle w:val="Heading2"/>
        <w:spacing w:line="240" w:lineRule="auto" w:before="26"/>
        <w:ind w:left="236" w:right="4250"/>
        <w:jc w:val="left"/>
        <w:rPr>
          <w:b w:val="0"/>
          <w:bCs w:val="0"/>
        </w:rPr>
      </w:pPr>
      <w:r>
        <w:rPr>
          <w:rFonts w:ascii="宋体" w:hAnsi="宋体" w:cs="宋体" w:eastAsia="宋体" w:hint="default"/>
        </w:rPr>
        <w:t>(3).</w:t>
      </w:r>
      <w:r>
        <w:rPr>
          <w:rFonts w:ascii="宋体" w:hAnsi="宋体" w:cs="宋体" w:eastAsia="宋体" w:hint="default"/>
          <w:spacing w:val="-40"/>
        </w:rPr>
        <w:t> </w:t>
      </w:r>
      <w:r>
        <w:rPr/>
        <w:t>成本分析表</w:t>
      </w:r>
      <w:r>
        <w:rPr>
          <w:b w:val="0"/>
          <w:bCs w:val="0"/>
        </w:rPr>
      </w:r>
    </w:p>
    <w:p>
      <w:pPr>
        <w:pStyle w:val="BodyText"/>
        <w:spacing w:line="240" w:lineRule="auto" w:before="55"/>
        <w:ind w:left="0" w:right="233"/>
        <w:jc w:val="right"/>
      </w:pPr>
      <w:r>
        <w:rPr/>
        <w:t>单位：元</w:t>
      </w:r>
    </w:p>
    <w:p>
      <w:pPr>
        <w:spacing w:line="240" w:lineRule="auto" w:before="12"/>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1056"/>
        <w:gridCol w:w="977"/>
        <w:gridCol w:w="1777"/>
        <w:gridCol w:w="950"/>
        <w:gridCol w:w="1776"/>
        <w:gridCol w:w="881"/>
        <w:gridCol w:w="855"/>
        <w:gridCol w:w="778"/>
      </w:tblGrid>
      <w:tr>
        <w:trPr>
          <w:trHeight w:val="322" w:hRule="exact"/>
        </w:trPr>
        <w:tc>
          <w:tcPr>
            <w:tcW w:w="9050" w:type="dxa"/>
            <w:gridSpan w:val="8"/>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分行业情况</w:t>
            </w:r>
          </w:p>
        </w:tc>
      </w:tr>
      <w:tr>
        <w:trPr>
          <w:trHeight w:val="943"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63" w:right="0"/>
              <w:jc w:val="left"/>
              <w:rPr>
                <w:rFonts w:ascii="宋体" w:hAnsi="宋体" w:cs="宋体" w:eastAsia="宋体" w:hint="default"/>
                <w:sz w:val="24"/>
                <w:szCs w:val="24"/>
              </w:rPr>
            </w:pPr>
            <w:r>
              <w:rPr>
                <w:rFonts w:ascii="宋体" w:hAnsi="宋体" w:cs="宋体" w:eastAsia="宋体" w:hint="default"/>
                <w:sz w:val="24"/>
                <w:szCs w:val="24"/>
              </w:rPr>
              <w:t>分行业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22" w:right="122"/>
              <w:jc w:val="left"/>
              <w:rPr>
                <w:rFonts w:ascii="宋体" w:hAnsi="宋体" w:cs="宋体" w:eastAsia="宋体" w:hint="default"/>
                <w:sz w:val="24"/>
                <w:szCs w:val="24"/>
              </w:rPr>
            </w:pPr>
            <w:r>
              <w:rPr>
                <w:rFonts w:ascii="宋体" w:hAnsi="宋体" w:cs="宋体" w:eastAsia="宋体" w:hint="default"/>
                <w:sz w:val="24"/>
                <w:szCs w:val="24"/>
              </w:rPr>
              <w:t>成本构 成项目</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403" w:right="0"/>
              <w:jc w:val="left"/>
              <w:rPr>
                <w:rFonts w:ascii="宋体" w:hAnsi="宋体" w:cs="宋体" w:eastAsia="宋体" w:hint="default"/>
                <w:sz w:val="24"/>
                <w:szCs w:val="24"/>
              </w:rPr>
            </w:pPr>
            <w:r>
              <w:rPr>
                <w:rFonts w:ascii="宋体" w:hAnsi="宋体" w:cs="宋体" w:eastAsia="宋体" w:hint="default"/>
                <w:sz w:val="24"/>
                <w:szCs w:val="24"/>
              </w:rPr>
              <w:t>本期金额</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10" w:right="0"/>
              <w:jc w:val="left"/>
              <w:rPr>
                <w:rFonts w:ascii="宋体" w:hAnsi="宋体" w:cs="宋体" w:eastAsia="宋体" w:hint="default"/>
                <w:sz w:val="24"/>
                <w:szCs w:val="24"/>
              </w:rPr>
            </w:pPr>
            <w:r>
              <w:rPr>
                <w:rFonts w:ascii="宋体" w:hAnsi="宋体" w:cs="宋体" w:eastAsia="宋体" w:hint="default"/>
                <w:sz w:val="24"/>
                <w:szCs w:val="24"/>
              </w:rPr>
              <w:t>本期占</w:t>
            </w:r>
          </w:p>
          <w:p>
            <w:pPr>
              <w:pStyle w:val="TableParagraph"/>
              <w:spacing w:line="310" w:lineRule="exact" w:before="31"/>
              <w:ind w:left="230" w:right="108" w:hanging="120"/>
              <w:jc w:val="left"/>
              <w:rPr>
                <w:rFonts w:ascii="宋体" w:hAnsi="宋体" w:cs="宋体" w:eastAsia="宋体" w:hint="default"/>
                <w:sz w:val="24"/>
                <w:szCs w:val="24"/>
              </w:rPr>
            </w:pPr>
            <w:r>
              <w:rPr>
                <w:rFonts w:ascii="宋体" w:hAnsi="宋体" w:cs="宋体" w:eastAsia="宋体" w:hint="default"/>
                <w:sz w:val="24"/>
                <w:szCs w:val="24"/>
              </w:rPr>
              <w:t>总成本 比例</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63" w:right="0"/>
              <w:jc w:val="left"/>
              <w:rPr>
                <w:rFonts w:ascii="宋体" w:hAnsi="宋体" w:cs="宋体" w:eastAsia="宋体" w:hint="default"/>
                <w:sz w:val="24"/>
                <w:szCs w:val="24"/>
              </w:rPr>
            </w:pPr>
            <w:r>
              <w:rPr>
                <w:rFonts w:ascii="宋体" w:hAnsi="宋体" w:cs="宋体" w:eastAsia="宋体" w:hint="default"/>
                <w:sz w:val="24"/>
                <w:szCs w:val="24"/>
              </w:rPr>
              <w:t>上年同期金额</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94" w:right="0"/>
              <w:jc w:val="left"/>
              <w:rPr>
                <w:rFonts w:ascii="宋体" w:hAnsi="宋体" w:cs="宋体" w:eastAsia="宋体" w:hint="default"/>
                <w:sz w:val="24"/>
                <w:szCs w:val="24"/>
              </w:rPr>
            </w:pPr>
            <w:r>
              <w:rPr>
                <w:rFonts w:ascii="宋体" w:hAnsi="宋体" w:cs="宋体" w:eastAsia="宋体" w:hint="default"/>
                <w:sz w:val="24"/>
                <w:szCs w:val="24"/>
              </w:rPr>
              <w:t>上年</w:t>
            </w:r>
          </w:p>
          <w:p>
            <w:pPr>
              <w:pStyle w:val="TableParagraph"/>
              <w:spacing w:line="310" w:lineRule="exact" w:before="31"/>
              <w:ind w:left="194" w:right="194"/>
              <w:jc w:val="left"/>
              <w:rPr>
                <w:rFonts w:ascii="宋体" w:hAnsi="宋体" w:cs="宋体" w:eastAsia="宋体" w:hint="default"/>
                <w:sz w:val="24"/>
                <w:szCs w:val="24"/>
              </w:rPr>
            </w:pPr>
            <w:r>
              <w:rPr>
                <w:rFonts w:ascii="宋体" w:hAnsi="宋体" w:cs="宋体" w:eastAsia="宋体" w:hint="default"/>
                <w:sz w:val="24"/>
                <w:szCs w:val="24"/>
              </w:rPr>
              <w:t>同期 占总</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82" w:right="0"/>
              <w:jc w:val="left"/>
              <w:rPr>
                <w:rFonts w:ascii="宋体" w:hAnsi="宋体" w:cs="宋体" w:eastAsia="宋体" w:hint="default"/>
                <w:sz w:val="24"/>
                <w:szCs w:val="24"/>
              </w:rPr>
            </w:pPr>
            <w:r>
              <w:rPr>
                <w:rFonts w:ascii="宋体" w:hAnsi="宋体" w:cs="宋体" w:eastAsia="宋体" w:hint="default"/>
                <w:sz w:val="24"/>
                <w:szCs w:val="24"/>
              </w:rPr>
              <w:t>本期</w:t>
            </w:r>
          </w:p>
          <w:p>
            <w:pPr>
              <w:pStyle w:val="TableParagraph"/>
              <w:spacing w:line="310" w:lineRule="exact" w:before="31"/>
              <w:ind w:left="182" w:right="182"/>
              <w:jc w:val="left"/>
              <w:rPr>
                <w:rFonts w:ascii="宋体" w:hAnsi="宋体" w:cs="宋体" w:eastAsia="宋体" w:hint="default"/>
                <w:sz w:val="24"/>
                <w:szCs w:val="24"/>
              </w:rPr>
            </w:pPr>
            <w:r>
              <w:rPr>
                <w:rFonts w:ascii="宋体" w:hAnsi="宋体" w:cs="宋体" w:eastAsia="宋体" w:hint="default"/>
                <w:sz w:val="24"/>
                <w:szCs w:val="24"/>
              </w:rPr>
              <w:t>金额 较上</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44" w:right="143"/>
              <w:jc w:val="left"/>
              <w:rPr>
                <w:rFonts w:ascii="宋体" w:hAnsi="宋体" w:cs="宋体" w:eastAsia="宋体" w:hint="default"/>
                <w:sz w:val="24"/>
                <w:szCs w:val="24"/>
              </w:rPr>
            </w:pPr>
            <w:r>
              <w:rPr>
                <w:rFonts w:ascii="宋体" w:hAnsi="宋体" w:cs="宋体" w:eastAsia="宋体" w:hint="default"/>
                <w:sz w:val="24"/>
                <w:szCs w:val="24"/>
              </w:rPr>
              <w:t>情况 说明</w:t>
            </w:r>
          </w:p>
        </w:tc>
      </w:tr>
    </w:tbl>
    <w:p>
      <w:pPr>
        <w:spacing w:after="0" w:line="312" w:lineRule="exact"/>
        <w:jc w:val="left"/>
        <w:rPr>
          <w:rFonts w:ascii="宋体" w:hAnsi="宋体" w:cs="宋体" w:eastAsia="宋体" w:hint="default"/>
          <w:sz w:val="24"/>
          <w:szCs w:val="24"/>
        </w:rPr>
        <w:sectPr>
          <w:footerReference w:type="default" r:id="rId22"/>
          <w:pgSz w:w="11910" w:h="16840"/>
          <w:pgMar w:footer="1195" w:header="880" w:top="1120" w:bottom="1380" w:left="1040" w:right="1560"/>
        </w:sectPr>
      </w:pPr>
    </w:p>
    <w:p>
      <w:pPr>
        <w:spacing w:line="240" w:lineRule="auto" w:before="3"/>
        <w:rPr>
          <w:rFonts w:ascii="宋体" w:hAnsi="宋体" w:cs="宋体" w:eastAsia="宋体" w:hint="default"/>
          <w:sz w:val="24"/>
          <w:szCs w:val="24"/>
        </w:rPr>
      </w:pPr>
    </w:p>
    <w:tbl>
      <w:tblPr>
        <w:tblW w:w="0" w:type="auto"/>
        <w:jc w:val="left"/>
        <w:tblInd w:w="103" w:type="dxa"/>
        <w:tblLayout w:type="fixed"/>
        <w:tblCellMar>
          <w:top w:w="0" w:type="dxa"/>
          <w:left w:w="0" w:type="dxa"/>
          <w:bottom w:w="0" w:type="dxa"/>
          <w:right w:w="0" w:type="dxa"/>
        </w:tblCellMar>
        <w:tblLook w:val="01E0"/>
      </w:tblPr>
      <w:tblGrid>
        <w:gridCol w:w="1056"/>
        <w:gridCol w:w="977"/>
        <w:gridCol w:w="1777"/>
        <w:gridCol w:w="950"/>
        <w:gridCol w:w="1776"/>
        <w:gridCol w:w="881"/>
        <w:gridCol w:w="855"/>
        <w:gridCol w:w="778"/>
      </w:tblGrid>
      <w:tr>
        <w:trPr>
          <w:trHeight w:val="1256" w:hRule="exact"/>
        </w:trPr>
        <w:tc>
          <w:tcPr>
            <w:tcW w:w="1056"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1777"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90" w:right="0"/>
              <w:jc w:val="left"/>
              <w:rPr>
                <w:rFonts w:ascii="Times New Roman" w:hAnsi="Times New Roman" w:cs="Times New Roman" w:eastAsia="Times New Roman" w:hint="default"/>
                <w:sz w:val="24"/>
                <w:szCs w:val="24"/>
              </w:rPr>
            </w:pPr>
            <w:r>
              <w:rPr>
                <w:rFonts w:ascii="Times New Roman"/>
                <w:sz w:val="24"/>
              </w:rPr>
              <w:t>(%)</w:t>
            </w:r>
          </w:p>
        </w:tc>
        <w:tc>
          <w:tcPr>
            <w:tcW w:w="1776" w:type="dxa"/>
            <w:tcBorders>
              <w:top w:val="single" w:sz="4" w:space="0" w:color="000000"/>
              <w:left w:val="single" w:sz="4" w:space="0" w:color="000000"/>
              <w:bottom w:val="single" w:sz="4" w:space="0" w:color="000000"/>
              <w:right w:val="single" w:sz="4" w:space="0" w:color="000000"/>
            </w:tcBorders>
          </w:tcPr>
          <w:p>
            <w:pP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94" w:right="0"/>
              <w:jc w:val="left"/>
              <w:rPr>
                <w:rFonts w:ascii="宋体" w:hAnsi="宋体" w:cs="宋体" w:eastAsia="宋体" w:hint="default"/>
                <w:sz w:val="24"/>
                <w:szCs w:val="24"/>
              </w:rPr>
            </w:pPr>
            <w:r>
              <w:rPr>
                <w:rFonts w:ascii="宋体" w:hAnsi="宋体" w:cs="宋体" w:eastAsia="宋体" w:hint="default"/>
                <w:sz w:val="24"/>
                <w:szCs w:val="24"/>
              </w:rPr>
              <w:t>成本</w:t>
            </w:r>
          </w:p>
          <w:p>
            <w:pPr>
              <w:pStyle w:val="TableParagraph"/>
              <w:spacing w:line="313" w:lineRule="exact"/>
              <w:ind w:left="194" w:right="0"/>
              <w:jc w:val="left"/>
              <w:rPr>
                <w:rFonts w:ascii="宋体" w:hAnsi="宋体" w:cs="宋体" w:eastAsia="宋体" w:hint="default"/>
                <w:sz w:val="24"/>
                <w:szCs w:val="24"/>
              </w:rPr>
            </w:pPr>
            <w:r>
              <w:rPr>
                <w:rFonts w:ascii="宋体" w:hAnsi="宋体" w:cs="宋体" w:eastAsia="宋体" w:hint="default"/>
                <w:sz w:val="24"/>
                <w:szCs w:val="24"/>
              </w:rPr>
              <w:t>比例</w:t>
            </w:r>
          </w:p>
          <w:p>
            <w:pPr>
              <w:pStyle w:val="TableParagraph"/>
              <w:spacing w:line="240" w:lineRule="auto" w:before="30"/>
              <w:ind w:left="254" w:right="0"/>
              <w:jc w:val="left"/>
              <w:rPr>
                <w:rFonts w:ascii="Times New Roman" w:hAnsi="Times New Roman" w:cs="Times New Roman" w:eastAsia="Times New Roman" w:hint="default"/>
                <w:sz w:val="24"/>
                <w:szCs w:val="24"/>
              </w:rPr>
            </w:pPr>
            <w:r>
              <w:rPr>
                <w:rFonts w:ascii="Times New Roman"/>
                <w:sz w:val="24"/>
              </w:rPr>
              <w:t>(%)</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82" w:right="0"/>
              <w:jc w:val="both"/>
              <w:rPr>
                <w:rFonts w:ascii="宋体" w:hAnsi="宋体" w:cs="宋体" w:eastAsia="宋体" w:hint="default"/>
                <w:sz w:val="24"/>
                <w:szCs w:val="24"/>
              </w:rPr>
            </w:pPr>
            <w:r>
              <w:rPr>
                <w:rFonts w:ascii="宋体" w:hAnsi="宋体" w:cs="宋体" w:eastAsia="宋体" w:hint="default"/>
                <w:sz w:val="24"/>
                <w:szCs w:val="24"/>
              </w:rPr>
              <w:t>年同</w:t>
            </w:r>
          </w:p>
          <w:p>
            <w:pPr>
              <w:pStyle w:val="TableParagraph"/>
              <w:spacing w:line="237" w:lineRule="auto" w:before="2"/>
              <w:ind w:left="122" w:right="122" w:firstLine="60"/>
              <w:jc w:val="both"/>
              <w:rPr>
                <w:rFonts w:ascii="Times New Roman" w:hAnsi="Times New Roman" w:cs="Times New Roman" w:eastAsia="Times New Roman" w:hint="default"/>
                <w:sz w:val="24"/>
                <w:szCs w:val="24"/>
              </w:rPr>
            </w:pPr>
            <w:r>
              <w:rPr>
                <w:rFonts w:ascii="宋体" w:hAnsi="宋体" w:cs="宋体" w:eastAsia="宋体" w:hint="default"/>
                <w:sz w:val="24"/>
                <w:szCs w:val="24"/>
              </w:rPr>
              <w:t>期变 动比 例</w:t>
            </w:r>
            <w:r>
              <w:rPr>
                <w:rFonts w:ascii="Times New Roman" w:hAnsi="Times New Roman" w:cs="Times New Roman" w:eastAsia="Times New Roman" w:hint="default"/>
                <w:sz w:val="24"/>
                <w:szCs w:val="24"/>
              </w:rPr>
              <w:t>(%)</w:t>
            </w: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软件行</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业</w:t>
            </w:r>
          </w:p>
        </w:tc>
        <w:tc>
          <w:tcPr>
            <w:tcW w:w="977" w:type="dxa"/>
            <w:tcBorders>
              <w:top w:val="single" w:sz="4" w:space="0" w:color="000000"/>
              <w:left w:val="single" w:sz="4" w:space="0" w:color="000000"/>
              <w:bottom w:val="single" w:sz="4" w:space="0" w:color="000000"/>
              <w:right w:val="single" w:sz="4" w:space="0" w:color="000000"/>
            </w:tcBorders>
          </w:tcPr>
          <w:p>
            <w:pP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2,912,640,628 </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100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2,286,774,723 </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100 </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27.4 </w:t>
            </w: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50" w:type="dxa"/>
            <w:gridSpan w:val="8"/>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20" w:right="0"/>
              <w:jc w:val="center"/>
              <w:rPr>
                <w:rFonts w:ascii="宋体" w:hAnsi="宋体" w:cs="宋体" w:eastAsia="宋体" w:hint="default"/>
                <w:sz w:val="24"/>
                <w:szCs w:val="24"/>
              </w:rPr>
            </w:pPr>
            <w:r>
              <w:rPr>
                <w:rFonts w:ascii="宋体" w:hAnsi="宋体" w:cs="宋体" w:eastAsia="宋体" w:hint="default"/>
                <w:sz w:val="24"/>
                <w:szCs w:val="24"/>
              </w:rPr>
              <w:t>分产品情况</w:t>
            </w:r>
            <w:r>
              <w:rPr>
                <w:rFonts w:ascii="宋体" w:hAnsi="宋体" w:cs="宋体" w:eastAsia="宋体" w:hint="default"/>
                <w:sz w:val="24"/>
                <w:szCs w:val="24"/>
              </w:rPr>
              <w:t> </w:t>
            </w:r>
          </w:p>
        </w:tc>
      </w:tr>
      <w:tr>
        <w:trPr>
          <w:trHeight w:val="2189"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63" w:right="0"/>
              <w:jc w:val="left"/>
              <w:rPr>
                <w:rFonts w:ascii="宋体" w:hAnsi="宋体" w:cs="宋体" w:eastAsia="宋体" w:hint="default"/>
                <w:sz w:val="24"/>
                <w:szCs w:val="24"/>
              </w:rPr>
            </w:pPr>
            <w:r>
              <w:rPr>
                <w:rFonts w:ascii="宋体" w:hAnsi="宋体" w:cs="宋体" w:eastAsia="宋体" w:hint="default"/>
                <w:sz w:val="24"/>
                <w:szCs w:val="24"/>
              </w:rPr>
              <w:t>分产品</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3"/>
              <w:ind w:right="0"/>
              <w:jc w:val="left"/>
              <w:rPr>
                <w:rFonts w:ascii="宋体" w:hAnsi="宋体" w:cs="宋体" w:eastAsia="宋体" w:hint="default"/>
                <w:sz w:val="34"/>
                <w:szCs w:val="34"/>
              </w:rPr>
            </w:pPr>
          </w:p>
          <w:p>
            <w:pPr>
              <w:pStyle w:val="TableParagraph"/>
              <w:spacing w:line="310" w:lineRule="exact"/>
              <w:ind w:left="122" w:right="122"/>
              <w:jc w:val="left"/>
              <w:rPr>
                <w:rFonts w:ascii="宋体" w:hAnsi="宋体" w:cs="宋体" w:eastAsia="宋体" w:hint="default"/>
                <w:sz w:val="24"/>
                <w:szCs w:val="24"/>
              </w:rPr>
            </w:pPr>
            <w:r>
              <w:rPr>
                <w:rFonts w:ascii="宋体" w:hAnsi="宋体" w:cs="宋体" w:eastAsia="宋体" w:hint="default"/>
                <w:sz w:val="24"/>
                <w:szCs w:val="24"/>
              </w:rPr>
              <w:t>成本构 成项目</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403" w:right="0"/>
              <w:jc w:val="left"/>
              <w:rPr>
                <w:rFonts w:ascii="宋体" w:hAnsi="宋体" w:cs="宋体" w:eastAsia="宋体" w:hint="default"/>
                <w:sz w:val="24"/>
                <w:szCs w:val="24"/>
              </w:rPr>
            </w:pPr>
            <w:r>
              <w:rPr>
                <w:rFonts w:ascii="宋体" w:hAnsi="宋体" w:cs="宋体" w:eastAsia="宋体" w:hint="default"/>
                <w:sz w:val="24"/>
                <w:szCs w:val="24"/>
              </w:rPr>
              <w:t>本期金额</w:t>
            </w:r>
            <w:r>
              <w:rPr>
                <w:rFonts w:ascii="宋体" w:hAnsi="宋体" w:cs="宋体" w:eastAsia="宋体" w:hint="default"/>
                <w:sz w:val="24"/>
                <w:szCs w:val="24"/>
              </w:rPr>
              <w:t> </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32"/>
                <w:szCs w:val="32"/>
              </w:rPr>
            </w:pPr>
          </w:p>
          <w:p>
            <w:pPr>
              <w:pStyle w:val="TableParagraph"/>
              <w:spacing w:line="237" w:lineRule="auto"/>
              <w:ind w:left="110" w:right="108"/>
              <w:jc w:val="center"/>
              <w:rPr>
                <w:rFonts w:ascii="宋体" w:hAnsi="宋体" w:cs="宋体" w:eastAsia="宋体" w:hint="default"/>
                <w:sz w:val="24"/>
                <w:szCs w:val="24"/>
              </w:rPr>
            </w:pPr>
            <w:r>
              <w:rPr>
                <w:rFonts w:ascii="宋体" w:hAnsi="宋体" w:cs="宋体" w:eastAsia="宋体" w:hint="default"/>
                <w:sz w:val="24"/>
                <w:szCs w:val="24"/>
              </w:rPr>
              <w:t>本期占 总成本 比例 </w:t>
            </w:r>
            <w:r>
              <w:rPr>
                <w:rFonts w:ascii="宋体" w:hAnsi="宋体" w:cs="宋体" w:eastAsia="宋体" w:hint="default"/>
                <w:sz w:val="24"/>
                <w:szCs w:val="24"/>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41"/>
              <w:jc w:val="right"/>
              <w:rPr>
                <w:rFonts w:ascii="宋体" w:hAnsi="宋体" w:cs="宋体" w:eastAsia="宋体" w:hint="default"/>
                <w:sz w:val="24"/>
                <w:szCs w:val="24"/>
              </w:rPr>
            </w:pPr>
            <w:r>
              <w:rPr>
                <w:rFonts w:ascii="宋体" w:hAnsi="宋体" w:cs="宋体" w:eastAsia="宋体" w:hint="default"/>
                <w:sz w:val="24"/>
                <w:szCs w:val="24"/>
              </w:rPr>
              <w:t>上年同期金额</w:t>
            </w:r>
            <w:r>
              <w:rPr>
                <w:rFonts w:ascii="宋体" w:hAnsi="宋体" w:cs="宋体" w:eastAsia="宋体" w:hint="default"/>
                <w:sz w:val="24"/>
                <w:szCs w:val="24"/>
              </w:rPr>
              <w:t> </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8"/>
              <w:ind w:left="194" w:right="134"/>
              <w:jc w:val="both"/>
              <w:rPr>
                <w:rFonts w:ascii="宋体" w:hAnsi="宋体" w:cs="宋体" w:eastAsia="宋体" w:hint="default"/>
                <w:sz w:val="24"/>
                <w:szCs w:val="24"/>
              </w:rPr>
            </w:pPr>
            <w:r>
              <w:rPr>
                <w:rFonts w:ascii="宋体" w:hAnsi="宋体" w:cs="宋体" w:eastAsia="宋体" w:hint="default"/>
                <w:sz w:val="24"/>
                <w:szCs w:val="24"/>
              </w:rPr>
              <w:t>上年 同期 占总 成本 比例 </w:t>
            </w:r>
            <w:r>
              <w:rPr>
                <w:rFonts w:ascii="宋体" w:hAnsi="宋体" w:cs="宋体" w:eastAsia="宋体" w:hint="default"/>
                <w:sz w:val="24"/>
                <w:szCs w:val="24"/>
              </w:rPr>
              <w:t>(%) </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82" w:right="0"/>
              <w:jc w:val="left"/>
              <w:rPr>
                <w:rFonts w:ascii="宋体" w:hAnsi="宋体" w:cs="宋体" w:eastAsia="宋体" w:hint="default"/>
                <w:sz w:val="24"/>
                <w:szCs w:val="24"/>
              </w:rPr>
            </w:pPr>
            <w:r>
              <w:rPr>
                <w:rFonts w:ascii="宋体" w:hAnsi="宋体" w:cs="宋体" w:eastAsia="宋体" w:hint="default"/>
                <w:sz w:val="24"/>
                <w:szCs w:val="24"/>
              </w:rPr>
              <w:t>本期</w:t>
            </w:r>
          </w:p>
          <w:p>
            <w:pPr>
              <w:pStyle w:val="TableParagraph"/>
              <w:spacing w:line="237" w:lineRule="auto" w:before="1"/>
              <w:ind w:left="122" w:right="0" w:firstLine="60"/>
              <w:jc w:val="left"/>
              <w:rPr>
                <w:rFonts w:ascii="宋体" w:hAnsi="宋体" w:cs="宋体" w:eastAsia="宋体" w:hint="default"/>
                <w:sz w:val="24"/>
                <w:szCs w:val="24"/>
              </w:rPr>
            </w:pPr>
            <w:r>
              <w:rPr>
                <w:rFonts w:ascii="宋体" w:hAnsi="宋体" w:cs="宋体" w:eastAsia="宋体" w:hint="default"/>
                <w:sz w:val="24"/>
                <w:szCs w:val="24"/>
              </w:rPr>
              <w:t>金额 较上 年同 期变 动比 例</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3"/>
              <w:ind w:right="0"/>
              <w:jc w:val="left"/>
              <w:rPr>
                <w:rFonts w:ascii="宋体" w:hAnsi="宋体" w:cs="宋体" w:eastAsia="宋体" w:hint="default"/>
                <w:sz w:val="34"/>
                <w:szCs w:val="34"/>
              </w:rPr>
            </w:pPr>
          </w:p>
          <w:p>
            <w:pPr>
              <w:pStyle w:val="TableParagraph"/>
              <w:spacing w:line="310" w:lineRule="exact"/>
              <w:ind w:left="144" w:right="143"/>
              <w:jc w:val="left"/>
              <w:rPr>
                <w:rFonts w:ascii="宋体" w:hAnsi="宋体" w:cs="宋体" w:eastAsia="宋体" w:hint="default"/>
                <w:sz w:val="24"/>
                <w:szCs w:val="24"/>
              </w:rPr>
            </w:pPr>
            <w:r>
              <w:rPr>
                <w:rFonts w:ascii="宋体" w:hAnsi="宋体" w:cs="宋体" w:eastAsia="宋体" w:hint="default"/>
                <w:sz w:val="24"/>
                <w:szCs w:val="24"/>
              </w:rPr>
              <w:t>情况 说明</w:t>
            </w:r>
          </w:p>
        </w:tc>
      </w:tr>
      <w:tr>
        <w:trPr>
          <w:trHeight w:val="634"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软件产</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品</w:t>
            </w:r>
          </w:p>
        </w:tc>
        <w:tc>
          <w:tcPr>
            <w:tcW w:w="977" w:type="dxa"/>
            <w:tcBorders>
              <w:top w:val="single" w:sz="4" w:space="0" w:color="000000"/>
              <w:left w:val="single" w:sz="4" w:space="0" w:color="000000"/>
              <w:bottom w:val="single" w:sz="4" w:space="0" w:color="000000"/>
              <w:right w:val="single" w:sz="4" w:space="0" w:color="000000"/>
            </w:tcBorders>
          </w:tcPr>
          <w:p>
            <w:pP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46,287,629 </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40,740,935 </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1.8 </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13.6 </w:t>
            </w: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技术服</w:t>
            </w:r>
          </w:p>
          <w:p>
            <w:pPr>
              <w:pStyle w:val="TableParagraph"/>
              <w:spacing w:line="310" w:lineRule="exact" w:before="31"/>
              <w:ind w:left="103" w:right="221"/>
              <w:jc w:val="left"/>
              <w:rPr>
                <w:rFonts w:ascii="宋体" w:hAnsi="宋体" w:cs="宋体" w:eastAsia="宋体" w:hint="default"/>
                <w:sz w:val="24"/>
                <w:szCs w:val="24"/>
              </w:rPr>
            </w:pPr>
            <w:r>
              <w:rPr>
                <w:rFonts w:ascii="宋体" w:hAnsi="宋体" w:cs="宋体" w:eastAsia="宋体" w:hint="default"/>
                <w:sz w:val="24"/>
                <w:szCs w:val="24"/>
              </w:rPr>
              <w:t>务及培 训</w:t>
            </w:r>
          </w:p>
        </w:tc>
        <w:tc>
          <w:tcPr>
            <w:tcW w:w="977" w:type="dxa"/>
            <w:tcBorders>
              <w:top w:val="single" w:sz="4" w:space="0" w:color="000000"/>
              <w:left w:val="single" w:sz="4" w:space="0" w:color="000000"/>
              <w:bottom w:val="single" w:sz="4" w:space="0" w:color="000000"/>
              <w:right w:val="single" w:sz="4" w:space="0" w:color="000000"/>
            </w:tcBorders>
          </w:tcPr>
          <w:p>
            <w:pP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2,760,537,498 </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94.8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2,120,286,892 </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92.7 </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30.2 </w:t>
            </w: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977" w:type="dxa"/>
            <w:tcBorders>
              <w:top w:val="single" w:sz="4" w:space="0" w:color="000000"/>
              <w:left w:val="single" w:sz="4" w:space="0" w:color="000000"/>
              <w:bottom w:val="single" w:sz="4" w:space="0" w:color="000000"/>
              <w:right w:val="single" w:sz="4" w:space="0" w:color="000000"/>
            </w:tcBorders>
          </w:tcPr>
          <w:p>
            <w:pP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105,815,501 </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3.6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125,746,896 </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5.5 </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-15.9 </w:t>
            </w:r>
          </w:p>
        </w:tc>
        <w:tc>
          <w:tcPr>
            <w:tcW w:w="77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16"/>
          <w:szCs w:val="16"/>
        </w:rPr>
      </w:pPr>
    </w:p>
    <w:p>
      <w:pPr>
        <w:pStyle w:val="BodyText"/>
        <w:spacing w:line="312" w:lineRule="exact" w:before="56"/>
        <w:ind w:left="216" w:right="6410"/>
        <w:jc w:val="left"/>
      </w:pPr>
      <w:r>
        <w:rPr/>
        <w:t>成本分析其他情况说明： 无</w:t>
      </w:r>
    </w:p>
    <w:p>
      <w:pPr>
        <w:spacing w:line="240" w:lineRule="auto" w:before="2"/>
        <w:rPr>
          <w:rFonts w:ascii="宋体" w:hAnsi="宋体" w:cs="宋体" w:eastAsia="宋体" w:hint="default"/>
          <w:sz w:val="23"/>
          <w:szCs w:val="23"/>
        </w:rPr>
      </w:pPr>
    </w:p>
    <w:p>
      <w:pPr>
        <w:pStyle w:val="Heading2"/>
        <w:spacing w:line="240" w:lineRule="auto"/>
        <w:ind w:right="0"/>
        <w:jc w:val="left"/>
        <w:rPr>
          <w:b w:val="0"/>
          <w:bCs w:val="0"/>
        </w:rPr>
      </w:pPr>
      <w:r>
        <w:rPr>
          <w:rFonts w:ascii="宋体" w:hAnsi="宋体" w:cs="宋体" w:eastAsia="宋体" w:hint="default"/>
        </w:rPr>
        <w:t>(4).</w:t>
      </w:r>
      <w:r>
        <w:rPr>
          <w:rFonts w:ascii="宋体" w:hAnsi="宋体" w:cs="宋体" w:eastAsia="宋体" w:hint="default"/>
          <w:spacing w:val="-40"/>
        </w:rPr>
        <w:t> </w:t>
      </w:r>
      <w:r>
        <w:rPr/>
        <w:t>主要销售客户及主要供应商情况</w:t>
      </w:r>
      <w:r>
        <w:rPr>
          <w:b w:val="0"/>
          <w:bCs w:val="0"/>
        </w:rPr>
      </w:r>
    </w:p>
    <w:p>
      <w:pPr>
        <w:pStyle w:val="BodyText"/>
        <w:spacing w:line="322" w:lineRule="exact" w:before="58"/>
        <w:ind w:left="216"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pStyle w:val="BodyText"/>
        <w:spacing w:line="312" w:lineRule="exact" w:before="20"/>
        <w:ind w:left="216" w:right="231" w:firstLine="480"/>
        <w:jc w:val="left"/>
        <w:rPr>
          <w:rFonts w:ascii="宋体" w:hAnsi="宋体" w:cs="宋体" w:eastAsia="宋体" w:hint="default"/>
        </w:rPr>
      </w:pPr>
      <w:r>
        <w:rPr/>
        <w:t>前五名客户销售额</w:t>
      </w:r>
      <w:r>
        <w:rPr>
          <w:spacing w:val="-61"/>
        </w:rPr>
        <w:t> </w:t>
      </w:r>
      <w:r>
        <w:rPr>
          <w:rFonts w:ascii="宋体" w:hAnsi="宋体" w:cs="宋体" w:eastAsia="宋体" w:hint="default"/>
        </w:rPr>
        <w:t>13,403</w:t>
      </w:r>
      <w:r>
        <w:rPr>
          <w:rFonts w:ascii="宋体" w:hAnsi="宋体" w:cs="宋体" w:eastAsia="宋体" w:hint="default"/>
          <w:spacing w:val="-60"/>
        </w:rPr>
        <w:t> </w:t>
      </w:r>
      <w:r>
        <w:rPr/>
        <w:t>万元，占年度销售总额</w:t>
      </w:r>
      <w:r>
        <w:rPr>
          <w:spacing w:val="-60"/>
        </w:rPr>
        <w:t> </w:t>
      </w:r>
      <w:r>
        <w:rPr>
          <w:rFonts w:ascii="宋体" w:hAnsi="宋体" w:cs="宋体" w:eastAsia="宋体" w:hint="default"/>
        </w:rPr>
        <w:t>1.6%</w:t>
      </w:r>
      <w:r>
        <w:rPr/>
        <w:t>；其中前五名客户销售额 中关联方销售额</w:t>
      </w:r>
      <w:r>
        <w:rPr>
          <w:spacing w:val="-60"/>
        </w:rPr>
        <w:t> </w:t>
      </w:r>
      <w:r>
        <w:rPr>
          <w:rFonts w:ascii="宋体" w:hAnsi="宋体" w:cs="宋体" w:eastAsia="宋体" w:hint="default"/>
        </w:rPr>
        <w:t>0</w:t>
      </w:r>
      <w:r>
        <w:rPr>
          <w:rFonts w:ascii="宋体" w:hAnsi="宋体" w:cs="宋体" w:eastAsia="宋体" w:hint="default"/>
          <w:spacing w:val="-60"/>
        </w:rPr>
        <w:t> </w:t>
      </w:r>
      <w:r>
        <w:rPr/>
        <w:t>万元，占年度销售总额</w:t>
      </w:r>
      <w:r>
        <w:rPr>
          <w:spacing w:val="-60"/>
        </w:rPr>
        <w:t> </w:t>
      </w:r>
      <w:r>
        <w:rPr>
          <w:rFonts w:ascii="宋体" w:hAnsi="宋体" w:cs="宋体" w:eastAsia="宋体" w:hint="default"/>
        </w:rPr>
        <w:t>0 %</w:t>
      </w:r>
      <w:r>
        <w:rPr/>
        <w:t>。</w:t>
      </w:r>
      <w:r>
        <w:rPr>
          <w:rFonts w:ascii="宋体" w:hAnsi="宋体" w:cs="宋体" w:eastAsia="宋体" w:hint="default"/>
        </w:rPr>
        <w:t> </w:t>
      </w:r>
    </w:p>
    <w:p>
      <w:pPr>
        <w:pStyle w:val="BodyText"/>
        <w:spacing w:line="280" w:lineRule="exact"/>
        <w:ind w:left="697" w:right="0"/>
        <w:jc w:val="left"/>
      </w:pPr>
      <w:r>
        <w:rPr/>
        <w:t>前五名供应商采购额</w:t>
      </w:r>
      <w:r>
        <w:rPr>
          <w:spacing w:val="-60"/>
        </w:rPr>
        <w:t> </w:t>
      </w:r>
      <w:r>
        <w:rPr>
          <w:rFonts w:ascii="宋体" w:hAnsi="宋体" w:cs="宋体" w:eastAsia="宋体" w:hint="default"/>
        </w:rPr>
        <w:t>24,087</w:t>
      </w:r>
      <w:r>
        <w:rPr>
          <w:rFonts w:ascii="宋体" w:hAnsi="宋体" w:cs="宋体" w:eastAsia="宋体" w:hint="default"/>
          <w:spacing w:val="-60"/>
        </w:rPr>
        <w:t> </w:t>
      </w:r>
      <w:r>
        <w:rPr/>
        <w:t>万元，占年度采购总额</w:t>
      </w:r>
      <w:r>
        <w:rPr>
          <w:spacing w:val="-60"/>
        </w:rPr>
        <w:t> </w:t>
      </w:r>
      <w:r>
        <w:rPr>
          <w:rFonts w:ascii="宋体" w:hAnsi="宋体" w:cs="宋体" w:eastAsia="宋体" w:hint="default"/>
        </w:rPr>
        <w:t>8.2%</w:t>
      </w:r>
      <w:r>
        <w:rPr/>
        <w:t>；其中前五名供应商采</w:t>
      </w:r>
    </w:p>
    <w:p>
      <w:pPr>
        <w:pStyle w:val="BodyText"/>
        <w:spacing w:line="313" w:lineRule="exact"/>
        <w:ind w:left="216" w:right="0"/>
        <w:jc w:val="left"/>
        <w:rPr>
          <w:rFonts w:ascii="宋体" w:hAnsi="宋体" w:cs="宋体" w:eastAsia="宋体" w:hint="default"/>
        </w:rPr>
      </w:pPr>
      <w:r>
        <w:rPr/>
        <w:t>购额中关联方采购额</w:t>
      </w:r>
      <w:r>
        <w:rPr>
          <w:spacing w:val="-60"/>
        </w:rPr>
        <w:t> </w:t>
      </w:r>
      <w:r>
        <w:rPr>
          <w:rFonts w:ascii="宋体" w:hAnsi="宋体" w:cs="宋体" w:eastAsia="宋体" w:hint="default"/>
        </w:rPr>
        <w:t>1,879</w:t>
      </w:r>
      <w:r>
        <w:rPr>
          <w:rFonts w:ascii="宋体" w:hAnsi="宋体" w:cs="宋体" w:eastAsia="宋体" w:hint="default"/>
          <w:spacing w:val="-60"/>
        </w:rPr>
        <w:t> </w:t>
      </w:r>
      <w:r>
        <w:rPr/>
        <w:t>万元，占年度采购总额</w:t>
      </w:r>
      <w:r>
        <w:rPr>
          <w:spacing w:val="-60"/>
        </w:rPr>
        <w:t> </w:t>
      </w:r>
      <w:r>
        <w:rPr>
          <w:rFonts w:ascii="宋体" w:hAnsi="宋体" w:cs="宋体" w:eastAsia="宋体" w:hint="default"/>
        </w:rPr>
        <w:t>0.6%</w:t>
      </w:r>
      <w:r>
        <w:rPr/>
        <w:t>。</w:t>
      </w:r>
      <w:r>
        <w:rPr>
          <w:rFonts w:ascii="宋体" w:hAnsi="宋体" w:cs="宋体" w:eastAsia="宋体" w:hint="default"/>
        </w:rPr>
        <w:t> </w:t>
      </w:r>
    </w:p>
    <w:p>
      <w:pPr>
        <w:spacing w:line="240" w:lineRule="auto" w:before="5"/>
        <w:rPr>
          <w:rFonts w:ascii="宋体" w:hAnsi="宋体" w:cs="宋体" w:eastAsia="宋体" w:hint="default"/>
          <w:sz w:val="23"/>
          <w:szCs w:val="23"/>
        </w:rPr>
      </w:pPr>
    </w:p>
    <w:p>
      <w:pPr>
        <w:pStyle w:val="BodyText"/>
        <w:spacing w:line="310" w:lineRule="exact"/>
        <w:ind w:left="697" w:right="7850" w:hanging="481"/>
        <w:jc w:val="left"/>
      </w:pPr>
      <w:r>
        <w:rPr/>
        <w:t>其他说明： 无</w:t>
      </w:r>
    </w:p>
    <w:p>
      <w:pPr>
        <w:spacing w:line="240" w:lineRule="auto" w:before="5"/>
        <w:rPr>
          <w:rFonts w:ascii="宋体" w:hAnsi="宋体" w:cs="宋体" w:eastAsia="宋体" w:hint="default"/>
          <w:sz w:val="23"/>
          <w:szCs w:val="23"/>
        </w:rPr>
      </w:pPr>
    </w:p>
    <w:p>
      <w:pPr>
        <w:pStyle w:val="Heading2"/>
        <w:spacing w:line="240" w:lineRule="auto"/>
        <w:ind w:right="0"/>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56"/>
        </w:rPr>
        <w:t> </w:t>
      </w:r>
      <w:r>
        <w:rPr/>
        <w:t>费用</w:t>
      </w:r>
      <w:r>
        <w:rPr>
          <w:rFonts w:ascii="宋体" w:hAnsi="宋体" w:cs="宋体" w:eastAsia="宋体" w:hint="default"/>
          <w:w w:val="99"/>
        </w:rPr>
        <w:t> </w:t>
      </w:r>
      <w:r>
        <w:rPr>
          <w:rFonts w:ascii="宋体" w:hAnsi="宋体" w:cs="宋体" w:eastAsia="宋体" w:hint="default"/>
          <w:b w:val="0"/>
          <w:bCs w:val="0"/>
        </w:rPr>
      </w:r>
    </w:p>
    <w:p>
      <w:pPr>
        <w:pStyle w:val="BodyText"/>
        <w:spacing w:line="321" w:lineRule="exact" w:before="58"/>
        <w:ind w:left="216"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pStyle w:val="BodyText"/>
        <w:spacing w:line="312" w:lineRule="exact" w:before="19"/>
        <w:ind w:left="216" w:right="291" w:firstLine="480"/>
        <w:jc w:val="left"/>
      </w:pPr>
      <w:r>
        <w:rPr/>
        <w:t>详见“第四节</w:t>
      </w:r>
      <w:r>
        <w:rPr>
          <w:spacing w:val="-1"/>
        </w:rPr>
        <w:t> </w:t>
      </w:r>
      <w:r>
        <w:rPr/>
        <w:t>经营情况讨论与分析”中的“二、报告期内主要经营情况”中的</w:t>
      </w:r>
      <w:r>
        <w:rPr/>
        <w:t> “（一）主营业务分析”中的“</w:t>
      </w:r>
      <w:r>
        <w:rPr>
          <w:rFonts w:ascii="Times New Roman" w:hAnsi="Times New Roman" w:cs="Times New Roman" w:eastAsia="Times New Roman" w:hint="default"/>
        </w:rPr>
        <w:t>1.</w:t>
      </w:r>
      <w:r>
        <w:rPr/>
        <w:t>利润表及现金流量表相关科目变动分析表”。</w:t>
      </w:r>
    </w:p>
    <w:p>
      <w:pPr>
        <w:spacing w:line="240" w:lineRule="auto" w:before="5"/>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footerReference w:type="default" r:id="rId23"/>
          <w:pgSz w:w="11910" w:h="16840"/>
          <w:pgMar w:footer="1195" w:header="880" w:top="1120" w:bottom="1380" w:left="1060" w:right="1560"/>
          <w:pgNumType w:start="21"/>
        </w:sectPr>
      </w:pPr>
    </w:p>
    <w:p>
      <w:pPr>
        <w:tabs>
          <w:tab w:pos="637" w:val="left" w:leader="none"/>
        </w:tabs>
        <w:spacing w:before="26"/>
        <w:ind w:left="216" w:right="-17"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4"/>
          <w:szCs w:val="24"/>
        </w:rPr>
        <w:t>研发投入</w:t>
      </w:r>
      <w:r>
        <w:rPr>
          <w:rFonts w:ascii="宋体" w:hAnsi="宋体" w:cs="宋体" w:eastAsia="宋体" w:hint="default"/>
          <w:b/>
          <w:bCs/>
          <w:w w:val="99"/>
          <w:sz w:val="21"/>
          <w:szCs w:val="21"/>
        </w:rPr>
        <w:t> </w:t>
      </w:r>
      <w:r>
        <w:rPr>
          <w:rFonts w:ascii="宋体" w:hAnsi="宋体" w:cs="宋体" w:eastAsia="宋体" w:hint="default"/>
          <w:sz w:val="21"/>
          <w:szCs w:val="21"/>
        </w:rPr>
      </w:r>
    </w:p>
    <w:p>
      <w:pPr>
        <w:spacing w:before="61"/>
        <w:ind w:left="216" w:right="-1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 </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研发投入情况表</w:t>
      </w:r>
      <w:r>
        <w:rPr>
          <w:rFonts w:ascii="宋体" w:hAnsi="宋体" w:cs="宋体" w:eastAsia="宋体" w:hint="default"/>
          <w:sz w:val="21"/>
          <w:szCs w:val="21"/>
        </w:rPr>
      </w:r>
    </w:p>
    <w:p>
      <w:pPr>
        <w:tabs>
          <w:tab w:pos="963" w:val="left" w:leader="none"/>
        </w:tabs>
        <w:spacing w:before="43"/>
        <w:ind w:left="216" w:right="-17" w:firstLine="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适用</w:t>
        <w:tab/>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8"/>
          <w:szCs w:val="28"/>
        </w:rPr>
      </w:pPr>
    </w:p>
    <w:p>
      <w:pPr>
        <w:pStyle w:val="BodyText"/>
        <w:spacing w:line="240" w:lineRule="auto"/>
        <w:ind w:left="216" w:right="0"/>
        <w:jc w:val="left"/>
      </w:pPr>
      <w:r>
        <w:rPr/>
        <w:t>单位：元</w:t>
      </w:r>
    </w:p>
    <w:p>
      <w:pPr>
        <w:spacing w:after="0" w:line="240" w:lineRule="auto"/>
        <w:jc w:val="left"/>
        <w:sectPr>
          <w:type w:val="continuous"/>
          <w:pgSz w:w="11910" w:h="16840"/>
          <w:pgMar w:top="1120" w:bottom="1380" w:left="1060" w:right="1560"/>
          <w:cols w:num="2" w:equalWidth="0">
            <w:col w:w="2099" w:space="5775"/>
            <w:col w:w="1416"/>
          </w:cols>
        </w:sectPr>
      </w:pPr>
    </w:p>
    <w:p>
      <w:pPr>
        <w:spacing w:line="240" w:lineRule="auto" w:before="3"/>
        <w:rPr>
          <w:rFonts w:ascii="宋体" w:hAnsi="宋体" w:cs="宋体" w:eastAsia="宋体" w:hint="default"/>
          <w:sz w:val="24"/>
          <w:szCs w:val="24"/>
        </w:rPr>
      </w:pPr>
    </w:p>
    <w:tbl>
      <w:tblPr>
        <w:tblW w:w="0" w:type="auto"/>
        <w:jc w:val="left"/>
        <w:tblInd w:w="103" w:type="dxa"/>
        <w:tblLayout w:type="fixed"/>
        <w:tblCellMar>
          <w:top w:w="0" w:type="dxa"/>
          <w:left w:w="0" w:type="dxa"/>
          <w:bottom w:w="0" w:type="dxa"/>
          <w:right w:w="0" w:type="dxa"/>
        </w:tblCellMar>
        <w:tblLook w:val="01E0"/>
      </w:tblPr>
      <w:tblGrid>
        <w:gridCol w:w="4794"/>
        <w:gridCol w:w="4256"/>
      </w:tblGrid>
      <w:tr>
        <w:trPr>
          <w:trHeight w:val="322" w:hRule="exact"/>
        </w:trPr>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本期费用化研发投入</w:t>
            </w:r>
          </w:p>
        </w:tc>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right"/>
              <w:rPr>
                <w:rFonts w:ascii="宋体" w:hAnsi="宋体" w:cs="宋体" w:eastAsia="宋体" w:hint="default"/>
                <w:sz w:val="21"/>
                <w:szCs w:val="21"/>
              </w:rPr>
            </w:pPr>
            <w:r>
              <w:rPr>
                <w:rFonts w:ascii="宋体"/>
                <w:sz w:val="24"/>
              </w:rPr>
              <w:t>1,469,978,643</w:t>
            </w:r>
            <w:r>
              <w:rPr>
                <w:rFonts w:ascii="宋体"/>
                <w:w w:val="100"/>
                <w:sz w:val="21"/>
              </w:rPr>
              <w:t> </w:t>
            </w:r>
          </w:p>
        </w:tc>
      </w:tr>
      <w:tr>
        <w:trPr>
          <w:trHeight w:val="322" w:hRule="exact"/>
        </w:trPr>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本期资本化研发投入</w:t>
            </w:r>
          </w:p>
        </w:tc>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right"/>
              <w:rPr>
                <w:rFonts w:ascii="宋体" w:hAnsi="宋体" w:cs="宋体" w:eastAsia="宋体" w:hint="default"/>
                <w:sz w:val="21"/>
                <w:szCs w:val="21"/>
              </w:rPr>
            </w:pPr>
            <w:r>
              <w:rPr>
                <w:rFonts w:ascii="宋体"/>
                <w:sz w:val="24"/>
              </w:rPr>
              <w:t>173,975,126</w:t>
            </w:r>
            <w:r>
              <w:rPr>
                <w:rFonts w:ascii="宋体"/>
                <w:w w:val="100"/>
                <w:sz w:val="21"/>
              </w:rPr>
              <w:t> </w:t>
            </w:r>
          </w:p>
        </w:tc>
      </w:tr>
      <w:tr>
        <w:trPr>
          <w:trHeight w:val="322" w:hRule="exact"/>
        </w:trPr>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研发投入合计</w:t>
            </w:r>
          </w:p>
        </w:tc>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right"/>
              <w:rPr>
                <w:rFonts w:ascii="宋体" w:hAnsi="宋体" w:cs="宋体" w:eastAsia="宋体" w:hint="default"/>
                <w:sz w:val="21"/>
                <w:szCs w:val="21"/>
              </w:rPr>
            </w:pPr>
            <w:r>
              <w:rPr>
                <w:rFonts w:ascii="宋体"/>
                <w:sz w:val="24"/>
              </w:rPr>
              <w:t>1,643,953,769</w:t>
            </w:r>
            <w:r>
              <w:rPr>
                <w:rFonts w:ascii="宋体"/>
                <w:w w:val="100"/>
                <w:sz w:val="21"/>
              </w:rPr>
              <w:t> </w:t>
            </w:r>
          </w:p>
        </w:tc>
      </w:tr>
      <w:tr>
        <w:trPr>
          <w:trHeight w:val="319" w:hRule="exact"/>
        </w:trPr>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宋体" w:hAnsi="宋体" w:cs="宋体" w:eastAsia="宋体" w:hint="default"/>
                <w:sz w:val="24"/>
                <w:szCs w:val="24"/>
              </w:rPr>
              <w:t>研发投入总额占营业收入比例（</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right"/>
              <w:rPr>
                <w:rFonts w:ascii="宋体" w:hAnsi="宋体" w:cs="宋体" w:eastAsia="宋体" w:hint="default"/>
                <w:sz w:val="21"/>
                <w:szCs w:val="21"/>
              </w:rPr>
            </w:pPr>
            <w:r>
              <w:rPr>
                <w:rFonts w:ascii="宋体"/>
                <w:sz w:val="24"/>
              </w:rPr>
              <w:t>19.3</w:t>
            </w:r>
            <w:r>
              <w:rPr>
                <w:rFonts w:ascii="宋体"/>
                <w:w w:val="100"/>
                <w:sz w:val="21"/>
              </w:rPr>
              <w:t> </w:t>
            </w:r>
          </w:p>
        </w:tc>
      </w:tr>
      <w:tr>
        <w:trPr>
          <w:trHeight w:val="322" w:hRule="exact"/>
        </w:trPr>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公司研发人员的数量</w:t>
            </w:r>
          </w:p>
        </w:tc>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5,184 </w:t>
            </w:r>
          </w:p>
        </w:tc>
      </w:tr>
      <w:tr>
        <w:trPr>
          <w:trHeight w:val="322" w:hRule="exact"/>
        </w:trPr>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宋体" w:hAnsi="宋体" w:cs="宋体" w:eastAsia="宋体" w:hint="default"/>
                <w:sz w:val="24"/>
                <w:szCs w:val="24"/>
              </w:rPr>
              <w:t>研发人员数量占公司总人数的比例（</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30.02 </w:t>
            </w:r>
          </w:p>
        </w:tc>
      </w:tr>
      <w:tr>
        <w:trPr>
          <w:trHeight w:val="322" w:hRule="exact"/>
        </w:trPr>
        <w:tc>
          <w:tcPr>
            <w:tcW w:w="479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宋体" w:hAnsi="宋体" w:cs="宋体" w:eastAsia="宋体" w:hint="default"/>
                <w:sz w:val="24"/>
                <w:szCs w:val="24"/>
              </w:rPr>
              <w:t>研发投入资本化的比重（</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10.6 </w:t>
            </w:r>
          </w:p>
        </w:tc>
      </w:tr>
    </w:tbl>
    <w:p>
      <w:pPr>
        <w:spacing w:line="240" w:lineRule="auto" w:before="4"/>
        <w:rPr>
          <w:rFonts w:ascii="宋体" w:hAnsi="宋体" w:cs="宋体" w:eastAsia="宋体" w:hint="default"/>
          <w:sz w:val="20"/>
          <w:szCs w:val="20"/>
        </w:rPr>
      </w:pPr>
    </w:p>
    <w:p>
      <w:pPr>
        <w:spacing w:before="36"/>
        <w:ind w:left="21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 </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情况说明</w:t>
      </w:r>
      <w:r>
        <w:rPr>
          <w:rFonts w:ascii="宋体" w:hAnsi="宋体" w:cs="宋体" w:eastAsia="宋体" w:hint="default"/>
          <w:sz w:val="21"/>
          <w:szCs w:val="21"/>
        </w:rPr>
      </w:r>
    </w:p>
    <w:p>
      <w:pPr>
        <w:spacing w:before="43"/>
        <w:ind w:left="216"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适用 </w:t>
      </w:r>
      <w:r>
        <w:rPr>
          <w:rFonts w:ascii="Times New Roman" w:hAnsi="Times New Roman" w:cs="Times New Roman" w:eastAsia="Times New Roman" w:hint="default"/>
          <w:sz w:val="21"/>
          <w:szCs w:val="21"/>
        </w:rPr>
        <w:t>□</w:t>
      </w:r>
      <w:r>
        <w:rPr>
          <w:rFonts w:ascii="宋体" w:hAnsi="宋体" w:cs="宋体" w:eastAsia="宋体" w:hint="default"/>
          <w:sz w:val="21"/>
          <w:szCs w:val="21"/>
        </w:rPr>
        <w:t>不适用</w:t>
      </w:r>
    </w:p>
    <w:p>
      <w:pPr>
        <w:pStyle w:val="BodyText"/>
        <w:spacing w:line="237" w:lineRule="auto" w:before="37"/>
        <w:ind w:left="216" w:right="1051" w:firstLine="420"/>
        <w:jc w:val="both"/>
        <w:rPr>
          <w:rFonts w:ascii="宋体" w:hAnsi="宋体" w:cs="宋体" w:eastAsia="宋体" w:hint="default"/>
        </w:rPr>
      </w:pPr>
      <w:r>
        <w:rPr>
          <w:spacing w:val="-4"/>
        </w:rPr>
        <w:t>报告期内，公司继续加大对云服务业务的研发投入，整体研发投入较</w:t>
      </w:r>
      <w:r>
        <w:rPr>
          <w:spacing w:val="-54"/>
        </w:rPr>
        <w:t> </w:t>
      </w:r>
      <w:r>
        <w:rPr>
          <w:rFonts w:ascii="宋体" w:hAnsi="宋体" w:cs="宋体" w:eastAsia="宋体" w:hint="default"/>
        </w:rPr>
        <w:t>2018</w:t>
      </w:r>
      <w:r>
        <w:rPr>
          <w:rFonts w:ascii="宋体" w:hAnsi="宋体" w:cs="宋体" w:eastAsia="宋体" w:hint="default"/>
          <w:spacing w:val="-54"/>
        </w:rPr>
        <w:t> </w:t>
      </w:r>
      <w:r>
        <w:rPr/>
        <w:t>年度增 长了</w:t>
      </w:r>
      <w:r>
        <w:rPr>
          <w:spacing w:val="-49"/>
        </w:rPr>
        <w:t> </w:t>
      </w:r>
      <w:r>
        <w:rPr>
          <w:rFonts w:ascii="宋体" w:hAnsi="宋体" w:cs="宋体" w:eastAsia="宋体" w:hint="default"/>
        </w:rPr>
        <w:t>10.6%</w:t>
      </w:r>
      <w:r>
        <w:rPr/>
        <w:t>。公司对符合资本化条件在中长期产生效益的全新形态的产品与技术研发 项目进行了研发投入资本化，资本化研发投入金额占当期研发总投入的</w:t>
      </w:r>
      <w:r>
        <w:rPr>
          <w:spacing w:val="-59"/>
        </w:rPr>
        <w:t> </w:t>
      </w:r>
      <w:r>
        <w:rPr>
          <w:rFonts w:ascii="宋体" w:hAnsi="宋体" w:cs="宋体" w:eastAsia="宋体" w:hint="default"/>
        </w:rPr>
        <w:t>10.6%</w:t>
      </w:r>
      <w:r>
        <w:rPr/>
        <w:t>。</w:t>
      </w:r>
      <w:r>
        <w:rPr>
          <w:rFonts w:ascii="宋体" w:hAnsi="宋体" w:cs="宋体" w:eastAsia="宋体" w:hint="default"/>
        </w:rPr>
        <w:t> </w:t>
      </w:r>
    </w:p>
    <w:p>
      <w:pPr>
        <w:pStyle w:val="BodyText"/>
        <w:spacing w:line="312" w:lineRule="exact"/>
        <w:ind w:left="697" w:right="0"/>
        <w:jc w:val="left"/>
        <w:rPr>
          <w:rFonts w:ascii="宋体" w:hAnsi="宋体" w:cs="宋体" w:eastAsia="宋体" w:hint="default"/>
          <w:sz w:val="22"/>
          <w:szCs w:val="22"/>
        </w:rPr>
      </w:pPr>
      <w:r>
        <w:rPr/>
        <w:t>上述研发投入不包含在研发费用归集的资本化形成的无形资产的摊销金额。</w:t>
      </w:r>
      <w:r>
        <w:rPr>
          <w:rFonts w:ascii="宋体" w:hAnsi="宋体" w:cs="宋体" w:eastAsia="宋体" w:hint="default"/>
          <w:i/>
          <w:w w:val="96"/>
          <w:sz w:val="22"/>
          <w:szCs w:val="22"/>
        </w:rPr>
        <w:t> </w:t>
      </w:r>
      <w:r>
        <w:rPr>
          <w:rFonts w:ascii="宋体" w:hAnsi="宋体" w:cs="宋体" w:eastAsia="宋体" w:hint="default"/>
          <w:sz w:val="22"/>
          <w:szCs w:val="22"/>
        </w:rPr>
      </w:r>
    </w:p>
    <w:p>
      <w:pPr>
        <w:spacing w:line="240" w:lineRule="auto" w:before="7"/>
        <w:rPr>
          <w:rFonts w:ascii="宋体" w:hAnsi="宋体" w:cs="宋体" w:eastAsia="宋体" w:hint="default"/>
          <w:i/>
          <w:sz w:val="25"/>
          <w:szCs w:val="25"/>
        </w:rPr>
      </w:pPr>
    </w:p>
    <w:p>
      <w:pPr>
        <w:pStyle w:val="Heading2"/>
        <w:spacing w:line="240" w:lineRule="auto"/>
        <w:ind w:right="0"/>
        <w:jc w:val="left"/>
        <w:rPr>
          <w:rFonts w:ascii="宋体" w:hAnsi="宋体" w:cs="宋体" w:eastAsia="宋体" w:hint="default"/>
          <w:b w:val="0"/>
          <w:bCs w:val="0"/>
        </w:rPr>
      </w:pPr>
      <w:r>
        <w:rPr>
          <w:rFonts w:ascii="宋体" w:hAnsi="宋体" w:cs="宋体" w:eastAsia="宋体" w:hint="default"/>
        </w:rPr>
        <w:t>5.</w:t>
      </w:r>
      <w:r>
        <w:rPr>
          <w:rFonts w:ascii="宋体" w:hAnsi="宋体" w:cs="宋体" w:eastAsia="宋体" w:hint="default"/>
          <w:spacing w:val="56"/>
        </w:rPr>
        <w:t> </w:t>
      </w:r>
      <w:r>
        <w:rPr/>
        <w:t>现金流</w:t>
      </w:r>
      <w:r>
        <w:rPr>
          <w:rFonts w:ascii="宋体" w:hAnsi="宋体" w:cs="宋体" w:eastAsia="宋体" w:hint="default"/>
          <w:w w:val="99"/>
        </w:rPr>
        <w:t> </w:t>
      </w:r>
      <w:r>
        <w:rPr>
          <w:rFonts w:ascii="宋体" w:hAnsi="宋体" w:cs="宋体" w:eastAsia="宋体" w:hint="default"/>
          <w:b w:val="0"/>
          <w:bCs w:val="0"/>
        </w:rPr>
      </w:r>
    </w:p>
    <w:p>
      <w:pPr>
        <w:pStyle w:val="BodyText"/>
        <w:spacing w:line="321" w:lineRule="exact" w:before="58"/>
        <w:ind w:left="216"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pStyle w:val="BodyText"/>
        <w:spacing w:line="312" w:lineRule="exact" w:before="19"/>
        <w:ind w:left="216" w:right="1058" w:firstLine="480"/>
        <w:jc w:val="both"/>
      </w:pPr>
      <w:r>
        <w:rPr/>
        <w:t>详见“第四节</w:t>
      </w:r>
      <w:r>
        <w:rPr>
          <w:spacing w:val="55"/>
        </w:rPr>
        <w:t> </w:t>
      </w:r>
      <w:r>
        <w:rPr/>
        <w:t>经营情况讨论与分析”中的“二、报告期内主要经营情况”中的</w:t>
      </w:r>
      <w:r>
        <w:rPr/>
        <w:t> “（一）主营业务分析”中的“</w:t>
      </w:r>
      <w:r>
        <w:rPr>
          <w:rFonts w:ascii="Times New Roman" w:hAnsi="Times New Roman" w:cs="Times New Roman" w:eastAsia="Times New Roman" w:hint="default"/>
        </w:rPr>
        <w:t>1.</w:t>
      </w:r>
      <w:r>
        <w:rPr/>
        <w:t>利润表及现金流量表相关科目变动分析表”。</w:t>
      </w:r>
    </w:p>
    <w:p>
      <w:pPr>
        <w:spacing w:line="240" w:lineRule="auto" w:before="4"/>
        <w:rPr>
          <w:rFonts w:ascii="宋体" w:hAnsi="宋体" w:cs="宋体" w:eastAsia="宋体" w:hint="default"/>
          <w:sz w:val="23"/>
          <w:szCs w:val="23"/>
        </w:rPr>
      </w:pPr>
    </w:p>
    <w:p>
      <w:pPr>
        <w:pStyle w:val="Heading2"/>
        <w:tabs>
          <w:tab w:pos="1057" w:val="left" w:leader="none"/>
        </w:tabs>
        <w:spacing w:line="240" w:lineRule="auto"/>
        <w:ind w:right="0"/>
        <w:jc w:val="left"/>
        <w:rPr>
          <w:b w:val="0"/>
          <w:bCs w:val="0"/>
        </w:rPr>
      </w:pPr>
      <w:r>
        <w:rPr>
          <w:rFonts w:ascii="宋体" w:hAnsi="宋体" w:cs="宋体" w:eastAsia="宋体" w:hint="default"/>
          <w:w w:val="95"/>
        </w:rPr>
        <w:t>(</w:t>
      </w:r>
      <w:r>
        <w:rPr>
          <w:w w:val="95"/>
        </w:rPr>
        <w:t>二</w:t>
      </w:r>
      <w:r>
        <w:rPr>
          <w:rFonts w:ascii="宋体" w:hAnsi="宋体" w:cs="宋体" w:eastAsia="宋体" w:hint="default"/>
          <w:w w:val="95"/>
        </w:rPr>
        <w:t>)</w:t>
        <w:tab/>
      </w:r>
      <w:r>
        <w:rPr/>
        <w:t>非主营业务导致利润重大变化的说明</w:t>
      </w:r>
      <w:r>
        <w:rPr>
          <w:b w:val="0"/>
          <w:bCs w:val="0"/>
        </w:rPr>
      </w:r>
    </w:p>
    <w:p>
      <w:pPr>
        <w:pStyle w:val="BodyText"/>
        <w:spacing w:line="240" w:lineRule="auto" w:before="55"/>
        <w:ind w:left="216"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9"/>
        <w:rPr>
          <w:rFonts w:ascii="宋体" w:hAnsi="宋体" w:cs="宋体" w:eastAsia="宋体" w:hint="default"/>
          <w:sz w:val="22"/>
          <w:szCs w:val="22"/>
        </w:rPr>
      </w:pPr>
    </w:p>
    <w:tbl>
      <w:tblPr>
        <w:tblW w:w="0" w:type="auto"/>
        <w:jc w:val="left"/>
        <w:tblInd w:w="103" w:type="dxa"/>
        <w:tblLayout w:type="fixed"/>
        <w:tblCellMar>
          <w:top w:w="0" w:type="dxa"/>
          <w:left w:w="0" w:type="dxa"/>
          <w:bottom w:w="0" w:type="dxa"/>
          <w:right w:w="0" w:type="dxa"/>
        </w:tblCellMar>
        <w:tblLook w:val="01E0"/>
      </w:tblPr>
      <w:tblGrid>
        <w:gridCol w:w="1539"/>
        <w:gridCol w:w="1858"/>
        <w:gridCol w:w="1843"/>
        <w:gridCol w:w="1419"/>
        <w:gridCol w:w="2165"/>
      </w:tblGrid>
      <w:tr>
        <w:trPr>
          <w:trHeight w:val="1255"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283" w:right="0"/>
              <w:jc w:val="left"/>
              <w:rPr>
                <w:rFonts w:ascii="宋体" w:hAnsi="宋体" w:cs="宋体" w:eastAsia="宋体" w:hint="default"/>
                <w:sz w:val="24"/>
                <w:szCs w:val="24"/>
              </w:rPr>
            </w:pPr>
            <w:r>
              <w:rPr>
                <w:rFonts w:ascii="宋体" w:hAnsi="宋体" w:cs="宋体" w:eastAsia="宋体" w:hint="default"/>
                <w:sz w:val="24"/>
                <w:szCs w:val="24"/>
              </w:rPr>
              <w:t>项目名称</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321" w:right="0"/>
              <w:jc w:val="left"/>
              <w:rPr>
                <w:rFonts w:ascii="宋体" w:hAnsi="宋体" w:cs="宋体" w:eastAsia="宋体" w:hint="default"/>
                <w:sz w:val="24"/>
                <w:szCs w:val="24"/>
              </w:rPr>
            </w:pPr>
            <w:r>
              <w:rPr>
                <w:rFonts w:ascii="宋体" w:hAnsi="宋体" w:cs="宋体" w:eastAsia="宋体" w:hint="default"/>
                <w:sz w:val="24"/>
                <w:szCs w:val="24"/>
              </w:rPr>
              <w:t>本期期末数</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316" w:right="0"/>
              <w:jc w:val="left"/>
              <w:rPr>
                <w:rFonts w:ascii="宋体" w:hAnsi="宋体" w:cs="宋体" w:eastAsia="宋体" w:hint="default"/>
                <w:sz w:val="24"/>
                <w:szCs w:val="24"/>
              </w:rPr>
            </w:pPr>
            <w:r>
              <w:rPr>
                <w:rFonts w:ascii="宋体" w:hAnsi="宋体" w:cs="宋体" w:eastAsia="宋体" w:hint="default"/>
                <w:sz w:val="24"/>
                <w:szCs w:val="24"/>
              </w:rPr>
              <w:t>上期期末数</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4"/>
                <w:szCs w:val="24"/>
              </w:rPr>
            </w:pPr>
            <w:r>
              <w:rPr>
                <w:rFonts w:ascii="宋体" w:hAnsi="宋体" w:cs="宋体" w:eastAsia="宋体" w:hint="default"/>
                <w:sz w:val="24"/>
                <w:szCs w:val="24"/>
              </w:rPr>
              <w:t>本期期末金</w:t>
            </w:r>
          </w:p>
          <w:p>
            <w:pPr>
              <w:pStyle w:val="TableParagraph"/>
              <w:spacing w:line="310" w:lineRule="exact" w:before="31"/>
              <w:ind w:left="103" w:right="103"/>
              <w:jc w:val="center"/>
              <w:rPr>
                <w:rFonts w:ascii="宋体" w:hAnsi="宋体" w:cs="宋体" w:eastAsia="宋体" w:hint="default"/>
                <w:sz w:val="24"/>
                <w:szCs w:val="24"/>
              </w:rPr>
            </w:pPr>
            <w:r>
              <w:rPr>
                <w:rFonts w:ascii="宋体" w:hAnsi="宋体" w:cs="宋体" w:eastAsia="宋体" w:hint="default"/>
                <w:sz w:val="24"/>
                <w:szCs w:val="24"/>
              </w:rPr>
              <w:t>额较上期期 末变动比例</w:t>
            </w:r>
          </w:p>
          <w:p>
            <w:pPr>
              <w:pStyle w:val="TableParagraph"/>
              <w:spacing w:line="302" w:lineRule="exact"/>
              <w:ind w:right="0"/>
              <w:jc w:val="center"/>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597" w:right="0"/>
              <w:jc w:val="left"/>
              <w:rPr>
                <w:rFonts w:ascii="宋体" w:hAnsi="宋体" w:cs="宋体" w:eastAsia="宋体" w:hint="default"/>
                <w:sz w:val="24"/>
                <w:szCs w:val="24"/>
              </w:rPr>
            </w:pPr>
            <w:r>
              <w:rPr>
                <w:rFonts w:ascii="宋体" w:hAnsi="宋体" w:cs="宋体" w:eastAsia="宋体" w:hint="default"/>
                <w:sz w:val="24"/>
                <w:szCs w:val="24"/>
              </w:rPr>
              <w:t>情况说明</w:t>
            </w:r>
          </w:p>
        </w:tc>
      </w:tr>
      <w:tr>
        <w:trPr>
          <w:trHeight w:val="943"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24"/>
                <w:sz w:val="24"/>
                <w:szCs w:val="24"/>
              </w:rPr>
              <w:t>公允价值变</w:t>
            </w:r>
            <w:r>
              <w:rPr>
                <w:rFonts w:ascii="宋体" w:hAnsi="宋体" w:cs="宋体" w:eastAsia="宋体" w:hint="default"/>
                <w:spacing w:val="-89"/>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动收益</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235,091,744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100.00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主要系公司执行新</w:t>
            </w:r>
          </w:p>
          <w:p>
            <w:pPr>
              <w:pStyle w:val="TableParagraph"/>
              <w:spacing w:line="310" w:lineRule="exact" w:before="31"/>
              <w:ind w:left="103" w:right="101"/>
              <w:jc w:val="left"/>
              <w:rPr>
                <w:rFonts w:ascii="宋体" w:hAnsi="宋体" w:cs="宋体" w:eastAsia="宋体" w:hint="default"/>
                <w:sz w:val="24"/>
                <w:szCs w:val="24"/>
              </w:rPr>
            </w:pPr>
            <w:r>
              <w:rPr>
                <w:rFonts w:ascii="宋体" w:hAnsi="宋体" w:cs="宋体" w:eastAsia="宋体" w:hint="default"/>
                <w:spacing w:val="3"/>
                <w:sz w:val="24"/>
                <w:szCs w:val="24"/>
              </w:rPr>
              <w:t>金融工具准则影响</w:t>
            </w:r>
            <w:r>
              <w:rPr>
                <w:rFonts w:ascii="宋体" w:hAnsi="宋体" w:cs="宋体" w:eastAsia="宋体" w:hint="default"/>
                <w:sz w:val="24"/>
                <w:szCs w:val="24"/>
              </w:rPr>
              <w:t> 所致。</w:t>
            </w:r>
          </w:p>
        </w:tc>
      </w:tr>
      <w:tr>
        <w:trPr>
          <w:trHeight w:val="2189"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投资收益</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287,203,202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100,555,748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185.62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3"/>
                <w:sz w:val="24"/>
                <w:szCs w:val="24"/>
              </w:rPr>
              <w:t>主要系公司本年处</w:t>
            </w:r>
          </w:p>
          <w:p>
            <w:pPr>
              <w:pStyle w:val="TableParagraph"/>
              <w:spacing w:line="237" w:lineRule="auto" w:before="1"/>
              <w:ind w:left="103" w:right="100"/>
              <w:jc w:val="both"/>
              <w:rPr>
                <w:rFonts w:ascii="宋体" w:hAnsi="宋体" w:cs="宋体" w:eastAsia="宋体" w:hint="default"/>
                <w:sz w:val="24"/>
                <w:szCs w:val="24"/>
              </w:rPr>
            </w:pPr>
            <w:r>
              <w:rPr>
                <w:rFonts w:ascii="宋体" w:hAnsi="宋体" w:cs="宋体" w:eastAsia="宋体" w:hint="default"/>
                <w:spacing w:val="3"/>
                <w:sz w:val="24"/>
                <w:szCs w:val="24"/>
              </w:rPr>
              <w:t>置随锐科技股份有</w:t>
            </w:r>
            <w:r>
              <w:rPr>
                <w:rFonts w:ascii="宋体" w:hAnsi="宋体" w:cs="宋体" w:eastAsia="宋体" w:hint="default"/>
                <w:sz w:val="24"/>
                <w:szCs w:val="24"/>
              </w:rPr>
              <w:t> </w:t>
            </w:r>
            <w:r>
              <w:rPr>
                <w:rFonts w:ascii="宋体" w:hAnsi="宋体" w:cs="宋体" w:eastAsia="宋体" w:hint="default"/>
                <w:spacing w:val="3"/>
                <w:sz w:val="24"/>
                <w:szCs w:val="24"/>
              </w:rPr>
              <w:t>限公司、北京智联</w:t>
            </w:r>
            <w:r>
              <w:rPr>
                <w:rFonts w:ascii="宋体" w:hAnsi="宋体" w:cs="宋体" w:eastAsia="宋体" w:hint="default"/>
                <w:sz w:val="24"/>
                <w:szCs w:val="24"/>
              </w:rPr>
              <w:t> 友</w:t>
            </w:r>
            <w:r>
              <w:rPr>
                <w:rFonts w:ascii="宋体" w:hAnsi="宋体" w:cs="宋体" w:eastAsia="宋体" w:hint="default"/>
                <w:spacing w:val="-75"/>
                <w:sz w:val="24"/>
                <w:szCs w:val="24"/>
              </w:rPr>
              <w:t> </w:t>
            </w:r>
            <w:r>
              <w:rPr>
                <w:rFonts w:ascii="宋体" w:hAnsi="宋体" w:cs="宋体" w:eastAsia="宋体" w:hint="default"/>
                <w:sz w:val="24"/>
                <w:szCs w:val="24"/>
              </w:rPr>
              <w:t>道</w:t>
            </w:r>
            <w:r>
              <w:rPr>
                <w:rFonts w:ascii="宋体" w:hAnsi="宋体" w:cs="宋体" w:eastAsia="宋体" w:hint="default"/>
                <w:spacing w:val="-75"/>
                <w:sz w:val="24"/>
                <w:szCs w:val="24"/>
              </w:rPr>
              <w:t> </w:t>
            </w:r>
            <w:r>
              <w:rPr>
                <w:rFonts w:ascii="宋体" w:hAnsi="宋体" w:cs="宋体" w:eastAsia="宋体" w:hint="default"/>
                <w:sz w:val="24"/>
                <w:szCs w:val="24"/>
              </w:rPr>
              <w:t>科</w:t>
            </w:r>
            <w:r>
              <w:rPr>
                <w:rFonts w:ascii="宋体" w:hAnsi="宋体" w:cs="宋体" w:eastAsia="宋体" w:hint="default"/>
                <w:spacing w:val="-75"/>
                <w:sz w:val="24"/>
                <w:szCs w:val="24"/>
              </w:rPr>
              <w:t> </w:t>
            </w:r>
            <w:r>
              <w:rPr>
                <w:rFonts w:ascii="宋体" w:hAnsi="宋体" w:cs="宋体" w:eastAsia="宋体" w:hint="default"/>
                <w:sz w:val="24"/>
                <w:szCs w:val="24"/>
              </w:rPr>
              <w:t>技</w:t>
            </w:r>
            <w:r>
              <w:rPr>
                <w:rFonts w:ascii="宋体" w:hAnsi="宋体" w:cs="宋体" w:eastAsia="宋体" w:hint="default"/>
                <w:spacing w:val="-78"/>
                <w:sz w:val="24"/>
                <w:szCs w:val="24"/>
              </w:rPr>
              <w:t> </w:t>
            </w:r>
            <w:r>
              <w:rPr>
                <w:rFonts w:ascii="宋体" w:hAnsi="宋体" w:cs="宋体" w:eastAsia="宋体" w:hint="default"/>
                <w:sz w:val="24"/>
                <w:szCs w:val="24"/>
              </w:rPr>
              <w:t>有</w:t>
            </w:r>
            <w:r>
              <w:rPr>
                <w:rFonts w:ascii="宋体" w:hAnsi="宋体" w:cs="宋体" w:eastAsia="宋体" w:hint="default"/>
                <w:spacing w:val="-75"/>
                <w:sz w:val="24"/>
                <w:szCs w:val="24"/>
              </w:rPr>
              <w:t> </w:t>
            </w:r>
            <w:r>
              <w:rPr>
                <w:rFonts w:ascii="宋体" w:hAnsi="宋体" w:cs="宋体" w:eastAsia="宋体" w:hint="default"/>
                <w:sz w:val="24"/>
                <w:szCs w:val="24"/>
              </w:rPr>
              <w:t>限</w:t>
            </w:r>
            <w:r>
              <w:rPr>
                <w:rFonts w:ascii="宋体" w:hAnsi="宋体" w:cs="宋体" w:eastAsia="宋体" w:hint="default"/>
                <w:spacing w:val="-75"/>
                <w:sz w:val="24"/>
                <w:szCs w:val="24"/>
              </w:rPr>
              <w:t> </w:t>
            </w:r>
            <w:r>
              <w:rPr>
                <w:rFonts w:ascii="宋体" w:hAnsi="宋体" w:cs="宋体" w:eastAsia="宋体" w:hint="default"/>
                <w:sz w:val="24"/>
                <w:szCs w:val="24"/>
              </w:rPr>
              <w:t>公</w:t>
            </w:r>
            <w:r>
              <w:rPr>
                <w:rFonts w:ascii="宋体" w:hAnsi="宋体" w:cs="宋体" w:eastAsia="宋体" w:hint="default"/>
                <w:sz w:val="24"/>
                <w:szCs w:val="24"/>
              </w:rPr>
              <w:t> </w:t>
            </w:r>
            <w:r>
              <w:rPr>
                <w:rFonts w:ascii="宋体" w:hAnsi="宋体" w:cs="宋体" w:eastAsia="宋体" w:hint="default"/>
                <w:spacing w:val="3"/>
                <w:sz w:val="24"/>
                <w:szCs w:val="24"/>
              </w:rPr>
              <w:t>司、创业黑马科技</w:t>
            </w:r>
            <w:r>
              <w:rPr>
                <w:rFonts w:ascii="宋体" w:hAnsi="宋体" w:cs="宋体" w:eastAsia="宋体" w:hint="default"/>
                <w:sz w:val="24"/>
                <w:szCs w:val="24"/>
              </w:rPr>
              <w:t> </w:t>
            </w:r>
            <w:r>
              <w:rPr>
                <w:rFonts w:ascii="宋体" w:hAnsi="宋体" w:cs="宋体" w:eastAsia="宋体" w:hint="default"/>
                <w:spacing w:val="3"/>
                <w:sz w:val="24"/>
                <w:szCs w:val="24"/>
              </w:rPr>
              <w:t>集团股份有限公司</w:t>
            </w:r>
            <w:r>
              <w:rPr>
                <w:rFonts w:ascii="宋体" w:hAnsi="宋体" w:cs="宋体" w:eastAsia="宋体" w:hint="default"/>
                <w:sz w:val="24"/>
                <w:szCs w:val="24"/>
              </w:rPr>
              <w:t> 等部分股权所致。</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80" w:footer="1195" w:top="1120" w:bottom="1380" w:left="1060" w:right="740"/>
        </w:sectPr>
      </w:pPr>
    </w:p>
    <w:p>
      <w:pPr>
        <w:pStyle w:val="Heading2"/>
        <w:tabs>
          <w:tab w:pos="1057" w:val="left" w:leader="none"/>
        </w:tabs>
        <w:spacing w:line="240" w:lineRule="auto" w:before="26"/>
        <w:ind w:right="-20"/>
        <w:jc w:val="left"/>
        <w:rPr>
          <w:b w:val="0"/>
          <w:bCs w:val="0"/>
        </w:rPr>
      </w:pPr>
      <w:r>
        <w:rPr>
          <w:rFonts w:ascii="宋体" w:hAnsi="宋体" w:cs="宋体" w:eastAsia="宋体" w:hint="default"/>
          <w:w w:val="95"/>
        </w:rPr>
        <w:t>(</w:t>
      </w:r>
      <w:r>
        <w:rPr>
          <w:w w:val="95"/>
        </w:rPr>
        <w:t>三</w:t>
      </w:r>
      <w:r>
        <w:rPr>
          <w:rFonts w:ascii="宋体" w:hAnsi="宋体" w:cs="宋体" w:eastAsia="宋体" w:hint="default"/>
          <w:w w:val="95"/>
        </w:rPr>
        <w:t>)</w:t>
        <w:tab/>
      </w:r>
      <w:r>
        <w:rPr/>
        <w:t>资产、负债情况分析</w:t>
      </w:r>
      <w:r>
        <w:rPr>
          <w:b w:val="0"/>
          <w:bCs w:val="0"/>
        </w:rPr>
      </w:r>
    </w:p>
    <w:p>
      <w:pPr>
        <w:pStyle w:val="BodyText"/>
        <w:tabs>
          <w:tab w:pos="1069" w:val="left" w:leader="none"/>
        </w:tabs>
        <w:spacing w:line="240" w:lineRule="auto" w:before="58"/>
        <w:ind w:left="216" w:right="-2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pStyle w:val="Heading2"/>
        <w:spacing w:line="240" w:lineRule="auto" w:before="39"/>
        <w:ind w:right="-2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60"/>
        </w:rPr>
        <w:t> </w:t>
      </w:r>
      <w:r>
        <w:rPr/>
        <w:t>资产及负债状况</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4"/>
          <w:szCs w:val="24"/>
        </w:rPr>
      </w:pPr>
      <w:r>
        <w:rPr/>
        <w:br w:type="column"/>
      </w:r>
      <w:r>
        <w:rPr>
          <w:rFonts w:ascii="宋体"/>
          <w:b/>
          <w:sz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pStyle w:val="BodyText"/>
        <w:spacing w:line="240" w:lineRule="auto" w:before="197"/>
        <w:ind w:left="216" w:right="0"/>
        <w:jc w:val="left"/>
      </w:pPr>
      <w:r>
        <w:rPr/>
        <w:t>单位：元</w:t>
      </w:r>
    </w:p>
    <w:p>
      <w:pPr>
        <w:spacing w:after="0" w:line="240" w:lineRule="auto"/>
        <w:jc w:val="left"/>
        <w:sectPr>
          <w:type w:val="continuous"/>
          <w:pgSz w:w="11910" w:h="16840"/>
          <w:pgMar w:top="1120" w:bottom="1380" w:left="1060" w:right="740"/>
          <w:cols w:num="2" w:equalWidth="0">
            <w:col w:w="3226" w:space="4648"/>
            <w:col w:w="223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448"/>
        <w:gridCol w:w="1604"/>
        <w:gridCol w:w="1018"/>
        <w:gridCol w:w="1455"/>
        <w:gridCol w:w="1166"/>
        <w:gridCol w:w="1015"/>
        <w:gridCol w:w="2180"/>
      </w:tblGrid>
      <w:tr>
        <w:trPr>
          <w:trHeight w:val="24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8" w:right="0"/>
              <w:jc w:val="left"/>
              <w:rPr>
                <w:rFonts w:ascii="宋体" w:hAnsi="宋体" w:cs="宋体" w:eastAsia="宋体" w:hint="default"/>
                <w:sz w:val="18"/>
                <w:szCs w:val="18"/>
              </w:rPr>
            </w:pPr>
            <w:r>
              <w:rPr>
                <w:rFonts w:ascii="宋体" w:hAnsi="宋体" w:cs="宋体" w:eastAsia="宋体" w:hint="default"/>
                <w:sz w:val="18"/>
                <w:szCs w:val="18"/>
              </w:rPr>
              <w:t>项目名称</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45" w:right="0"/>
              <w:jc w:val="left"/>
              <w:rPr>
                <w:rFonts w:ascii="宋体" w:hAnsi="宋体" w:cs="宋体" w:eastAsia="宋体" w:hint="default"/>
                <w:sz w:val="18"/>
                <w:szCs w:val="18"/>
              </w:rPr>
            </w:pPr>
            <w:r>
              <w:rPr>
                <w:rFonts w:ascii="宋体" w:hAnsi="宋体" w:cs="宋体" w:eastAsia="宋体" w:hint="default"/>
                <w:sz w:val="18"/>
                <w:szCs w:val="18"/>
              </w:rPr>
              <w:t>本期期末数</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41" w:right="0"/>
              <w:jc w:val="left"/>
              <w:rPr>
                <w:rFonts w:ascii="宋体" w:hAnsi="宋体" w:cs="宋体" w:eastAsia="宋体" w:hint="default"/>
                <w:sz w:val="18"/>
                <w:szCs w:val="18"/>
              </w:rPr>
            </w:pPr>
            <w:r>
              <w:rPr>
                <w:rFonts w:ascii="宋体" w:hAnsi="宋体" w:cs="宋体" w:eastAsia="宋体" w:hint="default"/>
                <w:sz w:val="18"/>
                <w:szCs w:val="18"/>
              </w:rPr>
              <w:t>本期期末</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8" w:right="0"/>
              <w:jc w:val="left"/>
              <w:rPr>
                <w:rFonts w:ascii="宋体" w:hAnsi="宋体" w:cs="宋体" w:eastAsia="宋体" w:hint="default"/>
                <w:sz w:val="18"/>
                <w:szCs w:val="18"/>
              </w:rPr>
            </w:pPr>
            <w:r>
              <w:rPr>
                <w:rFonts w:ascii="宋体" w:hAnsi="宋体" w:cs="宋体" w:eastAsia="宋体" w:hint="default"/>
                <w:sz w:val="18"/>
                <w:szCs w:val="18"/>
              </w:rPr>
              <w:t>上期期末数</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4" w:right="0"/>
              <w:jc w:val="left"/>
              <w:rPr>
                <w:rFonts w:ascii="宋体" w:hAnsi="宋体" w:cs="宋体" w:eastAsia="宋体" w:hint="default"/>
                <w:sz w:val="18"/>
                <w:szCs w:val="18"/>
              </w:rPr>
            </w:pPr>
            <w:r>
              <w:rPr>
                <w:rFonts w:ascii="宋体" w:hAnsi="宋体" w:cs="宋体" w:eastAsia="宋体" w:hint="default"/>
                <w:sz w:val="18"/>
                <w:szCs w:val="18"/>
              </w:rPr>
              <w:t>上期期末数</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9" w:right="0"/>
              <w:jc w:val="left"/>
              <w:rPr>
                <w:rFonts w:ascii="宋体" w:hAnsi="宋体" w:cs="宋体" w:eastAsia="宋体" w:hint="default"/>
                <w:sz w:val="18"/>
                <w:szCs w:val="18"/>
              </w:rPr>
            </w:pPr>
            <w:r>
              <w:rPr>
                <w:rFonts w:ascii="宋体" w:hAnsi="宋体" w:cs="宋体" w:eastAsia="宋体" w:hint="default"/>
                <w:sz w:val="18"/>
                <w:szCs w:val="18"/>
              </w:rPr>
              <w:t>本期期末</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25" w:right="0"/>
              <w:jc w:val="left"/>
              <w:rPr>
                <w:rFonts w:ascii="宋体" w:hAnsi="宋体" w:cs="宋体" w:eastAsia="宋体" w:hint="default"/>
                <w:sz w:val="18"/>
                <w:szCs w:val="18"/>
              </w:rPr>
            </w:pPr>
            <w:r>
              <w:rPr>
                <w:rFonts w:ascii="宋体" w:hAnsi="宋体" w:cs="宋体" w:eastAsia="宋体" w:hint="default"/>
                <w:sz w:val="18"/>
                <w:szCs w:val="18"/>
              </w:rPr>
              <w:t>情况说明</w:t>
            </w:r>
            <w:r>
              <w:rPr>
                <w:rFonts w:ascii="宋体" w:hAnsi="宋体" w:cs="宋体" w:eastAsia="宋体" w:hint="default"/>
                <w:b/>
                <w:bCs/>
                <w:w w:val="99"/>
                <w:sz w:val="18"/>
                <w:szCs w:val="18"/>
              </w:rPr>
              <w:t> </w:t>
            </w:r>
            <w:r>
              <w:rPr>
                <w:rFonts w:ascii="宋体" w:hAnsi="宋体" w:cs="宋体" w:eastAsia="宋体" w:hint="default"/>
                <w:sz w:val="18"/>
                <w:szCs w:val="18"/>
              </w:rPr>
            </w:r>
          </w:p>
        </w:tc>
      </w:tr>
    </w:tbl>
    <w:p>
      <w:pPr>
        <w:spacing w:after="0" w:line="205" w:lineRule="exact"/>
        <w:jc w:val="left"/>
        <w:rPr>
          <w:rFonts w:ascii="宋体" w:hAnsi="宋体" w:cs="宋体" w:eastAsia="宋体" w:hint="default"/>
          <w:sz w:val="18"/>
          <w:szCs w:val="18"/>
        </w:rPr>
        <w:sectPr>
          <w:type w:val="continuous"/>
          <w:pgSz w:w="11910" w:h="16840"/>
          <w:pgMar w:top="1120" w:bottom="1380" w:left="1060" w:right="740"/>
        </w:sectPr>
      </w:pPr>
    </w:p>
    <w:p>
      <w:pPr>
        <w:spacing w:line="240" w:lineRule="auto" w:before="3"/>
        <w:rPr>
          <w:rFonts w:ascii="宋体" w:hAnsi="宋体" w:cs="宋体" w:eastAsia="宋体" w:hint="default"/>
          <w:sz w:val="24"/>
          <w:szCs w:val="24"/>
        </w:rPr>
      </w:pPr>
    </w:p>
    <w:tbl>
      <w:tblPr>
        <w:tblW w:w="0" w:type="auto"/>
        <w:jc w:val="left"/>
        <w:tblInd w:w="103" w:type="dxa"/>
        <w:tblLayout w:type="fixed"/>
        <w:tblCellMar>
          <w:top w:w="0" w:type="dxa"/>
          <w:left w:w="0" w:type="dxa"/>
          <w:bottom w:w="0" w:type="dxa"/>
          <w:right w:w="0" w:type="dxa"/>
        </w:tblCellMar>
        <w:tblLook w:val="01E0"/>
      </w:tblPr>
      <w:tblGrid>
        <w:gridCol w:w="1448"/>
        <w:gridCol w:w="1604"/>
        <w:gridCol w:w="1018"/>
        <w:gridCol w:w="1455"/>
        <w:gridCol w:w="1166"/>
        <w:gridCol w:w="1015"/>
        <w:gridCol w:w="2180"/>
      </w:tblGrid>
      <w:tr>
        <w:trPr>
          <w:trHeight w:val="944" w:hRule="exact"/>
        </w:trPr>
        <w:tc>
          <w:tcPr>
            <w:tcW w:w="1448"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sz w:val="18"/>
                <w:szCs w:val="18"/>
              </w:rPr>
              <w:t>数占总资</w:t>
            </w:r>
          </w:p>
          <w:p>
            <w:pPr>
              <w:pStyle w:val="TableParagraph"/>
              <w:spacing w:line="234" w:lineRule="exact"/>
              <w:ind w:right="2"/>
              <w:jc w:val="center"/>
              <w:rPr>
                <w:rFonts w:ascii="宋体" w:hAnsi="宋体" w:cs="宋体" w:eastAsia="宋体" w:hint="default"/>
                <w:sz w:val="18"/>
                <w:szCs w:val="18"/>
              </w:rPr>
            </w:pPr>
            <w:r>
              <w:rPr>
                <w:rFonts w:ascii="宋体" w:hAnsi="宋体" w:cs="宋体" w:eastAsia="宋体" w:hint="default"/>
                <w:sz w:val="18"/>
                <w:szCs w:val="18"/>
              </w:rPr>
              <w:t>产的比例</w:t>
            </w:r>
          </w:p>
          <w:p>
            <w:pPr>
              <w:pStyle w:val="TableParagraph"/>
              <w:spacing w:line="240" w:lineRule="auto"/>
              <w:ind w:left="85"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455"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70" w:right="0" w:hanging="46"/>
              <w:jc w:val="left"/>
              <w:rPr>
                <w:rFonts w:ascii="宋体" w:hAnsi="宋体" w:cs="宋体" w:eastAsia="宋体" w:hint="default"/>
                <w:sz w:val="18"/>
                <w:szCs w:val="18"/>
              </w:rPr>
            </w:pPr>
            <w:r>
              <w:rPr>
                <w:rFonts w:ascii="宋体" w:hAnsi="宋体" w:cs="宋体" w:eastAsia="宋体" w:hint="default"/>
                <w:sz w:val="18"/>
                <w:szCs w:val="18"/>
              </w:rPr>
              <w:t>占总资产的</w:t>
            </w:r>
          </w:p>
          <w:p>
            <w:pPr>
              <w:pStyle w:val="TableParagraph"/>
              <w:spacing w:line="234" w:lineRule="exact"/>
              <w:ind w:left="170"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5"/>
              <w:jc w:val="center"/>
              <w:rPr>
                <w:rFonts w:ascii="宋体" w:hAnsi="宋体" w:cs="宋体" w:eastAsia="宋体" w:hint="default"/>
                <w:sz w:val="18"/>
                <w:szCs w:val="18"/>
              </w:rPr>
            </w:pPr>
            <w:r>
              <w:rPr>
                <w:rFonts w:ascii="宋体" w:hAnsi="宋体" w:cs="宋体" w:eastAsia="宋体" w:hint="default"/>
                <w:sz w:val="18"/>
                <w:szCs w:val="18"/>
              </w:rPr>
              <w:t>金额较上</w:t>
            </w:r>
          </w:p>
          <w:p>
            <w:pPr>
              <w:pStyle w:val="TableParagraph"/>
              <w:spacing w:line="240" w:lineRule="auto"/>
              <w:ind w:left="139" w:right="144"/>
              <w:jc w:val="center"/>
              <w:rPr>
                <w:rFonts w:ascii="宋体" w:hAnsi="宋体" w:cs="宋体" w:eastAsia="宋体" w:hint="default"/>
                <w:sz w:val="18"/>
                <w:szCs w:val="18"/>
              </w:rPr>
            </w:pPr>
            <w:r>
              <w:rPr>
                <w:rFonts w:ascii="宋体" w:hAnsi="宋体" w:cs="宋体" w:eastAsia="宋体" w:hint="default"/>
                <w:sz w:val="18"/>
                <w:szCs w:val="18"/>
              </w:rPr>
              <w:t>期期末变 动比例</w:t>
            </w:r>
          </w:p>
          <w:p>
            <w:pPr>
              <w:pStyle w:val="TableParagraph"/>
              <w:spacing w:line="233" w:lineRule="exact"/>
              <w:ind w:left="8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180"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交</w:t>
            </w:r>
            <w:r>
              <w:rPr>
                <w:rFonts w:ascii="宋体" w:hAnsi="宋体" w:cs="宋体" w:eastAsia="宋体" w:hint="default"/>
                <w:spacing w:val="-60"/>
                <w:sz w:val="18"/>
                <w:szCs w:val="18"/>
              </w:rPr>
              <w:t> </w:t>
            </w:r>
            <w:r>
              <w:rPr>
                <w:rFonts w:ascii="宋体" w:hAnsi="宋体" w:cs="宋体" w:eastAsia="宋体" w:hint="default"/>
                <w:sz w:val="18"/>
                <w:szCs w:val="18"/>
              </w:rPr>
              <w:t>易</w:t>
            </w:r>
            <w:r>
              <w:rPr>
                <w:rFonts w:ascii="宋体" w:hAnsi="宋体" w:cs="宋体" w:eastAsia="宋体" w:hint="default"/>
                <w:spacing w:val="-60"/>
                <w:sz w:val="18"/>
                <w:szCs w:val="18"/>
              </w:rPr>
              <w:t> </w:t>
            </w:r>
            <w:r>
              <w:rPr>
                <w:rFonts w:ascii="宋体" w:hAnsi="宋体" w:cs="宋体" w:eastAsia="宋体" w:hint="default"/>
                <w:sz w:val="18"/>
                <w:szCs w:val="18"/>
              </w:rPr>
              <w:t>性</w:t>
            </w:r>
            <w:r>
              <w:rPr>
                <w:rFonts w:ascii="宋体" w:hAnsi="宋体" w:cs="宋体" w:eastAsia="宋体" w:hint="default"/>
                <w:spacing w:val="-60"/>
                <w:sz w:val="18"/>
                <w:szCs w:val="18"/>
              </w:rPr>
              <w:t> </w:t>
            </w:r>
            <w:r>
              <w:rPr>
                <w:rFonts w:ascii="宋体" w:hAnsi="宋体" w:cs="宋体" w:eastAsia="宋体" w:hint="default"/>
                <w:sz w:val="18"/>
                <w:szCs w:val="18"/>
              </w:rPr>
              <w:t>金</w:t>
            </w:r>
            <w:r>
              <w:rPr>
                <w:rFonts w:ascii="宋体" w:hAnsi="宋体" w:cs="宋体" w:eastAsia="宋体" w:hint="default"/>
                <w:spacing w:val="-62"/>
                <w:sz w:val="18"/>
                <w:szCs w:val="18"/>
              </w:rPr>
              <w:t> </w:t>
            </w:r>
            <w:r>
              <w:rPr>
                <w:rFonts w:ascii="宋体" w:hAnsi="宋体" w:cs="宋体" w:eastAsia="宋体" w:hint="default"/>
                <w:sz w:val="18"/>
                <w:szCs w:val="18"/>
              </w:rPr>
              <w:t>融</w:t>
            </w:r>
            <w:r>
              <w:rPr>
                <w:rFonts w:ascii="宋体" w:hAnsi="宋体" w:cs="宋体" w:eastAsia="宋体" w:hint="default"/>
                <w:spacing w:val="-60"/>
                <w:sz w:val="18"/>
                <w:szCs w:val="18"/>
              </w:rPr>
              <w:t> </w:t>
            </w:r>
            <w:r>
              <w:rPr>
                <w:rFonts w:ascii="宋体" w:hAnsi="宋体" w:cs="宋体" w:eastAsia="宋体" w:hint="default"/>
                <w:sz w:val="18"/>
                <w:szCs w:val="18"/>
              </w:rPr>
              <w:t>资</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221,059,354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1.26</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pacing w:val="15"/>
                <w:sz w:val="18"/>
                <w:szCs w:val="18"/>
              </w:rPr>
              <w:t>主要系年初公司执行新</w:t>
            </w:r>
          </w:p>
          <w:p>
            <w:pPr>
              <w:pStyle w:val="TableParagraph"/>
              <w:spacing w:line="232" w:lineRule="exact" w:before="24"/>
              <w:ind w:left="103" w:right="105"/>
              <w:jc w:val="both"/>
              <w:rPr>
                <w:rFonts w:ascii="宋体" w:hAnsi="宋体" w:cs="宋体" w:eastAsia="宋体" w:hint="default"/>
                <w:sz w:val="18"/>
                <w:szCs w:val="18"/>
              </w:rPr>
            </w:pPr>
            <w:r>
              <w:rPr>
                <w:rFonts w:ascii="宋体" w:hAnsi="宋体" w:cs="宋体" w:eastAsia="宋体" w:hint="default"/>
                <w:spacing w:val="15"/>
                <w:sz w:val="18"/>
                <w:szCs w:val="18"/>
              </w:rPr>
              <w:t>金融工具准则的重分类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5"/>
                <w:sz w:val="18"/>
                <w:szCs w:val="18"/>
              </w:rPr>
              <w:t>以及当期理财产品增加</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致。</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预付款项</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90,457,997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0.52</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65,643,720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0.43</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37.80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主要系预付外包成本和</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预付货款增加所致。</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持有待售资产</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53,557,307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0.31</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主要系处置三亚房产未</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完成交割所致。</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可</w:t>
            </w:r>
            <w:r>
              <w:rPr>
                <w:rFonts w:ascii="宋体" w:hAnsi="宋体" w:cs="宋体" w:eastAsia="宋体" w:hint="default"/>
                <w:spacing w:val="-60"/>
                <w:sz w:val="18"/>
                <w:szCs w:val="18"/>
              </w:rPr>
              <w:t> </w:t>
            </w:r>
            <w:r>
              <w:rPr>
                <w:rFonts w:ascii="宋体" w:hAnsi="宋体" w:cs="宋体" w:eastAsia="宋体" w:hint="default"/>
                <w:sz w:val="18"/>
                <w:szCs w:val="18"/>
              </w:rPr>
              <w:t>供</w:t>
            </w:r>
            <w:r>
              <w:rPr>
                <w:rFonts w:ascii="宋体" w:hAnsi="宋体" w:cs="宋体" w:eastAsia="宋体" w:hint="default"/>
                <w:spacing w:val="-60"/>
                <w:sz w:val="18"/>
                <w:szCs w:val="18"/>
              </w:rPr>
              <w:t> </w:t>
            </w:r>
            <w:r>
              <w:rPr>
                <w:rFonts w:ascii="宋体" w:hAnsi="宋体" w:cs="宋体" w:eastAsia="宋体" w:hint="default"/>
                <w:sz w:val="18"/>
                <w:szCs w:val="18"/>
              </w:rPr>
              <w:t>出</w:t>
            </w:r>
            <w:r>
              <w:rPr>
                <w:rFonts w:ascii="宋体" w:hAnsi="宋体" w:cs="宋体" w:eastAsia="宋体" w:hint="default"/>
                <w:spacing w:val="-60"/>
                <w:sz w:val="18"/>
                <w:szCs w:val="18"/>
              </w:rPr>
              <w:t> </w:t>
            </w:r>
            <w:r>
              <w:rPr>
                <w:rFonts w:ascii="宋体" w:hAnsi="宋体" w:cs="宋体" w:eastAsia="宋体" w:hint="default"/>
                <w:sz w:val="18"/>
                <w:szCs w:val="18"/>
              </w:rPr>
              <w:t>售</w:t>
            </w:r>
            <w:r>
              <w:rPr>
                <w:rFonts w:ascii="宋体" w:hAnsi="宋体" w:cs="宋体" w:eastAsia="宋体" w:hint="default"/>
                <w:spacing w:val="-62"/>
                <w:sz w:val="18"/>
                <w:szCs w:val="18"/>
              </w:rPr>
              <w:t> </w:t>
            </w:r>
            <w:r>
              <w:rPr>
                <w:rFonts w:ascii="宋体" w:hAnsi="宋体" w:cs="宋体" w:eastAsia="宋体" w:hint="default"/>
                <w:sz w:val="18"/>
                <w:szCs w:val="18"/>
              </w:rPr>
              <w:t>金</w:t>
            </w:r>
            <w:r>
              <w:rPr>
                <w:rFonts w:ascii="宋体" w:hAnsi="宋体" w:cs="宋体" w:eastAsia="宋体" w:hint="default"/>
                <w:spacing w:val="-60"/>
                <w:sz w:val="18"/>
                <w:szCs w:val="18"/>
              </w:rPr>
              <w:t> </w:t>
            </w:r>
            <w:r>
              <w:rPr>
                <w:rFonts w:ascii="宋体" w:hAnsi="宋体" w:cs="宋体" w:eastAsia="宋体" w:hint="default"/>
                <w:sz w:val="18"/>
                <w:szCs w:val="18"/>
              </w:rPr>
              <w:t>融</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资产</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677,081,266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4.45</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主要系年初公司执行新</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金融工具准则影响。</w:t>
            </w:r>
            <w:r>
              <w:rPr>
                <w:rFonts w:ascii="宋体" w:hAnsi="宋体" w:cs="宋体" w:eastAsia="宋体" w:hint="default"/>
                <w:sz w:val="18"/>
                <w:szCs w:val="18"/>
              </w:rPr>
              <w:t>   </w:t>
            </w:r>
          </w:p>
        </w:tc>
      </w:tr>
      <w:tr>
        <w:trPr>
          <w:trHeight w:val="711"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26,029,129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0.15</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主要系处置子公司应收</w:t>
            </w:r>
          </w:p>
          <w:p>
            <w:pPr>
              <w:pStyle w:val="TableParagraph"/>
              <w:spacing w:line="234" w:lineRule="exact" w:before="21"/>
              <w:ind w:left="103" w:right="105"/>
              <w:jc w:val="left"/>
              <w:rPr>
                <w:rFonts w:ascii="宋体" w:hAnsi="宋体" w:cs="宋体" w:eastAsia="宋体" w:hint="default"/>
                <w:sz w:val="18"/>
                <w:szCs w:val="18"/>
              </w:rPr>
            </w:pPr>
            <w:r>
              <w:rPr>
                <w:rFonts w:ascii="宋体" w:hAnsi="宋体" w:cs="宋体" w:eastAsia="宋体" w:hint="default"/>
                <w:spacing w:val="15"/>
                <w:sz w:val="18"/>
                <w:szCs w:val="18"/>
              </w:rPr>
              <w:t>款和股份支付下信托机</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构持有款项。</w:t>
            </w:r>
            <w:r>
              <w:rPr>
                <w:rFonts w:ascii="宋体" w:hAnsi="宋体" w:cs="宋体" w:eastAsia="宋体" w:hint="default"/>
                <w:sz w:val="18"/>
                <w:szCs w:val="18"/>
              </w:rPr>
              <w:t> </w:t>
            </w:r>
          </w:p>
        </w:tc>
      </w:tr>
      <w:tr>
        <w:trPr>
          <w:trHeight w:val="70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60"/>
                <w:sz w:val="18"/>
                <w:szCs w:val="18"/>
              </w:rPr>
              <w:t> </w:t>
            </w:r>
            <w:r>
              <w:rPr>
                <w:rFonts w:ascii="宋体" w:hAnsi="宋体" w:cs="宋体" w:eastAsia="宋体" w:hint="default"/>
                <w:sz w:val="18"/>
                <w:szCs w:val="18"/>
              </w:rPr>
              <w:t>他</w:t>
            </w:r>
            <w:r>
              <w:rPr>
                <w:rFonts w:ascii="宋体" w:hAnsi="宋体" w:cs="宋体" w:eastAsia="宋体" w:hint="default"/>
                <w:spacing w:val="-60"/>
                <w:sz w:val="18"/>
                <w:szCs w:val="18"/>
              </w:rPr>
              <w:t> </w:t>
            </w:r>
            <w:r>
              <w:rPr>
                <w:rFonts w:ascii="宋体" w:hAnsi="宋体" w:cs="宋体" w:eastAsia="宋体" w:hint="default"/>
                <w:sz w:val="18"/>
                <w:szCs w:val="18"/>
              </w:rPr>
              <w:t>非</w:t>
            </w:r>
            <w:r>
              <w:rPr>
                <w:rFonts w:ascii="宋体" w:hAnsi="宋体" w:cs="宋体" w:eastAsia="宋体" w:hint="default"/>
                <w:spacing w:val="-60"/>
                <w:sz w:val="18"/>
                <w:szCs w:val="18"/>
              </w:rPr>
              <w:t> </w:t>
            </w:r>
            <w:r>
              <w:rPr>
                <w:rFonts w:ascii="宋体" w:hAnsi="宋体" w:cs="宋体" w:eastAsia="宋体" w:hint="default"/>
                <w:sz w:val="18"/>
                <w:szCs w:val="18"/>
              </w:rPr>
              <w:t>流</w:t>
            </w:r>
            <w:r>
              <w:rPr>
                <w:rFonts w:ascii="宋体" w:hAnsi="宋体" w:cs="宋体" w:eastAsia="宋体" w:hint="default"/>
                <w:spacing w:val="-62"/>
                <w:sz w:val="18"/>
                <w:szCs w:val="18"/>
              </w:rPr>
              <w:t> </w:t>
            </w:r>
            <w:r>
              <w:rPr>
                <w:rFonts w:ascii="宋体" w:hAnsi="宋体" w:cs="宋体" w:eastAsia="宋体" w:hint="default"/>
                <w:sz w:val="18"/>
                <w:szCs w:val="18"/>
              </w:rPr>
              <w:t>动</w:t>
            </w:r>
            <w:r>
              <w:rPr>
                <w:rFonts w:ascii="宋体" w:hAnsi="宋体" w:cs="宋体" w:eastAsia="宋体" w:hint="default"/>
                <w:spacing w:val="-60"/>
                <w:sz w:val="18"/>
                <w:szCs w:val="18"/>
              </w:rPr>
              <w:t> </w:t>
            </w:r>
            <w:r>
              <w:rPr>
                <w:rFonts w:ascii="宋体" w:hAnsi="宋体" w:cs="宋体" w:eastAsia="宋体" w:hint="default"/>
                <w:sz w:val="18"/>
                <w:szCs w:val="18"/>
              </w:rPr>
              <w:t>金</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融资产</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1,069,298,248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6.10</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主要系年初公司执行新</w:t>
            </w:r>
          </w:p>
          <w:p>
            <w:pPr>
              <w:pStyle w:val="TableParagraph"/>
              <w:spacing w:line="232" w:lineRule="exact" w:before="23"/>
              <w:ind w:left="103" w:right="105"/>
              <w:jc w:val="left"/>
              <w:rPr>
                <w:rFonts w:ascii="宋体" w:hAnsi="宋体" w:cs="宋体" w:eastAsia="宋体" w:hint="default"/>
                <w:sz w:val="18"/>
                <w:szCs w:val="18"/>
              </w:rPr>
            </w:pPr>
            <w:r>
              <w:rPr>
                <w:rFonts w:ascii="宋体" w:hAnsi="宋体" w:cs="宋体" w:eastAsia="宋体" w:hint="default"/>
                <w:spacing w:val="15"/>
                <w:sz w:val="18"/>
                <w:szCs w:val="18"/>
              </w:rPr>
              <w:t>金融工具准则影响及当</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期新增投资所致。</w:t>
            </w:r>
            <w:r>
              <w:rPr>
                <w:rFonts w:ascii="宋体" w:hAnsi="宋体" w:cs="宋体" w:eastAsia="宋体" w:hint="default"/>
                <w:sz w:val="18"/>
                <w:szCs w:val="18"/>
              </w:rPr>
              <w:t>   </w:t>
            </w:r>
          </w:p>
        </w:tc>
      </w:tr>
      <w:tr>
        <w:trPr>
          <w:trHeight w:val="710"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在建工程</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446,130,020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2.93</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主要系公司在建工程达</w:t>
            </w:r>
          </w:p>
          <w:p>
            <w:pPr>
              <w:pStyle w:val="TableParagraph"/>
              <w:spacing w:line="232" w:lineRule="exact" w:before="23"/>
              <w:ind w:left="103" w:right="56"/>
              <w:jc w:val="left"/>
              <w:rPr>
                <w:rFonts w:ascii="宋体" w:hAnsi="宋体" w:cs="宋体" w:eastAsia="宋体" w:hint="default"/>
                <w:sz w:val="18"/>
                <w:szCs w:val="18"/>
              </w:rPr>
            </w:pPr>
            <w:r>
              <w:rPr>
                <w:rFonts w:ascii="宋体" w:hAnsi="宋体" w:cs="宋体" w:eastAsia="宋体" w:hint="default"/>
                <w:spacing w:val="38"/>
                <w:sz w:val="18"/>
                <w:szCs w:val="18"/>
              </w:rPr>
              <w:t>到可使用状态转固所</w:t>
            </w:r>
            <w:r>
              <w:rPr>
                <w:rFonts w:ascii="宋体" w:hAnsi="宋体" w:cs="宋体" w:eastAsia="宋体" w:hint="default"/>
                <w:spacing w:val="-47"/>
                <w:sz w:val="18"/>
                <w:szCs w:val="18"/>
              </w:rPr>
              <w:t> </w:t>
            </w:r>
            <w:r>
              <w:rPr>
                <w:rFonts w:ascii="宋体" w:hAnsi="宋体" w:cs="宋体" w:eastAsia="宋体" w:hint="default"/>
                <w:sz w:val="18"/>
                <w:szCs w:val="18"/>
              </w:rPr>
              <w:t>致。</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开发支出</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41,091,121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0.27</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主要系本年开发支出结</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转无形资产所致。</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w:t>
            </w:r>
            <w:r>
              <w:rPr>
                <w:rFonts w:ascii="宋体" w:hAnsi="宋体" w:cs="宋体" w:eastAsia="宋体" w:hint="default"/>
                <w:spacing w:val="-60"/>
                <w:sz w:val="18"/>
                <w:szCs w:val="18"/>
              </w:rPr>
              <w:t> </w:t>
            </w:r>
            <w:r>
              <w:rPr>
                <w:rFonts w:ascii="宋体" w:hAnsi="宋体" w:cs="宋体" w:eastAsia="宋体" w:hint="default"/>
                <w:sz w:val="18"/>
                <w:szCs w:val="18"/>
              </w:rPr>
              <w:t>他</w:t>
            </w:r>
            <w:r>
              <w:rPr>
                <w:rFonts w:ascii="宋体" w:hAnsi="宋体" w:cs="宋体" w:eastAsia="宋体" w:hint="default"/>
                <w:spacing w:val="-60"/>
                <w:sz w:val="18"/>
                <w:szCs w:val="18"/>
              </w:rPr>
              <w:t> </w:t>
            </w:r>
            <w:r>
              <w:rPr>
                <w:rFonts w:ascii="宋体" w:hAnsi="宋体" w:cs="宋体" w:eastAsia="宋体" w:hint="default"/>
                <w:sz w:val="18"/>
                <w:szCs w:val="18"/>
              </w:rPr>
              <w:t>非</w:t>
            </w:r>
            <w:r>
              <w:rPr>
                <w:rFonts w:ascii="宋体" w:hAnsi="宋体" w:cs="宋体" w:eastAsia="宋体" w:hint="default"/>
                <w:spacing w:val="-60"/>
                <w:sz w:val="18"/>
                <w:szCs w:val="18"/>
              </w:rPr>
              <w:t> </w:t>
            </w:r>
            <w:r>
              <w:rPr>
                <w:rFonts w:ascii="宋体" w:hAnsi="宋体" w:cs="宋体" w:eastAsia="宋体" w:hint="default"/>
                <w:sz w:val="18"/>
                <w:szCs w:val="18"/>
              </w:rPr>
              <w:t>流</w:t>
            </w:r>
            <w:r>
              <w:rPr>
                <w:rFonts w:ascii="宋体" w:hAnsi="宋体" w:cs="宋体" w:eastAsia="宋体" w:hint="default"/>
                <w:spacing w:val="-62"/>
                <w:sz w:val="18"/>
                <w:szCs w:val="18"/>
              </w:rPr>
              <w:t> </w:t>
            </w:r>
            <w:r>
              <w:rPr>
                <w:rFonts w:ascii="宋体" w:hAnsi="宋体" w:cs="宋体" w:eastAsia="宋体" w:hint="default"/>
                <w:sz w:val="18"/>
                <w:szCs w:val="18"/>
              </w:rPr>
              <w:t>动</w:t>
            </w:r>
            <w:r>
              <w:rPr>
                <w:rFonts w:ascii="宋体" w:hAnsi="宋体" w:cs="宋体" w:eastAsia="宋体" w:hint="default"/>
                <w:spacing w:val="-60"/>
                <w:sz w:val="18"/>
                <w:szCs w:val="18"/>
              </w:rPr>
              <w:t> </w:t>
            </w:r>
            <w:r>
              <w:rPr>
                <w:rFonts w:ascii="宋体" w:hAnsi="宋体" w:cs="宋体" w:eastAsia="宋体" w:hint="default"/>
                <w:sz w:val="18"/>
                <w:szCs w:val="18"/>
              </w:rPr>
              <w:t>资</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69,489,140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0.40</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主要系股权投资款、基建</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及装修款所致。</w:t>
            </w:r>
            <w:r>
              <w:rPr>
                <w:rFonts w:ascii="宋体" w:hAnsi="宋体" w:cs="宋体" w:eastAsia="宋体" w:hint="default"/>
                <w:spacing w:val="-44"/>
                <w:sz w:val="18"/>
                <w:szCs w:val="18"/>
              </w:rPr>
              <w:t> </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短期借款</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4,235,544,650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24.15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3,156,404,000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20.74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34.19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主要系报告期取得短期</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借款增加所致。</w:t>
            </w:r>
            <w:r>
              <w:rPr>
                <w:rFonts w:ascii="宋体" w:hAnsi="宋体" w:cs="宋体" w:eastAsia="宋体" w:hint="default"/>
                <w:spacing w:val="-44"/>
                <w:sz w:val="18"/>
                <w:szCs w:val="18"/>
              </w:rPr>
              <w:t> </w:t>
            </w:r>
            <w:r>
              <w:rPr>
                <w:rFonts w:ascii="宋体" w:hAnsi="宋体" w:cs="宋体" w:eastAsia="宋体" w:hint="default"/>
                <w:sz w:val="18"/>
                <w:szCs w:val="18"/>
              </w:rPr>
              <w:t> </w:t>
            </w:r>
          </w:p>
        </w:tc>
      </w:tr>
      <w:tr>
        <w:trPr>
          <w:trHeight w:val="47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交</w:t>
            </w:r>
            <w:r>
              <w:rPr>
                <w:rFonts w:ascii="宋体" w:hAnsi="宋体" w:cs="宋体" w:eastAsia="宋体" w:hint="default"/>
                <w:spacing w:val="-60"/>
                <w:sz w:val="18"/>
                <w:szCs w:val="18"/>
              </w:rPr>
              <w:t> </w:t>
            </w:r>
            <w:r>
              <w:rPr>
                <w:rFonts w:ascii="宋体" w:hAnsi="宋体" w:cs="宋体" w:eastAsia="宋体" w:hint="default"/>
                <w:sz w:val="18"/>
                <w:szCs w:val="18"/>
              </w:rPr>
              <w:t>易</w:t>
            </w:r>
            <w:r>
              <w:rPr>
                <w:rFonts w:ascii="宋体" w:hAnsi="宋体" w:cs="宋体" w:eastAsia="宋体" w:hint="default"/>
                <w:spacing w:val="-60"/>
                <w:sz w:val="18"/>
                <w:szCs w:val="18"/>
              </w:rPr>
              <w:t> </w:t>
            </w:r>
            <w:r>
              <w:rPr>
                <w:rFonts w:ascii="宋体" w:hAnsi="宋体" w:cs="宋体" w:eastAsia="宋体" w:hint="default"/>
                <w:sz w:val="18"/>
                <w:szCs w:val="18"/>
              </w:rPr>
              <w:t>性</w:t>
            </w:r>
            <w:r>
              <w:rPr>
                <w:rFonts w:ascii="宋体" w:hAnsi="宋体" w:cs="宋体" w:eastAsia="宋体" w:hint="default"/>
                <w:spacing w:val="-60"/>
                <w:sz w:val="18"/>
                <w:szCs w:val="18"/>
              </w:rPr>
              <w:t> </w:t>
            </w:r>
            <w:r>
              <w:rPr>
                <w:rFonts w:ascii="宋体" w:hAnsi="宋体" w:cs="宋体" w:eastAsia="宋体" w:hint="default"/>
                <w:sz w:val="18"/>
                <w:szCs w:val="18"/>
              </w:rPr>
              <w:t>金</w:t>
            </w:r>
            <w:r>
              <w:rPr>
                <w:rFonts w:ascii="宋体" w:hAnsi="宋体" w:cs="宋体" w:eastAsia="宋体" w:hint="default"/>
                <w:spacing w:val="-62"/>
                <w:sz w:val="18"/>
                <w:szCs w:val="18"/>
              </w:rPr>
              <w:t> </w:t>
            </w:r>
            <w:r>
              <w:rPr>
                <w:rFonts w:ascii="宋体" w:hAnsi="宋体" w:cs="宋体" w:eastAsia="宋体" w:hint="default"/>
                <w:sz w:val="18"/>
                <w:szCs w:val="18"/>
              </w:rPr>
              <w:t>融</w:t>
            </w:r>
            <w:r>
              <w:rPr>
                <w:rFonts w:ascii="宋体" w:hAnsi="宋体" w:cs="宋体" w:eastAsia="宋体" w:hint="default"/>
                <w:spacing w:val="-60"/>
                <w:sz w:val="18"/>
                <w:szCs w:val="18"/>
              </w:rPr>
              <w:t> </w:t>
            </w:r>
            <w:r>
              <w:rPr>
                <w:rFonts w:ascii="宋体" w:hAnsi="宋体" w:cs="宋体" w:eastAsia="宋体" w:hint="default"/>
                <w:sz w:val="18"/>
                <w:szCs w:val="18"/>
              </w:rPr>
              <w:t>负</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债</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6,658,487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0.04</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主要系公司执行新金融</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工具准则所致。</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597,049,158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3.40</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455,622,484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2.99</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31.04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主要系外包成本增加所</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致。</w:t>
            </w:r>
            <w:r>
              <w:rPr>
                <w:rFonts w:ascii="宋体" w:hAnsi="宋体" w:cs="宋体" w:eastAsia="宋体" w:hint="default"/>
                <w:spacing w:val="-44"/>
                <w:sz w:val="18"/>
                <w:szCs w:val="18"/>
              </w:rPr>
              <w:t> </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1,332,754,020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7.60</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840,741,172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5.52</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58.52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主要系报告期内备付金</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款项增加所致。</w:t>
            </w:r>
            <w:r>
              <w:rPr>
                <w:rFonts w:ascii="宋体" w:hAnsi="宋体" w:cs="宋体" w:eastAsia="宋体" w:hint="default"/>
                <w:spacing w:val="-44"/>
                <w:sz w:val="18"/>
                <w:szCs w:val="18"/>
              </w:rPr>
              <w:t> </w:t>
            </w:r>
            <w:r>
              <w:rPr>
                <w:rFonts w:ascii="宋体" w:hAnsi="宋体" w:cs="宋体" w:eastAsia="宋体" w:hint="default"/>
                <w:sz w:val="18"/>
                <w:szCs w:val="18"/>
              </w:rPr>
              <w:t> </w:t>
            </w:r>
          </w:p>
        </w:tc>
      </w:tr>
      <w:tr>
        <w:trPr>
          <w:trHeight w:val="47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60"/>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宋体" w:hAnsi="宋体" w:cs="宋体" w:eastAsia="宋体" w:hint="default"/>
                <w:sz w:val="18"/>
                <w:szCs w:val="18"/>
              </w:rPr>
              <w:t>内</w:t>
            </w:r>
            <w:r>
              <w:rPr>
                <w:rFonts w:ascii="宋体" w:hAnsi="宋体" w:cs="宋体" w:eastAsia="宋体" w:hint="default"/>
                <w:spacing w:val="-60"/>
                <w:sz w:val="18"/>
                <w:szCs w:val="18"/>
              </w:rPr>
              <w:t> </w:t>
            </w:r>
            <w:r>
              <w:rPr>
                <w:rFonts w:ascii="宋体" w:hAnsi="宋体" w:cs="宋体" w:eastAsia="宋体" w:hint="default"/>
                <w:sz w:val="18"/>
                <w:szCs w:val="18"/>
              </w:rPr>
              <w:t>到</w:t>
            </w:r>
            <w:r>
              <w:rPr>
                <w:rFonts w:ascii="宋体" w:hAnsi="宋体" w:cs="宋体" w:eastAsia="宋体" w:hint="default"/>
                <w:spacing w:val="-62"/>
                <w:sz w:val="18"/>
                <w:szCs w:val="18"/>
              </w:rPr>
              <w:t> </w:t>
            </w:r>
            <w:r>
              <w:rPr>
                <w:rFonts w:ascii="宋体" w:hAnsi="宋体" w:cs="宋体" w:eastAsia="宋体" w:hint="default"/>
                <w:sz w:val="18"/>
                <w:szCs w:val="18"/>
              </w:rPr>
              <w:t>期</w:t>
            </w:r>
            <w:r>
              <w:rPr>
                <w:rFonts w:ascii="宋体" w:hAnsi="宋体" w:cs="宋体" w:eastAsia="宋体" w:hint="default"/>
                <w:spacing w:val="-60"/>
                <w:sz w:val="18"/>
                <w:szCs w:val="18"/>
              </w:rPr>
              <w:t> </w:t>
            </w:r>
            <w:r>
              <w:rPr>
                <w:rFonts w:ascii="宋体" w:hAnsi="宋体" w:cs="宋体" w:eastAsia="宋体" w:hint="default"/>
                <w:sz w:val="18"/>
                <w:szCs w:val="18"/>
              </w:rPr>
              <w:t>的</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90,000,000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0.51</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133,471,227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0.88</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-32.57</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主要系部分长期借款本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年归还所致。</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其他流动负债</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123,771,936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0.71</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182,312,101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1.2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-32.11</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主要系待转销项税减少</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所致。</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长期借款</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45,000,000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0.26</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171,666,664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1.13</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-73.79</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主要系部分长期借款本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年归还所致。</w:t>
            </w:r>
            <w:r>
              <w:rPr>
                <w:rFonts w:ascii="宋体" w:hAnsi="宋体" w:cs="宋体" w:eastAsia="宋体" w:hint="default"/>
                <w:sz w:val="18"/>
                <w:szCs w:val="18"/>
              </w:rPr>
              <w:t>   </w:t>
            </w:r>
          </w:p>
        </w:tc>
      </w:tr>
      <w:tr>
        <w:trPr>
          <w:trHeight w:val="47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2,503,898,164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14.28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1,917,832,792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12.60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30.56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主要系本年资本公积转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增股本所致。</w:t>
            </w:r>
            <w:r>
              <w:rPr>
                <w:rFonts w:ascii="宋体" w:hAnsi="宋体" w:cs="宋体" w:eastAsia="宋体" w:hint="default"/>
                <w:sz w:val="18"/>
                <w:szCs w:val="18"/>
              </w:rPr>
              <w:t>   </w:t>
            </w:r>
          </w:p>
        </w:tc>
      </w:tr>
      <w:tr>
        <w:trPr>
          <w:trHeight w:val="47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库存股</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482,696,342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2.75</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55,787,910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0.37</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765.23</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主要由于报告期内回购</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股票所致。</w:t>
            </w:r>
            <w:r>
              <w:rPr>
                <w:rFonts w:ascii="宋体" w:hAnsi="宋体" w:cs="宋体" w:eastAsia="宋体" w:hint="default"/>
                <w:sz w:val="18"/>
                <w:szCs w:val="18"/>
              </w:rPr>
              <w:t>   </w:t>
            </w:r>
          </w:p>
        </w:tc>
      </w:tr>
      <w:tr>
        <w:trPr>
          <w:trHeight w:val="711"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其他综合收益</w:t>
            </w:r>
            <w:r>
              <w:rPr>
                <w:rFonts w:ascii="宋体" w:hAnsi="宋体" w:cs="宋体" w:eastAsia="宋体" w:hint="default"/>
                <w:sz w:val="18"/>
                <w:szCs w:val="18"/>
              </w:rPr>
              <w:t> </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-2,494,297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z w:val="18"/>
              </w:rPr>
              <w:t>-0.01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pacing w:val="-1"/>
                <w:sz w:val="18"/>
              </w:rPr>
              <w:t>-25,234,857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z w:val="18"/>
              </w:rPr>
              <w:t>-0.17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pacing w:val="-1"/>
                <w:sz w:val="18"/>
              </w:rPr>
              <w:t>-90.12</w:t>
            </w: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主要由于其他非流动金</w:t>
            </w:r>
          </w:p>
          <w:p>
            <w:pPr>
              <w:pStyle w:val="TableParagraph"/>
              <w:spacing w:line="232" w:lineRule="exact" w:before="24"/>
              <w:ind w:left="103" w:right="105"/>
              <w:jc w:val="left"/>
              <w:rPr>
                <w:rFonts w:ascii="宋体" w:hAnsi="宋体" w:cs="宋体" w:eastAsia="宋体" w:hint="default"/>
                <w:sz w:val="18"/>
                <w:szCs w:val="18"/>
              </w:rPr>
            </w:pPr>
            <w:r>
              <w:rPr>
                <w:rFonts w:ascii="宋体" w:hAnsi="宋体" w:cs="宋体" w:eastAsia="宋体" w:hint="default"/>
                <w:spacing w:val="15"/>
                <w:sz w:val="18"/>
                <w:szCs w:val="18"/>
              </w:rPr>
              <w:t>融资产公允价值变动转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出所致。</w:t>
            </w:r>
            <w:r>
              <w:rPr>
                <w:rFonts w:ascii="宋体" w:hAnsi="宋体" w:cs="宋体" w:eastAsia="宋体" w:hint="default"/>
                <w:sz w:val="18"/>
                <w:szCs w:val="18"/>
              </w:rPr>
              <w:t>   </w:t>
            </w:r>
          </w:p>
        </w:tc>
      </w:tr>
    </w:tbl>
    <w:p>
      <w:pPr>
        <w:spacing w:line="240" w:lineRule="auto" w:before="0"/>
        <w:rPr>
          <w:rFonts w:ascii="宋体" w:hAnsi="宋体" w:cs="宋体" w:eastAsia="宋体" w:hint="default"/>
          <w:sz w:val="16"/>
          <w:szCs w:val="16"/>
        </w:rPr>
      </w:pPr>
    </w:p>
    <w:p>
      <w:pPr>
        <w:pStyle w:val="BodyText"/>
        <w:spacing w:line="312" w:lineRule="exact" w:before="56"/>
        <w:ind w:left="216" w:right="8670"/>
        <w:jc w:val="left"/>
      </w:pPr>
      <w:r>
        <w:rPr/>
        <w:t>其他说明： 无</w:t>
      </w:r>
    </w:p>
    <w:p>
      <w:pPr>
        <w:spacing w:line="240" w:lineRule="auto" w:before="4"/>
        <w:rPr>
          <w:rFonts w:ascii="宋体" w:hAnsi="宋体" w:cs="宋体" w:eastAsia="宋体" w:hint="default"/>
          <w:sz w:val="23"/>
          <w:szCs w:val="23"/>
        </w:rPr>
      </w:pPr>
    </w:p>
    <w:p>
      <w:pPr>
        <w:pStyle w:val="Heading2"/>
        <w:spacing w:line="240" w:lineRule="auto"/>
        <w:ind w:right="0"/>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spacing w:val="62"/>
        </w:rPr>
        <w:t> </w:t>
      </w:r>
      <w:r>
        <w:rPr/>
        <w:t>截至报告期末主要资产受限情况</w:t>
      </w:r>
      <w:r>
        <w:rPr>
          <w:rFonts w:ascii="宋体" w:hAnsi="宋体" w:cs="宋体" w:eastAsia="宋体" w:hint="default"/>
          <w:w w:val="99"/>
        </w:rPr>
        <w:t> </w:t>
      </w:r>
      <w:r>
        <w:rPr>
          <w:rFonts w:ascii="宋体" w:hAnsi="宋体" w:cs="宋体" w:eastAsia="宋体" w:hint="default"/>
          <w:b w:val="0"/>
          <w:bCs w:val="0"/>
        </w:rPr>
      </w:r>
    </w:p>
    <w:p>
      <w:pPr>
        <w:pStyle w:val="BodyText"/>
        <w:tabs>
          <w:tab w:pos="1069" w:val="left" w:leader="none"/>
        </w:tabs>
        <w:spacing w:line="240" w:lineRule="auto" w:before="55"/>
        <w:ind w:left="216"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spacing w:after="0" w:line="240" w:lineRule="auto"/>
        <w:jc w:val="left"/>
        <w:sectPr>
          <w:pgSz w:w="11910" w:h="16840"/>
          <w:pgMar w:header="880" w:footer="1195" w:top="1120" w:bottom="1380" w:left="1060" w:right="740"/>
        </w:sectPr>
      </w:pPr>
    </w:p>
    <w:p>
      <w:pPr>
        <w:spacing w:line="240" w:lineRule="auto" w:before="3"/>
        <w:rPr>
          <w:rFonts w:ascii="宋体" w:hAnsi="宋体" w:cs="宋体" w:eastAsia="宋体" w:hint="default"/>
          <w:sz w:val="24"/>
          <w:szCs w:val="24"/>
        </w:rPr>
      </w:pPr>
    </w:p>
    <w:tbl>
      <w:tblPr>
        <w:tblW w:w="0" w:type="auto"/>
        <w:jc w:val="left"/>
        <w:tblInd w:w="103" w:type="dxa"/>
        <w:tblLayout w:type="fixed"/>
        <w:tblCellMar>
          <w:top w:w="0" w:type="dxa"/>
          <w:left w:w="0" w:type="dxa"/>
          <w:bottom w:w="0" w:type="dxa"/>
          <w:right w:w="0" w:type="dxa"/>
        </w:tblCellMar>
        <w:tblLook w:val="01E0"/>
      </w:tblPr>
      <w:tblGrid>
        <w:gridCol w:w="2941"/>
        <w:gridCol w:w="2943"/>
        <w:gridCol w:w="2941"/>
      </w:tblGrid>
      <w:tr>
        <w:trPr>
          <w:trHeight w:val="322"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43" w:right="0"/>
              <w:jc w:val="left"/>
              <w:rPr>
                <w:rFonts w:ascii="宋体" w:hAnsi="宋体" w:cs="宋体" w:eastAsia="宋体" w:hint="default"/>
                <w:sz w:val="24"/>
                <w:szCs w:val="24"/>
              </w:rPr>
            </w:pPr>
            <w:r>
              <w:rPr>
                <w:rFonts w:ascii="宋体" w:hAnsi="宋体" w:cs="宋体" w:eastAsia="宋体" w:hint="default"/>
                <w:sz w:val="24"/>
                <w:szCs w:val="24"/>
              </w:rPr>
              <w:t>期末账面价值</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受限原因</w:t>
            </w:r>
          </w:p>
        </w:tc>
      </w:tr>
      <w:tr>
        <w:trPr>
          <w:trHeight w:val="631"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货币资金</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432,504,699 </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pacing w:val="7"/>
                <w:sz w:val="24"/>
                <w:szCs w:val="24"/>
              </w:rPr>
              <w:t>履约保证金及存放于包商</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银行款项</w:t>
            </w:r>
            <w:r>
              <w:rPr>
                <w:rFonts w:ascii="宋体" w:hAnsi="宋体" w:cs="宋体" w:eastAsia="宋体" w:hint="default"/>
                <w:sz w:val="24"/>
                <w:szCs w:val="24"/>
              </w:rPr>
              <w:t> </w:t>
            </w:r>
          </w:p>
        </w:tc>
      </w:tr>
      <w:tr>
        <w:trPr>
          <w:trHeight w:val="322"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交易性金融资产</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3,946,265 </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包商银行理财产品</w:t>
            </w:r>
            <w:r>
              <w:rPr>
                <w:rFonts w:ascii="宋体" w:hAnsi="宋体" w:cs="宋体" w:eastAsia="宋体" w:hint="default"/>
                <w:sz w:val="24"/>
                <w:szCs w:val="24"/>
              </w:rPr>
              <w:t> </w:t>
            </w:r>
          </w:p>
        </w:tc>
      </w:tr>
      <w:tr>
        <w:trPr>
          <w:trHeight w:val="322"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523,454,206 </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取得银行借款抵押</w:t>
            </w:r>
            <w:r>
              <w:rPr>
                <w:rFonts w:ascii="宋体" w:hAnsi="宋体" w:cs="宋体" w:eastAsia="宋体" w:hint="default"/>
                <w:sz w:val="24"/>
                <w:szCs w:val="24"/>
              </w:rPr>
              <w:t> </w:t>
            </w:r>
          </w:p>
        </w:tc>
      </w:tr>
      <w:tr>
        <w:trPr>
          <w:trHeight w:val="322"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无形资产</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30,414,228 </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取得银行借款抵押</w:t>
            </w:r>
            <w:r>
              <w:rPr>
                <w:rFonts w:ascii="宋体" w:hAnsi="宋体" w:cs="宋体" w:eastAsia="宋体" w:hint="default"/>
                <w:sz w:val="24"/>
                <w:szCs w:val="24"/>
              </w:rPr>
              <w:t> </w:t>
            </w:r>
          </w:p>
        </w:tc>
      </w:tr>
      <w:tr>
        <w:trPr>
          <w:trHeight w:val="322"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990,319,398 </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sz w:val="24"/>
              </w:rPr>
              <w:t> </w:t>
            </w:r>
          </w:p>
        </w:tc>
      </w:tr>
    </w:tbl>
    <w:p>
      <w:pPr>
        <w:spacing w:line="240" w:lineRule="auto" w:before="8"/>
        <w:rPr>
          <w:rFonts w:ascii="宋体" w:hAnsi="宋体" w:cs="宋体" w:eastAsia="宋体" w:hint="default"/>
          <w:sz w:val="20"/>
          <w:szCs w:val="20"/>
        </w:rPr>
      </w:pPr>
    </w:p>
    <w:p>
      <w:pPr>
        <w:pStyle w:val="Heading2"/>
        <w:spacing w:line="240" w:lineRule="auto" w:before="26"/>
        <w:ind w:right="2450"/>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62"/>
        </w:rPr>
        <w:t> </w:t>
      </w:r>
      <w:r>
        <w:rPr/>
        <w:t>其他说明</w:t>
      </w:r>
      <w:r>
        <w:rPr>
          <w:rFonts w:ascii="宋体" w:hAnsi="宋体" w:cs="宋体" w:eastAsia="宋体" w:hint="default"/>
          <w:w w:val="99"/>
        </w:rPr>
        <w:t> </w:t>
      </w:r>
      <w:r>
        <w:rPr>
          <w:rFonts w:ascii="宋体" w:hAnsi="宋体" w:cs="宋体" w:eastAsia="宋体" w:hint="default"/>
          <w:b w:val="0"/>
          <w:bCs w:val="0"/>
        </w:rPr>
      </w:r>
    </w:p>
    <w:p>
      <w:pPr>
        <w:pStyle w:val="BodyText"/>
        <w:tabs>
          <w:tab w:pos="1081" w:val="left" w:leader="none"/>
        </w:tabs>
        <w:spacing w:line="240" w:lineRule="auto" w:before="58"/>
        <w:ind w:left="216" w:right="245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13"/>
        <w:rPr>
          <w:rFonts w:ascii="宋体" w:hAnsi="宋体" w:cs="宋体" w:eastAsia="宋体" w:hint="default"/>
          <w:sz w:val="23"/>
          <w:szCs w:val="23"/>
        </w:rPr>
      </w:pPr>
    </w:p>
    <w:p>
      <w:pPr>
        <w:pStyle w:val="Heading2"/>
        <w:tabs>
          <w:tab w:pos="1057" w:val="left" w:leader="none"/>
        </w:tabs>
        <w:spacing w:line="240" w:lineRule="auto"/>
        <w:ind w:right="2450"/>
        <w:jc w:val="left"/>
        <w:rPr>
          <w:b w:val="0"/>
          <w:bCs w:val="0"/>
        </w:rPr>
      </w:pPr>
      <w:r>
        <w:rPr>
          <w:rFonts w:ascii="宋体" w:hAnsi="宋体" w:cs="宋体" w:eastAsia="宋体" w:hint="default"/>
          <w:w w:val="95"/>
        </w:rPr>
        <w:t>(</w:t>
      </w:r>
      <w:r>
        <w:rPr>
          <w:w w:val="95"/>
        </w:rPr>
        <w:t>四</w:t>
      </w:r>
      <w:r>
        <w:rPr>
          <w:rFonts w:ascii="宋体" w:hAnsi="宋体" w:cs="宋体" w:eastAsia="宋体" w:hint="default"/>
          <w:w w:val="95"/>
        </w:rPr>
        <w:t>)</w:t>
        <w:tab/>
      </w:r>
      <w:r>
        <w:rPr/>
        <w:t>行业经营性信息分析</w:t>
      </w:r>
      <w:r>
        <w:rPr>
          <w:b w:val="0"/>
          <w:bCs w:val="0"/>
        </w:rPr>
      </w:r>
    </w:p>
    <w:p>
      <w:pPr>
        <w:pStyle w:val="BodyText"/>
        <w:tabs>
          <w:tab w:pos="1069" w:val="left" w:leader="none"/>
        </w:tabs>
        <w:spacing w:line="322" w:lineRule="exact" w:before="58"/>
        <w:ind w:left="216" w:right="245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pStyle w:val="BodyText"/>
        <w:spacing w:line="310" w:lineRule="exact" w:before="22"/>
        <w:ind w:left="216" w:right="171" w:firstLine="480"/>
        <w:jc w:val="left"/>
      </w:pPr>
      <w:r>
        <w:rPr/>
        <w:t>参见“第三节</w:t>
      </w:r>
      <w:r>
        <w:rPr>
          <w:spacing w:val="-1"/>
        </w:rPr>
        <w:t> </w:t>
      </w:r>
      <w:r>
        <w:rPr/>
        <w:t>公司业务概要”中“一、报告期内公司所从事的主要业务、经营</w:t>
      </w:r>
      <w:r>
        <w:rPr/>
        <w:t> 模式及行业情况说明”中“（二）行业情况”。</w:t>
      </w:r>
    </w:p>
    <w:p>
      <w:pPr>
        <w:spacing w:after="0" w:line="310" w:lineRule="exact"/>
        <w:jc w:val="left"/>
        <w:sectPr>
          <w:pgSz w:w="11910" w:h="16840"/>
          <w:pgMar w:header="880" w:footer="1195" w:top="1120" w:bottom="1380" w:left="1060" w:right="1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73"/>
        <w:ind w:left="1498" w:right="0"/>
        <w:jc w:val="both"/>
        <w:rPr>
          <w:b w:val="0"/>
          <w:bCs w:val="0"/>
        </w:rPr>
      </w:pPr>
      <w:r>
        <w:rPr>
          <w:rFonts w:ascii="宋体" w:hAnsi="宋体" w:cs="宋体" w:eastAsia="宋体" w:hint="default"/>
        </w:rPr>
        <w:t>(</w:t>
      </w:r>
      <w:r>
        <w:rPr/>
        <w:t>五</w:t>
      </w:r>
      <w:r>
        <w:rPr>
          <w:rFonts w:ascii="宋体" w:hAnsi="宋体" w:cs="宋体" w:eastAsia="宋体" w:hint="default"/>
        </w:rPr>
        <w:t>) </w:t>
      </w:r>
      <w:r>
        <w:rPr>
          <w:rFonts w:ascii="宋体" w:hAnsi="宋体" w:cs="宋体" w:eastAsia="宋体" w:hint="default"/>
          <w:spacing w:val="111"/>
        </w:rPr>
        <w:t> </w:t>
      </w:r>
      <w:r>
        <w:rPr/>
        <w:t>投资状况分析</w:t>
      </w:r>
      <w:r>
        <w:rPr>
          <w:b w:val="0"/>
          <w:bCs w:val="0"/>
        </w:rPr>
      </w:r>
    </w:p>
    <w:p>
      <w:pPr>
        <w:pStyle w:val="Heading2"/>
        <w:spacing w:line="240" w:lineRule="auto" w:before="58"/>
        <w:ind w:left="1498" w:right="0"/>
        <w:jc w:val="both"/>
        <w:rPr>
          <w:rFonts w:ascii="宋体" w:hAnsi="宋体" w:cs="宋体" w:eastAsia="宋体" w:hint="default"/>
          <w:b w:val="0"/>
          <w:bCs w:val="0"/>
        </w:rPr>
      </w:pPr>
      <w:r>
        <w:rPr>
          <w:rFonts w:ascii="宋体" w:hAnsi="宋体" w:cs="宋体" w:eastAsia="宋体" w:hint="default"/>
        </w:rPr>
        <w:t>1</w:t>
      </w:r>
      <w:r>
        <w:rPr/>
        <w:t>、</w:t>
      </w:r>
      <w:r>
        <w:rPr>
          <w:spacing w:val="-65"/>
        </w:rPr>
        <w:t> </w:t>
      </w:r>
      <w:r>
        <w:rPr/>
        <w:t>对外股权投资总体分析</w:t>
      </w:r>
      <w:r>
        <w:rPr>
          <w:rFonts w:ascii="宋体" w:hAnsi="宋体" w:cs="宋体" w:eastAsia="宋体" w:hint="default"/>
          <w:w w:val="99"/>
        </w:rPr>
        <w:t> </w:t>
      </w:r>
      <w:r>
        <w:rPr>
          <w:rFonts w:ascii="宋体" w:hAnsi="宋体" w:cs="宋体" w:eastAsia="宋体" w:hint="default"/>
          <w:b w:val="0"/>
          <w:bCs w:val="0"/>
        </w:rPr>
      </w:r>
    </w:p>
    <w:p>
      <w:pPr>
        <w:pStyle w:val="BodyText"/>
        <w:spacing w:line="321" w:lineRule="exact" w:before="58"/>
        <w:ind w:left="149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pStyle w:val="BodyText"/>
        <w:spacing w:line="302" w:lineRule="exact"/>
        <w:ind w:left="1978" w:right="0"/>
        <w:jc w:val="left"/>
      </w:pPr>
      <w:r>
        <w:rPr>
          <w:rFonts w:ascii="宋体" w:hAnsi="宋体" w:cs="宋体" w:eastAsia="宋体" w:hint="default"/>
        </w:rPr>
        <w:t>2019</w:t>
      </w:r>
      <w:r>
        <w:rPr>
          <w:rFonts w:ascii="宋体" w:hAnsi="宋体" w:cs="宋体" w:eastAsia="宋体" w:hint="default"/>
          <w:spacing w:val="-58"/>
        </w:rPr>
        <w:t> </w:t>
      </w:r>
      <w:r>
        <w:rPr/>
        <w:t>年</w:t>
      </w:r>
      <w:r>
        <w:rPr>
          <w:spacing w:val="-58"/>
        </w:rPr>
        <w:t> </w:t>
      </w:r>
      <w:r>
        <w:rPr>
          <w:rFonts w:ascii="宋体" w:hAnsi="宋体" w:cs="宋体" w:eastAsia="宋体" w:hint="default"/>
        </w:rPr>
        <w:t>7</w:t>
      </w:r>
      <w:r>
        <w:rPr>
          <w:rFonts w:ascii="宋体" w:hAnsi="宋体" w:cs="宋体" w:eastAsia="宋体" w:hint="default"/>
          <w:spacing w:val="-58"/>
        </w:rPr>
        <w:t> </w:t>
      </w:r>
      <w:r>
        <w:rPr/>
        <w:t>月</w:t>
      </w:r>
      <w:r>
        <w:rPr>
          <w:spacing w:val="-58"/>
        </w:rPr>
        <w:t> </w:t>
      </w:r>
      <w:r>
        <w:rPr>
          <w:rFonts w:ascii="宋体" w:hAnsi="宋体" w:cs="宋体" w:eastAsia="宋体" w:hint="default"/>
        </w:rPr>
        <w:t>11</w:t>
      </w:r>
      <w:r>
        <w:rPr>
          <w:rFonts w:ascii="宋体" w:hAnsi="宋体" w:cs="宋体" w:eastAsia="宋体" w:hint="default"/>
          <w:spacing w:val="-57"/>
        </w:rPr>
        <w:t> </w:t>
      </w:r>
      <w:r>
        <w:rPr/>
        <w:t>日，公司发布了《公司关于认购民太安财产保险公估股份有限公</w:t>
      </w:r>
    </w:p>
    <w:p>
      <w:pPr>
        <w:pStyle w:val="BodyText"/>
        <w:spacing w:line="312" w:lineRule="exact" w:before="29"/>
        <w:ind w:left="1498" w:right="670"/>
        <w:jc w:val="both"/>
        <w:rPr>
          <w:rFonts w:ascii="宋体" w:hAnsi="宋体" w:cs="宋体" w:eastAsia="宋体" w:hint="default"/>
        </w:rPr>
      </w:pPr>
      <w:r>
        <w:rPr>
          <w:spacing w:val="-3"/>
        </w:rPr>
        <w:t>司增发股份暨关联交易的公告》，以人民币</w:t>
      </w:r>
      <w:r>
        <w:rPr>
          <w:spacing w:val="-56"/>
        </w:rPr>
        <w:t> </w:t>
      </w:r>
      <w:r>
        <w:rPr>
          <w:rFonts w:ascii="宋体" w:hAnsi="宋体" w:cs="宋体" w:eastAsia="宋体" w:hint="default"/>
        </w:rPr>
        <w:t>9,781,239</w:t>
      </w:r>
      <w:r>
        <w:rPr>
          <w:rFonts w:ascii="宋体" w:hAnsi="宋体" w:cs="宋体" w:eastAsia="宋体" w:hint="default"/>
          <w:spacing w:val="-56"/>
        </w:rPr>
        <w:t> </w:t>
      </w:r>
      <w:r>
        <w:rPr/>
        <w:t>元认购民太安财产保险公估股 份有限公司增发股票</w:t>
      </w:r>
      <w:r>
        <w:rPr>
          <w:spacing w:val="-56"/>
        </w:rPr>
        <w:t> </w:t>
      </w:r>
      <w:r>
        <w:rPr>
          <w:rFonts w:ascii="宋体" w:hAnsi="宋体" w:cs="宋体" w:eastAsia="宋体" w:hint="default"/>
        </w:rPr>
        <w:t>3,835,780</w:t>
      </w:r>
      <w:r>
        <w:rPr>
          <w:rFonts w:ascii="宋体" w:hAnsi="宋体" w:cs="宋体" w:eastAsia="宋体" w:hint="default"/>
          <w:spacing w:val="-56"/>
        </w:rPr>
        <w:t> </w:t>
      </w:r>
      <w:r>
        <w:rPr>
          <w:spacing w:val="-7"/>
        </w:rPr>
        <w:t>股，增资完成后，公司合计持有民太安</w:t>
      </w:r>
      <w:r>
        <w:rPr>
          <w:spacing w:val="-55"/>
        </w:rPr>
        <w:t> </w:t>
      </w:r>
      <w:r>
        <w:rPr>
          <w:rFonts w:ascii="宋体" w:hAnsi="宋体" w:cs="宋体" w:eastAsia="宋体" w:hint="default"/>
        </w:rPr>
        <w:t>13.6992%</w:t>
      </w:r>
      <w:r>
        <w:rPr/>
        <w:t>的股 权。报告期内，公司还投资参股了北京众荟信息技术股份有限公司等多家公司。</w:t>
      </w:r>
      <w:r>
        <w:rPr>
          <w:rFonts w:ascii="宋体" w:hAnsi="宋体" w:cs="宋体" w:eastAsia="宋体" w:hint="default"/>
        </w:rPr>
        <w:t> </w:t>
      </w:r>
    </w:p>
    <w:p>
      <w:pPr>
        <w:pStyle w:val="BodyText"/>
        <w:spacing w:line="281" w:lineRule="exact"/>
        <w:ind w:left="1498" w:right="0"/>
        <w:jc w:val="both"/>
        <w:rPr>
          <w:rFonts w:ascii="宋体" w:hAnsi="宋体" w:cs="宋体" w:eastAsia="宋体" w:hint="default"/>
        </w:rPr>
      </w:pPr>
      <w:r>
        <w:rPr>
          <w:rFonts w:ascii="宋体"/>
        </w:rPr>
        <w:t> </w:t>
      </w:r>
    </w:p>
    <w:p>
      <w:pPr>
        <w:pStyle w:val="Heading2"/>
        <w:spacing w:line="240" w:lineRule="auto" w:before="58"/>
        <w:ind w:left="1498" w:right="0"/>
        <w:jc w:val="both"/>
        <w:rPr>
          <w:b w:val="0"/>
          <w:bCs w:val="0"/>
        </w:rPr>
      </w:pPr>
      <w:r>
        <w:rPr>
          <w:rFonts w:ascii="宋体" w:hAnsi="宋体" w:cs="宋体" w:eastAsia="宋体" w:hint="default"/>
        </w:rPr>
        <w:t>(1)</w:t>
      </w:r>
      <w:r>
        <w:rPr>
          <w:rFonts w:ascii="宋体" w:hAnsi="宋体" w:cs="宋体" w:eastAsia="宋体" w:hint="default"/>
          <w:spacing w:val="-66"/>
        </w:rPr>
        <w:t> </w:t>
      </w:r>
      <w:r>
        <w:rPr/>
        <w:t>重大的股权投资</w:t>
      </w:r>
      <w:r>
        <w:rPr>
          <w:b w:val="0"/>
          <w:bCs w:val="0"/>
        </w:rPr>
      </w:r>
    </w:p>
    <w:p>
      <w:pPr>
        <w:pStyle w:val="BodyText"/>
        <w:spacing w:line="240" w:lineRule="auto" w:before="58"/>
        <w:ind w:left="149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spacing w:line="240" w:lineRule="auto" w:before="13"/>
        <w:rPr>
          <w:rFonts w:ascii="宋体" w:hAnsi="宋体" w:cs="宋体" w:eastAsia="宋体" w:hint="default"/>
          <w:sz w:val="23"/>
          <w:szCs w:val="23"/>
        </w:rPr>
      </w:pPr>
    </w:p>
    <w:p>
      <w:pPr>
        <w:pStyle w:val="Heading2"/>
        <w:spacing w:line="240" w:lineRule="auto"/>
        <w:ind w:left="1498" w:right="0"/>
        <w:jc w:val="both"/>
        <w:rPr>
          <w:b w:val="0"/>
          <w:bCs w:val="0"/>
        </w:rPr>
      </w:pPr>
      <w:r>
        <w:rPr>
          <w:rFonts w:ascii="宋体" w:hAnsi="宋体" w:cs="宋体" w:eastAsia="宋体" w:hint="default"/>
        </w:rPr>
        <w:t>(2)</w:t>
      </w:r>
      <w:r>
        <w:rPr>
          <w:rFonts w:ascii="宋体" w:hAnsi="宋体" w:cs="宋体" w:eastAsia="宋体" w:hint="default"/>
          <w:spacing w:val="-67"/>
        </w:rPr>
        <w:t> </w:t>
      </w:r>
      <w:r>
        <w:rPr/>
        <w:t>重大的非股权投资</w:t>
      </w:r>
      <w:r>
        <w:rPr>
          <w:b w:val="0"/>
          <w:bCs w:val="0"/>
        </w:rPr>
      </w:r>
    </w:p>
    <w:p>
      <w:pPr>
        <w:pStyle w:val="BodyText"/>
        <w:spacing w:line="240" w:lineRule="auto" w:before="58"/>
        <w:ind w:left="149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498" w:right="0"/>
        <w:jc w:val="both"/>
        <w:rPr>
          <w:b w:val="0"/>
          <w:bCs w:val="0"/>
        </w:rPr>
      </w:pPr>
      <w:r>
        <w:rPr>
          <w:rFonts w:ascii="宋体" w:hAnsi="宋体" w:cs="宋体" w:eastAsia="宋体" w:hint="default"/>
        </w:rPr>
        <w:t>(3)</w:t>
      </w:r>
      <w:r>
        <w:rPr>
          <w:rFonts w:ascii="宋体" w:hAnsi="宋体" w:cs="宋体" w:eastAsia="宋体" w:hint="default"/>
          <w:spacing w:val="-67"/>
        </w:rPr>
        <w:t> </w:t>
      </w:r>
      <w:r>
        <w:rPr/>
        <w:t>以公允价值计量的金融资产</w:t>
      </w:r>
      <w:r>
        <w:rPr>
          <w:b w:val="0"/>
          <w:bCs w:val="0"/>
        </w:rPr>
      </w:r>
    </w:p>
    <w:p>
      <w:pPr>
        <w:pStyle w:val="BodyText"/>
        <w:spacing w:line="240" w:lineRule="auto" w:before="55"/>
        <w:ind w:left="149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498" w:right="0"/>
        <w:jc w:val="both"/>
        <w:rPr>
          <w:b w:val="0"/>
          <w:bCs w:val="0"/>
        </w:rPr>
      </w:pPr>
      <w:r>
        <w:rPr>
          <w:rFonts w:ascii="宋体" w:hAnsi="宋体" w:cs="宋体" w:eastAsia="宋体" w:hint="default"/>
        </w:rPr>
        <w:t>(</w:t>
      </w:r>
      <w:r>
        <w:rPr/>
        <w:t>六</w:t>
      </w:r>
      <w:r>
        <w:rPr>
          <w:rFonts w:ascii="宋体" w:hAnsi="宋体" w:cs="宋体" w:eastAsia="宋体" w:hint="default"/>
        </w:rPr>
        <w:t>) </w:t>
      </w:r>
      <w:r>
        <w:rPr>
          <w:rFonts w:ascii="宋体" w:hAnsi="宋体" w:cs="宋体" w:eastAsia="宋体" w:hint="default"/>
          <w:spacing w:val="112"/>
        </w:rPr>
        <w:t> </w:t>
      </w:r>
      <w:r>
        <w:rPr/>
        <w:t>重大资产和股权出售</w:t>
      </w:r>
      <w:r>
        <w:rPr>
          <w:b w:val="0"/>
          <w:bCs w:val="0"/>
        </w:rPr>
      </w:r>
    </w:p>
    <w:p>
      <w:pPr>
        <w:pStyle w:val="BodyText"/>
        <w:spacing w:line="240" w:lineRule="auto" w:before="58"/>
        <w:ind w:left="149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spacing w:line="240" w:lineRule="auto" w:before="13"/>
        <w:rPr>
          <w:rFonts w:ascii="宋体" w:hAnsi="宋体" w:cs="宋体" w:eastAsia="宋体" w:hint="default"/>
          <w:sz w:val="23"/>
          <w:szCs w:val="23"/>
        </w:rPr>
      </w:pPr>
    </w:p>
    <w:p>
      <w:pPr>
        <w:pStyle w:val="Heading2"/>
        <w:spacing w:line="240" w:lineRule="auto"/>
        <w:ind w:left="1498" w:right="0"/>
        <w:jc w:val="both"/>
        <w:rPr>
          <w:b w:val="0"/>
          <w:bCs w:val="0"/>
        </w:rPr>
      </w:pPr>
      <w:r>
        <w:rPr>
          <w:rFonts w:ascii="宋体" w:hAnsi="宋体" w:cs="宋体" w:eastAsia="宋体" w:hint="default"/>
        </w:rPr>
        <w:t>(</w:t>
      </w:r>
      <w:r>
        <w:rPr/>
        <w:t>七</w:t>
      </w:r>
      <w:r>
        <w:rPr>
          <w:rFonts w:ascii="宋体" w:hAnsi="宋体" w:cs="宋体" w:eastAsia="宋体" w:hint="default"/>
        </w:rPr>
        <w:t>) </w:t>
      </w:r>
      <w:r>
        <w:rPr>
          <w:rFonts w:ascii="宋体" w:hAnsi="宋体" w:cs="宋体" w:eastAsia="宋体" w:hint="default"/>
          <w:spacing w:val="111"/>
        </w:rPr>
        <w:t> </w:t>
      </w:r>
      <w:r>
        <w:rPr/>
        <w:t>主要控股参股公司分析</w:t>
      </w:r>
      <w:r>
        <w:rPr>
          <w:b w:val="0"/>
          <w:bCs w:val="0"/>
        </w:rPr>
      </w:r>
    </w:p>
    <w:p>
      <w:pPr>
        <w:pStyle w:val="BodyText"/>
        <w:spacing w:line="240" w:lineRule="auto" w:before="58"/>
        <w:ind w:left="149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spacing w:line="240" w:lineRule="auto" w:before="8"/>
        <w:rPr>
          <w:rFonts w:ascii="宋体" w:hAnsi="宋体" w:cs="宋体" w:eastAsia="宋体" w:hint="default"/>
          <w:sz w:val="22"/>
          <w:szCs w:val="22"/>
        </w:rPr>
      </w:pPr>
    </w:p>
    <w:tbl>
      <w:tblPr>
        <w:tblW w:w="0" w:type="auto"/>
        <w:jc w:val="left"/>
        <w:tblInd w:w="103" w:type="dxa"/>
        <w:tblLayout w:type="fixed"/>
        <w:tblCellMar>
          <w:top w:w="0" w:type="dxa"/>
          <w:left w:w="0" w:type="dxa"/>
          <w:bottom w:w="0" w:type="dxa"/>
          <w:right w:w="0" w:type="dxa"/>
        </w:tblCellMar>
        <w:tblLook w:val="01E0"/>
      </w:tblPr>
      <w:tblGrid>
        <w:gridCol w:w="1136"/>
        <w:gridCol w:w="1418"/>
        <w:gridCol w:w="1133"/>
        <w:gridCol w:w="1985"/>
        <w:gridCol w:w="994"/>
        <w:gridCol w:w="1416"/>
        <w:gridCol w:w="1419"/>
        <w:gridCol w:w="1274"/>
      </w:tblGrid>
      <w:tr>
        <w:trPr>
          <w:trHeight w:val="710"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85" w:right="0"/>
              <w:jc w:val="center"/>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477" w:right="252" w:hanging="226"/>
              <w:jc w:val="left"/>
              <w:rPr>
                <w:rFonts w:ascii="宋体" w:hAnsi="宋体" w:cs="宋体" w:eastAsia="宋体" w:hint="default"/>
                <w:sz w:val="18"/>
                <w:szCs w:val="18"/>
              </w:rPr>
            </w:pPr>
            <w:r>
              <w:rPr>
                <w:rFonts w:ascii="宋体" w:hAnsi="宋体" w:cs="宋体" w:eastAsia="宋体" w:hint="default"/>
                <w:b/>
                <w:bCs/>
                <w:sz w:val="18"/>
                <w:szCs w:val="18"/>
              </w:rPr>
              <w:t>注 </w:t>
            </w:r>
            <w:r>
              <w:rPr>
                <w:rFonts w:ascii="宋体" w:hAnsi="宋体" w:cs="宋体" w:eastAsia="宋体" w:hint="default"/>
                <w:b/>
                <w:bCs/>
                <w:sz w:val="18"/>
                <w:szCs w:val="18"/>
              </w:rPr>
            </w:r>
            <w:r>
              <w:rPr>
                <w:rFonts w:ascii="宋体" w:hAnsi="宋体" w:cs="宋体" w:eastAsia="宋体" w:hint="default"/>
                <w:b/>
                <w:bCs/>
                <w:sz w:val="18"/>
                <w:szCs w:val="18"/>
              </w:rPr>
              <w:t>册</w:t>
            </w:r>
            <w:r>
              <w:rPr>
                <w:rFonts w:ascii="宋体" w:hAnsi="宋体" w:cs="宋体" w:eastAsia="宋体" w:hint="default"/>
                <w:b/>
                <w:bCs/>
                <w:spacing w:val="-3"/>
                <w:sz w:val="18"/>
                <w:szCs w:val="18"/>
              </w:rPr>
              <w:t> </w:t>
            </w:r>
            <w:r>
              <w:rPr>
                <w:rFonts w:ascii="宋体" w:hAnsi="宋体" w:cs="宋体" w:eastAsia="宋体" w:hint="default"/>
                <w:b/>
                <w:bCs/>
                <w:spacing w:val="-3"/>
                <w:sz w:val="18"/>
                <w:szCs w:val="18"/>
              </w:rPr>
            </w:r>
            <w:r>
              <w:rPr>
                <w:rFonts w:ascii="宋体" w:hAnsi="宋体" w:cs="宋体" w:eastAsia="宋体" w:hint="default"/>
                <w:b/>
                <w:bCs/>
                <w:sz w:val="18"/>
                <w:szCs w:val="18"/>
              </w:rPr>
              <w:t>资本</w:t>
            </w:r>
            <w:r>
              <w:rPr>
                <w:rFonts w:ascii="宋体" w:hAnsi="宋体" w:cs="宋体" w:eastAsia="宋体" w:hint="default"/>
                <w:b/>
                <w:bCs/>
                <w:w w:val="99"/>
                <w:sz w:val="18"/>
                <w:szCs w:val="18"/>
              </w:rPr>
              <w:t> </w:t>
            </w:r>
            <w:r>
              <w:rPr>
                <w:rFonts w:ascii="宋体" w:hAnsi="宋体" w:cs="宋体" w:eastAsia="宋体" w:hint="default"/>
                <w:b/>
                <w:bCs/>
                <w:sz w:val="18"/>
                <w:szCs w:val="18"/>
              </w:rPr>
              <w:t>(</w:t>
            </w:r>
            <w:r>
              <w:rPr>
                <w:rFonts w:ascii="宋体" w:hAnsi="宋体" w:cs="宋体" w:eastAsia="宋体" w:hint="default"/>
                <w:b/>
                <w:bCs/>
                <w:sz w:val="18"/>
                <w:szCs w:val="18"/>
              </w:rPr>
              <w:t>元）</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242" w:right="20" w:hanging="135"/>
              <w:jc w:val="left"/>
              <w:rPr>
                <w:rFonts w:ascii="宋体" w:hAnsi="宋体" w:cs="宋体" w:eastAsia="宋体" w:hint="default"/>
                <w:sz w:val="18"/>
                <w:szCs w:val="18"/>
              </w:rPr>
            </w:pPr>
            <w:r>
              <w:rPr>
                <w:rFonts w:ascii="宋体" w:hAnsi="宋体" w:cs="宋体" w:eastAsia="宋体" w:hint="default"/>
                <w:b/>
                <w:bCs/>
                <w:sz w:val="18"/>
                <w:szCs w:val="18"/>
              </w:rPr>
              <w:t>主 </w:t>
            </w:r>
            <w:r>
              <w:rPr>
                <w:rFonts w:ascii="宋体" w:hAnsi="宋体" w:cs="宋体" w:eastAsia="宋体" w:hint="default"/>
                <w:b/>
                <w:bCs/>
                <w:sz w:val="18"/>
                <w:szCs w:val="18"/>
              </w:rPr>
            </w:r>
            <w:r>
              <w:rPr>
                <w:rFonts w:ascii="宋体" w:hAnsi="宋体" w:cs="宋体" w:eastAsia="宋体" w:hint="default"/>
                <w:b/>
                <w:bCs/>
                <w:sz w:val="18"/>
                <w:szCs w:val="18"/>
              </w:rPr>
              <w:t>要</w:t>
            </w:r>
            <w:r>
              <w:rPr>
                <w:rFonts w:ascii="宋体" w:hAnsi="宋体" w:cs="宋体" w:eastAsia="宋体" w:hint="default"/>
                <w:b/>
                <w:bCs/>
                <w:spacing w:val="-2"/>
                <w:sz w:val="18"/>
                <w:szCs w:val="18"/>
              </w:rPr>
              <w:t> </w:t>
            </w:r>
            <w:r>
              <w:rPr>
                <w:rFonts w:ascii="宋体" w:hAnsi="宋体" w:cs="宋体" w:eastAsia="宋体" w:hint="default"/>
                <w:b/>
                <w:bCs/>
                <w:spacing w:val="-2"/>
                <w:sz w:val="18"/>
                <w:szCs w:val="18"/>
              </w:rPr>
            </w:r>
            <w:r>
              <w:rPr>
                <w:rFonts w:ascii="宋体" w:hAnsi="宋体" w:cs="宋体" w:eastAsia="宋体" w:hint="default"/>
                <w:b/>
                <w:bCs/>
                <w:sz w:val="18"/>
                <w:szCs w:val="18"/>
              </w:rPr>
              <w:t>产品</w:t>
            </w:r>
            <w:r>
              <w:rPr>
                <w:rFonts w:ascii="宋体" w:hAnsi="宋体" w:cs="宋体" w:eastAsia="宋体" w:hint="default"/>
                <w:b/>
                <w:bCs/>
                <w:w w:val="99"/>
                <w:sz w:val="18"/>
                <w:szCs w:val="18"/>
              </w:rPr>
              <w:t> </w:t>
            </w:r>
            <w:r>
              <w:rPr>
                <w:rFonts w:ascii="宋体" w:hAnsi="宋体" w:cs="宋体" w:eastAsia="宋体" w:hint="default"/>
                <w:b/>
                <w:bCs/>
                <w:sz w:val="18"/>
                <w:szCs w:val="18"/>
              </w:rPr>
              <w:t>或 </w:t>
            </w:r>
            <w:r>
              <w:rPr>
                <w:rFonts w:ascii="宋体" w:hAnsi="宋体" w:cs="宋体" w:eastAsia="宋体" w:hint="default"/>
                <w:b/>
                <w:bCs/>
                <w:sz w:val="18"/>
                <w:szCs w:val="18"/>
              </w:rPr>
            </w:r>
            <w:r>
              <w:rPr>
                <w:rFonts w:ascii="宋体" w:hAnsi="宋体" w:cs="宋体" w:eastAsia="宋体" w:hint="default"/>
                <w:b/>
                <w:bCs/>
                <w:sz w:val="18"/>
                <w:szCs w:val="18"/>
              </w:rPr>
              <w:t>服务</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626" w:right="0"/>
              <w:jc w:val="left"/>
              <w:rPr>
                <w:rFonts w:ascii="宋体" w:hAnsi="宋体" w:cs="宋体" w:eastAsia="宋体" w:hint="default"/>
                <w:sz w:val="18"/>
                <w:szCs w:val="18"/>
              </w:rPr>
            </w:pPr>
            <w:r>
              <w:rPr>
                <w:rFonts w:ascii="宋体" w:hAnsi="宋体" w:cs="宋体" w:eastAsia="宋体" w:hint="default"/>
                <w:b/>
                <w:bCs/>
                <w:sz w:val="18"/>
                <w:szCs w:val="18"/>
              </w:rPr>
              <w:t>经营范围</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18" w:right="0" w:hanging="89"/>
              <w:jc w:val="left"/>
              <w:rPr>
                <w:rFonts w:ascii="宋体" w:hAnsi="宋体" w:cs="宋体" w:eastAsia="宋体" w:hint="default"/>
                <w:sz w:val="18"/>
                <w:szCs w:val="18"/>
              </w:rPr>
            </w:pPr>
            <w:r>
              <w:rPr>
                <w:rFonts w:ascii="宋体" w:hAnsi="宋体" w:cs="宋体" w:eastAsia="宋体" w:hint="default"/>
                <w:b/>
                <w:bCs/>
                <w:sz w:val="18"/>
                <w:szCs w:val="18"/>
              </w:rPr>
              <w:t>公司直接</w:t>
            </w:r>
            <w:r>
              <w:rPr>
                <w:rFonts w:ascii="宋体" w:hAnsi="宋体" w:cs="宋体" w:eastAsia="宋体" w:hint="default"/>
                <w:sz w:val="18"/>
                <w:szCs w:val="18"/>
              </w:rPr>
            </w:r>
          </w:p>
          <w:p>
            <w:pPr>
              <w:pStyle w:val="TableParagraph"/>
              <w:spacing w:line="232" w:lineRule="exact" w:before="23"/>
              <w:ind w:left="172" w:right="85" w:firstLine="45"/>
              <w:jc w:val="left"/>
              <w:rPr>
                <w:rFonts w:ascii="宋体" w:hAnsi="宋体" w:cs="宋体" w:eastAsia="宋体" w:hint="default"/>
                <w:sz w:val="18"/>
                <w:szCs w:val="18"/>
              </w:rPr>
            </w:pPr>
            <w:r>
              <w:rPr>
                <w:rFonts w:ascii="宋体" w:hAnsi="宋体" w:cs="宋体" w:eastAsia="宋体" w:hint="default"/>
                <w:b/>
                <w:bCs/>
                <w:sz w:val="18"/>
                <w:szCs w:val="18"/>
              </w:rPr>
              <w:t>持股比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b/>
                <w:bCs/>
                <w:sz w:val="18"/>
                <w:szCs w:val="18"/>
              </w:rPr>
              <w:t>%</w:t>
            </w:r>
            <w:r>
              <w:rPr>
                <w:rFonts w:ascii="宋体" w:hAnsi="宋体" w:cs="宋体" w:eastAsia="宋体" w:hint="default"/>
                <w:b/>
                <w:bCs/>
                <w:sz w:val="18"/>
                <w:szCs w:val="18"/>
              </w:rPr>
              <w:t>）</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3"/>
              <w:jc w:val="right"/>
              <w:rPr>
                <w:rFonts w:ascii="宋体" w:hAnsi="宋体" w:cs="宋体" w:eastAsia="宋体" w:hint="default"/>
                <w:sz w:val="18"/>
                <w:szCs w:val="18"/>
              </w:rPr>
            </w:pPr>
            <w:r>
              <w:rPr>
                <w:rFonts w:ascii="宋体" w:hAnsi="宋体" w:cs="宋体" w:eastAsia="宋体" w:hint="default"/>
                <w:b/>
                <w:bCs/>
                <w:spacing w:val="2"/>
                <w:w w:val="99"/>
                <w:sz w:val="18"/>
                <w:szCs w:val="18"/>
              </w:rPr>
              <w:t>营</w:t>
            </w:r>
            <w:r>
              <w:rPr>
                <w:rFonts w:ascii="宋体" w:hAnsi="宋体" w:cs="宋体" w:eastAsia="宋体" w:hint="default"/>
                <w:b/>
                <w:bCs/>
                <w:w w:val="99"/>
                <w:sz w:val="18"/>
                <w:szCs w:val="18"/>
              </w:rPr>
              <w:t>业收</w:t>
            </w:r>
            <w:r>
              <w:rPr>
                <w:rFonts w:ascii="宋体" w:hAnsi="宋体" w:cs="宋体" w:eastAsia="宋体" w:hint="default"/>
                <w:b/>
                <w:bCs/>
                <w:spacing w:val="1"/>
                <w:w w:val="99"/>
                <w:sz w:val="18"/>
                <w:szCs w:val="18"/>
              </w:rPr>
              <w:t> </w:t>
            </w:r>
            <w:r>
              <w:rPr>
                <w:rFonts w:ascii="宋体" w:hAnsi="宋体" w:cs="宋体" w:eastAsia="宋体" w:hint="default"/>
                <w:b/>
                <w:bCs/>
                <w:spacing w:val="-63"/>
                <w:w w:val="99"/>
                <w:sz w:val="18"/>
                <w:szCs w:val="18"/>
              </w:rPr>
              <w:t>入</w:t>
            </w:r>
            <w:r>
              <w:rPr>
                <w:rFonts w:ascii="宋体" w:hAnsi="宋体" w:cs="宋体" w:eastAsia="宋体" w:hint="default"/>
                <w:b/>
                <w:bCs/>
                <w:w w:val="99"/>
                <w:sz w:val="18"/>
                <w:szCs w:val="18"/>
              </w:rPr>
              <w:t>（元</w:t>
            </w:r>
            <w:r>
              <w:rPr>
                <w:rFonts w:ascii="宋体" w:hAnsi="宋体" w:cs="宋体" w:eastAsia="宋体" w:hint="default"/>
                <w:b/>
                <w:bCs/>
                <w:spacing w:val="-92"/>
                <w:w w:val="99"/>
                <w:sz w:val="18"/>
                <w:szCs w:val="18"/>
              </w:rPr>
              <w:t>）</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hAnsi="宋体" w:cs="宋体" w:eastAsia="宋体" w:hint="default"/>
                <w:b/>
                <w:bCs/>
                <w:sz w:val="18"/>
                <w:szCs w:val="18"/>
              </w:rPr>
              <w:t>总 </w:t>
            </w:r>
            <w:r>
              <w:rPr>
                <w:rFonts w:ascii="宋体" w:hAnsi="宋体" w:cs="宋体" w:eastAsia="宋体" w:hint="default"/>
                <w:b/>
                <w:bCs/>
                <w:sz w:val="18"/>
                <w:szCs w:val="18"/>
              </w:rPr>
            </w:r>
            <w:r>
              <w:rPr>
                <w:rFonts w:ascii="宋体" w:hAnsi="宋体" w:cs="宋体" w:eastAsia="宋体" w:hint="default"/>
                <w:b/>
                <w:bCs/>
                <w:sz w:val="18"/>
                <w:szCs w:val="18"/>
              </w:rPr>
              <w:t>资</w:t>
            </w:r>
            <w:r>
              <w:rPr>
                <w:rFonts w:ascii="宋体" w:hAnsi="宋体" w:cs="宋体" w:eastAsia="宋体" w:hint="default"/>
                <w:b/>
                <w:bCs/>
                <w:spacing w:val="-1"/>
                <w:sz w:val="18"/>
                <w:szCs w:val="18"/>
              </w:rPr>
              <w:t> </w:t>
            </w:r>
            <w:r>
              <w:rPr>
                <w:rFonts w:ascii="宋体" w:hAnsi="宋体" w:cs="宋体" w:eastAsia="宋体" w:hint="default"/>
                <w:b/>
                <w:bCs/>
                <w:spacing w:val="-1"/>
                <w:sz w:val="18"/>
                <w:szCs w:val="18"/>
              </w:rPr>
            </w:r>
            <w:r>
              <w:rPr>
                <w:rFonts w:ascii="宋体" w:hAnsi="宋体" w:cs="宋体" w:eastAsia="宋体" w:hint="default"/>
                <w:b/>
                <w:bCs/>
                <w:spacing w:val="-16"/>
                <w:sz w:val="18"/>
                <w:szCs w:val="18"/>
              </w:rPr>
              <w:t>产（元）</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b/>
                <w:bCs/>
                <w:sz w:val="18"/>
                <w:szCs w:val="18"/>
              </w:rPr>
              <w:t>净 </w:t>
            </w:r>
            <w:r>
              <w:rPr>
                <w:rFonts w:ascii="宋体" w:hAnsi="宋体" w:cs="宋体" w:eastAsia="宋体" w:hint="default"/>
                <w:b/>
                <w:bCs/>
                <w:sz w:val="18"/>
                <w:szCs w:val="18"/>
              </w:rPr>
            </w:r>
            <w:r>
              <w:rPr>
                <w:rFonts w:ascii="宋体" w:hAnsi="宋体" w:cs="宋体" w:eastAsia="宋体" w:hint="default"/>
                <w:b/>
                <w:bCs/>
                <w:sz w:val="18"/>
                <w:szCs w:val="18"/>
              </w:rPr>
              <w:t>利</w:t>
            </w:r>
            <w:r>
              <w:rPr>
                <w:rFonts w:ascii="宋体" w:hAnsi="宋体" w:cs="宋体" w:eastAsia="宋体" w:hint="default"/>
                <w:b/>
                <w:bCs/>
                <w:spacing w:val="-2"/>
                <w:sz w:val="18"/>
                <w:szCs w:val="18"/>
              </w:rPr>
              <w:t> </w:t>
            </w:r>
            <w:r>
              <w:rPr>
                <w:rFonts w:ascii="宋体" w:hAnsi="宋体" w:cs="宋体" w:eastAsia="宋体" w:hint="default"/>
                <w:b/>
                <w:bCs/>
                <w:spacing w:val="-2"/>
                <w:sz w:val="18"/>
                <w:szCs w:val="18"/>
              </w:rPr>
            </w:r>
            <w:r>
              <w:rPr>
                <w:rFonts w:ascii="宋体" w:hAnsi="宋体" w:cs="宋体" w:eastAsia="宋体" w:hint="default"/>
                <w:b/>
                <w:bCs/>
                <w:sz w:val="18"/>
                <w:szCs w:val="18"/>
              </w:rPr>
              <w:t>润</w:t>
            </w:r>
            <w:r>
              <w:rPr>
                <w:rFonts w:ascii="宋体" w:hAnsi="宋体" w:cs="宋体" w:eastAsia="宋体" w:hint="default"/>
                <w:sz w:val="18"/>
                <w:szCs w:val="18"/>
              </w:rPr>
            </w:r>
          </w:p>
          <w:p>
            <w:pPr>
              <w:pStyle w:val="TableParagraph"/>
              <w:spacing w:line="232" w:lineRule="exact" w:before="23"/>
              <w:ind w:left="100" w:right="77"/>
              <w:jc w:val="center"/>
              <w:rPr>
                <w:rFonts w:ascii="宋体" w:hAnsi="宋体" w:cs="宋体" w:eastAsia="宋体" w:hint="default"/>
                <w:sz w:val="18"/>
                <w:szCs w:val="18"/>
              </w:rPr>
            </w:pPr>
            <w:r>
              <w:rPr>
                <w:rFonts w:ascii="宋体" w:hAnsi="宋体" w:cs="宋体" w:eastAsia="宋体" w:hint="default"/>
                <w:b/>
                <w:bCs/>
                <w:sz w:val="18"/>
                <w:szCs w:val="18"/>
              </w:rPr>
              <w:t>（ </w:t>
            </w:r>
            <w:r>
              <w:rPr>
                <w:rFonts w:ascii="宋体" w:hAnsi="宋体" w:cs="宋体" w:eastAsia="宋体" w:hint="default"/>
                <w:b/>
                <w:bCs/>
                <w:sz w:val="18"/>
                <w:szCs w:val="18"/>
              </w:rPr>
            </w:r>
            <w:r>
              <w:rPr>
                <w:rFonts w:ascii="宋体" w:hAnsi="宋体" w:cs="宋体" w:eastAsia="宋体" w:hint="default"/>
                <w:b/>
                <w:bCs/>
                <w:sz w:val="18"/>
                <w:szCs w:val="18"/>
              </w:rPr>
              <w:t>净</w:t>
            </w:r>
            <w:r>
              <w:rPr>
                <w:rFonts w:ascii="宋体" w:hAnsi="宋体" w:cs="宋体" w:eastAsia="宋体" w:hint="default"/>
                <w:b/>
                <w:bCs/>
                <w:spacing w:val="-1"/>
                <w:sz w:val="18"/>
                <w:szCs w:val="18"/>
              </w:rPr>
              <w:t> </w:t>
            </w:r>
            <w:r>
              <w:rPr>
                <w:rFonts w:ascii="宋体" w:hAnsi="宋体" w:cs="宋体" w:eastAsia="宋体" w:hint="default"/>
                <w:b/>
                <w:bCs/>
                <w:spacing w:val="-1"/>
                <w:sz w:val="18"/>
                <w:szCs w:val="18"/>
              </w:rPr>
            </w:r>
            <w:r>
              <w:rPr>
                <w:rFonts w:ascii="宋体" w:hAnsi="宋体" w:cs="宋体" w:eastAsia="宋体" w:hint="default"/>
                <w:b/>
                <w:bCs/>
                <w:sz w:val="18"/>
                <w:szCs w:val="18"/>
              </w:rPr>
              <w:t>亏损）</w:t>
            </w:r>
            <w:r>
              <w:rPr>
                <w:rFonts w:ascii="宋体" w:hAnsi="宋体" w:cs="宋体" w:eastAsia="宋体" w:hint="default"/>
                <w:b/>
                <w:bCs/>
                <w:w w:val="99"/>
                <w:sz w:val="18"/>
                <w:szCs w:val="18"/>
              </w:rPr>
              <w:t> </w:t>
            </w:r>
            <w:r>
              <w:rPr>
                <w:rFonts w:ascii="宋体" w:hAnsi="宋体" w:cs="宋体" w:eastAsia="宋体" w:hint="default"/>
                <w:b/>
                <w:bCs/>
                <w:sz w:val="18"/>
                <w:szCs w:val="18"/>
              </w:rPr>
              <w:t>元）</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4678"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北京用友政</w:t>
            </w:r>
          </w:p>
          <w:p>
            <w:pPr>
              <w:pStyle w:val="TableParagraph"/>
              <w:spacing w:line="232" w:lineRule="exact" w:before="23"/>
              <w:ind w:left="103" w:right="120"/>
              <w:jc w:val="left"/>
              <w:rPr>
                <w:rFonts w:ascii="宋体" w:hAnsi="宋体" w:cs="宋体" w:eastAsia="宋体" w:hint="default"/>
                <w:sz w:val="18"/>
                <w:szCs w:val="18"/>
              </w:rPr>
            </w:pPr>
            <w:r>
              <w:rPr>
                <w:rFonts w:ascii="宋体" w:hAnsi="宋体" w:cs="宋体" w:eastAsia="宋体" w:hint="default"/>
                <w:sz w:val="18"/>
                <w:szCs w:val="18"/>
              </w:rPr>
              <w:t>务软件股份 有限公司</w:t>
            </w:r>
            <w:r>
              <w:rPr>
                <w:rFonts w:ascii="宋体" w:hAnsi="宋体" w:cs="宋体" w:eastAsia="宋体" w:hint="default"/>
                <w:sz w:val="18"/>
                <w:szCs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140,999,277</w:t>
            </w: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 </w:t>
            </w:r>
            <w:r>
              <w:rPr>
                <w:rFonts w:ascii="宋体" w:hAnsi="宋体" w:cs="宋体" w:eastAsia="宋体" w:hint="default"/>
                <w:sz w:val="18"/>
                <w:szCs w:val="18"/>
              </w:rPr>
            </w:r>
            <w:r>
              <w:rPr>
                <w:rFonts w:ascii="宋体" w:hAnsi="宋体" w:cs="宋体" w:eastAsia="宋体" w:hint="default"/>
                <w:sz w:val="18"/>
                <w:szCs w:val="18"/>
              </w:rPr>
              <w:t>算</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机软</w:t>
            </w:r>
            <w:r>
              <w:rPr>
                <w:rFonts w:ascii="宋体" w:hAnsi="宋体" w:cs="宋体" w:eastAsia="宋体" w:hint="default"/>
                <w:sz w:val="18"/>
                <w:szCs w:val="18"/>
              </w:rPr>
              <w:t> </w:t>
            </w:r>
          </w:p>
          <w:p>
            <w:pPr>
              <w:pStyle w:val="TableParagraph"/>
              <w:spacing w:line="232" w:lineRule="exact" w:before="23"/>
              <w:ind w:left="100" w:right="118"/>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1"/>
                <w:sz w:val="18"/>
                <w:szCs w:val="18"/>
              </w:rPr>
              <w:t> </w:t>
            </w:r>
            <w:r>
              <w:rPr>
                <w:rFonts w:ascii="宋体" w:hAnsi="宋体" w:cs="宋体" w:eastAsia="宋体" w:hint="default"/>
                <w:sz w:val="18"/>
                <w:szCs w:val="18"/>
              </w:rPr>
              <w:t>硬件、技 术咨询</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基础软件服务；应用软</w:t>
            </w:r>
          </w:p>
          <w:p>
            <w:pPr>
              <w:pStyle w:val="TableParagraph"/>
              <w:spacing w:line="237" w:lineRule="auto"/>
              <w:ind w:left="103" w:right="9"/>
              <w:jc w:val="left"/>
              <w:rPr>
                <w:rFonts w:ascii="宋体" w:hAnsi="宋体" w:cs="宋体" w:eastAsia="宋体" w:hint="default"/>
                <w:sz w:val="18"/>
                <w:szCs w:val="18"/>
              </w:rPr>
            </w:pPr>
            <w:r>
              <w:rPr>
                <w:rFonts w:ascii="宋体" w:hAnsi="宋体" w:cs="宋体" w:eastAsia="宋体" w:hint="default"/>
                <w:sz w:val="18"/>
                <w:szCs w:val="18"/>
              </w:rPr>
              <w:t>件服务；销售计算机、 </w:t>
            </w:r>
            <w:r>
              <w:rPr>
                <w:rFonts w:ascii="宋体" w:hAnsi="宋体" w:cs="宋体" w:eastAsia="宋体" w:hint="default"/>
                <w:spacing w:val="-4"/>
                <w:sz w:val="18"/>
                <w:szCs w:val="18"/>
              </w:rPr>
              <w:t>软件及辅助设备、通讯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设备、电子产品、家用</w:t>
            </w:r>
            <w:r>
              <w:rPr>
                <w:rFonts w:ascii="宋体" w:hAnsi="宋体" w:cs="宋体" w:eastAsia="宋体" w:hint="default"/>
                <w:sz w:val="18"/>
                <w:szCs w:val="18"/>
              </w:rPr>
              <w:t> </w:t>
            </w:r>
            <w:r>
              <w:rPr>
                <w:rFonts w:ascii="宋体" w:hAnsi="宋体" w:cs="宋体" w:eastAsia="宋体" w:hint="default"/>
                <w:spacing w:val="-3"/>
                <w:sz w:val="18"/>
                <w:szCs w:val="18"/>
              </w:rPr>
              <w:t>电器、办公用品；电子</w:t>
            </w:r>
            <w:r>
              <w:rPr>
                <w:rFonts w:ascii="宋体" w:hAnsi="宋体" w:cs="宋体" w:eastAsia="宋体" w:hint="default"/>
                <w:sz w:val="18"/>
                <w:szCs w:val="18"/>
              </w:rPr>
              <w:t> </w:t>
            </w:r>
            <w:r>
              <w:rPr>
                <w:rFonts w:ascii="宋体" w:hAnsi="宋体" w:cs="宋体" w:eastAsia="宋体" w:hint="default"/>
                <w:spacing w:val="-4"/>
                <w:sz w:val="18"/>
                <w:szCs w:val="18"/>
              </w:rPr>
              <w:t>计算机软件、硬件及外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部设备的技术开发、技</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术咨询、技术培训、技</w:t>
            </w:r>
            <w:r>
              <w:rPr>
                <w:rFonts w:ascii="宋体" w:hAnsi="宋体" w:cs="宋体" w:eastAsia="宋体" w:hint="default"/>
                <w:sz w:val="18"/>
                <w:szCs w:val="18"/>
              </w:rPr>
              <w:t> </w:t>
            </w:r>
            <w:r>
              <w:rPr>
                <w:rFonts w:ascii="宋体" w:hAnsi="宋体" w:cs="宋体" w:eastAsia="宋体" w:hint="default"/>
                <w:spacing w:val="-3"/>
                <w:sz w:val="18"/>
                <w:szCs w:val="18"/>
              </w:rPr>
              <w:t>术转让、技术服务；数</w:t>
            </w:r>
            <w:r>
              <w:rPr>
                <w:rFonts w:ascii="宋体" w:hAnsi="宋体" w:cs="宋体" w:eastAsia="宋体" w:hint="default"/>
                <w:sz w:val="18"/>
                <w:szCs w:val="18"/>
              </w:rPr>
              <w:t> </w:t>
            </w:r>
            <w:r>
              <w:rPr>
                <w:rFonts w:ascii="宋体" w:hAnsi="宋体" w:cs="宋体" w:eastAsia="宋体" w:hint="default"/>
                <w:spacing w:val="-4"/>
                <w:sz w:val="18"/>
                <w:szCs w:val="18"/>
              </w:rPr>
              <w:t>据处理（数据处理中的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银行卡中心、</w:t>
            </w:r>
            <w:r>
              <w:rPr>
                <w:rFonts w:ascii="宋体" w:hAnsi="宋体" w:cs="宋体" w:eastAsia="宋体" w:hint="default"/>
                <w:sz w:val="18"/>
                <w:szCs w:val="18"/>
              </w:rPr>
              <w:t>PUE</w:t>
            </w:r>
            <w:r>
              <w:rPr>
                <w:rFonts w:ascii="宋体" w:hAnsi="宋体" w:cs="宋体" w:eastAsia="宋体" w:hint="default"/>
                <w:spacing w:val="-45"/>
                <w:sz w:val="18"/>
                <w:szCs w:val="18"/>
              </w:rPr>
              <w:t> </w:t>
            </w:r>
            <w:r>
              <w:rPr>
                <w:rFonts w:ascii="宋体" w:hAnsi="宋体" w:cs="宋体" w:eastAsia="宋体" w:hint="default"/>
                <w:sz w:val="18"/>
                <w:szCs w:val="18"/>
              </w:rPr>
              <w:t>值在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z w:val="18"/>
                <w:szCs w:val="18"/>
              </w:rPr>
              <w:t>以上的云计算数据 </w:t>
            </w:r>
            <w:r>
              <w:rPr>
                <w:rFonts w:ascii="宋体" w:hAnsi="宋体" w:cs="宋体" w:eastAsia="宋体" w:hint="default"/>
                <w:spacing w:val="-11"/>
                <w:sz w:val="18"/>
                <w:szCs w:val="18"/>
              </w:rPr>
              <w:t>中心除外）；会议服务；</w:t>
            </w:r>
            <w:r>
              <w:rPr>
                <w:rFonts w:ascii="宋体" w:hAnsi="宋体" w:cs="宋体" w:eastAsia="宋体" w:hint="default"/>
                <w:sz w:val="18"/>
                <w:szCs w:val="18"/>
              </w:rPr>
              <w:t> </w:t>
            </w:r>
            <w:r>
              <w:rPr>
                <w:rFonts w:ascii="宋体" w:hAnsi="宋体" w:cs="宋体" w:eastAsia="宋体" w:hint="default"/>
                <w:spacing w:val="-3"/>
                <w:sz w:val="18"/>
                <w:szCs w:val="18"/>
              </w:rPr>
              <w:t>设计、制作、代理、发</w:t>
            </w:r>
            <w:r>
              <w:rPr>
                <w:rFonts w:ascii="宋体" w:hAnsi="宋体" w:cs="宋体" w:eastAsia="宋体" w:hint="default"/>
                <w:sz w:val="18"/>
                <w:szCs w:val="18"/>
              </w:rPr>
              <w:t> </w:t>
            </w:r>
            <w:r>
              <w:rPr>
                <w:rFonts w:ascii="宋体" w:hAnsi="宋体" w:cs="宋体" w:eastAsia="宋体" w:hint="default"/>
                <w:spacing w:val="-4"/>
                <w:sz w:val="18"/>
                <w:szCs w:val="18"/>
              </w:rPr>
              <w:t>布广告；销售经国家密</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码管理局审批并通过 指定检测机构产品质 量检测的商用密码产 品（有效期至</w:t>
            </w:r>
            <w:r>
              <w:rPr>
                <w:rFonts w:ascii="宋体" w:hAnsi="宋体" w:cs="宋体" w:eastAsia="宋体" w:hint="default"/>
                <w:spacing w:val="-45"/>
                <w:sz w:val="18"/>
                <w:szCs w:val="18"/>
              </w:rPr>
              <w:t> </w:t>
            </w:r>
            <w:r>
              <w:rPr>
                <w:rFonts w:ascii="宋体" w:hAnsi="宋体" w:cs="宋体" w:eastAsia="宋体" w:hint="default"/>
                <w:sz w:val="18"/>
                <w:szCs w:val="18"/>
              </w:rPr>
              <w:t>2020</w:t>
            </w:r>
            <w:r>
              <w:rPr>
                <w:rFonts w:ascii="宋体" w:hAnsi="宋体" w:cs="宋体" w:eastAsia="宋体" w:hint="default"/>
                <w:spacing w:val="-43"/>
                <w:sz w:val="18"/>
                <w:szCs w:val="18"/>
              </w:rPr>
              <w:t> </w:t>
            </w:r>
            <w:r>
              <w:rPr>
                <w:rFonts w:ascii="宋体" w:hAnsi="宋体" w:cs="宋体" w:eastAsia="宋体" w:hint="default"/>
                <w:sz w:val="18"/>
                <w:szCs w:val="18"/>
              </w:rPr>
              <w:t>年</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07</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宋体" w:hAnsi="宋体" w:cs="宋体" w:eastAsia="宋体" w:hint="default"/>
                <w:sz w:val="18"/>
                <w:szCs w:val="18"/>
              </w:rPr>
              <w:t>30</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z w:val="18"/>
              </w:rPr>
              <w:t>77.49</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pacing w:val="-1"/>
                <w:sz w:val="18"/>
              </w:rPr>
              <w:t>989,310,614</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101"/>
              <w:jc w:val="right"/>
              <w:rPr>
                <w:rFonts w:ascii="Times New Roman" w:hAnsi="Times New Roman" w:cs="Times New Roman" w:eastAsia="Times New Roman" w:hint="default"/>
                <w:sz w:val="18"/>
                <w:szCs w:val="18"/>
              </w:rPr>
            </w:pPr>
            <w:r>
              <w:rPr>
                <w:rFonts w:ascii="Times New Roman"/>
                <w:spacing w:val="-1"/>
                <w:sz w:val="18"/>
              </w:rPr>
              <w:t>1,346,743,004</w:t>
            </w:r>
          </w:p>
          <w:p>
            <w:pPr>
              <w:pStyle w:val="TableParagraph"/>
              <w:spacing w:line="223" w:lineRule="exact"/>
              <w:ind w:right="11"/>
              <w:jc w:val="right"/>
              <w:rPr>
                <w:rFonts w:ascii="宋体" w:hAnsi="宋体" w:cs="宋体" w:eastAsia="宋体" w:hint="default"/>
                <w:sz w:val="18"/>
                <w:szCs w:val="18"/>
              </w:rPr>
            </w:pP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205,376,781</w:t>
            </w:r>
            <w:r>
              <w:rPr>
                <w:rFonts w:ascii="宋体"/>
                <w:sz w:val="18"/>
              </w:rPr>
              <w:t> </w:t>
            </w:r>
          </w:p>
        </w:tc>
      </w:tr>
      <w:tr>
        <w:trPr>
          <w:trHeight w:val="245"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center"/>
              <w:rPr>
                <w:rFonts w:ascii="宋体" w:hAnsi="宋体" w:cs="宋体" w:eastAsia="宋体" w:hint="default"/>
                <w:sz w:val="18"/>
                <w:szCs w:val="18"/>
              </w:rPr>
            </w:pPr>
            <w:r>
              <w:rPr>
                <w:rFonts w:ascii="宋体" w:hAnsi="宋体" w:cs="宋体" w:eastAsia="宋体" w:hint="default"/>
                <w:sz w:val="18"/>
                <w:szCs w:val="18"/>
              </w:rPr>
              <w:t>用友汽车信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105,600,000</w:t>
            </w: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计 </w:t>
            </w:r>
            <w:r>
              <w:rPr>
                <w:rFonts w:ascii="宋体" w:hAnsi="宋体" w:cs="宋体" w:eastAsia="宋体" w:hint="default"/>
                <w:sz w:val="18"/>
                <w:szCs w:val="18"/>
              </w:rPr>
            </w:r>
            <w:r>
              <w:rPr>
                <w:rFonts w:ascii="宋体" w:hAnsi="宋体" w:cs="宋体" w:eastAsia="宋体" w:hint="default"/>
                <w:sz w:val="18"/>
                <w:szCs w:val="18"/>
              </w:rPr>
              <w:t>算</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机软</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计算机软硬件及网络</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z w:val="18"/>
              </w:rPr>
              <w:t>76.88</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pacing w:val="-1"/>
                <w:sz w:val="18"/>
              </w:rPr>
              <w:t>486,976,244</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637,886,954</w:t>
            </w:r>
            <w:r>
              <w:rPr>
                <w:rFonts w:ascii="宋体"/>
                <w:spacing w:val="-1"/>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92,656,209</w:t>
            </w:r>
            <w:r>
              <w:rPr>
                <w:rFonts w:ascii="宋体"/>
                <w:sz w:val="18"/>
              </w:rPr>
              <w:t> </w:t>
            </w:r>
          </w:p>
        </w:tc>
      </w:tr>
    </w:tbl>
    <w:p>
      <w:pPr>
        <w:spacing w:after="0" w:line="202" w:lineRule="exact"/>
        <w:jc w:val="right"/>
        <w:rPr>
          <w:rFonts w:ascii="宋体" w:hAnsi="宋体" w:cs="宋体" w:eastAsia="宋体" w:hint="default"/>
          <w:sz w:val="18"/>
          <w:szCs w:val="18"/>
        </w:rPr>
        <w:sectPr>
          <w:headerReference w:type="default" r:id="rId24"/>
          <w:footerReference w:type="default" r:id="rId25"/>
          <w:pgSz w:w="11910" w:h="16840"/>
          <w:pgMar w:header="880" w:footer="1195" w:top="1120" w:bottom="1380" w:left="300" w:right="600"/>
          <w:pgNumType w:start="25"/>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4"/>
          <w:szCs w:val="14"/>
        </w:rPr>
      </w:pPr>
    </w:p>
    <w:tbl>
      <w:tblPr>
        <w:tblW w:w="0" w:type="auto"/>
        <w:jc w:val="left"/>
        <w:tblInd w:w="103" w:type="dxa"/>
        <w:tblLayout w:type="fixed"/>
        <w:tblCellMar>
          <w:top w:w="0" w:type="dxa"/>
          <w:left w:w="0" w:type="dxa"/>
          <w:bottom w:w="0" w:type="dxa"/>
          <w:right w:w="0" w:type="dxa"/>
        </w:tblCellMar>
        <w:tblLook w:val="01E0"/>
      </w:tblPr>
      <w:tblGrid>
        <w:gridCol w:w="1136"/>
        <w:gridCol w:w="1418"/>
        <w:gridCol w:w="1133"/>
        <w:gridCol w:w="1985"/>
        <w:gridCol w:w="994"/>
        <w:gridCol w:w="1416"/>
        <w:gridCol w:w="1419"/>
        <w:gridCol w:w="1274"/>
      </w:tblGrid>
      <w:tr>
        <w:trPr>
          <w:trHeight w:val="1880"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息科技（上</w:t>
            </w:r>
          </w:p>
          <w:p>
            <w:pPr>
              <w:pStyle w:val="TableParagraph"/>
              <w:spacing w:line="232" w:lineRule="exact" w:before="23"/>
              <w:ind w:left="103" w:right="120"/>
              <w:jc w:val="left"/>
              <w:rPr>
                <w:rFonts w:ascii="宋体" w:hAnsi="宋体" w:cs="宋体" w:eastAsia="宋体" w:hint="default"/>
                <w:sz w:val="18"/>
                <w:szCs w:val="18"/>
              </w:rPr>
            </w:pPr>
            <w:r>
              <w:rPr>
                <w:rFonts w:ascii="宋体" w:hAnsi="宋体" w:cs="宋体" w:eastAsia="宋体" w:hint="default"/>
                <w:sz w:val="18"/>
                <w:szCs w:val="18"/>
              </w:rPr>
              <w:t>海）股份有 限公司</w:t>
            </w:r>
            <w:r>
              <w:rPr>
                <w:rFonts w:ascii="宋体" w:hAnsi="宋体" w:cs="宋体" w:eastAsia="宋体" w:hint="default"/>
                <w:sz w:val="18"/>
                <w:szCs w:val="18"/>
              </w:rPr>
              <w:t> </w:t>
            </w:r>
          </w:p>
        </w:tc>
        <w:tc>
          <w:tcPr>
            <w:tcW w:w="141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件</w:t>
            </w:r>
            <w:r>
              <w:rPr>
                <w:rFonts w:ascii="宋体" w:hAnsi="宋体" w:cs="宋体" w:eastAsia="宋体" w:hint="default"/>
                <w:sz w:val="18"/>
                <w:szCs w:val="18"/>
              </w:rPr>
              <w:t>/</w:t>
            </w:r>
            <w:r>
              <w:rPr>
                <w:rFonts w:ascii="宋体" w:hAnsi="宋体" w:cs="宋体" w:eastAsia="宋体" w:hint="default"/>
                <w:sz w:val="18"/>
                <w:szCs w:val="18"/>
              </w:rPr>
              <w:t>系统集</w:t>
            </w:r>
          </w:p>
          <w:p>
            <w:pPr>
              <w:pStyle w:val="TableParagraph"/>
              <w:spacing w:line="232" w:lineRule="exact" w:before="23"/>
              <w:ind w:left="100" w:right="208"/>
              <w:jc w:val="left"/>
              <w:rPr>
                <w:rFonts w:ascii="宋体" w:hAnsi="宋体" w:cs="宋体" w:eastAsia="宋体" w:hint="default"/>
                <w:sz w:val="18"/>
                <w:szCs w:val="18"/>
              </w:rPr>
            </w:pPr>
            <w:r>
              <w:rPr>
                <w:rFonts w:ascii="宋体" w:hAnsi="宋体" w:cs="宋体" w:eastAsia="宋体" w:hint="default"/>
                <w:sz w:val="18"/>
                <w:szCs w:val="18"/>
              </w:rPr>
              <w:t>成</w:t>
            </w:r>
            <w:r>
              <w:rPr>
                <w:rFonts w:ascii="宋体" w:hAnsi="宋体" w:cs="宋体" w:eastAsia="宋体" w:hint="default"/>
                <w:sz w:val="18"/>
                <w:szCs w:val="18"/>
              </w:rPr>
              <w:t>/</w:t>
            </w:r>
            <w:r>
              <w:rPr>
                <w:rFonts w:ascii="宋体" w:hAnsi="宋体" w:cs="宋体" w:eastAsia="宋体" w:hint="default"/>
                <w:sz w:val="18"/>
                <w:szCs w:val="18"/>
              </w:rPr>
              <w:t>咨</w:t>
            </w:r>
            <w:r>
              <w:rPr>
                <w:rFonts w:ascii="宋体" w:hAnsi="宋体" w:cs="宋体" w:eastAsia="宋体" w:hint="default"/>
                <w:spacing w:val="1"/>
                <w:sz w:val="18"/>
                <w:szCs w:val="18"/>
              </w:rPr>
              <w:t> </w:t>
            </w:r>
            <w:r>
              <w:rPr>
                <w:rFonts w:ascii="宋体" w:hAnsi="宋体" w:cs="宋体" w:eastAsia="宋体" w:hint="default"/>
                <w:spacing w:val="1"/>
                <w:sz w:val="18"/>
                <w:szCs w:val="18"/>
              </w:rPr>
            </w:r>
            <w:r>
              <w:rPr>
                <w:rFonts w:ascii="宋体" w:hAnsi="宋体" w:cs="宋体" w:eastAsia="宋体" w:hint="default"/>
                <w:sz w:val="18"/>
                <w:szCs w:val="18"/>
              </w:rPr>
              <w:t>询</w:t>
            </w:r>
            <w:r>
              <w:rPr>
                <w:rFonts w:ascii="宋体" w:hAnsi="宋体" w:cs="宋体" w:eastAsia="宋体" w:hint="default"/>
                <w:sz w:val="18"/>
                <w:szCs w:val="18"/>
              </w:rPr>
              <w:t> </w:t>
            </w:r>
            <w:r>
              <w:rPr>
                <w:rFonts w:ascii="宋体" w:hAnsi="宋体" w:cs="宋体" w:eastAsia="宋体" w:hint="default"/>
                <w:sz w:val="18"/>
                <w:szCs w:val="18"/>
              </w:rPr>
              <w:t>行业</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设备、产品及系统集成</w:t>
            </w:r>
          </w:p>
          <w:p>
            <w:pPr>
              <w:pStyle w:val="TableParagraph"/>
              <w:spacing w:line="237" w:lineRule="auto" w:before="1"/>
              <w:ind w:left="103" w:right="71"/>
              <w:jc w:val="left"/>
              <w:rPr>
                <w:rFonts w:ascii="宋体" w:hAnsi="宋体" w:cs="宋体" w:eastAsia="宋体" w:hint="default"/>
                <w:sz w:val="18"/>
                <w:szCs w:val="18"/>
              </w:rPr>
            </w:pPr>
            <w:r>
              <w:rPr>
                <w:rFonts w:ascii="宋体" w:hAnsi="宋体" w:cs="宋体" w:eastAsia="宋体" w:hint="default"/>
                <w:spacing w:val="-3"/>
                <w:sz w:val="18"/>
                <w:szCs w:val="18"/>
              </w:rPr>
              <w:t>的技术开发、转让、服</w:t>
            </w:r>
            <w:r>
              <w:rPr>
                <w:rFonts w:ascii="宋体" w:hAnsi="宋体" w:cs="宋体" w:eastAsia="宋体" w:hint="default"/>
                <w:sz w:val="18"/>
                <w:szCs w:val="18"/>
              </w:rPr>
              <w:t> 务、咨询；网络布线、 </w:t>
            </w:r>
            <w:r>
              <w:rPr>
                <w:rFonts w:ascii="宋体" w:hAnsi="宋体" w:cs="宋体" w:eastAsia="宋体" w:hint="default"/>
                <w:spacing w:val="-4"/>
                <w:sz w:val="18"/>
                <w:szCs w:val="18"/>
              </w:rPr>
              <w:t>办公自动化产品、电子</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产品、通讯设备的销 </w:t>
            </w:r>
            <w:r>
              <w:rPr>
                <w:rFonts w:ascii="宋体" w:hAnsi="宋体" w:cs="宋体" w:eastAsia="宋体" w:hint="default"/>
                <w:spacing w:val="-3"/>
                <w:sz w:val="18"/>
                <w:szCs w:val="18"/>
              </w:rPr>
              <w:t>售；企业管理咨询；从</w:t>
            </w:r>
            <w:r>
              <w:rPr>
                <w:rFonts w:ascii="宋体" w:hAnsi="宋体" w:cs="宋体" w:eastAsia="宋体" w:hint="default"/>
                <w:sz w:val="18"/>
                <w:szCs w:val="18"/>
              </w:rPr>
              <w:t> 事货物进出口及技术 进出口业务。</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1877"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用友金融信</w:t>
            </w:r>
          </w:p>
          <w:p>
            <w:pPr>
              <w:pStyle w:val="TableParagraph"/>
              <w:spacing w:line="232" w:lineRule="exact" w:before="23"/>
              <w:ind w:left="103" w:right="120"/>
              <w:jc w:val="left"/>
              <w:rPr>
                <w:rFonts w:ascii="宋体" w:hAnsi="宋体" w:cs="宋体" w:eastAsia="宋体" w:hint="default"/>
                <w:sz w:val="18"/>
                <w:szCs w:val="18"/>
              </w:rPr>
            </w:pPr>
            <w:r>
              <w:rPr>
                <w:rFonts w:ascii="宋体" w:hAnsi="宋体" w:cs="宋体" w:eastAsia="宋体" w:hint="default"/>
                <w:sz w:val="18"/>
                <w:szCs w:val="18"/>
              </w:rPr>
              <w:t>息技术股份 有限公司</w:t>
            </w:r>
            <w:r>
              <w:rPr>
                <w:rFonts w:ascii="宋体" w:hAnsi="宋体" w:cs="宋体" w:eastAsia="宋体" w:hint="default"/>
                <w:sz w:val="18"/>
                <w:szCs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103,929,402</w:t>
            </w: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 </w:t>
            </w:r>
            <w:r>
              <w:rPr>
                <w:rFonts w:ascii="宋体" w:hAnsi="宋体" w:cs="宋体" w:eastAsia="宋体" w:hint="default"/>
                <w:sz w:val="18"/>
                <w:szCs w:val="18"/>
              </w:rPr>
            </w:r>
            <w:r>
              <w:rPr>
                <w:rFonts w:ascii="宋体" w:hAnsi="宋体" w:cs="宋体" w:eastAsia="宋体" w:hint="default"/>
                <w:sz w:val="18"/>
                <w:szCs w:val="18"/>
              </w:rPr>
              <w:t>算</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机软</w:t>
            </w:r>
          </w:p>
          <w:p>
            <w:pPr>
              <w:pStyle w:val="TableParagraph"/>
              <w:spacing w:line="237" w:lineRule="auto"/>
              <w:ind w:left="100" w:right="118"/>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r>
              <w:rPr>
                <w:rFonts w:ascii="宋体" w:hAnsi="宋体" w:cs="宋体" w:eastAsia="宋体" w:hint="default"/>
                <w:sz w:val="18"/>
                <w:szCs w:val="18"/>
              </w:rPr>
              <w:t>网</w:t>
            </w:r>
            <w:r>
              <w:rPr>
                <w:rFonts w:ascii="宋体" w:hAnsi="宋体" w:cs="宋体" w:eastAsia="宋体" w:hint="default"/>
                <w:sz w:val="18"/>
                <w:szCs w:val="18"/>
              </w:rPr>
              <w:t> </w:t>
            </w:r>
            <w:r>
              <w:rPr>
                <w:rFonts w:ascii="宋体" w:hAnsi="宋体" w:cs="宋体" w:eastAsia="宋体" w:hint="default"/>
                <w:sz w:val="18"/>
                <w:szCs w:val="18"/>
              </w:rPr>
              <w:t>络、技</w:t>
            </w:r>
            <w:r>
              <w:rPr>
                <w:rFonts w:ascii="宋体" w:hAnsi="宋体" w:cs="宋体" w:eastAsia="宋体" w:hint="default"/>
                <w:spacing w:val="1"/>
                <w:sz w:val="18"/>
                <w:szCs w:val="18"/>
              </w:rPr>
              <w:t> </w:t>
            </w:r>
            <w:r>
              <w:rPr>
                <w:rFonts w:ascii="宋体" w:hAnsi="宋体" w:cs="宋体" w:eastAsia="宋体" w:hint="default"/>
                <w:spacing w:val="1"/>
                <w:sz w:val="18"/>
                <w:szCs w:val="18"/>
              </w:rPr>
            </w:r>
            <w:r>
              <w:rPr>
                <w:rFonts w:ascii="宋体" w:hAnsi="宋体" w:cs="宋体" w:eastAsia="宋体" w:hint="default"/>
                <w:sz w:val="18"/>
                <w:szCs w:val="18"/>
              </w:rPr>
              <w:t>术</w:t>
            </w:r>
            <w:r>
              <w:rPr>
                <w:rFonts w:ascii="宋体" w:hAnsi="宋体" w:cs="宋体" w:eastAsia="宋体" w:hint="default"/>
                <w:sz w:val="18"/>
                <w:szCs w:val="18"/>
              </w:rPr>
              <w:t> </w:t>
            </w:r>
            <w:r>
              <w:rPr>
                <w:rFonts w:ascii="宋体" w:hAnsi="宋体" w:cs="宋体" w:eastAsia="宋体" w:hint="default"/>
                <w:sz w:val="18"/>
                <w:szCs w:val="18"/>
              </w:rPr>
              <w:t>咨询 </w:t>
            </w:r>
            <w:r>
              <w:rPr>
                <w:rFonts w:ascii="宋体" w:hAnsi="宋体" w:cs="宋体" w:eastAsia="宋体" w:hint="default"/>
                <w:sz w:val="18"/>
                <w:szCs w:val="18"/>
              </w:rPr>
            </w:r>
            <w:r>
              <w:rPr>
                <w:rFonts w:ascii="宋体" w:hAnsi="宋体" w:cs="宋体" w:eastAsia="宋体" w:hint="default"/>
                <w:sz w:val="18"/>
                <w:szCs w:val="18"/>
              </w:rPr>
              <w:t>及</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电 子行业</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软件开发；金融软件及</w:t>
            </w:r>
          </w:p>
          <w:p>
            <w:pPr>
              <w:pStyle w:val="TableParagraph"/>
              <w:spacing w:line="237" w:lineRule="auto"/>
              <w:ind w:left="103" w:right="71"/>
              <w:jc w:val="left"/>
              <w:rPr>
                <w:rFonts w:ascii="宋体" w:hAnsi="宋体" w:cs="宋体" w:eastAsia="宋体" w:hint="default"/>
                <w:sz w:val="18"/>
                <w:szCs w:val="18"/>
              </w:rPr>
            </w:pPr>
            <w:r>
              <w:rPr>
                <w:rFonts w:ascii="宋体" w:hAnsi="宋体" w:cs="宋体" w:eastAsia="宋体" w:hint="default"/>
                <w:sz w:val="18"/>
                <w:szCs w:val="18"/>
              </w:rPr>
              <w:t>计算机网络技术开发； 销售计算机软、硬件； </w:t>
            </w:r>
            <w:r>
              <w:rPr>
                <w:rFonts w:ascii="宋体" w:hAnsi="宋体" w:cs="宋体" w:eastAsia="宋体" w:hint="default"/>
                <w:spacing w:val="-4"/>
                <w:sz w:val="18"/>
                <w:szCs w:val="18"/>
              </w:rPr>
              <w:t>计算机系统集成；技术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咨询、技术服务、技术</w:t>
            </w:r>
            <w:r>
              <w:rPr>
                <w:rFonts w:ascii="宋体" w:hAnsi="宋体" w:cs="宋体" w:eastAsia="宋体" w:hint="default"/>
                <w:sz w:val="18"/>
                <w:szCs w:val="18"/>
              </w:rPr>
              <w:t> </w:t>
            </w:r>
            <w:r>
              <w:rPr>
                <w:rFonts w:ascii="宋体" w:hAnsi="宋体" w:cs="宋体" w:eastAsia="宋体" w:hint="default"/>
                <w:spacing w:val="-3"/>
                <w:sz w:val="18"/>
                <w:szCs w:val="18"/>
              </w:rPr>
              <w:t>培训；货物进出口、技</w:t>
            </w:r>
            <w:r>
              <w:rPr>
                <w:rFonts w:ascii="宋体" w:hAnsi="宋体" w:cs="宋体" w:eastAsia="宋体" w:hint="default"/>
                <w:sz w:val="18"/>
                <w:szCs w:val="18"/>
              </w:rPr>
              <w:t> 术进出口、代理进出 口。</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z w:val="18"/>
              </w:rPr>
              <w:t>76.98</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pacing w:val="-1"/>
                <w:sz w:val="18"/>
              </w:rPr>
              <w:t>380,692,551</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379,300,520</w:t>
            </w:r>
            <w:r>
              <w:rPr>
                <w:rFonts w:ascii="宋体"/>
                <w:spacing w:val="-1"/>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61,577,145</w:t>
            </w:r>
            <w:r>
              <w:rPr>
                <w:rFonts w:ascii="宋体"/>
                <w:sz w:val="18"/>
              </w:rPr>
              <w:t> </w:t>
            </w:r>
          </w:p>
        </w:tc>
      </w:tr>
      <w:tr>
        <w:trPr>
          <w:trHeight w:val="3278"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用友新道科</w:t>
            </w:r>
          </w:p>
          <w:p>
            <w:pPr>
              <w:pStyle w:val="TableParagraph"/>
              <w:spacing w:line="240" w:lineRule="auto"/>
              <w:ind w:left="103" w:right="120"/>
              <w:jc w:val="left"/>
              <w:rPr>
                <w:rFonts w:ascii="宋体" w:hAnsi="宋体" w:cs="宋体" w:eastAsia="宋体" w:hint="default"/>
                <w:sz w:val="18"/>
                <w:szCs w:val="18"/>
              </w:rPr>
            </w:pPr>
            <w:r>
              <w:rPr>
                <w:rFonts w:ascii="宋体" w:hAnsi="宋体" w:cs="宋体" w:eastAsia="宋体" w:hint="default"/>
                <w:sz w:val="18"/>
                <w:szCs w:val="18"/>
              </w:rPr>
              <w:t>技股份有限 公司</w:t>
            </w:r>
            <w:r>
              <w:rPr>
                <w:rFonts w:ascii="宋体" w:hAnsi="宋体" w:cs="宋体" w:eastAsia="宋体" w:hint="default"/>
                <w:sz w:val="18"/>
                <w:szCs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216,838,080</w:t>
            </w: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 </w:t>
            </w:r>
            <w:r>
              <w:rPr>
                <w:rFonts w:ascii="宋体" w:hAnsi="宋体" w:cs="宋体" w:eastAsia="宋体" w:hint="default"/>
                <w:sz w:val="18"/>
                <w:szCs w:val="18"/>
              </w:rPr>
            </w:r>
            <w:r>
              <w:rPr>
                <w:rFonts w:ascii="宋体" w:hAnsi="宋体" w:cs="宋体" w:eastAsia="宋体" w:hint="default"/>
                <w:sz w:val="18"/>
                <w:szCs w:val="18"/>
              </w:rPr>
              <w:t>算</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机软</w:t>
            </w:r>
          </w:p>
          <w:p>
            <w:pPr>
              <w:pStyle w:val="TableParagraph"/>
              <w:spacing w:line="240" w:lineRule="auto"/>
              <w:ind w:left="100" w:right="209"/>
              <w:jc w:val="left"/>
              <w:rPr>
                <w:rFonts w:ascii="宋体" w:hAnsi="宋体" w:cs="宋体" w:eastAsia="宋体" w:hint="default"/>
                <w:sz w:val="18"/>
                <w:szCs w:val="18"/>
              </w:rPr>
            </w:pPr>
            <w:r>
              <w:rPr>
                <w:rFonts w:ascii="宋体" w:hAnsi="宋体" w:cs="宋体" w:eastAsia="宋体" w:hint="default"/>
                <w:sz w:val="18"/>
                <w:szCs w:val="18"/>
              </w:rPr>
              <w:t>件</w:t>
            </w:r>
            <w:r>
              <w:rPr>
                <w:rFonts w:ascii="宋体" w:hAnsi="宋体" w:cs="宋体" w:eastAsia="宋体" w:hint="default"/>
                <w:sz w:val="18"/>
                <w:szCs w:val="18"/>
              </w:rPr>
              <w:t>/</w:t>
            </w:r>
            <w:r>
              <w:rPr>
                <w:rFonts w:ascii="宋体" w:hAnsi="宋体" w:cs="宋体" w:eastAsia="宋体" w:hint="default"/>
                <w:sz w:val="18"/>
                <w:szCs w:val="18"/>
              </w:rPr>
              <w:t>管理培 训</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电子计算机软件、硬件</w:t>
            </w:r>
          </w:p>
          <w:p>
            <w:pPr>
              <w:pStyle w:val="TableParagraph"/>
              <w:spacing w:line="237" w:lineRule="auto"/>
              <w:ind w:left="103" w:right="71"/>
              <w:jc w:val="left"/>
              <w:rPr>
                <w:rFonts w:ascii="宋体" w:hAnsi="宋体" w:cs="宋体" w:eastAsia="宋体" w:hint="default"/>
                <w:sz w:val="18"/>
                <w:szCs w:val="18"/>
              </w:rPr>
            </w:pPr>
            <w:r>
              <w:rPr>
                <w:rFonts w:ascii="宋体" w:hAnsi="宋体" w:cs="宋体" w:eastAsia="宋体" w:hint="default"/>
                <w:sz w:val="18"/>
                <w:szCs w:val="18"/>
              </w:rPr>
              <w:t>及外部设备的技术开 </w:t>
            </w:r>
            <w:r>
              <w:rPr>
                <w:rFonts w:ascii="宋体" w:hAnsi="宋体" w:cs="宋体" w:eastAsia="宋体" w:hint="default"/>
                <w:spacing w:val="-3"/>
                <w:sz w:val="18"/>
                <w:szCs w:val="18"/>
              </w:rPr>
              <w:t>发、技术咨询、技术转</w:t>
            </w:r>
            <w:r>
              <w:rPr>
                <w:rFonts w:ascii="宋体" w:hAnsi="宋体" w:cs="宋体" w:eastAsia="宋体" w:hint="default"/>
                <w:sz w:val="18"/>
                <w:szCs w:val="18"/>
              </w:rPr>
              <w:t> </w:t>
            </w:r>
            <w:r>
              <w:rPr>
                <w:rFonts w:ascii="宋体" w:hAnsi="宋体" w:cs="宋体" w:eastAsia="宋体" w:hint="default"/>
                <w:spacing w:val="-3"/>
                <w:sz w:val="18"/>
                <w:szCs w:val="18"/>
              </w:rPr>
              <w:t>让、技术服务、技术培</w:t>
            </w:r>
            <w:r>
              <w:rPr>
                <w:rFonts w:ascii="宋体" w:hAnsi="宋体" w:cs="宋体" w:eastAsia="宋体" w:hint="default"/>
                <w:sz w:val="18"/>
                <w:szCs w:val="18"/>
              </w:rPr>
              <w:t> </w:t>
            </w:r>
            <w:r>
              <w:rPr>
                <w:rFonts w:ascii="宋体" w:hAnsi="宋体" w:cs="宋体" w:eastAsia="宋体" w:hint="default"/>
                <w:spacing w:val="-4"/>
                <w:sz w:val="18"/>
                <w:szCs w:val="18"/>
              </w:rPr>
              <w:t>训；管理课程开发与培</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训、销售打印纸和计算</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机耗材；管理咨询与服</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务；数据库服务；人才</w:t>
            </w:r>
            <w:r>
              <w:rPr>
                <w:rFonts w:ascii="宋体" w:hAnsi="宋体" w:cs="宋体" w:eastAsia="宋体" w:hint="default"/>
                <w:sz w:val="18"/>
                <w:szCs w:val="18"/>
              </w:rPr>
              <w:t> </w:t>
            </w:r>
            <w:r>
              <w:rPr>
                <w:rFonts w:ascii="宋体" w:hAnsi="宋体" w:cs="宋体" w:eastAsia="宋体" w:hint="default"/>
                <w:spacing w:val="-4"/>
                <w:sz w:val="18"/>
                <w:szCs w:val="18"/>
              </w:rPr>
              <w:t>中介服务；销售电子计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算机软件硬件及外部 </w:t>
            </w:r>
            <w:r>
              <w:rPr>
                <w:rFonts w:ascii="宋体" w:hAnsi="宋体" w:cs="宋体" w:eastAsia="宋体" w:hint="default"/>
                <w:spacing w:val="-3"/>
                <w:sz w:val="18"/>
                <w:szCs w:val="18"/>
              </w:rPr>
              <w:t>设备；在线学习；大赛</w:t>
            </w:r>
            <w:r>
              <w:rPr>
                <w:rFonts w:ascii="宋体" w:hAnsi="宋体" w:cs="宋体" w:eastAsia="宋体" w:hint="default"/>
                <w:sz w:val="18"/>
                <w:szCs w:val="18"/>
              </w:rPr>
              <w:t> 与活动的策划与执行； 自营和代理各类商品 和技术进出口。</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z w:val="18"/>
              </w:rPr>
              <w:t>57.84</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pacing w:val="-1"/>
                <w:sz w:val="18"/>
              </w:rPr>
              <w:t>253,095,199</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626,052,215</w:t>
            </w:r>
            <w:r>
              <w:rPr>
                <w:rFonts w:ascii="宋体"/>
                <w:spacing w:val="-1"/>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85,579,564</w:t>
            </w:r>
            <w:r>
              <w:rPr>
                <w:rFonts w:ascii="宋体"/>
                <w:sz w:val="18"/>
              </w:rPr>
              <w:t> </w:t>
            </w:r>
          </w:p>
        </w:tc>
      </w:tr>
      <w:tr>
        <w:trPr>
          <w:trHeight w:val="4679"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畅捷通信息</w:t>
            </w:r>
          </w:p>
          <w:p>
            <w:pPr>
              <w:pStyle w:val="TableParagraph"/>
              <w:spacing w:line="240" w:lineRule="auto"/>
              <w:ind w:left="103" w:right="120"/>
              <w:jc w:val="left"/>
              <w:rPr>
                <w:rFonts w:ascii="宋体" w:hAnsi="宋体" w:cs="宋体" w:eastAsia="宋体" w:hint="default"/>
                <w:sz w:val="18"/>
                <w:szCs w:val="18"/>
              </w:rPr>
            </w:pPr>
            <w:r>
              <w:rPr>
                <w:rFonts w:ascii="宋体" w:hAnsi="宋体" w:cs="宋体" w:eastAsia="宋体" w:hint="default"/>
                <w:sz w:val="18"/>
                <w:szCs w:val="18"/>
              </w:rPr>
              <w:t>技术股份有 限公司</w:t>
            </w:r>
            <w:r>
              <w:rPr>
                <w:rFonts w:ascii="宋体" w:hAnsi="宋体" w:cs="宋体" w:eastAsia="宋体" w:hint="default"/>
                <w:sz w:val="18"/>
                <w:szCs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217,181,666</w:t>
            </w: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计 </w:t>
            </w:r>
            <w:r>
              <w:rPr>
                <w:rFonts w:ascii="宋体" w:hAnsi="宋体" w:cs="宋体" w:eastAsia="宋体" w:hint="default"/>
                <w:sz w:val="18"/>
                <w:szCs w:val="18"/>
              </w:rPr>
            </w:r>
            <w:r>
              <w:rPr>
                <w:rFonts w:ascii="宋体" w:hAnsi="宋体" w:cs="宋体" w:eastAsia="宋体" w:hint="default"/>
                <w:sz w:val="18"/>
                <w:szCs w:val="18"/>
              </w:rPr>
              <w:t>算</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机软</w:t>
            </w:r>
          </w:p>
          <w:p>
            <w:pPr>
              <w:pStyle w:val="TableParagraph"/>
              <w:spacing w:line="237" w:lineRule="auto"/>
              <w:ind w:left="100" w:right="119"/>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硬件</w:t>
            </w:r>
            <w:r>
              <w:rPr>
                <w:rFonts w:ascii="宋体" w:hAnsi="宋体" w:cs="宋体" w:eastAsia="宋体" w:hint="default"/>
                <w:sz w:val="18"/>
                <w:szCs w:val="18"/>
              </w:rPr>
              <w:t>/</w:t>
            </w:r>
            <w:r>
              <w:rPr>
                <w:rFonts w:ascii="宋体" w:hAnsi="宋体" w:cs="宋体" w:eastAsia="宋体" w:hint="default"/>
                <w:sz w:val="18"/>
                <w:szCs w:val="18"/>
              </w:rPr>
              <w:t>耗</w:t>
            </w:r>
            <w:r>
              <w:rPr>
                <w:rFonts w:ascii="宋体" w:hAnsi="宋体" w:cs="宋体" w:eastAsia="宋体" w:hint="default"/>
                <w:sz w:val="18"/>
                <w:szCs w:val="18"/>
              </w:rPr>
              <w:t> </w:t>
            </w:r>
            <w:r>
              <w:rPr>
                <w:rFonts w:ascii="宋体" w:hAnsi="宋体" w:cs="宋体" w:eastAsia="宋体" w:hint="default"/>
                <w:sz w:val="18"/>
                <w:szCs w:val="18"/>
              </w:rPr>
              <w:t>材、电</w:t>
            </w:r>
            <w:r>
              <w:rPr>
                <w:rFonts w:ascii="宋体" w:hAnsi="宋体" w:cs="宋体" w:eastAsia="宋体" w:hint="default"/>
                <w:spacing w:val="1"/>
                <w:sz w:val="18"/>
                <w:szCs w:val="18"/>
              </w:rPr>
              <w:t> </w:t>
            </w:r>
            <w:r>
              <w:rPr>
                <w:rFonts w:ascii="宋体" w:hAnsi="宋体" w:cs="宋体" w:eastAsia="宋体" w:hint="default"/>
                <w:spacing w:val="1"/>
                <w:sz w:val="18"/>
                <w:szCs w:val="18"/>
              </w:rPr>
            </w:r>
            <w:r>
              <w:rPr>
                <w:rFonts w:ascii="宋体" w:hAnsi="宋体" w:cs="宋体" w:eastAsia="宋体" w:hint="default"/>
                <w:sz w:val="18"/>
                <w:szCs w:val="18"/>
              </w:rPr>
              <w:t>子</w:t>
            </w:r>
            <w:r>
              <w:rPr>
                <w:rFonts w:ascii="宋体" w:hAnsi="宋体" w:cs="宋体" w:eastAsia="宋体" w:hint="default"/>
                <w:sz w:val="18"/>
                <w:szCs w:val="18"/>
              </w:rPr>
              <w:t> </w:t>
            </w:r>
            <w:r>
              <w:rPr>
                <w:rFonts w:ascii="宋体" w:hAnsi="宋体" w:cs="宋体" w:eastAsia="宋体" w:hint="default"/>
                <w:sz w:val="18"/>
                <w:szCs w:val="18"/>
              </w:rPr>
              <w:t>行业</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电子计算机软件、硬件</w:t>
            </w:r>
          </w:p>
          <w:p>
            <w:pPr>
              <w:pStyle w:val="TableParagraph"/>
              <w:spacing w:line="237" w:lineRule="auto"/>
              <w:ind w:left="103" w:right="11"/>
              <w:jc w:val="left"/>
              <w:rPr>
                <w:rFonts w:ascii="宋体" w:hAnsi="宋体" w:cs="宋体" w:eastAsia="宋体" w:hint="default"/>
                <w:sz w:val="18"/>
                <w:szCs w:val="18"/>
              </w:rPr>
            </w:pPr>
            <w:r>
              <w:rPr>
                <w:rFonts w:ascii="宋体" w:hAnsi="宋体" w:cs="宋体" w:eastAsia="宋体" w:hint="default"/>
                <w:sz w:val="18"/>
                <w:szCs w:val="18"/>
              </w:rPr>
              <w:t>及外部设备的技术开 </w:t>
            </w:r>
            <w:r>
              <w:rPr>
                <w:rFonts w:ascii="宋体" w:hAnsi="宋体" w:cs="宋体" w:eastAsia="宋体" w:hint="default"/>
                <w:spacing w:val="-3"/>
                <w:sz w:val="18"/>
                <w:szCs w:val="18"/>
              </w:rPr>
              <w:t>发、技术咨询、技术转</w:t>
            </w:r>
            <w:r>
              <w:rPr>
                <w:rFonts w:ascii="宋体" w:hAnsi="宋体" w:cs="宋体" w:eastAsia="宋体" w:hint="default"/>
                <w:sz w:val="18"/>
                <w:szCs w:val="18"/>
              </w:rPr>
              <w:t> </w:t>
            </w:r>
            <w:r>
              <w:rPr>
                <w:rFonts w:ascii="宋体" w:hAnsi="宋体" w:cs="宋体" w:eastAsia="宋体" w:hint="default"/>
                <w:spacing w:val="-3"/>
                <w:sz w:val="18"/>
                <w:szCs w:val="18"/>
              </w:rPr>
              <w:t>让、技术服务、技术培</w:t>
            </w:r>
            <w:r>
              <w:rPr>
                <w:rFonts w:ascii="宋体" w:hAnsi="宋体" w:cs="宋体" w:eastAsia="宋体" w:hint="default"/>
                <w:sz w:val="18"/>
                <w:szCs w:val="18"/>
              </w:rPr>
              <w:t> </w:t>
            </w:r>
            <w:r>
              <w:rPr>
                <w:rFonts w:ascii="宋体" w:hAnsi="宋体" w:cs="宋体" w:eastAsia="宋体" w:hint="default"/>
                <w:spacing w:val="-4"/>
                <w:sz w:val="18"/>
                <w:szCs w:val="18"/>
              </w:rPr>
              <w:t>训；销售打印纸和计算</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机耗材、电子计算机软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硬件及外部设备；数据</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库服务；设计、制作、 </w:t>
            </w:r>
            <w:r>
              <w:rPr>
                <w:rFonts w:ascii="宋体" w:hAnsi="宋体" w:cs="宋体" w:eastAsia="宋体" w:hint="default"/>
                <w:spacing w:val="-3"/>
                <w:sz w:val="18"/>
                <w:szCs w:val="18"/>
              </w:rPr>
              <w:t>代理、发布广告；第二</w:t>
            </w:r>
            <w:r>
              <w:rPr>
                <w:rFonts w:ascii="宋体" w:hAnsi="宋体" w:cs="宋体" w:eastAsia="宋体" w:hint="default"/>
                <w:sz w:val="18"/>
                <w:szCs w:val="18"/>
              </w:rPr>
              <w:t> 类增值电信业务中的 </w:t>
            </w:r>
            <w:r>
              <w:rPr>
                <w:rFonts w:ascii="宋体" w:hAnsi="宋体" w:cs="宋体" w:eastAsia="宋体" w:hint="default"/>
                <w:spacing w:val="-3"/>
                <w:sz w:val="18"/>
                <w:szCs w:val="18"/>
              </w:rPr>
              <w:t>信息服务业务。（仅限</w:t>
            </w:r>
            <w:r>
              <w:rPr>
                <w:rFonts w:ascii="宋体" w:hAnsi="宋体" w:cs="宋体" w:eastAsia="宋体" w:hint="default"/>
                <w:sz w:val="18"/>
                <w:szCs w:val="18"/>
              </w:rPr>
              <w:t> 互联网信息服务）</w:t>
            </w:r>
            <w:r>
              <w:rPr>
                <w:rFonts w:ascii="宋体" w:hAnsi="宋体" w:cs="宋体" w:eastAsia="宋体" w:hint="default"/>
                <w:sz w:val="18"/>
                <w:szCs w:val="18"/>
              </w:rPr>
              <w:t>(</w:t>
            </w:r>
            <w:r>
              <w:rPr>
                <w:rFonts w:ascii="宋体" w:hAnsi="宋体" w:cs="宋体" w:eastAsia="宋体" w:hint="default"/>
                <w:sz w:val="18"/>
                <w:szCs w:val="18"/>
              </w:rPr>
              <w:t>电 信与信息服务业业务 经营许可证有效期至 </w:t>
            </w: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pacing w:val="-1"/>
                <w:sz w:val="18"/>
                <w:szCs w:val="18"/>
              </w:rPr>
              <w:t>31</w:t>
            </w:r>
            <w:r>
              <w:rPr>
                <w:rFonts w:ascii="宋体" w:hAnsi="宋体" w:cs="宋体" w:eastAsia="宋体" w:hint="default"/>
                <w:spacing w:val="-44"/>
                <w:sz w:val="18"/>
                <w:szCs w:val="18"/>
              </w:rPr>
              <w:t> </w:t>
            </w:r>
            <w:r>
              <w:rPr>
                <w:rFonts w:ascii="宋体" w:hAnsi="宋体" w:cs="宋体" w:eastAsia="宋体" w:hint="default"/>
                <w:spacing w:val="-39"/>
                <w:sz w:val="18"/>
                <w:szCs w:val="18"/>
              </w:rPr>
              <w:t>日</w:t>
            </w:r>
            <w:r>
              <w:rPr>
                <w:rFonts w:ascii="宋体" w:hAnsi="宋体" w:cs="宋体" w:eastAsia="宋体" w:hint="default"/>
                <w:spacing w:val="-39"/>
                <w:sz w:val="18"/>
                <w:szCs w:val="18"/>
              </w:rPr>
              <w:t>)</w:t>
            </w:r>
            <w:r>
              <w:rPr>
                <w:rFonts w:ascii="宋体" w:hAnsi="宋体" w:cs="宋体" w:eastAsia="宋体" w:hint="default"/>
                <w:spacing w:val="-39"/>
                <w:sz w:val="18"/>
                <w:szCs w:val="18"/>
              </w:rPr>
              <w:t>。企</w:t>
            </w:r>
            <w:r>
              <w:rPr>
                <w:rFonts w:ascii="宋体" w:hAnsi="宋体" w:cs="宋体" w:eastAsia="宋体" w:hint="default"/>
                <w:spacing w:val="-77"/>
                <w:sz w:val="18"/>
                <w:szCs w:val="18"/>
              </w:rPr>
              <w:t> </w:t>
            </w:r>
            <w:r>
              <w:rPr>
                <w:rFonts w:ascii="宋体" w:hAnsi="宋体" w:cs="宋体" w:eastAsia="宋体" w:hint="default"/>
                <w:spacing w:val="-4"/>
                <w:sz w:val="18"/>
                <w:szCs w:val="18"/>
              </w:rPr>
              <w:t>业管理服务，计算机应</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用系统的规划、集成和</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开发、相关技术支持服</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务，商务信息咨询，财</w:t>
            </w:r>
            <w:r>
              <w:rPr>
                <w:rFonts w:ascii="宋体" w:hAnsi="宋体" w:cs="宋体" w:eastAsia="宋体" w:hint="default"/>
                <w:sz w:val="18"/>
                <w:szCs w:val="18"/>
              </w:rPr>
              <w:t> </w:t>
            </w:r>
            <w:r>
              <w:rPr>
                <w:rFonts w:ascii="宋体" w:hAnsi="宋体" w:cs="宋体" w:eastAsia="宋体" w:hint="default"/>
                <w:spacing w:val="-3"/>
                <w:sz w:val="18"/>
                <w:szCs w:val="18"/>
              </w:rPr>
              <w:t>务咨询</w:t>
            </w:r>
            <w:r>
              <w:rPr>
                <w:rFonts w:ascii="宋体" w:hAnsi="宋体" w:cs="宋体" w:eastAsia="宋体" w:hint="default"/>
                <w:spacing w:val="-3"/>
                <w:sz w:val="18"/>
                <w:szCs w:val="18"/>
              </w:rPr>
              <w:t>(</w:t>
            </w:r>
            <w:r>
              <w:rPr>
                <w:rFonts w:ascii="宋体" w:hAnsi="宋体" w:cs="宋体" w:eastAsia="宋体" w:hint="default"/>
                <w:spacing w:val="-3"/>
                <w:sz w:val="18"/>
                <w:szCs w:val="18"/>
              </w:rPr>
              <w:t>除代理记账</w:t>
            </w:r>
            <w:r>
              <w:rPr>
                <w:rFonts w:ascii="宋体" w:hAnsi="宋体" w:cs="宋体" w:eastAsia="宋体" w:hint="default"/>
                <w:spacing w:val="-3"/>
                <w:sz w:val="18"/>
                <w:szCs w:val="18"/>
              </w:rPr>
              <w:t>)</w:t>
            </w:r>
            <w:r>
              <w:rPr>
                <w:rFonts w:ascii="宋体" w:hAnsi="宋体" w:cs="宋体" w:eastAsia="宋体" w:hint="default"/>
                <w:spacing w:val="-3"/>
                <w:sz w:val="18"/>
                <w:szCs w:val="18"/>
              </w:rPr>
              <w:t>。</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z w:val="18"/>
              </w:rPr>
              <w:t>69.88</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3"/>
              <w:jc w:val="right"/>
              <w:rPr>
                <w:rFonts w:ascii="宋体" w:hAnsi="宋体" w:cs="宋体" w:eastAsia="宋体" w:hint="default"/>
                <w:sz w:val="18"/>
                <w:szCs w:val="18"/>
              </w:rPr>
            </w:pPr>
            <w:r>
              <w:rPr>
                <w:rFonts w:ascii="Times New Roman"/>
                <w:spacing w:val="-1"/>
                <w:sz w:val="18"/>
              </w:rPr>
              <w:t>469,326,264</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1,584,967,256</w:t>
            </w:r>
            <w:r>
              <w:rPr>
                <w:rFonts w:ascii="宋体"/>
                <w:spacing w:val="-1"/>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
              <w:jc w:val="right"/>
              <w:rPr>
                <w:rFonts w:ascii="宋体" w:hAnsi="宋体" w:cs="宋体" w:eastAsia="宋体" w:hint="default"/>
                <w:sz w:val="18"/>
                <w:szCs w:val="18"/>
              </w:rPr>
            </w:pPr>
            <w:r>
              <w:rPr>
                <w:rFonts w:ascii="Times New Roman"/>
                <w:spacing w:val="-1"/>
                <w:sz w:val="18"/>
              </w:rPr>
              <w:t>92,387,911</w:t>
            </w:r>
            <w:r>
              <w:rPr>
                <w:rFonts w:ascii="宋体"/>
                <w:sz w:val="18"/>
              </w:rPr>
              <w:t> </w:t>
            </w:r>
          </w:p>
        </w:tc>
      </w:tr>
      <w:tr>
        <w:trPr>
          <w:trHeight w:val="2112"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z w:val="18"/>
                <w:szCs w:val="18"/>
              </w:rPr>
              <w:t>深圳前海用</w:t>
            </w:r>
          </w:p>
          <w:p>
            <w:pPr>
              <w:pStyle w:val="TableParagraph"/>
              <w:spacing w:line="232" w:lineRule="exact" w:before="23"/>
              <w:ind w:left="103" w:right="120"/>
              <w:jc w:val="both"/>
              <w:rPr>
                <w:rFonts w:ascii="宋体" w:hAnsi="宋体" w:cs="宋体" w:eastAsia="宋体" w:hint="default"/>
                <w:sz w:val="18"/>
                <w:szCs w:val="18"/>
              </w:rPr>
            </w:pPr>
            <w:r>
              <w:rPr>
                <w:rFonts w:ascii="宋体" w:hAnsi="宋体" w:cs="宋体" w:eastAsia="宋体" w:hint="default"/>
                <w:sz w:val="18"/>
                <w:szCs w:val="18"/>
              </w:rPr>
              <w:t>友力合金融 服务有限公 司</w:t>
            </w:r>
            <w:r>
              <w:rPr>
                <w:rFonts w:ascii="宋体" w:hAnsi="宋体" w:cs="宋体" w:eastAsia="宋体" w:hint="default"/>
                <w:sz w:val="18"/>
                <w:szCs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Times New Roman"/>
                <w:spacing w:val="-1"/>
                <w:sz w:val="18"/>
              </w:rPr>
              <w:t>70,404,124 </w:t>
            </w:r>
            <w:r>
              <w:rPr>
                <w:rFonts w:ascii="宋体"/>
                <w:spacing w:val="-1"/>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咨 </w:t>
            </w:r>
            <w:r>
              <w:rPr>
                <w:rFonts w:ascii="宋体" w:hAnsi="宋体" w:cs="宋体" w:eastAsia="宋体" w:hint="default"/>
                <w:sz w:val="18"/>
                <w:szCs w:val="18"/>
              </w:rPr>
            </w:r>
            <w:r>
              <w:rPr>
                <w:rFonts w:ascii="宋体" w:hAnsi="宋体" w:cs="宋体" w:eastAsia="宋体" w:hint="default"/>
                <w:sz w:val="18"/>
                <w:szCs w:val="18"/>
              </w:rPr>
              <w:t>询</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管理</w:t>
            </w:r>
          </w:p>
          <w:p>
            <w:pPr>
              <w:pStyle w:val="TableParagraph"/>
              <w:spacing w:line="232" w:lineRule="exact" w:before="23"/>
              <w:ind w:left="100" w:right="209"/>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计算机软 件</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金融信息咨询，投资管</w:t>
            </w:r>
          </w:p>
          <w:p>
            <w:pPr>
              <w:pStyle w:val="TableParagraph"/>
              <w:spacing w:line="237" w:lineRule="auto"/>
              <w:ind w:left="103" w:right="71"/>
              <w:jc w:val="left"/>
              <w:rPr>
                <w:rFonts w:ascii="宋体" w:hAnsi="宋体" w:cs="宋体" w:eastAsia="宋体" w:hint="default"/>
                <w:sz w:val="18"/>
                <w:szCs w:val="18"/>
              </w:rPr>
            </w:pPr>
            <w:r>
              <w:rPr>
                <w:rFonts w:ascii="宋体" w:hAnsi="宋体" w:cs="宋体" w:eastAsia="宋体" w:hint="default"/>
                <w:sz w:val="18"/>
                <w:szCs w:val="18"/>
              </w:rPr>
              <w:t>理（不含限制项目）； </w:t>
            </w:r>
            <w:r>
              <w:rPr>
                <w:rFonts w:ascii="宋体" w:hAnsi="宋体" w:cs="宋体" w:eastAsia="宋体" w:hint="default"/>
                <w:spacing w:val="-4"/>
                <w:sz w:val="18"/>
                <w:szCs w:val="18"/>
              </w:rPr>
              <w:t>投资咨询（不含限制项</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目）；投资顾问（不含</w:t>
            </w:r>
            <w:r>
              <w:rPr>
                <w:rFonts w:ascii="宋体" w:hAnsi="宋体" w:cs="宋体" w:eastAsia="宋体" w:hint="default"/>
                <w:sz w:val="18"/>
                <w:szCs w:val="18"/>
              </w:rPr>
              <w:t> </w:t>
            </w:r>
            <w:r>
              <w:rPr>
                <w:rFonts w:ascii="宋体" w:hAnsi="宋体" w:cs="宋体" w:eastAsia="宋体" w:hint="default"/>
                <w:spacing w:val="-3"/>
                <w:sz w:val="18"/>
                <w:szCs w:val="18"/>
              </w:rPr>
              <w:t>限制项目）；计算机编</w:t>
            </w:r>
            <w:r>
              <w:rPr>
                <w:rFonts w:ascii="宋体" w:hAnsi="宋体" w:cs="宋体" w:eastAsia="宋体" w:hint="default"/>
                <w:sz w:val="18"/>
                <w:szCs w:val="18"/>
              </w:rPr>
              <w:t> 程；计算机软件设计； </w:t>
            </w:r>
            <w:r>
              <w:rPr>
                <w:rFonts w:ascii="宋体" w:hAnsi="宋体" w:cs="宋体" w:eastAsia="宋体" w:hint="default"/>
                <w:spacing w:val="-4"/>
                <w:sz w:val="18"/>
                <w:szCs w:val="18"/>
              </w:rPr>
              <w:t>商务信息咨询、商业信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息咨询、企业管理咨 </w:t>
            </w:r>
            <w:r>
              <w:rPr>
                <w:rFonts w:ascii="宋体" w:hAnsi="宋体" w:cs="宋体" w:eastAsia="宋体" w:hint="default"/>
                <w:spacing w:val="-3"/>
                <w:sz w:val="18"/>
                <w:szCs w:val="18"/>
              </w:rPr>
              <w:t>询、投资信息咨询、投</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Times New Roman"/>
                <w:sz w:val="18"/>
              </w:rPr>
              <w:t>51.13</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Times New Roman"/>
                <w:spacing w:val="-1"/>
                <w:sz w:val="18"/>
              </w:rPr>
              <w:t>641,995,155</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Times New Roman"/>
                <w:spacing w:val="-1"/>
                <w:sz w:val="18"/>
              </w:rPr>
              <w:t>773,652,260</w:t>
            </w:r>
            <w:r>
              <w:rPr>
                <w:rFonts w:ascii="宋体"/>
                <w:spacing w:val="-1"/>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Times New Roman"/>
                <w:spacing w:val="-1"/>
                <w:sz w:val="18"/>
              </w:rPr>
              <w:t>66,737,862</w:t>
            </w:r>
            <w:r>
              <w:rPr>
                <w:rFonts w:ascii="宋体"/>
                <w:sz w:val="18"/>
              </w:rPr>
              <w:t> </w:t>
            </w:r>
          </w:p>
        </w:tc>
      </w:tr>
    </w:tbl>
    <w:p>
      <w:pPr>
        <w:spacing w:after="0" w:line="205" w:lineRule="exact"/>
        <w:jc w:val="right"/>
        <w:rPr>
          <w:rFonts w:ascii="宋体" w:hAnsi="宋体" w:cs="宋体" w:eastAsia="宋体" w:hint="default"/>
          <w:sz w:val="18"/>
          <w:szCs w:val="18"/>
        </w:rPr>
        <w:sectPr>
          <w:pgSz w:w="11910" w:h="16840"/>
          <w:pgMar w:header="880" w:footer="1195" w:top="1120" w:bottom="1380" w:left="300" w:right="60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4"/>
          <w:szCs w:val="14"/>
        </w:rPr>
      </w:pPr>
    </w:p>
    <w:tbl>
      <w:tblPr>
        <w:tblW w:w="0" w:type="auto"/>
        <w:jc w:val="left"/>
        <w:tblInd w:w="103" w:type="dxa"/>
        <w:tblLayout w:type="fixed"/>
        <w:tblCellMar>
          <w:top w:w="0" w:type="dxa"/>
          <w:left w:w="0" w:type="dxa"/>
          <w:bottom w:w="0" w:type="dxa"/>
          <w:right w:w="0" w:type="dxa"/>
        </w:tblCellMar>
        <w:tblLook w:val="01E0"/>
      </w:tblPr>
      <w:tblGrid>
        <w:gridCol w:w="1136"/>
        <w:gridCol w:w="1418"/>
        <w:gridCol w:w="1133"/>
        <w:gridCol w:w="1985"/>
        <w:gridCol w:w="994"/>
        <w:gridCol w:w="1416"/>
        <w:gridCol w:w="1419"/>
        <w:gridCol w:w="1274"/>
      </w:tblGrid>
      <w:tr>
        <w:trPr>
          <w:trHeight w:val="239" w:hRule="exact"/>
        </w:trPr>
        <w:tc>
          <w:tcPr>
            <w:tcW w:w="1136" w:type="dxa"/>
            <w:vMerge w:val="restart"/>
            <w:tcBorders>
              <w:top w:val="single" w:sz="4" w:space="0" w:color="000000"/>
              <w:left w:val="single" w:sz="4" w:space="0" w:color="000000"/>
              <w:right w:val="single" w:sz="4" w:space="0" w:color="000000"/>
            </w:tcBorders>
          </w:tcPr>
          <w:p>
            <w:pPr/>
          </w:p>
        </w:tc>
        <w:tc>
          <w:tcPr>
            <w:tcW w:w="1418" w:type="dxa"/>
            <w:vMerge w:val="restart"/>
            <w:tcBorders>
              <w:top w:val="single" w:sz="4" w:space="0" w:color="000000"/>
              <w:left w:val="single" w:sz="4" w:space="0" w:color="000000"/>
              <w:right w:val="single" w:sz="4" w:space="0" w:color="000000"/>
            </w:tcBorders>
          </w:tcPr>
          <w:p>
            <w:pPr/>
          </w:p>
        </w:tc>
        <w:tc>
          <w:tcPr>
            <w:tcW w:w="1133" w:type="dxa"/>
            <w:vMerge w:val="restart"/>
            <w:tcBorders>
              <w:top w:val="single" w:sz="4" w:space="0" w:color="000000"/>
              <w:left w:val="single" w:sz="4" w:space="0" w:color="000000"/>
              <w:right w:val="single" w:sz="4" w:space="0" w:color="000000"/>
            </w:tcBorders>
          </w:tcPr>
          <w:p>
            <w:pP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资项目策划、财务管理</w:t>
            </w:r>
          </w:p>
        </w:tc>
        <w:tc>
          <w:tcPr>
            <w:tcW w:w="994" w:type="dxa"/>
            <w:vMerge w:val="restart"/>
            <w:tcBorders>
              <w:top w:val="single" w:sz="4" w:space="0" w:color="000000"/>
              <w:left w:val="single" w:sz="4" w:space="0" w:color="000000"/>
              <w:right w:val="single" w:sz="4" w:space="0" w:color="000000"/>
            </w:tcBorders>
          </w:tcPr>
          <w:p>
            <w:pPr/>
          </w:p>
        </w:tc>
        <w:tc>
          <w:tcPr>
            <w:tcW w:w="1416" w:type="dxa"/>
            <w:vMerge w:val="restart"/>
            <w:tcBorders>
              <w:top w:val="single" w:sz="4" w:space="0" w:color="000000"/>
              <w:left w:val="single" w:sz="4" w:space="0" w:color="000000"/>
              <w:right w:val="single" w:sz="4" w:space="0" w:color="000000"/>
            </w:tcBorders>
          </w:tcPr>
          <w:p>
            <w:pPr/>
          </w:p>
        </w:tc>
        <w:tc>
          <w:tcPr>
            <w:tcW w:w="1419" w:type="dxa"/>
            <w:vMerge w:val="restart"/>
            <w:tcBorders>
              <w:top w:val="single" w:sz="4" w:space="0" w:color="000000"/>
              <w:left w:val="single" w:sz="4" w:space="0" w:color="000000"/>
              <w:right w:val="single" w:sz="4" w:space="0" w:color="000000"/>
            </w:tcBorders>
          </w:tcPr>
          <w:p>
            <w:pPr/>
          </w:p>
        </w:tc>
        <w:tc>
          <w:tcPr>
            <w:tcW w:w="1274" w:type="dxa"/>
            <w:vMerge w:val="restart"/>
            <w:tcBorders>
              <w:top w:val="single" w:sz="4" w:space="0" w:color="000000"/>
              <w:left w:val="single" w:sz="4" w:space="0" w:color="000000"/>
              <w:right w:val="single" w:sz="4" w:space="0" w:color="000000"/>
            </w:tcBorders>
          </w:tcPr>
          <w:p>
            <w:pPr/>
          </w:p>
        </w:tc>
      </w:tr>
      <w:tr>
        <w:trPr>
          <w:trHeight w:val="233" w:hRule="exact"/>
        </w:trPr>
        <w:tc>
          <w:tcPr>
            <w:tcW w:w="1136"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c>
          <w:tcPr>
            <w:tcW w:w="1133" w:type="dxa"/>
            <w:vMerge/>
            <w:tcBorders>
              <w:left w:val="single" w:sz="4" w:space="0" w:color="000000"/>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咨询、经济信息咨询</w:t>
            </w:r>
          </w:p>
        </w:tc>
        <w:tc>
          <w:tcPr>
            <w:tcW w:w="994"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r>
      <w:tr>
        <w:trPr>
          <w:trHeight w:val="233" w:hRule="exact"/>
        </w:trPr>
        <w:tc>
          <w:tcPr>
            <w:tcW w:w="1136"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c>
          <w:tcPr>
            <w:tcW w:w="1133" w:type="dxa"/>
            <w:vMerge/>
            <w:tcBorders>
              <w:left w:val="single" w:sz="4" w:space="0" w:color="000000"/>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（以上法律、行政法</w:t>
            </w:r>
          </w:p>
        </w:tc>
        <w:tc>
          <w:tcPr>
            <w:tcW w:w="994"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r>
      <w:tr>
        <w:trPr>
          <w:trHeight w:val="234" w:hRule="exact"/>
        </w:trPr>
        <w:tc>
          <w:tcPr>
            <w:tcW w:w="1136"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c>
          <w:tcPr>
            <w:tcW w:w="1133" w:type="dxa"/>
            <w:vMerge/>
            <w:tcBorders>
              <w:left w:val="single" w:sz="4" w:space="0" w:color="000000"/>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规、国务院决定禁止的</w:t>
            </w:r>
          </w:p>
        </w:tc>
        <w:tc>
          <w:tcPr>
            <w:tcW w:w="994"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r>
      <w:tr>
        <w:trPr>
          <w:trHeight w:val="234" w:hRule="exact"/>
        </w:trPr>
        <w:tc>
          <w:tcPr>
            <w:tcW w:w="1136"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c>
          <w:tcPr>
            <w:tcW w:w="1133" w:type="dxa"/>
            <w:vMerge/>
            <w:tcBorders>
              <w:left w:val="single" w:sz="4" w:space="0" w:color="000000"/>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项目除外，限制的项目</w:t>
            </w:r>
          </w:p>
        </w:tc>
        <w:tc>
          <w:tcPr>
            <w:tcW w:w="994"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r>
      <w:tr>
        <w:trPr>
          <w:trHeight w:val="233" w:hRule="exact"/>
        </w:trPr>
        <w:tc>
          <w:tcPr>
            <w:tcW w:w="1136" w:type="dxa"/>
            <w:vMerge/>
            <w:tcBorders>
              <w:left w:val="single" w:sz="4" w:space="0" w:color="000000"/>
              <w:right w:val="single" w:sz="4" w:space="0" w:color="000000"/>
            </w:tcBorders>
          </w:tcPr>
          <w:p>
            <w:pPr/>
          </w:p>
        </w:tc>
        <w:tc>
          <w:tcPr>
            <w:tcW w:w="1418" w:type="dxa"/>
            <w:vMerge/>
            <w:tcBorders>
              <w:left w:val="single" w:sz="4" w:space="0" w:color="000000"/>
              <w:right w:val="single" w:sz="4" w:space="0" w:color="000000"/>
            </w:tcBorders>
          </w:tcPr>
          <w:p>
            <w:pPr/>
          </w:p>
        </w:tc>
        <w:tc>
          <w:tcPr>
            <w:tcW w:w="1133" w:type="dxa"/>
            <w:vMerge/>
            <w:tcBorders>
              <w:left w:val="single" w:sz="4" w:space="0" w:color="000000"/>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须取得许可后方可经</w:t>
            </w:r>
          </w:p>
        </w:tc>
        <w:tc>
          <w:tcPr>
            <w:tcW w:w="994" w:type="dxa"/>
            <w:vMerge/>
            <w:tcBorders>
              <w:left w:val="single" w:sz="4" w:space="0" w:color="000000"/>
              <w:right w:val="single" w:sz="4" w:space="0" w:color="000000"/>
            </w:tcBorders>
          </w:tcPr>
          <w:p>
            <w:pPr/>
          </w:p>
        </w:tc>
        <w:tc>
          <w:tcPr>
            <w:tcW w:w="1416"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r>
      <w:tr>
        <w:trPr>
          <w:trHeight w:val="241" w:hRule="exact"/>
        </w:trPr>
        <w:tc>
          <w:tcPr>
            <w:tcW w:w="1136"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133" w:type="dxa"/>
            <w:vMerge/>
            <w:tcBorders>
              <w:left w:val="single" w:sz="4" w:space="0" w:color="000000"/>
              <w:bottom w:val="single" w:sz="4" w:space="0" w:color="000000"/>
              <w:right w:val="single" w:sz="4" w:space="0" w:color="000000"/>
            </w:tcBorders>
          </w:tcPr>
          <w:p>
            <w:pP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营）。</w:t>
            </w:r>
            <w:r>
              <w:rPr>
                <w:rFonts w:ascii="宋体" w:hAnsi="宋体" w:cs="宋体" w:eastAsia="宋体" w:hint="default"/>
                <w:sz w:val="18"/>
                <w:szCs w:val="18"/>
              </w:rPr>
              <w:t> </w:t>
            </w:r>
          </w:p>
        </w:tc>
        <w:tc>
          <w:tcPr>
            <w:tcW w:w="994"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274" w:type="dxa"/>
            <w:vMerge/>
            <w:tcBorders>
              <w:left w:val="single" w:sz="4" w:space="0" w:color="000000"/>
              <w:bottom w:val="single" w:sz="4" w:space="0" w:color="000000"/>
              <w:right w:val="single" w:sz="4" w:space="0" w:color="000000"/>
            </w:tcBorders>
          </w:tcPr>
          <w:p>
            <w:pPr/>
          </w:p>
        </w:tc>
      </w:tr>
    </w:tbl>
    <w:p>
      <w:pPr>
        <w:spacing w:line="240" w:lineRule="auto" w:before="5"/>
        <w:rPr>
          <w:rFonts w:ascii="Times New Roman" w:hAnsi="Times New Roman" w:cs="Times New Roman" w:eastAsia="Times New Roman" w:hint="default"/>
          <w:sz w:val="23"/>
          <w:szCs w:val="23"/>
        </w:rPr>
      </w:pPr>
    </w:p>
    <w:p>
      <w:pPr>
        <w:pStyle w:val="Heading2"/>
        <w:spacing w:line="240" w:lineRule="auto" w:before="26"/>
        <w:ind w:left="1498" w:right="0"/>
        <w:jc w:val="both"/>
        <w:rPr>
          <w:b w:val="0"/>
          <w:bCs w:val="0"/>
        </w:rPr>
      </w:pPr>
      <w:r>
        <w:rPr>
          <w:rFonts w:ascii="宋体" w:hAnsi="宋体" w:cs="宋体" w:eastAsia="宋体" w:hint="default"/>
        </w:rPr>
        <w:t>(</w:t>
      </w:r>
      <w:r>
        <w:rPr/>
        <w:t>八</w:t>
      </w:r>
      <w:r>
        <w:rPr>
          <w:rFonts w:ascii="宋体" w:hAnsi="宋体" w:cs="宋体" w:eastAsia="宋体" w:hint="default"/>
        </w:rPr>
        <w:t>) </w:t>
      </w:r>
      <w:r>
        <w:rPr>
          <w:rFonts w:ascii="宋体" w:hAnsi="宋体" w:cs="宋体" w:eastAsia="宋体" w:hint="default"/>
          <w:spacing w:val="112"/>
        </w:rPr>
        <w:t> </w:t>
      </w:r>
      <w:r>
        <w:rPr/>
        <w:t>公司控制的结构化主体情况</w:t>
      </w:r>
      <w:r>
        <w:rPr>
          <w:b w:val="0"/>
          <w:bCs w:val="0"/>
        </w:rPr>
      </w:r>
    </w:p>
    <w:p>
      <w:pPr>
        <w:pStyle w:val="BodyText"/>
        <w:spacing w:line="240" w:lineRule="auto" w:before="55"/>
        <w:ind w:left="149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tabs>
          <w:tab w:pos="2337" w:val="left" w:leader="none"/>
        </w:tabs>
        <w:spacing w:line="283" w:lineRule="auto"/>
        <w:ind w:left="1498" w:right="5170"/>
        <w:jc w:val="left"/>
        <w:rPr>
          <w:b w:val="0"/>
          <w:bCs w:val="0"/>
        </w:rPr>
      </w:pPr>
      <w:r>
        <w:rPr/>
        <w:t>三、公司关于公司未来发展的讨论与分析</w:t>
      </w:r>
      <w:r>
        <w:rPr>
          <w:w w:val="99"/>
        </w:rPr>
        <w:t> </w:t>
      </w:r>
      <w:r>
        <w:rPr>
          <w:rFonts w:ascii="宋体" w:hAnsi="宋体" w:cs="宋体" w:eastAsia="宋体" w:hint="default"/>
          <w:w w:val="95"/>
        </w:rPr>
        <w:t>(</w:t>
      </w:r>
      <w:r>
        <w:rPr>
          <w:w w:val="95"/>
        </w:rPr>
        <w:t>一</w:t>
      </w:r>
      <w:r>
        <w:rPr>
          <w:rFonts w:ascii="宋体" w:hAnsi="宋体" w:cs="宋体" w:eastAsia="宋体" w:hint="default"/>
          <w:w w:val="95"/>
        </w:rPr>
        <w:t>)</w:t>
        <w:tab/>
      </w:r>
      <w:r>
        <w:rPr/>
        <w:t>行业格局和趋势</w:t>
      </w:r>
      <w:r>
        <w:rPr>
          <w:b w:val="0"/>
          <w:bCs w:val="0"/>
        </w:rPr>
      </w:r>
    </w:p>
    <w:p>
      <w:pPr>
        <w:pStyle w:val="BodyText"/>
        <w:spacing w:line="322" w:lineRule="exact" w:before="13"/>
        <w:ind w:left="149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pStyle w:val="BodyText"/>
        <w:spacing w:line="312" w:lineRule="exact" w:before="20"/>
        <w:ind w:left="1498" w:right="672" w:firstLine="479"/>
        <w:jc w:val="both"/>
      </w:pPr>
      <w:r>
        <w:rPr/>
        <w:t>公司所处行业的竞争格局和发展趋势，详见“第三节</w:t>
      </w:r>
      <w:r>
        <w:rPr>
          <w:spacing w:val="1"/>
        </w:rPr>
        <w:t> </w:t>
      </w:r>
      <w:r>
        <w:rPr/>
        <w:t>公司业务概要”中“一、</w:t>
      </w:r>
      <w:r>
        <w:rPr/>
        <w:t> </w:t>
      </w:r>
      <w:r>
        <w:rPr>
          <w:spacing w:val="-8"/>
        </w:rPr>
        <w:t>报告期内公司所从事的主要业务、经营模式及行业情况说明”中“（二）行业情况”。</w:t>
      </w:r>
    </w:p>
    <w:p>
      <w:pPr>
        <w:spacing w:line="240" w:lineRule="auto" w:before="2"/>
        <w:rPr>
          <w:rFonts w:ascii="宋体" w:hAnsi="宋体" w:cs="宋体" w:eastAsia="宋体" w:hint="default"/>
          <w:sz w:val="23"/>
          <w:szCs w:val="23"/>
        </w:rPr>
      </w:pPr>
    </w:p>
    <w:p>
      <w:pPr>
        <w:pStyle w:val="Heading2"/>
        <w:spacing w:line="240" w:lineRule="auto"/>
        <w:ind w:left="1498" w:right="0"/>
        <w:jc w:val="both"/>
        <w:rPr>
          <w:b w:val="0"/>
          <w:bCs w:val="0"/>
        </w:rPr>
      </w:pPr>
      <w:r>
        <w:rPr>
          <w:rFonts w:ascii="宋体" w:hAnsi="宋体" w:cs="宋体" w:eastAsia="宋体" w:hint="default"/>
        </w:rPr>
        <w:t>(</w:t>
      </w:r>
      <w:r>
        <w:rPr/>
        <w:t>二</w:t>
      </w:r>
      <w:r>
        <w:rPr>
          <w:rFonts w:ascii="宋体" w:hAnsi="宋体" w:cs="宋体" w:eastAsia="宋体" w:hint="default"/>
        </w:rPr>
        <w:t>) </w:t>
      </w:r>
      <w:r>
        <w:rPr>
          <w:rFonts w:ascii="宋体" w:hAnsi="宋体" w:cs="宋体" w:eastAsia="宋体" w:hint="default"/>
          <w:spacing w:val="111"/>
        </w:rPr>
        <w:t> </w:t>
      </w:r>
      <w:r>
        <w:rPr/>
        <w:t>公司发展战略</w:t>
      </w:r>
      <w:r>
        <w:rPr>
          <w:b w:val="0"/>
          <w:bCs w:val="0"/>
        </w:rPr>
      </w:r>
    </w:p>
    <w:p>
      <w:pPr>
        <w:pStyle w:val="BodyText"/>
        <w:tabs>
          <w:tab w:pos="2349" w:val="left" w:leader="none"/>
        </w:tabs>
        <w:spacing w:line="312" w:lineRule="exact" w:before="88"/>
        <w:ind w:left="1978" w:right="674" w:hanging="48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r>
        <w:rPr>
          <w:spacing w:val="-117"/>
        </w:rPr>
        <w:t> </w:t>
      </w:r>
      <w:r>
        <w:rPr>
          <w:spacing w:val="-2"/>
        </w:rPr>
        <w:t>从产业发展趋势来看，数字经济在中国和全球加速发展，数智化、国产化、全球</w:t>
      </w:r>
    </w:p>
    <w:p>
      <w:pPr>
        <w:pStyle w:val="BodyText"/>
        <w:spacing w:line="280" w:lineRule="exact"/>
        <w:ind w:left="1498" w:right="0"/>
        <w:jc w:val="both"/>
        <w:rPr>
          <w:rFonts w:ascii="宋体" w:hAnsi="宋体" w:cs="宋体" w:eastAsia="宋体" w:hint="default"/>
        </w:rPr>
      </w:pPr>
      <w:r>
        <w:rPr/>
        <w:t>化三浪叠加带来巨大的市场机会</w:t>
      </w:r>
      <w:r>
        <w:rPr>
          <w:spacing w:val="-113"/>
        </w:rPr>
        <w:t>，</w:t>
      </w:r>
      <w:r>
        <w:rPr/>
        <w:t>公司面临难得的发展机遇</w:t>
      </w:r>
      <w:r>
        <w:rPr>
          <w:spacing w:val="-113"/>
        </w:rPr>
        <w:t>。</w:t>
      </w:r>
      <w:r>
        <w:rPr/>
        <w:t>几年前公司进入用友</w:t>
      </w:r>
      <w:r>
        <w:rPr>
          <w:spacing w:val="-59"/>
        </w:rPr>
        <w:t> </w:t>
      </w:r>
      <w:r>
        <w:rPr>
          <w:rFonts w:ascii="宋体" w:hAnsi="宋体" w:cs="宋体" w:eastAsia="宋体" w:hint="default"/>
        </w:rPr>
        <w:t>3.0</w:t>
      </w:r>
    </w:p>
    <w:p>
      <w:pPr>
        <w:pStyle w:val="BodyText"/>
        <w:spacing w:line="237" w:lineRule="auto" w:before="1"/>
        <w:ind w:left="1498" w:right="672"/>
        <w:jc w:val="both"/>
        <w:rPr>
          <w:rFonts w:ascii="宋体" w:hAnsi="宋体" w:cs="宋体" w:eastAsia="宋体" w:hint="default"/>
        </w:rPr>
      </w:pPr>
      <w:r>
        <w:rPr>
          <w:spacing w:val="-3"/>
        </w:rPr>
        <w:t>战略发展阶段，开始大力推进向云服务业务转型。</w:t>
      </w:r>
      <w:r>
        <w:rPr>
          <w:rFonts w:ascii="宋体" w:hAnsi="宋体" w:cs="宋体" w:eastAsia="宋体" w:hint="default"/>
          <w:spacing w:val="-3"/>
        </w:rPr>
        <w:t>2020</w:t>
      </w:r>
      <w:r>
        <w:rPr>
          <w:rFonts w:ascii="宋体" w:hAnsi="宋体" w:cs="宋体" w:eastAsia="宋体" w:hint="default"/>
          <w:spacing w:val="-59"/>
        </w:rPr>
        <w:t> </w:t>
      </w:r>
      <w:r>
        <w:rPr>
          <w:spacing w:val="-9"/>
        </w:rPr>
        <w:t>年，公司</w:t>
      </w:r>
      <w:r>
        <w:rPr>
          <w:spacing w:val="-59"/>
        </w:rPr>
        <w:t> </w:t>
      </w:r>
      <w:r>
        <w:rPr>
          <w:rFonts w:ascii="宋体" w:hAnsi="宋体" w:cs="宋体" w:eastAsia="宋体" w:hint="default"/>
        </w:rPr>
        <w:t>3.0</w:t>
      </w:r>
      <w:r>
        <w:rPr>
          <w:rFonts w:ascii="宋体" w:hAnsi="宋体" w:cs="宋体" w:eastAsia="宋体" w:hint="default"/>
          <w:spacing w:val="-59"/>
        </w:rPr>
        <w:t> </w:t>
      </w:r>
      <w:r>
        <w:rPr/>
        <w:t>战略实施进入到 </w:t>
      </w:r>
      <w:r>
        <w:rPr>
          <w:spacing w:val="-4"/>
        </w:rPr>
        <w:t>第二个阶段，即用友</w:t>
      </w:r>
      <w:r>
        <w:rPr>
          <w:spacing w:val="-53"/>
        </w:rPr>
        <w:t> </w:t>
      </w:r>
      <w:r>
        <w:rPr>
          <w:rFonts w:ascii="宋体" w:hAnsi="宋体" w:cs="宋体" w:eastAsia="宋体" w:hint="default"/>
          <w:spacing w:val="-4"/>
        </w:rPr>
        <w:t>3.0-II</w:t>
      </w:r>
      <w:r>
        <w:rPr>
          <w:spacing w:val="-4"/>
        </w:rPr>
        <w:t>。公司将在</w:t>
      </w:r>
      <w:r>
        <w:rPr>
          <w:spacing w:val="-53"/>
        </w:rPr>
        <w:t> </w:t>
      </w:r>
      <w:r>
        <w:rPr>
          <w:rFonts w:ascii="宋体" w:hAnsi="宋体" w:cs="宋体" w:eastAsia="宋体" w:hint="default"/>
        </w:rPr>
        <w:t>3.0-I</w:t>
      </w:r>
      <w:r>
        <w:rPr>
          <w:rFonts w:ascii="宋体" w:hAnsi="宋体" w:cs="宋体" w:eastAsia="宋体" w:hint="default"/>
          <w:spacing w:val="-53"/>
        </w:rPr>
        <w:t> </w:t>
      </w:r>
      <w:r>
        <w:rPr>
          <w:spacing w:val="-3"/>
        </w:rPr>
        <w:t>的基础上继续深化公司战略转型，升维</w:t>
      </w:r>
      <w:r>
        <w:rPr/>
        <w:t> </w:t>
      </w:r>
      <w:r>
        <w:rPr>
          <w:spacing w:val="-2"/>
        </w:rPr>
        <w:t>和加速云服务业务发展，构建和运营全球领先的企业云服务平台。公司该平台的目标</w:t>
      </w:r>
      <w:r>
        <w:rPr>
          <w:spacing w:val="-94"/>
        </w:rPr>
        <w:t> </w:t>
      </w:r>
      <w:r>
        <w:rPr>
          <w:spacing w:val="-94"/>
        </w:rPr>
      </w:r>
      <w:r>
        <w:rPr>
          <w:spacing w:val="-2"/>
        </w:rPr>
        <w:t>是服务超过千万家企业客户，聚合十万家生态伙伴、亿级社群个人，实现更高数量级</w:t>
      </w:r>
      <w:r>
        <w:rPr>
          <w:spacing w:val="-93"/>
        </w:rPr>
        <w:t> </w:t>
      </w:r>
      <w:r>
        <w:rPr>
          <w:spacing w:val="-93"/>
        </w:rPr>
      </w:r>
      <w:r>
        <w:rPr>
          <w:spacing w:val="-2"/>
        </w:rPr>
        <w:t>的用友和生态伙伴的营业收入规模；支撑和运行客户的商业创新，帮助客户构建竞争</w:t>
      </w:r>
      <w:r>
        <w:rPr>
          <w:spacing w:val="-94"/>
        </w:rPr>
        <w:t> </w:t>
      </w:r>
      <w:r>
        <w:rPr>
          <w:spacing w:val="-94"/>
        </w:rPr>
      </w:r>
      <w:r>
        <w:rPr/>
        <w:t>优势；创造巨量的就业和创业机会，为经济和社会发展做出重要贡献。</w:t>
      </w:r>
      <w:r>
        <w:rPr>
          <w:rFonts w:ascii="宋体" w:hAnsi="宋体" w:cs="宋体" w:eastAsia="宋体" w:hint="default"/>
        </w:rPr>
        <w:t> </w:t>
      </w:r>
    </w:p>
    <w:p>
      <w:pPr>
        <w:pStyle w:val="BodyText"/>
        <w:spacing w:line="310" w:lineRule="exact"/>
        <w:ind w:left="1922" w:right="0"/>
        <w:jc w:val="left"/>
        <w:rPr>
          <w:rFonts w:ascii="宋体" w:hAnsi="宋体" w:cs="宋体" w:eastAsia="宋体" w:hint="default"/>
        </w:rPr>
      </w:pPr>
      <w:r>
        <w:rPr>
          <w:rFonts w:ascii="宋体"/>
        </w:rPr>
        <w:t> </w:t>
      </w:r>
    </w:p>
    <w:p>
      <w:pPr>
        <w:pStyle w:val="Heading2"/>
        <w:spacing w:line="240" w:lineRule="auto" w:before="58"/>
        <w:ind w:left="1498" w:right="0"/>
        <w:jc w:val="both"/>
        <w:rPr>
          <w:b w:val="0"/>
          <w:bCs w:val="0"/>
        </w:rPr>
      </w:pPr>
      <w:r>
        <w:rPr>
          <w:rFonts w:ascii="宋体" w:hAnsi="宋体" w:cs="宋体" w:eastAsia="宋体" w:hint="default"/>
        </w:rPr>
        <w:t>(</w:t>
      </w:r>
      <w:r>
        <w:rPr/>
        <w:t>三</w:t>
      </w:r>
      <w:r>
        <w:rPr>
          <w:rFonts w:ascii="宋体" w:hAnsi="宋体" w:cs="宋体" w:eastAsia="宋体" w:hint="default"/>
        </w:rPr>
        <w:t>) </w:t>
      </w:r>
      <w:r>
        <w:rPr>
          <w:rFonts w:ascii="宋体" w:hAnsi="宋体" w:cs="宋体" w:eastAsia="宋体" w:hint="default"/>
          <w:spacing w:val="111"/>
        </w:rPr>
        <w:t> </w:t>
      </w:r>
      <w:r>
        <w:rPr/>
        <w:t>公司经营计划</w:t>
      </w:r>
      <w:r>
        <w:rPr>
          <w:b w:val="0"/>
          <w:bCs w:val="0"/>
        </w:rPr>
      </w:r>
    </w:p>
    <w:p>
      <w:pPr>
        <w:pStyle w:val="BodyText"/>
        <w:spacing w:line="321" w:lineRule="exact" w:before="58"/>
        <w:ind w:left="149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pStyle w:val="BodyText"/>
        <w:spacing w:line="237" w:lineRule="auto"/>
        <w:ind w:left="1498" w:right="671" w:firstLine="479"/>
        <w:jc w:val="both"/>
        <w:rPr>
          <w:rFonts w:ascii="宋体" w:hAnsi="宋体" w:cs="宋体" w:eastAsia="宋体" w:hint="default"/>
        </w:rPr>
      </w:pPr>
      <w:r>
        <w:rPr>
          <w:rFonts w:ascii="宋体" w:hAnsi="宋体" w:cs="宋体" w:eastAsia="宋体" w:hint="default"/>
        </w:rPr>
        <w:t>2020</w:t>
      </w:r>
      <w:r>
        <w:rPr>
          <w:rFonts w:ascii="宋体" w:hAnsi="宋体" w:cs="宋体" w:eastAsia="宋体" w:hint="default"/>
          <w:spacing w:val="-56"/>
        </w:rPr>
        <w:t> </w:t>
      </w:r>
      <w:r>
        <w:rPr/>
        <w:t>年，公司进入到用友</w:t>
      </w:r>
      <w:r>
        <w:rPr>
          <w:spacing w:val="-55"/>
        </w:rPr>
        <w:t> </w:t>
      </w:r>
      <w:r>
        <w:rPr>
          <w:rFonts w:ascii="宋体" w:hAnsi="宋体" w:cs="宋体" w:eastAsia="宋体" w:hint="default"/>
        </w:rPr>
        <w:t>3.0-II</w:t>
      </w:r>
      <w:r>
        <w:rPr>
          <w:rFonts w:ascii="宋体" w:hAnsi="宋体" w:cs="宋体" w:eastAsia="宋体" w:hint="default"/>
          <w:spacing w:val="-56"/>
        </w:rPr>
        <w:t> </w:t>
      </w:r>
      <w:r>
        <w:rPr/>
        <w:t>战略发展阶段，面临数智化、国产化、全球化 </w:t>
      </w:r>
      <w:r>
        <w:rPr>
          <w:spacing w:val="-7"/>
        </w:rPr>
        <w:t>三浪叠加的难得发展机遇，公司将在用友</w:t>
      </w:r>
      <w:r>
        <w:rPr>
          <w:spacing w:val="-75"/>
        </w:rPr>
        <w:t> </w:t>
      </w:r>
      <w:r>
        <w:rPr>
          <w:rFonts w:ascii="宋体" w:hAnsi="宋体" w:cs="宋体" w:eastAsia="宋体" w:hint="default"/>
        </w:rPr>
        <w:t>3.0-I</w:t>
      </w:r>
      <w:r>
        <w:rPr>
          <w:rFonts w:ascii="宋体" w:hAnsi="宋体" w:cs="宋体" w:eastAsia="宋体" w:hint="default"/>
          <w:spacing w:val="-75"/>
        </w:rPr>
        <w:t> </w:t>
      </w:r>
      <w:r>
        <w:rPr>
          <w:spacing w:val="-8"/>
        </w:rPr>
        <w:t>的基础上，继续深化公司的战略转型，</w:t>
      </w:r>
      <w:r>
        <w:rPr>
          <w:spacing w:val="-118"/>
        </w:rPr>
        <w:t> </w:t>
      </w:r>
      <w:r>
        <w:rPr>
          <w:spacing w:val="-118"/>
        </w:rPr>
      </w:r>
      <w:r>
        <w:rPr>
          <w:spacing w:val="-2"/>
        </w:rPr>
        <w:t>升维并加速云服务业务，构建和运营全球领先的企业云服务平台。公司将克服新冠疫</w:t>
      </w:r>
      <w:r>
        <w:rPr>
          <w:spacing w:val="-94"/>
        </w:rPr>
        <w:t> </w:t>
      </w:r>
      <w:r>
        <w:rPr>
          <w:spacing w:val="-94"/>
        </w:rPr>
      </w:r>
      <w:r>
        <w:rPr>
          <w:spacing w:val="-8"/>
        </w:rPr>
        <w:t>情等不利影响，坚持战略导向、客户驱动、直面问题、体系化运营，实现业绩高增长。</w:t>
      </w:r>
      <w:r>
        <w:rPr>
          <w:spacing w:val="-106"/>
        </w:rPr>
        <w:t> </w:t>
      </w:r>
      <w:r>
        <w:rPr>
          <w:spacing w:val="-106"/>
        </w:rPr>
      </w:r>
      <w:r>
        <w:rPr>
          <w:rFonts w:ascii="宋体" w:hAnsi="宋体" w:cs="宋体" w:eastAsia="宋体" w:hint="default"/>
        </w:rPr>
        <w:t>2020</w:t>
      </w:r>
      <w:r>
        <w:rPr>
          <w:rFonts w:ascii="宋体" w:hAnsi="宋体" w:cs="宋体" w:eastAsia="宋体" w:hint="default"/>
          <w:spacing w:val="-61"/>
        </w:rPr>
        <w:t> </w:t>
      </w:r>
      <w:r>
        <w:rPr/>
        <w:t>年，公司将重点做好以下几方面工作：</w:t>
      </w:r>
      <w:r>
        <w:rPr>
          <w:rFonts w:ascii="宋体" w:hAnsi="宋体" w:cs="宋体" w:eastAsia="宋体" w:hint="default"/>
        </w:rPr>
        <w:t> </w:t>
      </w:r>
    </w:p>
    <w:p>
      <w:pPr>
        <w:spacing w:line="328" w:lineRule="auto" w:before="118"/>
        <w:ind w:left="1978" w:right="0" w:firstLine="2"/>
        <w:jc w:val="left"/>
        <w:rPr>
          <w:rFonts w:ascii="宋体" w:hAnsi="宋体" w:cs="宋体" w:eastAsia="宋体" w:hint="default"/>
          <w:sz w:val="24"/>
          <w:szCs w:val="24"/>
        </w:rPr>
      </w:pPr>
      <w:r>
        <w:rPr>
          <w:rFonts w:ascii="宋体" w:hAnsi="宋体" w:cs="宋体" w:eastAsia="宋体" w:hint="default"/>
          <w:b/>
          <w:bCs/>
          <w:sz w:val="24"/>
          <w:szCs w:val="24"/>
        </w:rPr>
        <w:t>1</w:t>
      </w:r>
      <w:r>
        <w:rPr>
          <w:rFonts w:ascii="宋体" w:hAnsi="宋体" w:cs="宋体" w:eastAsia="宋体" w:hint="default"/>
          <w:b/>
          <w:bCs/>
          <w:sz w:val="24"/>
          <w:szCs w:val="24"/>
        </w:rPr>
        <w:t>、大型企业业务发展</w:t>
      </w:r>
      <w:r>
        <w:rPr>
          <w:rFonts w:ascii="宋体" w:hAnsi="宋体" w:cs="宋体" w:eastAsia="宋体" w:hint="default"/>
          <w:b/>
          <w:bCs/>
          <w:w w:val="99"/>
          <w:sz w:val="24"/>
          <w:szCs w:val="24"/>
        </w:rPr>
        <w:t> </w:t>
      </w:r>
      <w:r>
        <w:rPr>
          <w:rFonts w:ascii="宋体" w:hAnsi="宋体" w:cs="宋体" w:eastAsia="宋体" w:hint="default"/>
          <w:spacing w:val="-2"/>
          <w:sz w:val="24"/>
          <w:szCs w:val="24"/>
        </w:rPr>
        <w:t>大型企业业务发展坚持“云优先”的原则，大力拓展大型企业云服务业务，确保</w:t>
      </w:r>
    </w:p>
    <w:p>
      <w:pPr>
        <w:pStyle w:val="BodyText"/>
        <w:spacing w:line="222" w:lineRule="exact"/>
        <w:ind w:left="1498" w:right="0"/>
        <w:jc w:val="both"/>
      </w:pPr>
      <w:r>
        <w:rPr/>
        <w:t>收入与效益高增长。加快 </w:t>
      </w:r>
      <w:r>
        <w:rPr>
          <w:rFonts w:ascii="宋体" w:hAnsi="宋体" w:cs="宋体" w:eastAsia="宋体" w:hint="default"/>
        </w:rPr>
        <w:t>NC Cloud</w:t>
      </w:r>
      <w:r>
        <w:rPr>
          <w:rFonts w:ascii="宋体" w:hAnsi="宋体" w:cs="宋体" w:eastAsia="宋体" w:hint="default"/>
          <w:spacing w:val="-48"/>
        </w:rPr>
        <w:t> </w:t>
      </w:r>
      <w:r>
        <w:rPr/>
        <w:t>和创新云服务产品创新，升级客户运营体系，全</w:t>
      </w:r>
    </w:p>
    <w:p>
      <w:pPr>
        <w:pStyle w:val="BodyText"/>
        <w:spacing w:line="237" w:lineRule="auto" w:before="1"/>
        <w:ind w:left="1498" w:right="674"/>
        <w:jc w:val="both"/>
        <w:rPr>
          <w:rFonts w:ascii="宋体" w:hAnsi="宋体" w:cs="宋体" w:eastAsia="宋体" w:hint="default"/>
        </w:rPr>
      </w:pPr>
      <w:r>
        <w:rPr>
          <w:spacing w:val="-2"/>
        </w:rPr>
        <w:t>面提升市场竞争力。落地国产化产品方案，支撑大型企业全面国产化，帮助大型企业</w:t>
      </w:r>
      <w:r>
        <w:rPr>
          <w:spacing w:val="-96"/>
        </w:rPr>
        <w:t> </w:t>
      </w:r>
      <w:r>
        <w:rPr>
          <w:spacing w:val="-96"/>
        </w:rPr>
      </w:r>
      <w:r>
        <w:rPr>
          <w:spacing w:val="-2"/>
        </w:rPr>
        <w:t>构建产业互联网平台。推动组织裂变，加强战略客户覆盖，加速战略客户突破。进一</w:t>
      </w:r>
      <w:r>
        <w:rPr>
          <w:spacing w:val="-94"/>
        </w:rPr>
        <w:t> </w:t>
      </w:r>
      <w:r>
        <w:rPr>
          <w:spacing w:val="-94"/>
        </w:rPr>
      </w:r>
      <w:r>
        <w:rPr/>
        <w:t>步深化行业经营，加快行业化解决方案创新，加强行业化营销，做深打透行业。</w:t>
      </w:r>
      <w:r>
        <w:rPr>
          <w:rFonts w:ascii="宋体" w:hAnsi="宋体" w:cs="宋体" w:eastAsia="宋体" w:hint="default"/>
        </w:rPr>
        <w:t> </w:t>
      </w:r>
    </w:p>
    <w:p>
      <w:pPr>
        <w:pStyle w:val="Heading2"/>
        <w:spacing w:line="240" w:lineRule="auto" w:before="118"/>
        <w:ind w:left="1980" w:right="0"/>
        <w:jc w:val="left"/>
        <w:rPr>
          <w:rFonts w:ascii="宋体" w:hAnsi="宋体" w:cs="宋体" w:eastAsia="宋体" w:hint="default"/>
          <w:b w:val="0"/>
          <w:bCs w:val="0"/>
        </w:rPr>
      </w:pPr>
      <w:r>
        <w:rPr>
          <w:rFonts w:ascii="宋体" w:hAnsi="宋体" w:cs="宋体" w:eastAsia="宋体" w:hint="default"/>
        </w:rPr>
        <w:t>2</w:t>
      </w:r>
      <w:r>
        <w:rPr/>
        <w:t>、中型企业业务发展</w:t>
      </w:r>
      <w:r>
        <w:rPr>
          <w:rFonts w:ascii="宋体" w:hAnsi="宋体" w:cs="宋体" w:eastAsia="宋体" w:hint="default"/>
          <w:w w:val="99"/>
        </w:rPr>
        <w:t> </w:t>
      </w:r>
      <w:r>
        <w:rPr>
          <w:rFonts w:ascii="宋体" w:hAnsi="宋体" w:cs="宋体" w:eastAsia="宋体" w:hint="default"/>
          <w:b w:val="0"/>
          <w:bCs w:val="0"/>
        </w:rPr>
      </w:r>
    </w:p>
    <w:p>
      <w:pPr>
        <w:spacing w:after="0" w:line="240" w:lineRule="auto"/>
        <w:jc w:val="left"/>
        <w:rPr>
          <w:rFonts w:ascii="宋体" w:hAnsi="宋体" w:cs="宋体" w:eastAsia="宋体" w:hint="default"/>
        </w:rPr>
        <w:sectPr>
          <w:pgSz w:w="11910" w:h="16840"/>
          <w:pgMar w:header="880" w:footer="1195" w:top="1120" w:bottom="1380" w:left="300" w:right="600"/>
        </w:sectPr>
      </w:pPr>
    </w:p>
    <w:p>
      <w:pPr>
        <w:spacing w:line="240" w:lineRule="auto" w:before="8"/>
        <w:rPr>
          <w:rFonts w:ascii="宋体" w:hAnsi="宋体" w:cs="宋体" w:eastAsia="宋体" w:hint="default"/>
          <w:b/>
          <w:bCs/>
          <w:sz w:val="25"/>
          <w:szCs w:val="25"/>
        </w:rPr>
      </w:pPr>
    </w:p>
    <w:p>
      <w:pPr>
        <w:pStyle w:val="BodyText"/>
        <w:spacing w:line="312" w:lineRule="exact" w:before="56"/>
        <w:ind w:left="138" w:right="232" w:firstLine="479"/>
        <w:jc w:val="both"/>
        <w:rPr>
          <w:rFonts w:ascii="宋体" w:hAnsi="宋体" w:cs="宋体" w:eastAsia="宋体" w:hint="default"/>
        </w:rPr>
      </w:pPr>
      <w:r>
        <w:rPr>
          <w:spacing w:val="-2"/>
        </w:rPr>
        <w:t>中型企业业务发展围绕构建和运营全球领先的企业云服务平台，加速云平台与核</w:t>
      </w:r>
      <w:r>
        <w:rPr/>
        <w:t> </w:t>
      </w:r>
      <w:r>
        <w:rPr>
          <w:spacing w:val="-2"/>
        </w:rPr>
        <w:t>心领域云产品研发，战略加强生态，与生态合作共赢，构建平台型云服务的商业模式</w:t>
      </w:r>
      <w:r>
        <w:rPr>
          <w:spacing w:val="-94"/>
        </w:rPr>
        <w:t> </w:t>
      </w:r>
      <w:r>
        <w:rPr>
          <w:spacing w:val="-94"/>
        </w:rPr>
      </w:r>
      <w:r>
        <w:rPr/>
        <w:t>和业务体系，加速公有云服务业务规模化发展。</w:t>
      </w:r>
      <w:r>
        <w:rPr>
          <w:rFonts w:ascii="宋体" w:hAnsi="宋体" w:cs="宋体" w:eastAsia="宋体" w:hint="default"/>
        </w:rPr>
        <w:t> </w:t>
      </w:r>
    </w:p>
    <w:p>
      <w:pPr>
        <w:spacing w:line="331" w:lineRule="auto" w:before="87"/>
        <w:ind w:left="618" w:right="0" w:firstLine="2"/>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、小微企业业务发展</w:t>
      </w:r>
      <w:r>
        <w:rPr>
          <w:rFonts w:ascii="宋体" w:hAnsi="宋体" w:cs="宋体" w:eastAsia="宋体" w:hint="default"/>
          <w:b/>
          <w:bCs/>
          <w:w w:val="99"/>
          <w:sz w:val="24"/>
          <w:szCs w:val="24"/>
        </w:rPr>
        <w:t> </w:t>
      </w:r>
      <w:r>
        <w:rPr>
          <w:rFonts w:ascii="宋体" w:hAnsi="宋体" w:cs="宋体" w:eastAsia="宋体" w:hint="default"/>
          <w:spacing w:val="-5"/>
          <w:sz w:val="24"/>
          <w:szCs w:val="24"/>
        </w:rPr>
        <w:t>公司将持续加强小微企业云服务产品应用创新，加大对好会计、好生意、</w:t>
      </w:r>
      <w:r>
        <w:rPr>
          <w:rFonts w:ascii="宋体" w:hAnsi="宋体" w:cs="宋体" w:eastAsia="宋体" w:hint="default"/>
          <w:spacing w:val="-5"/>
          <w:sz w:val="24"/>
          <w:szCs w:val="24"/>
        </w:rPr>
        <w:t>T+Cloud</w:t>
      </w:r>
    </w:p>
    <w:p>
      <w:pPr>
        <w:pStyle w:val="BodyText"/>
        <w:spacing w:line="220" w:lineRule="exact"/>
        <w:ind w:left="138" w:right="0"/>
        <w:jc w:val="left"/>
      </w:pPr>
      <w:r>
        <w:rPr>
          <w:spacing w:val="-5"/>
        </w:rPr>
        <w:t>等云服务产品研发，加快云服务业务发展，构建存量软件企业客户向云服务升迁体系，</w:t>
      </w:r>
    </w:p>
    <w:p>
      <w:pPr>
        <w:pStyle w:val="BodyText"/>
        <w:spacing w:line="310" w:lineRule="exact" w:before="31"/>
        <w:ind w:left="138" w:right="0"/>
        <w:jc w:val="left"/>
        <w:rPr>
          <w:rFonts w:ascii="宋体" w:hAnsi="宋体" w:cs="宋体" w:eastAsia="宋体" w:hint="default"/>
        </w:rPr>
      </w:pPr>
      <w:r>
        <w:rPr>
          <w:spacing w:val="-2"/>
        </w:rPr>
        <w:t>规模化抢占客户，生态化运营客户，帮助小微企业客户实现业务与管理升级，实现公</w:t>
      </w:r>
      <w:r>
        <w:rPr>
          <w:spacing w:val="-95"/>
        </w:rPr>
        <w:t> </w:t>
      </w:r>
      <w:r>
        <w:rPr>
          <w:spacing w:val="-95"/>
        </w:rPr>
      </w:r>
      <w:r>
        <w:rPr/>
        <w:t>司小微企业云服务业务收入高增长。</w:t>
      </w:r>
      <w:r>
        <w:rPr>
          <w:rFonts w:ascii="宋体" w:hAnsi="宋体" w:cs="宋体" w:eastAsia="宋体" w:hint="default"/>
        </w:rPr>
        <w:t> </w:t>
      </w:r>
    </w:p>
    <w:p>
      <w:pPr>
        <w:spacing w:line="331" w:lineRule="auto" w:before="89"/>
        <w:ind w:left="618" w:right="108" w:firstLine="2"/>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z w:val="24"/>
          <w:szCs w:val="24"/>
        </w:rPr>
        <w:t>、政府与其他公共组织业务发展</w:t>
      </w:r>
      <w:r>
        <w:rPr>
          <w:rFonts w:ascii="宋体" w:hAnsi="宋体" w:cs="宋体" w:eastAsia="宋体" w:hint="default"/>
          <w:sz w:val="24"/>
          <w:szCs w:val="24"/>
        </w:rPr>
        <w:t> </w:t>
      </w:r>
      <w:r>
        <w:rPr>
          <w:rFonts w:ascii="宋体" w:hAnsi="宋体" w:cs="宋体" w:eastAsia="宋体" w:hint="default"/>
          <w:spacing w:val="-5"/>
          <w:sz w:val="24"/>
          <w:szCs w:val="24"/>
        </w:rPr>
        <w:t>针对财政管理与政府财务管理市场，公司将继续加强财政、财务等核心产品研发，</w:t>
      </w:r>
    </w:p>
    <w:p>
      <w:pPr>
        <w:pStyle w:val="BodyText"/>
        <w:spacing w:line="218" w:lineRule="exact"/>
        <w:ind w:left="618" w:right="0" w:hanging="480"/>
        <w:jc w:val="left"/>
        <w:rPr>
          <w:rFonts w:ascii="宋体" w:hAnsi="宋体" w:cs="宋体" w:eastAsia="宋体" w:hint="default"/>
        </w:rPr>
      </w:pPr>
      <w:r>
        <w:rPr/>
        <w:t>进一步深化客户</w:t>
      </w:r>
      <w:r>
        <w:rPr>
          <w:spacing w:val="2"/>
        </w:rPr>
        <w:t>经营和行业经营，提升一线机构的客户经营能力，提高市场竞争力</w:t>
      </w:r>
      <w:r>
        <w:rPr>
          <w:spacing w:val="-110"/>
        </w:rPr>
        <w:t>。</w:t>
      </w:r>
      <w:r>
        <w:rPr>
          <w:rFonts w:ascii="宋体" w:hAnsi="宋体" w:cs="宋体" w:eastAsia="宋体" w:hint="default"/>
        </w:rPr>
        <w:t> </w:t>
      </w:r>
    </w:p>
    <w:p>
      <w:pPr>
        <w:pStyle w:val="BodyText"/>
        <w:spacing w:line="312" w:lineRule="exact" w:before="29"/>
        <w:ind w:left="138" w:right="0" w:firstLine="479"/>
        <w:jc w:val="left"/>
        <w:rPr>
          <w:rFonts w:ascii="宋体" w:hAnsi="宋体" w:cs="宋体" w:eastAsia="宋体" w:hint="default"/>
        </w:rPr>
      </w:pPr>
      <w:r>
        <w:rPr/>
        <w:t>在院校教育业务方面，公司将继续做深做透新商科，布局新工科、新双创业务。 基于院校专业建设，公司将聚焦数字化人才培养，进一步打造数字化教学平台。</w:t>
      </w:r>
      <w:r>
        <w:rPr>
          <w:rFonts w:ascii="宋体" w:hAnsi="宋体" w:cs="宋体" w:eastAsia="宋体" w:hint="default"/>
        </w:rPr>
        <w:t> </w:t>
      </w:r>
    </w:p>
    <w:p>
      <w:pPr>
        <w:spacing w:line="331" w:lineRule="auto" w:before="87"/>
        <w:ind w:left="618" w:right="0" w:firstLine="2"/>
        <w:jc w:val="left"/>
        <w:rPr>
          <w:rFonts w:ascii="宋体" w:hAnsi="宋体" w:cs="宋体" w:eastAsia="宋体" w:hint="default"/>
          <w:sz w:val="24"/>
          <w:szCs w:val="24"/>
        </w:rPr>
      </w:pPr>
      <w:r>
        <w:rPr>
          <w:rFonts w:ascii="宋体" w:hAnsi="宋体" w:cs="宋体" w:eastAsia="宋体" w:hint="default"/>
          <w:b/>
          <w:bCs/>
          <w:sz w:val="24"/>
          <w:szCs w:val="24"/>
        </w:rPr>
        <w:t>5</w:t>
      </w:r>
      <w:r>
        <w:rPr>
          <w:rFonts w:ascii="宋体" w:hAnsi="宋体" w:cs="宋体" w:eastAsia="宋体" w:hint="default"/>
          <w:b/>
          <w:bCs/>
          <w:sz w:val="24"/>
          <w:szCs w:val="24"/>
        </w:rPr>
        <w:t>、金融等其他服务业务发展</w:t>
      </w:r>
      <w:r>
        <w:rPr>
          <w:rFonts w:ascii="宋体" w:hAnsi="宋体" w:cs="宋体" w:eastAsia="宋体" w:hint="default"/>
          <w:b/>
          <w:bCs/>
          <w:w w:val="99"/>
          <w:sz w:val="24"/>
          <w:szCs w:val="24"/>
        </w:rPr>
        <w:t> </w:t>
      </w:r>
      <w:r>
        <w:rPr>
          <w:rFonts w:ascii="宋体" w:hAnsi="宋体" w:cs="宋体" w:eastAsia="宋体" w:hint="default"/>
          <w:spacing w:val="-2"/>
          <w:sz w:val="24"/>
          <w:szCs w:val="24"/>
        </w:rPr>
        <w:t>公司互联网金融服务业务继续坚持科技金融、稳健发展的原则，结合数据化、场</w:t>
      </w:r>
    </w:p>
    <w:p>
      <w:pPr>
        <w:pStyle w:val="BodyText"/>
        <w:spacing w:line="219" w:lineRule="exact"/>
        <w:ind w:left="138" w:right="0"/>
        <w:jc w:val="left"/>
        <w:rPr>
          <w:rFonts w:ascii="宋体" w:hAnsi="宋体" w:cs="宋体" w:eastAsia="宋体" w:hint="default"/>
        </w:rPr>
      </w:pPr>
      <w:r>
        <w:rPr>
          <w:spacing w:val="-8"/>
        </w:rPr>
        <w:t>景化方向发展，并加快与云服务、软件业务的融合。同时，强化风险管控，合规经营。</w:t>
      </w:r>
      <w:r>
        <w:rPr>
          <w:rFonts w:ascii="宋体" w:hAnsi="宋体" w:cs="宋体" w:eastAsia="宋体" w:hint="default"/>
        </w:rPr>
        <w:t> </w:t>
      </w:r>
    </w:p>
    <w:p>
      <w:pPr>
        <w:pStyle w:val="BodyText"/>
        <w:spacing w:line="312" w:lineRule="exact" w:before="28"/>
        <w:ind w:left="138" w:right="0" w:firstLine="479"/>
        <w:jc w:val="left"/>
        <w:rPr>
          <w:rFonts w:ascii="宋体" w:hAnsi="宋体" w:cs="宋体" w:eastAsia="宋体" w:hint="default"/>
        </w:rPr>
      </w:pPr>
      <w:r>
        <w:rPr>
          <w:spacing w:val="-2"/>
        </w:rPr>
        <w:t>公司将聚焦高价值行业及龙头企业，提供社会化用工服务产品及解决方案，打造</w:t>
      </w:r>
      <w:r>
        <w:rPr/>
        <w:t> 社会化用工服务平台。</w:t>
      </w:r>
      <w:r>
        <w:rPr>
          <w:rFonts w:ascii="宋体" w:hAnsi="宋体" w:cs="宋体" w:eastAsia="宋体" w:hint="default"/>
          <w:color w:val="1F487C"/>
        </w:rPr>
        <w:t> </w:t>
      </w:r>
      <w:r>
        <w:rPr>
          <w:rFonts w:ascii="宋体" w:hAnsi="宋体" w:cs="宋体" w:eastAsia="宋体" w:hint="default"/>
        </w:rPr>
      </w:r>
    </w:p>
    <w:p>
      <w:pPr>
        <w:spacing w:line="328" w:lineRule="auto" w:before="89"/>
        <w:ind w:left="618" w:right="0" w:firstLine="2"/>
        <w:jc w:val="left"/>
        <w:rPr>
          <w:rFonts w:ascii="宋体" w:hAnsi="宋体" w:cs="宋体" w:eastAsia="宋体" w:hint="default"/>
          <w:sz w:val="24"/>
          <w:szCs w:val="24"/>
        </w:rPr>
      </w:pPr>
      <w:r>
        <w:rPr>
          <w:rFonts w:ascii="宋体" w:hAnsi="宋体" w:cs="宋体" w:eastAsia="宋体" w:hint="default"/>
          <w:b/>
          <w:bCs/>
          <w:sz w:val="24"/>
          <w:szCs w:val="24"/>
        </w:rPr>
        <w:t>6</w:t>
      </w:r>
      <w:r>
        <w:rPr>
          <w:rFonts w:ascii="宋体" w:hAnsi="宋体" w:cs="宋体" w:eastAsia="宋体" w:hint="default"/>
          <w:b/>
          <w:bCs/>
          <w:sz w:val="24"/>
          <w:szCs w:val="24"/>
        </w:rPr>
        <w:t>、人力资源发展</w:t>
      </w:r>
      <w:r>
        <w:rPr>
          <w:rFonts w:ascii="宋体" w:hAnsi="宋体" w:cs="宋体" w:eastAsia="宋体" w:hint="default"/>
          <w:b/>
          <w:bCs/>
          <w:w w:val="99"/>
          <w:sz w:val="24"/>
          <w:szCs w:val="24"/>
        </w:rPr>
        <w:t> </w:t>
      </w:r>
      <w:r>
        <w:rPr>
          <w:rFonts w:ascii="宋体" w:hAnsi="宋体" w:cs="宋体" w:eastAsia="宋体" w:hint="default"/>
          <w:spacing w:val="-2"/>
          <w:sz w:val="24"/>
          <w:szCs w:val="24"/>
        </w:rPr>
        <w:t>公司将进一步加强组织能力建设，改革组织绩效管理体系，激活组织；优化人才</w:t>
      </w:r>
    </w:p>
    <w:p>
      <w:pPr>
        <w:pStyle w:val="BodyText"/>
        <w:spacing w:line="223" w:lineRule="exact"/>
        <w:ind w:left="138" w:right="0"/>
        <w:jc w:val="left"/>
      </w:pPr>
      <w:r>
        <w:rPr/>
        <w:t>结构和人员部署，加强关键人才的梯队建设；继续贯彻落实军功文化，提高短期激励</w:t>
      </w:r>
    </w:p>
    <w:p>
      <w:pPr>
        <w:pStyle w:val="BodyText"/>
        <w:spacing w:line="312" w:lineRule="exact"/>
        <w:ind w:left="138" w:right="0"/>
        <w:jc w:val="left"/>
      </w:pPr>
      <w:r>
        <w:rPr/>
        <w:t>的及时性，加强中长期激励的绩效导向。</w:t>
      </w:r>
    </w:p>
    <w:p>
      <w:pPr>
        <w:pStyle w:val="BodyText"/>
        <w:spacing w:line="313" w:lineRule="exact"/>
        <w:ind w:left="618" w:right="0"/>
        <w:jc w:val="left"/>
        <w:rPr>
          <w:rFonts w:ascii="宋体" w:hAnsi="宋体" w:cs="宋体" w:eastAsia="宋体" w:hint="default"/>
        </w:rPr>
      </w:pPr>
      <w:r>
        <w:rPr>
          <w:rFonts w:ascii="宋体"/>
        </w:rPr>
        <w:t> </w:t>
      </w:r>
    </w:p>
    <w:p>
      <w:pPr>
        <w:pStyle w:val="Heading2"/>
        <w:tabs>
          <w:tab w:pos="977" w:val="left" w:leader="none"/>
        </w:tabs>
        <w:spacing w:line="240" w:lineRule="auto" w:before="55"/>
        <w:ind w:left="138" w:right="0"/>
        <w:jc w:val="left"/>
        <w:rPr>
          <w:b w:val="0"/>
          <w:bCs w:val="0"/>
        </w:rPr>
      </w:pPr>
      <w:r>
        <w:rPr>
          <w:rFonts w:ascii="宋体" w:hAnsi="宋体" w:cs="宋体" w:eastAsia="宋体" w:hint="default"/>
          <w:w w:val="95"/>
        </w:rPr>
        <w:t>(</w:t>
      </w:r>
      <w:r>
        <w:rPr>
          <w:w w:val="95"/>
        </w:rPr>
        <w:t>四</w:t>
      </w:r>
      <w:r>
        <w:rPr>
          <w:rFonts w:ascii="宋体" w:hAnsi="宋体" w:cs="宋体" w:eastAsia="宋体" w:hint="default"/>
          <w:w w:val="95"/>
        </w:rPr>
        <w:t>)</w:t>
        <w:tab/>
      </w:r>
      <w:r>
        <w:rPr/>
        <w:t>可能面对的风险及应对措施</w:t>
      </w:r>
      <w:r>
        <w:rPr>
          <w:b w:val="0"/>
          <w:bCs w:val="0"/>
        </w:rPr>
      </w:r>
    </w:p>
    <w:p>
      <w:pPr>
        <w:tabs>
          <w:tab w:pos="989" w:val="left" w:leader="none"/>
        </w:tabs>
        <w:spacing w:line="312" w:lineRule="auto" w:before="58"/>
        <w:ind w:left="618" w:right="5947" w:hanging="48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适用</w:t>
        <w:tab/>
      </w:r>
      <w:r>
        <w:rPr>
          <w:rFonts w:ascii="Times New Roman" w:hAnsi="Times New Roman" w:cs="Times New Roman" w:eastAsia="Times New Roman" w:hint="default"/>
          <w:spacing w:val="-1"/>
          <w:sz w:val="24"/>
          <w:szCs w:val="24"/>
        </w:rPr>
        <w:t>□</w:t>
      </w:r>
      <w:r>
        <w:rPr>
          <w:rFonts w:ascii="宋体" w:hAnsi="宋体" w:cs="宋体" w:eastAsia="宋体" w:hint="default"/>
          <w:spacing w:val="-1"/>
          <w:sz w:val="24"/>
          <w:szCs w:val="24"/>
        </w:rPr>
        <w:t>不适用</w:t>
      </w:r>
      <w:r>
        <w:rPr>
          <w:rFonts w:ascii="宋体" w:hAnsi="宋体" w:cs="宋体" w:eastAsia="宋体" w:hint="default"/>
          <w:spacing w:val="-117"/>
          <w:sz w:val="24"/>
          <w:szCs w:val="24"/>
        </w:rPr>
        <w:t> </w:t>
      </w:r>
      <w:r>
        <w:rPr>
          <w:rFonts w:ascii="宋体" w:hAnsi="宋体" w:cs="宋体" w:eastAsia="宋体" w:hint="default"/>
          <w:b/>
          <w:bCs/>
          <w:sz w:val="24"/>
          <w:szCs w:val="24"/>
        </w:rPr>
        <w:t>1</w:t>
      </w:r>
      <w:r>
        <w:rPr>
          <w:rFonts w:ascii="宋体" w:hAnsi="宋体" w:cs="宋体" w:eastAsia="宋体" w:hint="default"/>
          <w:b/>
          <w:bCs/>
          <w:sz w:val="24"/>
          <w:szCs w:val="24"/>
        </w:rPr>
        <w:t>、公司可能面对的风险</w:t>
      </w:r>
      <w:r>
        <w:rPr>
          <w:rFonts w:ascii="宋体" w:hAnsi="宋体" w:cs="宋体" w:eastAsia="宋体" w:hint="default"/>
          <w:b/>
          <w:bCs/>
          <w:w w:val="99"/>
          <w:sz w:val="24"/>
          <w:szCs w:val="24"/>
        </w:rPr>
        <w:t> </w:t>
      </w:r>
      <w:r>
        <w:rPr>
          <w:rFonts w:ascii="宋体" w:hAnsi="宋体" w:cs="宋体" w:eastAsia="宋体" w:hint="default"/>
          <w:sz w:val="24"/>
          <w:szCs w:val="24"/>
        </w:rPr>
      </w:r>
    </w:p>
    <w:p>
      <w:pPr>
        <w:pStyle w:val="BodyText"/>
        <w:spacing w:line="312" w:lineRule="exact" w:before="74"/>
        <w:ind w:left="138" w:right="218" w:firstLine="424"/>
        <w:jc w:val="left"/>
        <w:rPr>
          <w:rFonts w:ascii="宋体" w:hAnsi="宋体" w:cs="宋体" w:eastAsia="宋体" w:hint="default"/>
        </w:rPr>
      </w:pPr>
      <w:r>
        <w:rPr/>
        <w:t>一是各路厂商（含大型互联网公司）进入企业互联网（</w:t>
      </w:r>
      <w:r>
        <w:rPr>
          <w:rFonts w:ascii="宋体" w:hAnsi="宋体" w:cs="宋体" w:eastAsia="宋体" w:hint="default"/>
        </w:rPr>
        <w:t>To</w:t>
      </w:r>
      <w:r>
        <w:rPr>
          <w:rFonts w:ascii="宋体" w:hAnsi="宋体" w:cs="宋体" w:eastAsia="宋体" w:hint="default"/>
          <w:spacing w:val="6"/>
        </w:rPr>
        <w:t> </w:t>
      </w:r>
      <w:r>
        <w:rPr>
          <w:rFonts w:ascii="宋体" w:hAnsi="宋体" w:cs="宋体" w:eastAsia="宋体" w:hint="default"/>
        </w:rPr>
        <w:t>B</w:t>
      </w:r>
      <w:r>
        <w:rPr/>
        <w:t>）市场，企业服务产 业竞争加剧；</w:t>
      </w:r>
      <w:r>
        <w:rPr>
          <w:rFonts w:ascii="宋体" w:hAnsi="宋体" w:cs="宋体" w:eastAsia="宋体" w:hint="default"/>
        </w:rPr>
        <w:t> </w:t>
      </w:r>
    </w:p>
    <w:p>
      <w:pPr>
        <w:pStyle w:val="BodyText"/>
        <w:spacing w:line="328" w:lineRule="auto" w:before="89"/>
        <w:ind w:left="562" w:right="743"/>
        <w:jc w:val="left"/>
        <w:rPr>
          <w:rFonts w:ascii="宋体" w:hAnsi="宋体" w:cs="宋体" w:eastAsia="宋体" w:hint="default"/>
        </w:rPr>
      </w:pPr>
      <w:r>
        <w:rPr/>
        <w:t>二是新冠疫情带来的整体经济下行对客户采购的影响；</w:t>
      </w:r>
      <w:r>
        <w:rPr>
          <w:rFonts w:ascii="宋体" w:hAnsi="宋体" w:cs="宋体" w:eastAsia="宋体" w:hint="default"/>
        </w:rPr>
        <w:t> </w:t>
      </w:r>
      <w:r>
        <w:rPr/>
        <w:t>三是互联网金融业务发展风险控制；</w:t>
      </w:r>
      <w:r>
        <w:rPr>
          <w:rFonts w:ascii="宋体" w:hAnsi="宋体" w:cs="宋体" w:eastAsia="宋体" w:hint="default"/>
        </w:rPr>
        <w:t> </w:t>
      </w:r>
      <w:r>
        <w:rPr/>
        <w:t>四是高端人才竞争加剧、人员成本上升。</w:t>
      </w:r>
      <w:r>
        <w:rPr>
          <w:rFonts w:ascii="宋体" w:hAnsi="宋体" w:cs="宋体" w:eastAsia="宋体" w:hint="default"/>
        </w:rPr>
        <w:t>  </w:t>
      </w:r>
    </w:p>
    <w:p>
      <w:pPr>
        <w:pStyle w:val="Heading2"/>
        <w:spacing w:line="240" w:lineRule="auto" w:before="149"/>
        <w:ind w:left="620" w:right="0"/>
        <w:jc w:val="left"/>
        <w:rPr>
          <w:rFonts w:ascii="宋体" w:hAnsi="宋体" w:cs="宋体" w:eastAsia="宋体" w:hint="default"/>
          <w:b w:val="0"/>
          <w:bCs w:val="0"/>
        </w:rPr>
      </w:pPr>
      <w:r>
        <w:rPr>
          <w:rFonts w:ascii="宋体" w:hAnsi="宋体" w:cs="宋体" w:eastAsia="宋体" w:hint="default"/>
        </w:rPr>
        <w:t>2</w:t>
      </w:r>
      <w:r>
        <w:rPr/>
        <w:t>、应对措施</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146"/>
        <w:ind w:left="138" w:right="217" w:firstLine="479"/>
        <w:jc w:val="left"/>
        <w:rPr>
          <w:rFonts w:ascii="宋体" w:hAnsi="宋体" w:cs="宋体" w:eastAsia="宋体" w:hint="default"/>
        </w:rPr>
      </w:pPr>
      <w:r>
        <w:rPr/>
        <w:t>一是公司将按照 </w:t>
      </w:r>
      <w:r>
        <w:rPr>
          <w:rFonts w:ascii="宋体" w:hAnsi="宋体" w:cs="宋体" w:eastAsia="宋体" w:hint="default"/>
        </w:rPr>
        <w:t>2020</w:t>
      </w:r>
      <w:r>
        <w:rPr>
          <w:rFonts w:ascii="宋体" w:hAnsi="宋体" w:cs="宋体" w:eastAsia="宋体" w:hint="default"/>
          <w:spacing w:val="-48"/>
        </w:rPr>
        <w:t> </w:t>
      </w:r>
      <w:r>
        <w:rPr/>
        <w:t>年度经营策略要求，坚持战略导向、客户驱动、体系化运 营，实现业绩高增长；</w:t>
      </w:r>
      <w:r>
        <w:rPr>
          <w:rFonts w:ascii="宋体" w:hAnsi="宋体" w:cs="宋体" w:eastAsia="宋体" w:hint="default"/>
        </w:rPr>
        <w:t>   </w:t>
      </w:r>
    </w:p>
    <w:p>
      <w:pPr>
        <w:pStyle w:val="BodyText"/>
        <w:spacing w:line="310" w:lineRule="exact" w:before="1"/>
        <w:ind w:left="138" w:right="216" w:firstLine="479"/>
        <w:jc w:val="left"/>
      </w:pPr>
      <w:r>
        <w:rPr/>
        <w:t>二是</w:t>
      </w:r>
      <w:r>
        <w:rPr>
          <w:spacing w:val="-60"/>
        </w:rPr>
        <w:t> </w:t>
      </w:r>
      <w:r>
        <w:rPr>
          <w:rFonts w:ascii="宋体" w:hAnsi="宋体" w:cs="宋体" w:eastAsia="宋体" w:hint="default"/>
        </w:rPr>
        <w:t>To</w:t>
      </w:r>
      <w:r>
        <w:rPr>
          <w:rFonts w:ascii="宋体" w:hAnsi="宋体" w:cs="宋体" w:eastAsia="宋体" w:hint="default"/>
          <w:spacing w:val="-48"/>
        </w:rPr>
        <w:t> </w:t>
      </w:r>
      <w:r>
        <w:rPr>
          <w:rFonts w:ascii="宋体" w:hAnsi="宋体" w:cs="宋体" w:eastAsia="宋体" w:hint="default"/>
        </w:rPr>
        <w:t>B</w:t>
      </w:r>
      <w:r>
        <w:rPr>
          <w:rFonts w:ascii="宋体" w:hAnsi="宋体" w:cs="宋体" w:eastAsia="宋体" w:hint="default"/>
          <w:spacing w:val="-60"/>
        </w:rPr>
        <w:t> </w:t>
      </w:r>
      <w:r>
        <w:rPr/>
        <w:t>服务市场具有较高的行业壁垒，公司具有</w:t>
      </w:r>
      <w:r>
        <w:rPr>
          <w:spacing w:val="-59"/>
        </w:rPr>
        <w:t> </w:t>
      </w:r>
      <w:r>
        <w:rPr>
          <w:rFonts w:ascii="宋体" w:hAnsi="宋体" w:cs="宋体" w:eastAsia="宋体" w:hint="default"/>
        </w:rPr>
        <w:t>31</w:t>
      </w:r>
      <w:r>
        <w:rPr>
          <w:rFonts w:ascii="宋体" w:hAnsi="宋体" w:cs="宋体" w:eastAsia="宋体" w:hint="default"/>
          <w:spacing w:val="-60"/>
        </w:rPr>
        <w:t> </w:t>
      </w:r>
      <w:r>
        <w:rPr/>
        <w:t>年为客户提供应用和服务 </w:t>
      </w:r>
      <w:r>
        <w:rPr>
          <w:spacing w:val="-2"/>
        </w:rPr>
        <w:t>的经验能力，以及技术、人才及品牌等优势，公司将采取积极措施，充分发挥公司已</w:t>
      </w:r>
    </w:p>
    <w:p>
      <w:pPr>
        <w:pStyle w:val="BodyText"/>
        <w:spacing w:line="284" w:lineRule="exact"/>
        <w:ind w:left="138" w:right="0"/>
        <w:jc w:val="left"/>
        <w:rPr>
          <w:rFonts w:ascii="宋体" w:hAnsi="宋体" w:cs="宋体" w:eastAsia="宋体" w:hint="default"/>
        </w:rPr>
      </w:pPr>
      <w:r>
        <w:rPr/>
        <w:t>有的竞争优势；</w:t>
      </w:r>
      <w:r>
        <w:rPr>
          <w:rFonts w:ascii="宋体" w:hAnsi="宋体" w:cs="宋体" w:eastAsia="宋体" w:hint="default"/>
        </w:rPr>
        <w:t>  </w:t>
      </w:r>
    </w:p>
    <w:p>
      <w:pPr>
        <w:spacing w:after="0" w:line="284" w:lineRule="exact"/>
        <w:jc w:val="left"/>
        <w:rPr>
          <w:rFonts w:ascii="宋体" w:hAnsi="宋体" w:cs="宋体" w:eastAsia="宋体" w:hint="default"/>
        </w:rPr>
        <w:sectPr>
          <w:pgSz w:w="11910" w:h="16840"/>
          <w:pgMar w:header="880" w:footer="1195" w:top="1120" w:bottom="1380" w:left="1660" w:right="1040"/>
        </w:sectPr>
      </w:pPr>
    </w:p>
    <w:p>
      <w:pPr>
        <w:spacing w:line="240" w:lineRule="auto" w:before="8"/>
        <w:rPr>
          <w:rFonts w:ascii="宋体" w:hAnsi="宋体" w:cs="宋体" w:eastAsia="宋体" w:hint="default"/>
          <w:sz w:val="25"/>
          <w:szCs w:val="25"/>
        </w:rPr>
      </w:pPr>
    </w:p>
    <w:p>
      <w:pPr>
        <w:pStyle w:val="BodyText"/>
        <w:spacing w:line="312" w:lineRule="exact" w:before="56"/>
        <w:ind w:left="518" w:right="0" w:firstLine="479"/>
        <w:jc w:val="left"/>
        <w:rPr>
          <w:rFonts w:ascii="宋体" w:hAnsi="宋体" w:cs="宋体" w:eastAsia="宋体" w:hint="default"/>
        </w:rPr>
      </w:pPr>
      <w:r>
        <w:rPr>
          <w:spacing w:val="-2"/>
        </w:rPr>
        <w:t>三是公司拥有众多优质老客户的基础，可以快速引流客户到云服务及金融服务应</w:t>
      </w:r>
      <w:r>
        <w:rPr/>
        <w:t> 用，实现云服务业务的规模化发展；</w:t>
      </w:r>
      <w:r>
        <w:rPr>
          <w:rFonts w:ascii="宋体" w:hAnsi="宋体" w:cs="宋体" w:eastAsia="宋体" w:hint="default"/>
        </w:rPr>
        <w:t>   </w:t>
      </w:r>
    </w:p>
    <w:p>
      <w:pPr>
        <w:pStyle w:val="BodyText"/>
        <w:spacing w:line="310" w:lineRule="exact" w:before="1"/>
        <w:ind w:left="518" w:right="0" w:firstLine="479"/>
        <w:jc w:val="left"/>
      </w:pPr>
      <w:r>
        <w:rPr>
          <w:spacing w:val="-2"/>
        </w:rPr>
        <w:t>四是公司将升维和加速发展云服务业务，构建和运营全球领先的企业云服务平台，</w:t>
      </w:r>
      <w:r>
        <w:rPr/>
        <w:t> 提供高客户价值、高用户体验产品，加强生态融合，采取多种措施克服疫情影响，帮</w:t>
      </w:r>
    </w:p>
    <w:p>
      <w:pPr>
        <w:pStyle w:val="BodyText"/>
        <w:spacing w:line="312" w:lineRule="exact"/>
        <w:ind w:left="998" w:right="0" w:hanging="480"/>
        <w:jc w:val="left"/>
      </w:pPr>
      <w:r>
        <w:rPr/>
        <w:t>助客户简单、便捷、随需、随时、随地地开展商业创新；</w:t>
      </w:r>
      <w:r>
        <w:rPr>
          <w:rFonts w:ascii="宋体" w:hAnsi="宋体" w:cs="宋体" w:eastAsia="宋体" w:hint="default"/>
        </w:rPr>
        <w:t> </w:t>
      </w:r>
      <w:r>
        <w:rPr/>
        <w:t>五是公司将严格按照国家有关金融监管规定，坚持科技金融、稳健发展的原则，</w:t>
      </w:r>
    </w:p>
    <w:p>
      <w:pPr>
        <w:pStyle w:val="BodyText"/>
        <w:spacing w:line="310" w:lineRule="exact" w:before="1"/>
        <w:ind w:left="998" w:right="0" w:hanging="480"/>
        <w:jc w:val="left"/>
      </w:pPr>
      <w:r>
        <w:rPr/>
        <w:t>同时加强合规及风险管控，保证依法合规经营；</w:t>
      </w:r>
      <w:r>
        <w:rPr>
          <w:rFonts w:ascii="宋体" w:hAnsi="宋体" w:cs="宋体" w:eastAsia="宋体" w:hint="default"/>
        </w:rPr>
        <w:t> </w:t>
      </w:r>
      <w:r>
        <w:rPr>
          <w:spacing w:val="-2"/>
        </w:rPr>
        <w:t>六是促进人才流动，加快高端人才的引进和培养；赋能员工，激发组织活力，强</w:t>
      </w:r>
    </w:p>
    <w:p>
      <w:pPr>
        <w:pStyle w:val="BodyText"/>
        <w:spacing w:line="283" w:lineRule="exact"/>
        <w:ind w:left="518" w:right="0"/>
        <w:jc w:val="left"/>
        <w:rPr>
          <w:rFonts w:ascii="宋体" w:hAnsi="宋体" w:cs="宋体" w:eastAsia="宋体" w:hint="default"/>
        </w:rPr>
      </w:pPr>
      <w:r>
        <w:rPr/>
        <w:t>化激励，提高人员效率；推行文化官制度，强化价值观评价对员工发展的作用。</w:t>
      </w:r>
      <w:r>
        <w:rPr>
          <w:rFonts w:ascii="宋体" w:hAnsi="宋体" w:cs="宋体" w:eastAsia="宋体" w:hint="default"/>
        </w:rPr>
        <w:t> </w:t>
      </w:r>
    </w:p>
    <w:p>
      <w:pPr>
        <w:pStyle w:val="BodyText"/>
        <w:spacing w:line="313" w:lineRule="exact"/>
        <w:ind w:left="998" w:right="0"/>
        <w:jc w:val="left"/>
        <w:rPr>
          <w:rFonts w:ascii="宋体" w:hAnsi="宋体" w:cs="宋体" w:eastAsia="宋体" w:hint="default"/>
        </w:rPr>
      </w:pPr>
      <w:r>
        <w:rPr>
          <w:rFonts w:ascii="宋体"/>
        </w:rPr>
        <w:t> </w:t>
      </w:r>
    </w:p>
    <w:p>
      <w:pPr>
        <w:pStyle w:val="Heading2"/>
        <w:tabs>
          <w:tab w:pos="1357" w:val="left" w:leader="none"/>
        </w:tabs>
        <w:spacing w:line="240" w:lineRule="auto" w:before="55"/>
        <w:ind w:left="518" w:right="0"/>
        <w:jc w:val="left"/>
        <w:rPr>
          <w:b w:val="0"/>
          <w:bCs w:val="0"/>
        </w:rPr>
      </w:pPr>
      <w:r>
        <w:rPr>
          <w:rFonts w:ascii="宋体" w:hAnsi="宋体" w:cs="宋体" w:eastAsia="宋体" w:hint="default"/>
          <w:w w:val="95"/>
        </w:rPr>
        <w:t>(</w:t>
      </w:r>
      <w:r>
        <w:rPr>
          <w:w w:val="95"/>
        </w:rPr>
        <w:t>五</w:t>
      </w:r>
      <w:r>
        <w:rPr>
          <w:rFonts w:ascii="宋体" w:hAnsi="宋体" w:cs="宋体" w:eastAsia="宋体" w:hint="default"/>
          <w:w w:val="95"/>
        </w:rPr>
        <w:t>)</w:t>
        <w:tab/>
      </w:r>
      <w:r>
        <w:rPr/>
        <w:t>其他</w:t>
      </w:r>
      <w:r>
        <w:rPr>
          <w:b w:val="0"/>
          <w:bCs w:val="0"/>
        </w:rPr>
      </w:r>
    </w:p>
    <w:p>
      <w:pPr>
        <w:pStyle w:val="BodyText"/>
        <w:tabs>
          <w:tab w:pos="1381" w:val="left" w:leader="none"/>
        </w:tabs>
        <w:spacing w:line="240" w:lineRule="auto" w:before="58"/>
        <w:ind w:left="5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8"/>
        <w:rPr>
          <w:rFonts w:ascii="宋体" w:hAnsi="宋体" w:cs="宋体" w:eastAsia="宋体" w:hint="default"/>
          <w:sz w:val="26"/>
          <w:szCs w:val="26"/>
        </w:rPr>
      </w:pPr>
    </w:p>
    <w:p>
      <w:pPr>
        <w:pStyle w:val="Heading2"/>
        <w:spacing w:line="310" w:lineRule="exact"/>
        <w:ind w:left="938" w:right="0" w:hanging="420"/>
        <w:jc w:val="left"/>
        <w:rPr>
          <w:b w:val="0"/>
          <w:bCs w:val="0"/>
        </w:rPr>
      </w:pPr>
      <w:r>
        <w:rPr>
          <w:spacing w:val="-2"/>
          <w:w w:val="95"/>
        </w:rPr>
        <w:t>四、公司因不适用准则规定或国家秘密、商业秘密等特殊原因，未按准则披露的情况</w:t>
      </w:r>
      <w:r>
        <w:rPr>
          <w:spacing w:val="87"/>
          <w:w w:val="95"/>
        </w:rPr>
        <w:t> </w:t>
      </w:r>
      <w:r>
        <w:rPr>
          <w:spacing w:val="87"/>
          <w:w w:val="95"/>
        </w:rPr>
      </w:r>
      <w:r>
        <w:rPr/>
        <w:t>和原因说明</w:t>
      </w:r>
      <w:r>
        <w:rPr>
          <w:b w:val="0"/>
          <w:bCs w:val="0"/>
        </w:rPr>
      </w:r>
    </w:p>
    <w:p>
      <w:pPr>
        <w:pStyle w:val="BodyText"/>
        <w:tabs>
          <w:tab w:pos="1381" w:val="left" w:leader="none"/>
        </w:tabs>
        <w:spacing w:line="240" w:lineRule="auto" w:before="29"/>
        <w:ind w:left="5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6"/>
        <w:rPr>
          <w:rFonts w:ascii="宋体" w:hAnsi="宋体" w:cs="宋体" w:eastAsia="宋体" w:hint="default"/>
          <w:sz w:val="23"/>
          <w:szCs w:val="23"/>
        </w:rPr>
      </w:pPr>
    </w:p>
    <w:p>
      <w:pPr>
        <w:pStyle w:val="Heading1"/>
        <w:spacing w:line="240" w:lineRule="auto" w:before="0"/>
        <w:ind w:left="3863" w:right="3599"/>
        <w:jc w:val="center"/>
        <w:rPr>
          <w:b w:val="0"/>
          <w:bCs w:val="0"/>
        </w:rPr>
      </w:pPr>
      <w:bookmarkStart w:name="_bookmark4" w:id="5"/>
      <w:bookmarkEnd w:id="5"/>
      <w:r>
        <w:rPr>
          <w:b w:val="0"/>
          <w:bCs w:val="0"/>
        </w:rPr>
      </w:r>
      <w:r>
        <w:rPr/>
        <w:t>第五节</w:t>
      </w:r>
      <w:r>
        <w:rPr>
          <w:spacing w:val="134"/>
        </w:rPr>
        <w:t> </w:t>
      </w:r>
      <w:r>
        <w:rPr>
          <w:rFonts w:ascii="宋体" w:hAnsi="宋体" w:cs="宋体" w:eastAsia="宋体" w:hint="default"/>
          <w:spacing w:val="134"/>
        </w:rPr>
      </w:r>
      <w:r>
        <w:rPr/>
        <w:t>重要事项</w:t>
      </w:r>
      <w:r>
        <w:rPr>
          <w:b w:val="0"/>
          <w:bCs w:val="0"/>
        </w:rPr>
      </w:r>
    </w:p>
    <w:p>
      <w:pPr>
        <w:pStyle w:val="Heading2"/>
        <w:spacing w:line="240" w:lineRule="auto" w:before="246"/>
        <w:ind w:left="518" w:right="0"/>
        <w:jc w:val="left"/>
        <w:rPr>
          <w:b w:val="0"/>
          <w:bCs w:val="0"/>
        </w:rPr>
      </w:pPr>
      <w:r>
        <w:rPr/>
        <w:t>一、普通股利润分配或资本公积金转增预案</w:t>
      </w:r>
      <w:r>
        <w:rPr>
          <w:b w:val="0"/>
          <w:bCs w:val="0"/>
        </w:rPr>
      </w:r>
    </w:p>
    <w:p>
      <w:pPr>
        <w:pStyle w:val="Heading2"/>
        <w:spacing w:line="240" w:lineRule="auto" w:before="55"/>
        <w:ind w:left="518"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28"/>
        </w:rPr>
        <w:t> </w:t>
      </w:r>
      <w:r>
        <w:rPr/>
        <w:t>现金分红政策的制定、执行或调整情况</w:t>
      </w:r>
      <w:r>
        <w:rPr>
          <w:b w:val="0"/>
          <w:bCs w:val="0"/>
        </w:rPr>
      </w:r>
    </w:p>
    <w:p>
      <w:pPr>
        <w:pStyle w:val="BodyText"/>
        <w:tabs>
          <w:tab w:pos="1477" w:val="left" w:leader="none"/>
        </w:tabs>
        <w:spacing w:line="313" w:lineRule="exact" w:before="27"/>
        <w:ind w:left="518" w:right="0"/>
        <w:jc w:val="left"/>
      </w:pPr>
      <w:r>
        <w:rPr/>
        <w:t>√适用</w:t>
        <w:tab/>
        <w:t>□不适用</w:t>
      </w:r>
    </w:p>
    <w:p>
      <w:pPr>
        <w:pStyle w:val="BodyText"/>
        <w:spacing w:line="310" w:lineRule="exact" w:before="31"/>
        <w:ind w:left="518" w:right="377" w:firstLine="479"/>
        <w:jc w:val="left"/>
      </w:pPr>
      <w:r>
        <w:rPr>
          <w:spacing w:val="-4"/>
        </w:rPr>
        <w:t>经安永华明会计师事务所（特殊普通合伙）审计确认，</w:t>
      </w:r>
      <w:r>
        <w:rPr>
          <w:rFonts w:ascii="宋体" w:hAnsi="宋体" w:cs="宋体" w:eastAsia="宋体" w:hint="default"/>
          <w:spacing w:val="-4"/>
        </w:rPr>
        <w:t>2019</w:t>
      </w:r>
      <w:r>
        <w:rPr>
          <w:rFonts w:ascii="宋体" w:hAnsi="宋体" w:cs="宋体" w:eastAsia="宋体" w:hint="default"/>
          <w:spacing w:val="-56"/>
        </w:rPr>
        <w:t> </w:t>
      </w:r>
      <w:r>
        <w:rPr/>
        <w:t>年度公司实现净利润 </w:t>
      </w:r>
      <w:r>
        <w:rPr>
          <w:rFonts w:ascii="宋体" w:hAnsi="宋体" w:cs="宋体" w:eastAsia="宋体" w:hint="default"/>
        </w:rPr>
        <w:t>1,101,791,535</w:t>
      </w:r>
      <w:r>
        <w:rPr>
          <w:rFonts w:ascii="宋体" w:hAnsi="宋体" w:cs="宋体" w:eastAsia="宋体" w:hint="default"/>
          <w:spacing w:val="-60"/>
        </w:rPr>
        <w:t> </w:t>
      </w:r>
      <w:r>
        <w:rPr>
          <w:spacing w:val="-5"/>
        </w:rPr>
        <w:t>元。公司以</w:t>
      </w:r>
      <w:r>
        <w:rPr>
          <w:spacing w:val="-60"/>
        </w:rPr>
        <w:t> </w:t>
      </w:r>
      <w:r>
        <w:rPr>
          <w:rFonts w:ascii="宋体" w:hAnsi="宋体" w:cs="宋体" w:eastAsia="宋体" w:hint="default"/>
        </w:rPr>
        <w:t>2019</w:t>
      </w:r>
      <w:r>
        <w:rPr>
          <w:rFonts w:ascii="宋体" w:hAnsi="宋体" w:cs="宋体" w:eastAsia="宋体" w:hint="default"/>
          <w:spacing w:val="-60"/>
        </w:rPr>
        <w:t> </w:t>
      </w:r>
      <w:r>
        <w:rPr/>
        <w:t>年度净利润</w:t>
      </w:r>
      <w:r>
        <w:rPr>
          <w:spacing w:val="-60"/>
        </w:rPr>
        <w:t> </w:t>
      </w:r>
      <w:r>
        <w:rPr>
          <w:rFonts w:ascii="宋体" w:hAnsi="宋体" w:cs="宋体" w:eastAsia="宋体" w:hint="default"/>
        </w:rPr>
        <w:t>1,101,791,535</w:t>
      </w:r>
      <w:r>
        <w:rPr>
          <w:rFonts w:ascii="宋体" w:hAnsi="宋体" w:cs="宋体" w:eastAsia="宋体" w:hint="default"/>
          <w:spacing w:val="-60"/>
        </w:rPr>
        <w:t> </w:t>
      </w:r>
      <w:r>
        <w:rPr>
          <w:spacing w:val="-4"/>
        </w:rPr>
        <w:t>元为基数，提取</w:t>
      </w:r>
      <w:r>
        <w:rPr>
          <w:spacing w:val="-60"/>
        </w:rPr>
        <w:t> </w:t>
      </w:r>
      <w:r>
        <w:rPr>
          <w:rFonts w:ascii="宋体" w:hAnsi="宋体" w:cs="宋体" w:eastAsia="宋体" w:hint="default"/>
        </w:rPr>
        <w:t>10%</w:t>
      </w:r>
      <w:r>
        <w:rPr/>
        <w:t>的法</w:t>
      </w:r>
    </w:p>
    <w:p>
      <w:pPr>
        <w:pStyle w:val="BodyText"/>
        <w:spacing w:line="283" w:lineRule="exact"/>
        <w:ind w:left="518" w:right="0"/>
        <w:jc w:val="left"/>
      </w:pPr>
      <w:r>
        <w:rPr/>
        <w:t>定盈余公积金</w:t>
      </w:r>
      <w:r>
        <w:rPr>
          <w:spacing w:val="-58"/>
        </w:rPr>
        <w:t> </w:t>
      </w:r>
      <w:r>
        <w:rPr>
          <w:rFonts w:ascii="宋体" w:hAnsi="宋体" w:cs="宋体" w:eastAsia="宋体" w:hint="default"/>
        </w:rPr>
        <w:t>110,179,153</w:t>
      </w:r>
      <w:r>
        <w:rPr>
          <w:rFonts w:ascii="宋体" w:hAnsi="宋体" w:cs="宋体" w:eastAsia="宋体" w:hint="default"/>
          <w:spacing w:val="-57"/>
        </w:rPr>
        <w:t> </w:t>
      </w:r>
      <w:r>
        <w:rPr/>
        <w:t>元，提取</w:t>
      </w:r>
      <w:r>
        <w:rPr>
          <w:spacing w:val="-58"/>
        </w:rPr>
        <w:t> </w:t>
      </w:r>
      <w:r>
        <w:rPr>
          <w:rFonts w:ascii="宋体" w:hAnsi="宋体" w:cs="宋体" w:eastAsia="宋体" w:hint="default"/>
        </w:rPr>
        <w:t>5%</w:t>
      </w:r>
      <w:r>
        <w:rPr/>
        <w:t>任意盈余公积金</w:t>
      </w:r>
      <w:r>
        <w:rPr>
          <w:spacing w:val="-58"/>
        </w:rPr>
        <w:t> </w:t>
      </w:r>
      <w:r>
        <w:rPr>
          <w:rFonts w:ascii="宋体" w:hAnsi="宋体" w:cs="宋体" w:eastAsia="宋体" w:hint="default"/>
        </w:rPr>
        <w:t>55,089,577</w:t>
      </w:r>
      <w:r>
        <w:rPr>
          <w:rFonts w:ascii="宋体" w:hAnsi="宋体" w:cs="宋体" w:eastAsia="宋体" w:hint="default"/>
          <w:spacing w:val="-58"/>
        </w:rPr>
        <w:t> </w:t>
      </w:r>
      <w:r>
        <w:rPr/>
        <w:t>元，加往年累积</w:t>
      </w:r>
    </w:p>
    <w:p>
      <w:pPr>
        <w:pStyle w:val="BodyText"/>
        <w:spacing w:line="311" w:lineRule="exact"/>
        <w:ind w:left="518" w:right="0"/>
        <w:jc w:val="left"/>
      </w:pPr>
      <w:r>
        <w:rPr/>
        <w:t>的未分配利润</w:t>
      </w:r>
      <w:r>
        <w:rPr>
          <w:spacing w:val="-67"/>
        </w:rPr>
        <w:t> </w:t>
      </w:r>
      <w:r>
        <w:rPr>
          <w:rFonts w:ascii="宋体" w:hAnsi="宋体" w:cs="宋体" w:eastAsia="宋体" w:hint="default"/>
        </w:rPr>
        <w:t>1,169,733,782</w:t>
      </w:r>
      <w:r>
        <w:rPr>
          <w:rFonts w:ascii="宋体" w:hAnsi="宋体" w:cs="宋体" w:eastAsia="宋体" w:hint="default"/>
          <w:spacing w:val="-66"/>
        </w:rPr>
        <w:t> </w:t>
      </w:r>
      <w:r>
        <w:rPr/>
        <w:t>元，本次实际可供分配的利润为</w:t>
      </w:r>
      <w:r>
        <w:rPr>
          <w:spacing w:val="-66"/>
        </w:rPr>
        <w:t> </w:t>
      </w:r>
      <w:r>
        <w:rPr>
          <w:rFonts w:ascii="宋体" w:hAnsi="宋体" w:cs="宋体" w:eastAsia="宋体" w:hint="default"/>
        </w:rPr>
        <w:t>2,106,256,587</w:t>
      </w:r>
      <w:r>
        <w:rPr>
          <w:rFonts w:ascii="宋体" w:hAnsi="宋体" w:cs="宋体" w:eastAsia="宋体" w:hint="default"/>
          <w:spacing w:val="-66"/>
        </w:rPr>
        <w:t> </w:t>
      </w:r>
      <w:r>
        <w:rPr>
          <w:spacing w:val="-8"/>
        </w:rPr>
        <w:t>元；公</w:t>
      </w:r>
    </w:p>
    <w:p>
      <w:pPr>
        <w:pStyle w:val="BodyText"/>
        <w:spacing w:line="311" w:lineRule="exact"/>
        <w:ind w:left="518" w:right="0"/>
        <w:jc w:val="left"/>
      </w:pPr>
      <w:r>
        <w:rPr/>
        <w:t>司以实施 </w:t>
      </w:r>
      <w:r>
        <w:rPr>
          <w:rFonts w:ascii="宋体" w:hAnsi="宋体" w:cs="宋体" w:eastAsia="宋体" w:hint="default"/>
        </w:rPr>
        <w:t>2019</w:t>
      </w:r>
      <w:r>
        <w:rPr>
          <w:rFonts w:ascii="宋体" w:hAnsi="宋体" w:cs="宋体" w:eastAsia="宋体" w:hint="default"/>
          <w:spacing w:val="-49"/>
        </w:rPr>
        <w:t> </w:t>
      </w:r>
      <w:r>
        <w:rPr/>
        <w:t>年度利润分配时股权登记日可参与分配的股本为基数，拟向可参与分</w:t>
      </w:r>
    </w:p>
    <w:p>
      <w:pPr>
        <w:pStyle w:val="BodyText"/>
        <w:spacing w:line="313" w:lineRule="exact"/>
        <w:ind w:left="518" w:right="0"/>
        <w:jc w:val="left"/>
        <w:rPr>
          <w:rFonts w:ascii="宋体" w:hAnsi="宋体" w:cs="宋体" w:eastAsia="宋体" w:hint="default"/>
        </w:rPr>
      </w:pPr>
      <w:r>
        <w:rPr/>
        <w:t>配的股东每</w:t>
      </w:r>
      <w:r>
        <w:rPr>
          <w:spacing w:val="-61"/>
        </w:rPr>
        <w:t> </w:t>
      </w:r>
      <w:r>
        <w:rPr>
          <w:rFonts w:ascii="宋体" w:hAnsi="宋体" w:cs="宋体" w:eastAsia="宋体" w:hint="default"/>
        </w:rPr>
        <w:t>10</w:t>
      </w:r>
      <w:r>
        <w:rPr>
          <w:rFonts w:ascii="宋体" w:hAnsi="宋体" w:cs="宋体" w:eastAsia="宋体" w:hint="default"/>
          <w:spacing w:val="-60"/>
        </w:rPr>
        <w:t> </w:t>
      </w:r>
      <w:r>
        <w:rPr/>
        <w:t>股转增</w:t>
      </w:r>
      <w:r>
        <w:rPr>
          <w:spacing w:val="-60"/>
        </w:rPr>
        <w:t> </w:t>
      </w:r>
      <w:r>
        <w:rPr>
          <w:rFonts w:ascii="宋体" w:hAnsi="宋体" w:cs="宋体" w:eastAsia="宋体" w:hint="default"/>
        </w:rPr>
        <w:t>3</w:t>
      </w:r>
      <w:r>
        <w:rPr>
          <w:rFonts w:ascii="宋体" w:hAnsi="宋体" w:cs="宋体" w:eastAsia="宋体" w:hint="default"/>
          <w:spacing w:val="-60"/>
        </w:rPr>
        <w:t> </w:t>
      </w:r>
      <w:r>
        <w:rPr/>
        <w:t>股，每</w:t>
      </w:r>
      <w:r>
        <w:rPr>
          <w:spacing w:val="-60"/>
        </w:rPr>
        <w:t> </w:t>
      </w:r>
      <w:r>
        <w:rPr>
          <w:rFonts w:ascii="宋体" w:hAnsi="宋体" w:cs="宋体" w:eastAsia="宋体" w:hint="default"/>
        </w:rPr>
        <w:t>10</w:t>
      </w:r>
      <w:r>
        <w:rPr>
          <w:rFonts w:ascii="宋体" w:hAnsi="宋体" w:cs="宋体" w:eastAsia="宋体" w:hint="default"/>
          <w:spacing w:val="-60"/>
        </w:rPr>
        <w:t> </w:t>
      </w:r>
      <w:r>
        <w:rPr/>
        <w:t>股派发现金股利</w:t>
      </w:r>
      <w:r>
        <w:rPr>
          <w:spacing w:val="-60"/>
        </w:rPr>
        <w:t> </w:t>
      </w:r>
      <w:r>
        <w:rPr>
          <w:rFonts w:ascii="宋体" w:hAnsi="宋体" w:cs="宋体" w:eastAsia="宋体" w:hint="default"/>
        </w:rPr>
        <w:t>2.6</w:t>
      </w:r>
      <w:r>
        <w:rPr>
          <w:rFonts w:ascii="宋体" w:hAnsi="宋体" w:cs="宋体" w:eastAsia="宋体" w:hint="default"/>
          <w:spacing w:val="-60"/>
        </w:rPr>
        <w:t> </w:t>
      </w:r>
      <w:r>
        <w:rPr/>
        <w:t>元</w:t>
      </w:r>
      <w:r>
        <w:rPr>
          <w:rFonts w:ascii="宋体" w:hAnsi="宋体" w:cs="宋体" w:eastAsia="宋体" w:hint="default"/>
        </w:rPr>
        <w:t>(</w:t>
      </w:r>
      <w:r>
        <w:rPr/>
        <w:t>含税</w:t>
      </w:r>
      <w:r>
        <w:rPr>
          <w:rFonts w:ascii="宋体" w:hAnsi="宋体" w:cs="宋体" w:eastAsia="宋体" w:hint="default"/>
        </w:rPr>
        <w:t>)</w:t>
      </w:r>
      <w:r>
        <w:rPr/>
        <w:t>。</w:t>
      </w:r>
      <w:r>
        <w:rPr>
          <w:rFonts w:ascii="宋体" w:hAnsi="宋体" w:cs="宋体" w:eastAsia="宋体" w:hint="default"/>
        </w:rPr>
        <w:t> </w:t>
      </w:r>
    </w:p>
    <w:p>
      <w:pPr>
        <w:spacing w:line="240" w:lineRule="auto" w:before="11"/>
        <w:rPr>
          <w:rFonts w:ascii="宋体" w:hAnsi="宋体" w:cs="宋体" w:eastAsia="宋体" w:hint="default"/>
          <w:sz w:val="27"/>
          <w:szCs w:val="27"/>
        </w:rPr>
      </w:pPr>
    </w:p>
    <w:p>
      <w:pPr>
        <w:pStyle w:val="Heading2"/>
        <w:spacing w:line="312" w:lineRule="exact"/>
        <w:ind w:left="938" w:right="0" w:hanging="420"/>
        <w:jc w:val="left"/>
        <w:rPr>
          <w:b w:val="0"/>
          <w:bCs w:val="0"/>
        </w:rPr>
      </w:pPr>
      <w:r>
        <w:rPr>
          <w:rFonts w:ascii="Calibri" w:hAnsi="Calibri" w:cs="Calibri" w:eastAsia="Calibri" w:hint="default"/>
          <w:w w:val="95"/>
        </w:rPr>
        <w:t>(</w:t>
      </w:r>
      <w:r>
        <w:rPr>
          <w:w w:val="95"/>
        </w:rPr>
        <w:t>二</w:t>
      </w:r>
      <w:r>
        <w:rPr>
          <w:rFonts w:ascii="Calibri" w:hAnsi="Calibri" w:cs="Calibri" w:eastAsia="Calibri" w:hint="default"/>
          <w:w w:val="95"/>
        </w:rPr>
        <w:t>) </w:t>
      </w:r>
      <w:r>
        <w:rPr>
          <w:w w:val="95"/>
        </w:rPr>
        <w:t>公司近三年（含报告期）的普通股股利分配方案或预案、资本公积金转增股本方</w:t>
      </w:r>
      <w:r>
        <w:rPr>
          <w:spacing w:val="-33"/>
          <w:w w:val="95"/>
        </w:rPr>
        <w:t> </w:t>
      </w:r>
      <w:r>
        <w:rPr>
          <w:spacing w:val="-33"/>
          <w:w w:val="95"/>
        </w:rPr>
      </w:r>
      <w:r>
        <w:rPr/>
        <w:t>案或预案</w:t>
      </w:r>
      <w:r>
        <w:rPr>
          <w:b w:val="0"/>
          <w:bCs w:val="0"/>
        </w:rPr>
      </w:r>
    </w:p>
    <w:p>
      <w:pPr>
        <w:pStyle w:val="BodyText"/>
        <w:tabs>
          <w:tab w:pos="1200" w:val="left" w:leader="none"/>
        </w:tabs>
        <w:spacing w:line="240" w:lineRule="auto" w:before="27"/>
        <w:ind w:left="0" w:right="392"/>
        <w:jc w:val="right"/>
      </w:pPr>
      <w:r>
        <w:rPr/>
        <w:t>单位：元</w:t>
        <w:tab/>
        <w:t>币种：人民币</w:t>
      </w:r>
    </w:p>
    <w:p>
      <w:pPr>
        <w:spacing w:line="240" w:lineRule="auto" w:before="12"/>
        <w:rPr>
          <w:rFonts w:ascii="宋体" w:hAnsi="宋体" w:cs="宋体" w:eastAsia="宋体"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1109"/>
        <w:gridCol w:w="1123"/>
        <w:gridCol w:w="1102"/>
        <w:gridCol w:w="996"/>
        <w:gridCol w:w="1767"/>
        <w:gridCol w:w="1777"/>
        <w:gridCol w:w="1625"/>
      </w:tblGrid>
      <w:tr>
        <w:trPr>
          <w:trHeight w:val="1841" w:hRule="exact"/>
        </w:trPr>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2" w:lineRule="exact"/>
              <w:ind w:left="307" w:right="309"/>
              <w:jc w:val="left"/>
              <w:rPr>
                <w:rFonts w:ascii="宋体" w:hAnsi="宋体" w:cs="宋体" w:eastAsia="宋体" w:hint="default"/>
                <w:sz w:val="24"/>
                <w:szCs w:val="24"/>
              </w:rPr>
            </w:pPr>
            <w:r>
              <w:rPr>
                <w:rFonts w:ascii="宋体" w:hAnsi="宋体" w:cs="宋体" w:eastAsia="宋体" w:hint="default"/>
                <w:sz w:val="24"/>
                <w:szCs w:val="24"/>
              </w:rPr>
              <w:t>分红 年度</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33"/>
                <w:szCs w:val="33"/>
              </w:rPr>
            </w:pPr>
          </w:p>
          <w:p>
            <w:pPr>
              <w:pStyle w:val="TableParagraph"/>
              <w:spacing w:line="312" w:lineRule="exact"/>
              <w:ind w:left="103" w:right="48" w:firstLine="33"/>
              <w:jc w:val="both"/>
              <w:rPr>
                <w:rFonts w:ascii="宋体" w:hAnsi="宋体" w:cs="宋体" w:eastAsia="宋体" w:hint="default"/>
                <w:sz w:val="24"/>
                <w:szCs w:val="24"/>
              </w:rPr>
            </w:pPr>
            <w:r>
              <w:rPr>
                <w:rFonts w:ascii="宋体" w:hAnsi="宋体" w:cs="宋体" w:eastAsia="宋体" w:hint="default"/>
                <w:sz w:val="24"/>
                <w:szCs w:val="24"/>
              </w:rPr>
              <w:t>每</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10 </w:t>
            </w:r>
            <w:r>
              <w:rPr>
                <w:rFonts w:ascii="宋体" w:hAnsi="宋体" w:cs="宋体" w:eastAsia="宋体" w:hint="default"/>
                <w:sz w:val="24"/>
                <w:szCs w:val="24"/>
              </w:rPr>
              <w:t>股 送红股 数（股）</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28" w:lineRule="auto"/>
              <w:ind w:left="105" w:right="107"/>
              <w:jc w:val="center"/>
              <w:rPr>
                <w:rFonts w:ascii="宋体" w:hAnsi="宋体" w:cs="宋体" w:eastAsia="宋体" w:hint="default"/>
                <w:sz w:val="24"/>
                <w:szCs w:val="24"/>
              </w:rPr>
            </w:pPr>
            <w:r>
              <w:rPr>
                <w:rFonts w:ascii="宋体" w:hAnsi="宋体" w:cs="宋体" w:eastAsia="宋体" w:hint="default"/>
                <w:sz w:val="24"/>
                <w:szCs w:val="24"/>
              </w:rPr>
              <w:t>每</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10 </w:t>
            </w:r>
            <w:r>
              <w:rPr>
                <w:rFonts w:ascii="宋体" w:hAnsi="宋体" w:cs="宋体" w:eastAsia="宋体" w:hint="default"/>
                <w:sz w:val="24"/>
                <w:szCs w:val="24"/>
              </w:rPr>
              <w:t>股 派息数 </w:t>
            </w:r>
            <w:r>
              <w:rPr>
                <w:rFonts w:ascii="Times New Roman" w:hAnsi="Times New Roman" w:cs="Times New Roman" w:eastAsia="Times New Roman" w:hint="default"/>
                <w:sz w:val="24"/>
                <w:szCs w:val="24"/>
              </w:rPr>
              <w:t>(</w:t>
            </w:r>
            <w:r>
              <w:rPr>
                <w:rFonts w:ascii="宋体" w:hAnsi="宋体" w:cs="宋体" w:eastAsia="宋体" w:hint="default"/>
                <w:sz w:val="24"/>
                <w:szCs w:val="24"/>
              </w:rPr>
              <w:t>元</w:t>
            </w:r>
            <w:r>
              <w:rPr>
                <w:rFonts w:ascii="Times New Roman" w:hAnsi="Times New Roman" w:cs="Times New Roman" w:eastAsia="Times New Roman" w:hint="default"/>
                <w:sz w:val="24"/>
                <w:szCs w:val="24"/>
              </w:rPr>
              <w:t>)</w:t>
            </w:r>
            <w:r>
              <w:rPr>
                <w:rFonts w:ascii="宋体" w:hAnsi="宋体" w:cs="宋体" w:eastAsia="宋体" w:hint="default"/>
                <w:sz w:val="24"/>
                <w:szCs w:val="24"/>
              </w:rPr>
              <w:t>（含 税）</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33"/>
                <w:szCs w:val="33"/>
              </w:rPr>
            </w:pPr>
          </w:p>
          <w:p>
            <w:pPr>
              <w:pStyle w:val="TableParagraph"/>
              <w:spacing w:line="312" w:lineRule="exact"/>
              <w:ind w:left="131" w:right="98" w:hanging="29"/>
              <w:jc w:val="left"/>
              <w:rPr>
                <w:rFonts w:ascii="宋体" w:hAnsi="宋体" w:cs="宋体" w:eastAsia="宋体" w:hint="default"/>
                <w:sz w:val="24"/>
                <w:szCs w:val="24"/>
              </w:rPr>
            </w:pPr>
            <w:r>
              <w:rPr>
                <w:rFonts w:ascii="宋体" w:hAnsi="宋体" w:cs="宋体" w:eastAsia="宋体" w:hint="default"/>
                <w:sz w:val="24"/>
                <w:szCs w:val="24"/>
              </w:rPr>
              <w:t>每</w:t>
            </w:r>
            <w:r>
              <w:rPr>
                <w:rFonts w:ascii="宋体" w:hAnsi="宋体" w:cs="宋体" w:eastAsia="宋体" w:hint="default"/>
                <w:spacing w:val="-89"/>
                <w:sz w:val="24"/>
                <w:szCs w:val="24"/>
              </w:rPr>
              <w:t> </w:t>
            </w:r>
            <w:r>
              <w:rPr>
                <w:rFonts w:ascii="Times New Roman" w:hAnsi="Times New Roman" w:cs="Times New Roman" w:eastAsia="Times New Roman" w:hint="default"/>
                <w:sz w:val="24"/>
                <w:szCs w:val="24"/>
              </w:rPr>
              <w:t>10</w:t>
            </w:r>
            <w:r>
              <w:rPr>
                <w:rFonts w:ascii="Times New Roman" w:hAnsi="Times New Roman" w:cs="Times New Roman" w:eastAsia="Times New Roman" w:hint="default"/>
                <w:spacing w:val="-29"/>
                <w:sz w:val="24"/>
                <w:szCs w:val="24"/>
              </w:rPr>
              <w:t> </w:t>
            </w:r>
            <w:r>
              <w:rPr>
                <w:rFonts w:ascii="宋体" w:hAnsi="宋体" w:cs="宋体" w:eastAsia="宋体" w:hint="default"/>
                <w:sz w:val="24"/>
                <w:szCs w:val="24"/>
              </w:rPr>
              <w:t>股 转增数</w:t>
            </w:r>
          </w:p>
          <w:p>
            <w:pPr>
              <w:pStyle w:val="TableParagraph"/>
              <w:spacing w:line="283" w:lineRule="exact"/>
              <w:ind w:left="131" w:right="0"/>
              <w:jc w:val="left"/>
              <w:rPr>
                <w:rFonts w:ascii="宋体" w:hAnsi="宋体" w:cs="宋体" w:eastAsia="宋体" w:hint="default"/>
                <w:sz w:val="24"/>
                <w:szCs w:val="24"/>
              </w:rPr>
            </w:pPr>
            <w:r>
              <w:rPr>
                <w:rFonts w:ascii="宋体" w:hAnsi="宋体" w:cs="宋体" w:eastAsia="宋体" w:hint="default"/>
                <w:sz w:val="24"/>
                <w:szCs w:val="24"/>
              </w:rPr>
              <w:t>（股）</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33"/>
                <w:szCs w:val="33"/>
              </w:rPr>
            </w:pPr>
          </w:p>
          <w:p>
            <w:pPr>
              <w:pStyle w:val="TableParagraph"/>
              <w:spacing w:line="312" w:lineRule="exact"/>
              <w:ind w:left="156" w:right="159"/>
              <w:jc w:val="center"/>
              <w:rPr>
                <w:rFonts w:ascii="宋体" w:hAnsi="宋体" w:cs="宋体" w:eastAsia="宋体" w:hint="default"/>
                <w:sz w:val="24"/>
                <w:szCs w:val="24"/>
              </w:rPr>
            </w:pPr>
            <w:r>
              <w:rPr>
                <w:rFonts w:ascii="宋体" w:hAnsi="宋体" w:cs="宋体" w:eastAsia="宋体" w:hint="default"/>
                <w:sz w:val="24"/>
                <w:szCs w:val="24"/>
              </w:rPr>
              <w:t>现金分红的数 额</w:t>
            </w:r>
          </w:p>
          <w:p>
            <w:pPr>
              <w:pStyle w:val="TableParagraph"/>
              <w:spacing w:line="283" w:lineRule="exact"/>
              <w:ind w:right="3"/>
              <w:jc w:val="center"/>
              <w:rPr>
                <w:rFonts w:ascii="宋体" w:hAnsi="宋体" w:cs="宋体" w:eastAsia="宋体" w:hint="default"/>
                <w:sz w:val="24"/>
                <w:szCs w:val="24"/>
              </w:rPr>
            </w:pPr>
            <w:r>
              <w:rPr>
                <w:rFonts w:ascii="宋体" w:hAnsi="宋体" w:cs="宋体" w:eastAsia="宋体" w:hint="default"/>
                <w:sz w:val="24"/>
                <w:szCs w:val="24"/>
              </w:rPr>
              <w:t>（含税）</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2"/>
              <w:ind w:left="160" w:right="164"/>
              <w:jc w:val="center"/>
              <w:rPr>
                <w:rFonts w:ascii="宋体" w:hAnsi="宋体" w:cs="宋体" w:eastAsia="宋体" w:hint="default"/>
                <w:sz w:val="24"/>
                <w:szCs w:val="24"/>
              </w:rPr>
            </w:pPr>
            <w:r>
              <w:rPr>
                <w:rFonts w:ascii="宋体" w:hAnsi="宋体" w:cs="宋体" w:eastAsia="宋体" w:hint="default"/>
                <w:sz w:val="24"/>
                <w:szCs w:val="24"/>
              </w:rPr>
              <w:t>分红年度合并 报表中归属于 上市公司普通 股股东的净利 润</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占合并报表</w:t>
            </w:r>
          </w:p>
          <w:p>
            <w:pPr>
              <w:pStyle w:val="TableParagraph"/>
              <w:spacing w:line="244" w:lineRule="auto"/>
              <w:ind w:left="206" w:right="206"/>
              <w:jc w:val="center"/>
              <w:rPr>
                <w:rFonts w:ascii="Times New Roman" w:hAnsi="Times New Roman" w:cs="Times New Roman" w:eastAsia="Times New Roman" w:hint="default"/>
                <w:sz w:val="24"/>
                <w:szCs w:val="24"/>
              </w:rPr>
            </w:pPr>
            <w:r>
              <w:rPr>
                <w:rFonts w:ascii="宋体" w:hAnsi="宋体" w:cs="宋体" w:eastAsia="宋体" w:hint="default"/>
                <w:sz w:val="24"/>
                <w:szCs w:val="24"/>
              </w:rPr>
              <w:t>中归属于上 市公司普通 股股东的净 利润的比率 </w:t>
            </w:r>
            <w:r>
              <w:rPr>
                <w:rFonts w:ascii="Times New Roman" w:hAnsi="Times New Roman" w:cs="Times New Roman" w:eastAsia="Times New Roman" w:hint="default"/>
                <w:sz w:val="24"/>
                <w:szCs w:val="24"/>
              </w:rPr>
              <w:t>(%)</w:t>
            </w:r>
          </w:p>
        </w:tc>
      </w:tr>
      <w:tr>
        <w:trPr>
          <w:trHeight w:val="322" w:hRule="exact"/>
        </w:trPr>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 w:right="0"/>
              <w:jc w:val="center"/>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z w:val="24"/>
                <w:szCs w:val="24"/>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 </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2.6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3 </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646,342,128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1,182,989,733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55 </w:t>
            </w:r>
          </w:p>
        </w:tc>
      </w:tr>
      <w:tr>
        <w:trPr>
          <w:trHeight w:val="322" w:hRule="exact"/>
        </w:trPr>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 w:right="0"/>
              <w:jc w:val="center"/>
              <w:rPr>
                <w:rFonts w:ascii="宋体" w:hAnsi="宋体" w:cs="宋体" w:eastAsia="宋体" w:hint="default"/>
                <w:sz w:val="24"/>
                <w:szCs w:val="24"/>
              </w:rPr>
            </w:pPr>
            <w:r>
              <w:rPr>
                <w:rFonts w:ascii="宋体" w:hAnsi="宋体" w:cs="宋体" w:eastAsia="宋体" w:hint="default"/>
                <w:sz w:val="24"/>
                <w:szCs w:val="24"/>
              </w:rPr>
              <w:t>2018</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z w:val="24"/>
                <w:szCs w:val="24"/>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 </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2.5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3 </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474,413,036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612,130,382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79 </w:t>
            </w:r>
          </w:p>
        </w:tc>
      </w:tr>
      <w:tr>
        <w:trPr>
          <w:trHeight w:val="322" w:hRule="exact"/>
        </w:trPr>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 w:right="0"/>
              <w:jc w:val="center"/>
              <w:rPr>
                <w:rFonts w:ascii="宋体" w:hAnsi="宋体" w:cs="宋体" w:eastAsia="宋体" w:hint="default"/>
                <w:sz w:val="24"/>
                <w:szCs w:val="24"/>
              </w:rPr>
            </w:pPr>
            <w:r>
              <w:rPr>
                <w:rFonts w:ascii="宋体" w:hAnsi="宋体" w:cs="宋体" w:eastAsia="宋体" w:hint="default"/>
                <w:sz w:val="24"/>
                <w:szCs w:val="24"/>
              </w:rPr>
              <w:t>2017</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z w:val="24"/>
                <w:szCs w:val="24"/>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1.5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 </w:t>
            </w:r>
          </w:p>
        </w:tc>
        <w:tc>
          <w:tcPr>
            <w:tcW w:w="17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219,183,934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389,080,894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56 </w:t>
            </w:r>
          </w:p>
        </w:tc>
      </w:tr>
    </w:tbl>
    <w:p>
      <w:pPr>
        <w:pStyle w:val="BodyText"/>
        <w:spacing w:line="274" w:lineRule="exact"/>
        <w:ind w:left="518" w:right="0"/>
        <w:jc w:val="left"/>
      </w:pPr>
      <w:r>
        <w:rPr/>
        <w:t>注：现金分红的数额以公司实际派发的现金分红数额为准。</w:t>
      </w:r>
    </w:p>
    <w:p>
      <w:pPr>
        <w:spacing w:after="0" w:line="274" w:lineRule="exact"/>
        <w:jc w:val="left"/>
        <w:sectPr>
          <w:pgSz w:w="11910" w:h="16840"/>
          <w:pgMar w:header="880" w:footer="1195" w:top="1120" w:bottom="1380" w:left="1280" w:right="880"/>
        </w:sectPr>
      </w:pPr>
    </w:p>
    <w:p>
      <w:pPr>
        <w:spacing w:line="240" w:lineRule="auto" w:before="8"/>
        <w:rPr>
          <w:rFonts w:ascii="宋体" w:hAnsi="宋体" w:cs="宋体" w:eastAsia="宋体" w:hint="default"/>
          <w:sz w:val="25"/>
          <w:szCs w:val="25"/>
        </w:rPr>
      </w:pPr>
    </w:p>
    <w:p>
      <w:pPr>
        <w:pStyle w:val="Heading2"/>
        <w:spacing w:line="240" w:lineRule="auto" w:before="26"/>
        <w:ind w:left="138"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9"/>
        </w:rPr>
        <w:t> </w:t>
      </w:r>
      <w:r>
        <w:rPr/>
        <w:t>以现金方式回购股份计入现金分红的情况</w:t>
      </w:r>
      <w:r>
        <w:rPr>
          <w:b w:val="0"/>
          <w:bCs w:val="0"/>
        </w:rPr>
      </w:r>
    </w:p>
    <w:p>
      <w:pPr>
        <w:pStyle w:val="BodyText"/>
        <w:spacing w:line="240" w:lineRule="auto" w:before="27"/>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8"/>
        <w:rPr>
          <w:rFonts w:ascii="宋体" w:hAnsi="宋体" w:cs="宋体" w:eastAsia="宋体" w:hint="default"/>
          <w:sz w:val="26"/>
          <w:szCs w:val="26"/>
        </w:rPr>
      </w:pPr>
    </w:p>
    <w:p>
      <w:pPr>
        <w:pStyle w:val="Heading2"/>
        <w:spacing w:line="310" w:lineRule="exact"/>
        <w:ind w:left="558" w:right="334" w:hanging="420"/>
        <w:jc w:val="left"/>
        <w:rPr>
          <w:b w:val="0"/>
          <w:bCs w:val="0"/>
        </w:rPr>
      </w:pPr>
      <w:r>
        <w:rPr>
          <w:rFonts w:ascii="Calibri" w:hAnsi="Calibri" w:cs="Calibri" w:eastAsia="Calibri" w:hint="default"/>
        </w:rPr>
        <w:t>(</w:t>
      </w:r>
      <w:r>
        <w:rPr/>
        <w:t>四</w:t>
      </w:r>
      <w:r>
        <w:rPr>
          <w:rFonts w:ascii="Calibri" w:hAnsi="Calibri" w:cs="Calibri" w:eastAsia="Calibri" w:hint="default"/>
        </w:rPr>
        <w:t>)</w:t>
      </w:r>
      <w:r>
        <w:rPr>
          <w:rFonts w:ascii="Calibri" w:hAnsi="Calibri" w:cs="Calibri" w:eastAsia="Calibri" w:hint="default"/>
          <w:spacing w:val="-44"/>
        </w:rPr>
        <w:t> </w:t>
      </w:r>
      <w:r>
        <w:rPr/>
        <w:t>报告期内盈利且母公司可供普通股股东分配利润为正，但未提出普通股现金利润</w:t>
      </w:r>
      <w:r>
        <w:rPr>
          <w:w w:val="99"/>
        </w:rPr>
        <w:t> </w:t>
      </w:r>
      <w:r>
        <w:rPr/>
        <w:t>分配方案预案的，公司应当详细披露原因以及未分配利润的用途和使用计划</w:t>
      </w:r>
      <w:r>
        <w:rPr>
          <w:b w:val="0"/>
          <w:bCs w:val="0"/>
        </w:rPr>
      </w:r>
    </w:p>
    <w:p>
      <w:pPr>
        <w:pStyle w:val="BodyText"/>
        <w:spacing w:line="240" w:lineRule="auto" w:before="29"/>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b w:val="0"/>
          <w:bCs w:val="0"/>
        </w:rPr>
      </w:pPr>
      <w:r>
        <w:rPr/>
        <w:t>二、承诺事项履行情况</w:t>
      </w:r>
      <w:r>
        <w:rPr>
          <w:b w:val="0"/>
          <w:bCs w:val="0"/>
        </w:rPr>
      </w:r>
    </w:p>
    <w:p>
      <w:pPr>
        <w:pStyle w:val="Heading2"/>
        <w:spacing w:line="310" w:lineRule="exact" w:before="90"/>
        <w:ind w:left="704" w:right="0" w:hanging="567"/>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53"/>
        </w:rPr>
        <w:t> </w:t>
      </w:r>
      <w:r>
        <w:rPr>
          <w:spacing w:val="2"/>
        </w:rPr>
        <w:t>公司实际控制人、股东、关联方、收购人以及公司等承诺相关方在报告期内或</w:t>
      </w:r>
      <w:r>
        <w:rPr>
          <w:w w:val="99"/>
        </w:rPr>
        <w:t> </w:t>
      </w:r>
      <w:r>
        <w:rPr/>
        <w:t>持续到报告期内的承诺事项</w:t>
      </w:r>
      <w:r>
        <w:rPr>
          <w:b w:val="0"/>
          <w:bCs w:val="0"/>
        </w:rPr>
      </w:r>
    </w:p>
    <w:p>
      <w:pPr>
        <w:pStyle w:val="BodyText"/>
        <w:spacing w:line="240" w:lineRule="auto" w:before="29"/>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8"/>
        <w:rPr>
          <w:rFonts w:ascii="宋体" w:hAnsi="宋体" w:cs="宋体" w:eastAsia="宋体" w:hint="default"/>
          <w:sz w:val="26"/>
          <w:szCs w:val="26"/>
        </w:rPr>
      </w:pPr>
    </w:p>
    <w:p>
      <w:pPr>
        <w:pStyle w:val="Heading2"/>
        <w:spacing w:line="310" w:lineRule="exact"/>
        <w:ind w:left="704" w:right="0" w:hanging="567"/>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53"/>
        </w:rPr>
        <w:t> </w:t>
      </w:r>
      <w:r>
        <w:rPr>
          <w:spacing w:val="2"/>
        </w:rPr>
        <w:t>公司资产或项目存在盈利预测，且报告期仍处在盈利预测期间，公司就资产或</w:t>
      </w:r>
      <w:r>
        <w:rPr>
          <w:w w:val="99"/>
        </w:rPr>
        <w:t> </w:t>
      </w:r>
      <w:r>
        <w:rPr/>
        <w:t>项目</w:t>
      </w:r>
      <w:r>
        <w:rPr>
          <w:b w:val="0"/>
          <w:bCs w:val="0"/>
        </w:rPr>
      </w:r>
    </w:p>
    <w:p>
      <w:pPr>
        <w:pStyle w:val="Heading2"/>
        <w:spacing w:line="313" w:lineRule="exact" w:before="29"/>
        <w:ind w:left="138" w:right="0"/>
        <w:jc w:val="left"/>
        <w:rPr>
          <w:b w:val="0"/>
          <w:bCs w:val="0"/>
        </w:rPr>
      </w:pPr>
      <w:r>
        <w:rPr/>
        <w:t>是否达到原盈利预测及其原因作出说明</w:t>
      </w:r>
      <w:r>
        <w:rPr>
          <w:b w:val="0"/>
          <w:bCs w:val="0"/>
        </w:rPr>
      </w:r>
    </w:p>
    <w:p>
      <w:pPr>
        <w:pStyle w:val="BodyText"/>
        <w:spacing w:line="331" w:lineRule="exact"/>
        <w:ind w:left="138" w:right="0"/>
        <w:jc w:val="left"/>
      </w:pPr>
      <w:r>
        <w:rPr>
          <w:rFonts w:ascii="Times New Roman" w:hAnsi="Times New Roman" w:cs="Times New Roman" w:eastAsia="Times New Roman" w:hint="default"/>
        </w:rPr>
        <w:t>□</w:t>
      </w:r>
      <w:r>
        <w:rPr/>
        <w:t>已达到 </w:t>
      </w:r>
      <w:r>
        <w:rPr>
          <w:rFonts w:ascii="Times New Roman" w:hAnsi="Times New Roman" w:cs="Times New Roman" w:eastAsia="Times New Roman" w:hint="default"/>
        </w:rPr>
        <w:t>□</w:t>
      </w:r>
      <w:r>
        <w:rPr/>
        <w:t>未达到</w:t>
      </w:r>
      <w:r>
        <w:rPr>
          <w:spacing w:val="-1"/>
        </w:rPr>
        <w:t> </w:t>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spacing w:line="240" w:lineRule="auto"/>
        <w:ind w:left="138" w:right="0"/>
        <w:jc w:val="left"/>
        <w:rPr>
          <w:b w:val="0"/>
          <w:bCs w:val="0"/>
        </w:rPr>
      </w:pPr>
      <w:r>
        <w:rPr>
          <w:rFonts w:ascii="Calibri" w:hAnsi="Calibri" w:cs="Calibri" w:eastAsia="Calibri" w:hint="default"/>
        </w:rPr>
        <w:t>(</w:t>
      </w:r>
      <w:r>
        <w:rPr/>
        <w:t>三</w:t>
      </w:r>
      <w:r>
        <w:rPr>
          <w:rFonts w:ascii="Calibri" w:hAnsi="Calibri" w:cs="Calibri" w:eastAsia="Calibri" w:hint="default"/>
        </w:rPr>
        <w:t>)  </w:t>
      </w:r>
      <w:r>
        <w:rPr>
          <w:rFonts w:ascii="Calibri" w:hAnsi="Calibri" w:cs="Calibri" w:eastAsia="Calibri" w:hint="default"/>
          <w:spacing w:val="8"/>
        </w:rPr>
        <w:t> </w:t>
      </w:r>
      <w:r>
        <w:rPr/>
        <w:t>业绩承诺的完成情况及其对商誉减值测试的影响</w:t>
      </w:r>
      <w:r>
        <w:rPr>
          <w:b w:val="0"/>
          <w:bCs w:val="0"/>
        </w:rPr>
      </w:r>
    </w:p>
    <w:p>
      <w:pPr>
        <w:pStyle w:val="BodyText"/>
        <w:spacing w:line="240" w:lineRule="auto" w:before="27"/>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b w:val="0"/>
          <w:bCs w:val="0"/>
        </w:rPr>
      </w:pPr>
      <w:r>
        <w:rPr/>
        <w:t>三、报告期内资金被占用情况及清欠进展情况</w:t>
      </w:r>
      <w:r>
        <w:rPr>
          <w:b w:val="0"/>
          <w:bCs w:val="0"/>
        </w:rPr>
      </w:r>
    </w:p>
    <w:p>
      <w:pPr>
        <w:pStyle w:val="BodyText"/>
        <w:spacing w:line="240" w:lineRule="auto" w:before="56"/>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b w:val="0"/>
          <w:bCs w:val="0"/>
        </w:rPr>
      </w:pPr>
      <w:r>
        <w:rPr/>
        <w:t>四、公司对会计师事务所“非标准意见审计报告”的说明</w:t>
      </w:r>
      <w:r>
        <w:rPr>
          <w:b w:val="0"/>
          <w:bCs w:val="0"/>
        </w:rPr>
      </w:r>
    </w:p>
    <w:p>
      <w:pPr>
        <w:pStyle w:val="BodyText"/>
        <w:spacing w:line="240" w:lineRule="auto" w:before="58"/>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spacing w:line="240" w:lineRule="auto"/>
        <w:ind w:left="138" w:right="0"/>
        <w:jc w:val="left"/>
        <w:rPr>
          <w:b w:val="0"/>
          <w:bCs w:val="0"/>
        </w:rPr>
      </w:pPr>
      <w:r>
        <w:rPr/>
        <w:t>五、公司对会计政策、会计估计变更或重大会计差错更正原因和影响的分析说明</w:t>
      </w:r>
      <w:r>
        <w:rPr>
          <w:b w:val="0"/>
          <w:bCs w:val="0"/>
        </w:rPr>
      </w:r>
    </w:p>
    <w:p>
      <w:pPr>
        <w:pStyle w:val="Heading2"/>
        <w:spacing w:line="240" w:lineRule="auto" w:before="58"/>
        <w:ind w:left="138" w:right="0"/>
        <w:jc w:val="left"/>
        <w:rPr>
          <w:b w:val="0"/>
          <w:bCs w:val="0"/>
        </w:rPr>
      </w:pPr>
      <w:r>
        <w:rPr/>
        <w:t>（一）公司对会计政策、会计估计变更原因及影响的分析说明</w:t>
      </w:r>
      <w:r>
        <w:rPr>
          <w:b w:val="0"/>
          <w:bCs w:val="0"/>
        </w:rPr>
      </w:r>
    </w:p>
    <w:p>
      <w:pPr>
        <w:pStyle w:val="BodyText"/>
        <w:tabs>
          <w:tab w:pos="989" w:val="left" w:leader="none"/>
        </w:tabs>
        <w:spacing w:line="240" w:lineRule="auto" w:before="58"/>
        <w:ind w:left="13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spacing w:line="240" w:lineRule="auto" w:before="8"/>
        <w:rPr>
          <w:rFonts w:ascii="宋体" w:hAnsi="宋体" w:cs="宋体" w:eastAsia="宋体" w:hint="default"/>
          <w:sz w:val="16"/>
          <w:szCs w:val="16"/>
        </w:rPr>
      </w:pPr>
    </w:p>
    <w:p>
      <w:pPr>
        <w:pStyle w:val="BodyText"/>
        <w:spacing w:line="240" w:lineRule="auto"/>
        <w:ind w:left="138" w:right="0"/>
        <w:jc w:val="left"/>
        <w:rPr>
          <w:rFonts w:ascii="宋体" w:hAnsi="宋体" w:cs="宋体" w:eastAsia="宋体" w:hint="default"/>
        </w:rPr>
      </w:pPr>
      <w:r>
        <w:rPr>
          <w:rFonts w:ascii="宋体" w:hAnsi="宋体" w:cs="宋体" w:eastAsia="宋体" w:hint="default"/>
        </w:rPr>
        <w:t>  </w:t>
      </w:r>
      <w:r>
        <w:rPr>
          <w:rFonts w:ascii="宋体" w:hAnsi="宋体" w:cs="宋体" w:eastAsia="宋体" w:hint="default"/>
          <w:spacing w:val="-1"/>
        </w:rPr>
        <w:t> </w:t>
      </w:r>
      <w:r>
        <w:rPr>
          <w:rFonts w:ascii="宋体" w:hAnsi="宋体" w:cs="宋体" w:eastAsia="宋体" w:hint="default"/>
        </w:rPr>
        <w:t> 1</w:t>
      </w:r>
      <w:r>
        <w:rPr/>
        <w:t>、新金融工具准则</w:t>
      </w:r>
      <w:r>
        <w:rPr>
          <w:rFonts w:ascii="宋体" w:hAnsi="宋体" w:cs="宋体" w:eastAsia="宋体" w:hint="default"/>
        </w:rPr>
        <w:t> </w:t>
      </w:r>
    </w:p>
    <w:p>
      <w:pPr>
        <w:pStyle w:val="BodyText"/>
        <w:spacing w:line="313" w:lineRule="exact" w:before="118"/>
        <w:ind w:left="618" w:right="0"/>
        <w:jc w:val="left"/>
      </w:pPr>
      <w:r>
        <w:rPr>
          <w:rFonts w:ascii="宋体" w:hAnsi="宋体" w:cs="宋体" w:eastAsia="宋体" w:hint="default"/>
        </w:rPr>
        <w:t>2017</w:t>
      </w:r>
      <w:r>
        <w:rPr>
          <w:rFonts w:ascii="宋体" w:hAnsi="宋体" w:cs="宋体" w:eastAsia="宋体" w:hint="default"/>
          <w:spacing w:val="-60"/>
        </w:rPr>
        <w:t> </w:t>
      </w:r>
      <w:r>
        <w:rPr/>
        <w:t>年</w:t>
      </w:r>
      <w:r>
        <w:rPr>
          <w:spacing w:val="-116"/>
        </w:rPr>
        <w:t>，</w:t>
      </w:r>
      <w:r>
        <w:rPr/>
        <w:t>财政部颁布了修订</w:t>
      </w:r>
      <w:r>
        <w:rPr>
          <w:spacing w:val="-116"/>
        </w:rPr>
        <w:t>的</w:t>
      </w:r>
      <w:r>
        <w:rPr/>
        <w:t>《企业会计准则第</w:t>
      </w:r>
      <w:r>
        <w:rPr>
          <w:spacing w:val="-59"/>
        </w:rPr>
        <w:t> </w:t>
      </w:r>
      <w:r>
        <w:rPr>
          <w:rFonts w:ascii="宋体" w:hAnsi="宋体" w:cs="宋体" w:eastAsia="宋体" w:hint="default"/>
        </w:rPr>
        <w:t>22</w:t>
      </w:r>
      <w:r>
        <w:rPr>
          <w:rFonts w:ascii="宋体" w:hAnsi="宋体" w:cs="宋体" w:eastAsia="宋体" w:hint="default"/>
          <w:spacing w:val="-60"/>
        </w:rPr>
        <w:t> </w:t>
      </w:r>
      <w:r>
        <w:rPr/>
        <w:t>号——金融工具确认和计量</w:t>
      </w:r>
      <w:r>
        <w:rPr>
          <w:spacing w:val="-116"/>
        </w:rPr>
        <w:t>》</w:t>
      </w:r>
      <w:r>
        <w:rPr/>
        <w:t>、</w:t>
      </w:r>
    </w:p>
    <w:p>
      <w:pPr>
        <w:pStyle w:val="BodyText"/>
        <w:spacing w:line="312" w:lineRule="exact"/>
        <w:ind w:left="138" w:right="0"/>
        <w:jc w:val="left"/>
      </w:pPr>
      <w:r>
        <w:rPr/>
        <w:t>《企业会计准则第</w:t>
      </w:r>
      <w:r>
        <w:rPr>
          <w:spacing w:val="-61"/>
        </w:rPr>
        <w:t> </w:t>
      </w:r>
      <w:r>
        <w:rPr>
          <w:rFonts w:ascii="宋体" w:hAnsi="宋体" w:cs="宋体" w:eastAsia="宋体" w:hint="default"/>
        </w:rPr>
        <w:t>23</w:t>
      </w:r>
      <w:r>
        <w:rPr>
          <w:rFonts w:ascii="宋体" w:hAnsi="宋体" w:cs="宋体" w:eastAsia="宋体" w:hint="default"/>
          <w:spacing w:val="-60"/>
        </w:rPr>
        <w:t> </w:t>
      </w:r>
      <w:r>
        <w:rPr/>
        <w:t>号——金融资产转移</w:t>
      </w:r>
      <w:r>
        <w:rPr>
          <w:spacing w:val="-96"/>
        </w:rPr>
        <w:t>》</w:t>
      </w:r>
      <w:r>
        <w:rPr>
          <w:spacing w:val="-192"/>
        </w:rPr>
        <w:t>、</w:t>
      </w:r>
      <w:r>
        <w:rPr/>
        <w:t>《企业会计准则第</w:t>
      </w:r>
      <w:r>
        <w:rPr>
          <w:spacing w:val="-60"/>
        </w:rPr>
        <w:t> </w:t>
      </w:r>
      <w:r>
        <w:rPr>
          <w:rFonts w:ascii="宋体" w:hAnsi="宋体" w:cs="宋体" w:eastAsia="宋体" w:hint="default"/>
        </w:rPr>
        <w:t>24</w:t>
      </w:r>
      <w:r>
        <w:rPr>
          <w:rFonts w:ascii="宋体" w:hAnsi="宋体" w:cs="宋体" w:eastAsia="宋体" w:hint="default"/>
          <w:spacing w:val="-60"/>
        </w:rPr>
        <w:t> </w:t>
      </w:r>
      <w:r>
        <w:rPr/>
        <w:t>号——套期会计》</w:t>
      </w:r>
    </w:p>
    <w:p>
      <w:pPr>
        <w:pStyle w:val="BodyText"/>
        <w:spacing w:line="311" w:lineRule="exact"/>
        <w:ind w:left="138" w:right="0"/>
        <w:jc w:val="left"/>
      </w:pPr>
      <w:r>
        <w:rPr/>
        <w:t>以及《企业会计准则第 </w:t>
      </w:r>
      <w:r>
        <w:rPr>
          <w:rFonts w:ascii="宋体" w:hAnsi="宋体" w:cs="宋体" w:eastAsia="宋体" w:hint="default"/>
        </w:rPr>
        <w:t>37</w:t>
      </w:r>
      <w:r>
        <w:rPr>
          <w:rFonts w:ascii="宋体" w:hAnsi="宋体" w:cs="宋体" w:eastAsia="宋体" w:hint="default"/>
          <w:spacing w:val="-48"/>
        </w:rPr>
        <w:t> </w:t>
      </w:r>
      <w:r>
        <w:rPr/>
        <w:t>号——金融工具列报》（统称“新金融工具准则”）。本</w:t>
      </w:r>
    </w:p>
    <w:p>
      <w:pPr>
        <w:pStyle w:val="BodyText"/>
        <w:spacing w:line="311" w:lineRule="exact"/>
        <w:ind w:left="138" w:right="0"/>
        <w:jc w:val="left"/>
      </w:pPr>
      <w:r>
        <w:rPr/>
        <w:t>集团自</w:t>
      </w:r>
      <w:r>
        <w:rPr>
          <w:spacing w:val="-49"/>
        </w:rPr>
        <w:t> </w:t>
      </w:r>
      <w:r>
        <w:rPr>
          <w:rFonts w:ascii="宋体" w:hAnsi="宋体" w:cs="宋体" w:eastAsia="宋体" w:hint="default"/>
        </w:rPr>
        <w:t>2019</w:t>
      </w:r>
      <w:r>
        <w:rPr>
          <w:rFonts w:ascii="宋体" w:hAnsi="宋体" w:cs="宋体" w:eastAsia="宋体" w:hint="default"/>
          <w:spacing w:val="-48"/>
        </w:rPr>
        <w:t> </w:t>
      </w:r>
      <w:r>
        <w:rPr/>
        <w:t>年</w:t>
      </w:r>
      <w:r>
        <w:rPr>
          <w:spacing w:val="-48"/>
        </w:rPr>
        <w:t> </w:t>
      </w:r>
      <w:r>
        <w:rPr>
          <w:rFonts w:ascii="宋体" w:hAnsi="宋体" w:cs="宋体" w:eastAsia="宋体" w:hint="default"/>
        </w:rPr>
        <w:t>1</w:t>
      </w:r>
      <w:r>
        <w:rPr>
          <w:rFonts w:ascii="宋体" w:hAnsi="宋体" w:cs="宋体" w:eastAsia="宋体" w:hint="default"/>
          <w:spacing w:val="-48"/>
        </w:rPr>
        <w:t> </w:t>
      </w:r>
      <w:r>
        <w:rPr/>
        <w:t>月</w:t>
      </w:r>
      <w:r>
        <w:rPr>
          <w:spacing w:val="-48"/>
        </w:rPr>
        <w:t> </w:t>
      </w:r>
      <w:r>
        <w:rPr>
          <w:rFonts w:ascii="宋体" w:hAnsi="宋体" w:cs="宋体" w:eastAsia="宋体" w:hint="default"/>
        </w:rPr>
        <w:t>1</w:t>
      </w:r>
      <w:r>
        <w:rPr>
          <w:rFonts w:ascii="宋体" w:hAnsi="宋体" w:cs="宋体" w:eastAsia="宋体" w:hint="default"/>
          <w:spacing w:val="-48"/>
        </w:rPr>
        <w:t> </w:t>
      </w:r>
      <w:r>
        <w:rPr/>
        <w:t>日开始按照新金融工具准则进行会计处理，根据衔接规定，对</w:t>
      </w:r>
    </w:p>
    <w:p>
      <w:pPr>
        <w:pStyle w:val="BodyText"/>
        <w:spacing w:line="312" w:lineRule="exact" w:before="29"/>
        <w:ind w:left="138" w:right="335"/>
        <w:jc w:val="left"/>
        <w:rPr>
          <w:rFonts w:ascii="宋体" w:hAnsi="宋体" w:cs="宋体" w:eastAsia="宋体" w:hint="default"/>
        </w:rPr>
      </w:pPr>
      <w:r>
        <w:rPr/>
        <w:t>可比期间信息不予调整，首日执行新准则与现行准则的差异追溯调整 </w:t>
      </w:r>
      <w:r>
        <w:rPr>
          <w:rFonts w:ascii="宋体" w:hAnsi="宋体" w:cs="宋体" w:eastAsia="宋体" w:hint="default"/>
        </w:rPr>
        <w:t>2019</w:t>
      </w:r>
      <w:r>
        <w:rPr>
          <w:rFonts w:ascii="宋体" w:hAnsi="宋体" w:cs="宋体" w:eastAsia="宋体" w:hint="default"/>
          <w:spacing w:val="-47"/>
        </w:rPr>
        <w:t> </w:t>
      </w:r>
      <w:r>
        <w:rPr/>
        <w:t>年年初未 分配利润或其他综合收益。</w:t>
      </w:r>
      <w:r>
        <w:rPr>
          <w:rFonts w:ascii="宋体" w:hAnsi="宋体" w:cs="宋体" w:eastAsia="宋体" w:hint="default"/>
        </w:rPr>
        <w:t> </w:t>
      </w:r>
    </w:p>
    <w:p>
      <w:pPr>
        <w:pStyle w:val="BodyText"/>
        <w:spacing w:line="280" w:lineRule="exact"/>
        <w:ind w:left="618" w:right="0"/>
        <w:jc w:val="left"/>
        <w:rPr>
          <w:rFonts w:ascii="宋体" w:hAnsi="宋体" w:cs="宋体" w:eastAsia="宋体" w:hint="default"/>
        </w:rPr>
      </w:pPr>
      <w:r>
        <w:rPr>
          <w:rFonts w:ascii="宋体"/>
        </w:rPr>
        <w:t> </w:t>
      </w:r>
    </w:p>
    <w:p>
      <w:pPr>
        <w:pStyle w:val="BodyText"/>
        <w:spacing w:line="237" w:lineRule="auto" w:before="1"/>
        <w:ind w:left="138" w:right="0" w:firstLine="479"/>
        <w:jc w:val="left"/>
      </w:pPr>
      <w:r>
        <w:rPr>
          <w:spacing w:val="-2"/>
        </w:rPr>
        <w:t>新金融工具准则改变了金融资产的分类和计量方式，确定了三个主要的计量类别：</w:t>
      </w:r>
      <w:r>
        <w:rPr/>
        <w:t> 摊余成本；以公允价值计量且其变动计入其他综合收益；以公允价值计量且其变动计 入当期损益。企业需考虑自身业务模式，以及金融资产的合同现金流特征进行上述分</w:t>
      </w:r>
    </w:p>
    <w:p>
      <w:pPr>
        <w:spacing w:after="0" w:line="237" w:lineRule="auto"/>
        <w:jc w:val="left"/>
        <w:sectPr>
          <w:footerReference w:type="default" r:id="rId26"/>
          <w:pgSz w:w="11910" w:h="16840"/>
          <w:pgMar w:footer="1195" w:header="880" w:top="1120" w:bottom="1380" w:left="1660" w:right="920"/>
        </w:sectPr>
      </w:pPr>
    </w:p>
    <w:p>
      <w:pPr>
        <w:spacing w:line="240" w:lineRule="auto" w:before="8"/>
        <w:rPr>
          <w:rFonts w:ascii="宋体" w:hAnsi="宋体" w:cs="宋体" w:eastAsia="宋体" w:hint="default"/>
          <w:sz w:val="25"/>
          <w:szCs w:val="25"/>
        </w:rPr>
      </w:pPr>
    </w:p>
    <w:p>
      <w:pPr>
        <w:pStyle w:val="BodyText"/>
        <w:spacing w:line="312" w:lineRule="exact" w:before="56"/>
        <w:ind w:left="138" w:right="354"/>
        <w:jc w:val="both"/>
        <w:rPr>
          <w:rFonts w:ascii="宋体" w:hAnsi="宋体" w:cs="宋体" w:eastAsia="宋体" w:hint="default"/>
        </w:rPr>
      </w:pPr>
      <w:r>
        <w:rPr>
          <w:spacing w:val="-2"/>
        </w:rPr>
        <w:t>类。权益工具投资需按公允价值计量且其变动计入当期损益，但在初始确认时可选择</w:t>
      </w:r>
      <w:r>
        <w:rPr>
          <w:spacing w:val="-94"/>
        </w:rPr>
        <w:t> </w:t>
      </w:r>
      <w:r>
        <w:rPr>
          <w:spacing w:val="-94"/>
        </w:rPr>
      </w:r>
      <w:r>
        <w:rPr>
          <w:spacing w:val="4"/>
        </w:rPr>
        <w:t>将非交易性权益工具投资不可撤销地指定为以公允价值计量且其变动计入其他综合</w:t>
      </w:r>
      <w:r>
        <w:rPr>
          <w:spacing w:val="-105"/>
        </w:rPr>
        <w:t> </w:t>
      </w:r>
      <w:r>
        <w:rPr>
          <w:spacing w:val="-105"/>
        </w:rPr>
      </w:r>
      <w:r>
        <w:rPr/>
        <w:t>收益的金融资产。</w:t>
      </w:r>
      <w:r>
        <w:rPr>
          <w:rFonts w:ascii="宋体" w:hAnsi="宋体" w:cs="宋体" w:eastAsia="宋体" w:hint="default"/>
        </w:rPr>
        <w:t> </w:t>
      </w:r>
    </w:p>
    <w:p>
      <w:pPr>
        <w:pStyle w:val="BodyText"/>
        <w:spacing w:line="280" w:lineRule="exact"/>
        <w:ind w:left="618" w:right="0"/>
        <w:jc w:val="left"/>
        <w:rPr>
          <w:rFonts w:ascii="宋体" w:hAnsi="宋体" w:cs="宋体" w:eastAsia="宋体" w:hint="default"/>
        </w:rPr>
      </w:pPr>
      <w:r>
        <w:rPr>
          <w:rFonts w:ascii="宋体"/>
        </w:rPr>
        <w:t> </w:t>
      </w:r>
    </w:p>
    <w:p>
      <w:pPr>
        <w:pStyle w:val="BodyText"/>
        <w:spacing w:line="312" w:lineRule="exact" w:before="29"/>
        <w:ind w:left="138" w:right="352" w:firstLine="479"/>
        <w:jc w:val="both"/>
        <w:rPr>
          <w:rFonts w:ascii="宋体" w:hAnsi="宋体" w:cs="宋体" w:eastAsia="宋体" w:hint="default"/>
        </w:rPr>
      </w:pPr>
      <w:r>
        <w:rPr>
          <w:spacing w:val="-2"/>
        </w:rPr>
        <w:t>新金融工具准则要求金融资产减值计量由“已发生损失模型”改为“预期信用损</w:t>
      </w:r>
      <w:r>
        <w:rPr/>
        <w:t> </w:t>
      </w:r>
      <w:r>
        <w:rPr>
          <w:spacing w:val="-2"/>
        </w:rPr>
        <w:t>失模型”，适用于以摊余成本计量的金融资产、以公允价值计量且其变动计入其他综</w:t>
      </w:r>
      <w:r>
        <w:rPr>
          <w:spacing w:val="-93"/>
        </w:rPr>
        <w:t> </w:t>
      </w:r>
      <w:r>
        <w:rPr>
          <w:spacing w:val="-93"/>
        </w:rPr>
      </w:r>
      <w:r>
        <w:rPr/>
        <w:t>合收益的金融资产，以及贷款承诺和财务担保合同。</w:t>
      </w:r>
      <w:r>
        <w:rPr>
          <w:rFonts w:ascii="宋体" w:hAnsi="宋体" w:cs="宋体" w:eastAsia="宋体" w:hint="default"/>
        </w:rPr>
        <w:t> </w:t>
      </w:r>
    </w:p>
    <w:p>
      <w:pPr>
        <w:pStyle w:val="BodyText"/>
        <w:spacing w:line="280" w:lineRule="exact"/>
        <w:ind w:left="618" w:right="0"/>
        <w:jc w:val="left"/>
        <w:rPr>
          <w:rFonts w:ascii="宋体" w:hAnsi="宋体" w:cs="宋体" w:eastAsia="宋体" w:hint="default"/>
        </w:rPr>
      </w:pPr>
      <w:r>
        <w:rPr>
          <w:rFonts w:ascii="宋体"/>
        </w:rPr>
        <w:t> </w:t>
      </w:r>
    </w:p>
    <w:p>
      <w:pPr>
        <w:pStyle w:val="BodyText"/>
        <w:spacing w:line="312" w:lineRule="exact" w:before="29"/>
        <w:ind w:left="138" w:right="0" w:firstLine="479"/>
        <w:jc w:val="left"/>
        <w:rPr>
          <w:rFonts w:ascii="宋体" w:hAnsi="宋体" w:cs="宋体" w:eastAsia="宋体" w:hint="default"/>
        </w:rPr>
      </w:pPr>
      <w:r>
        <w:rPr/>
        <w:t>新套期会计模型加强了企业风险管理与财务报表之间的联系，扩大了套期工具及 </w:t>
      </w:r>
      <w:r>
        <w:rPr>
          <w:spacing w:val="-2"/>
        </w:rPr>
        <w:t>被套期项目的范围，取消了回顾有效性测试，引入了再平衡机制及套期成本的概念。</w:t>
      </w:r>
      <w:r>
        <w:rPr>
          <w:rFonts w:ascii="宋体" w:hAnsi="宋体" w:cs="宋体" w:eastAsia="宋体" w:hint="default"/>
        </w:rPr>
        <w:t> </w:t>
      </w:r>
    </w:p>
    <w:p>
      <w:pPr>
        <w:pStyle w:val="BodyText"/>
        <w:spacing w:line="280" w:lineRule="exact"/>
        <w:ind w:left="618" w:right="0"/>
        <w:jc w:val="left"/>
        <w:rPr>
          <w:rFonts w:ascii="宋体" w:hAnsi="宋体" w:cs="宋体" w:eastAsia="宋体" w:hint="default"/>
        </w:rPr>
      </w:pPr>
      <w:r>
        <w:rPr>
          <w:rFonts w:ascii="宋体"/>
        </w:rPr>
        <w:t> </w:t>
      </w:r>
    </w:p>
    <w:p>
      <w:pPr>
        <w:pStyle w:val="BodyText"/>
        <w:spacing w:line="237" w:lineRule="auto" w:before="1"/>
        <w:ind w:left="138" w:right="353" w:firstLine="479"/>
        <w:jc w:val="both"/>
        <w:rPr>
          <w:rFonts w:ascii="宋体" w:hAnsi="宋体" w:cs="宋体" w:eastAsia="宋体" w:hint="default"/>
        </w:rPr>
      </w:pPr>
      <w:r>
        <w:rPr/>
        <w:t>于</w:t>
      </w:r>
      <w:r>
        <w:rPr>
          <w:spacing w:val="-48"/>
        </w:rPr>
        <w:t> </w:t>
      </w:r>
      <w:r>
        <w:rPr>
          <w:rFonts w:ascii="宋体" w:hAnsi="宋体" w:cs="宋体" w:eastAsia="宋体" w:hint="default"/>
        </w:rPr>
        <w:t>2019</w:t>
      </w:r>
      <w:r>
        <w:rPr>
          <w:rFonts w:ascii="宋体" w:hAnsi="宋体" w:cs="宋体" w:eastAsia="宋体" w:hint="default"/>
          <w:spacing w:val="-48"/>
        </w:rPr>
        <w:t> </w:t>
      </w:r>
      <w:r>
        <w:rPr/>
        <w:t>年</w:t>
      </w:r>
      <w:r>
        <w:rPr>
          <w:spacing w:val="-48"/>
        </w:rPr>
        <w:t> </w:t>
      </w:r>
      <w:r>
        <w:rPr>
          <w:rFonts w:ascii="宋体" w:hAnsi="宋体" w:cs="宋体" w:eastAsia="宋体" w:hint="default"/>
        </w:rPr>
        <w:t>1</w:t>
      </w:r>
      <w:r>
        <w:rPr>
          <w:rFonts w:ascii="宋体" w:hAnsi="宋体" w:cs="宋体" w:eastAsia="宋体" w:hint="default"/>
          <w:spacing w:val="-48"/>
        </w:rPr>
        <w:t> </w:t>
      </w:r>
      <w:r>
        <w:rPr/>
        <w:t>月</w:t>
      </w:r>
      <w:r>
        <w:rPr>
          <w:spacing w:val="-48"/>
        </w:rPr>
        <w:t> </w:t>
      </w:r>
      <w:r>
        <w:rPr>
          <w:rFonts w:ascii="宋体" w:hAnsi="宋体" w:cs="宋体" w:eastAsia="宋体" w:hint="default"/>
        </w:rPr>
        <w:t>1</w:t>
      </w:r>
      <w:r>
        <w:rPr>
          <w:rFonts w:ascii="宋体" w:hAnsi="宋体" w:cs="宋体" w:eastAsia="宋体" w:hint="default"/>
          <w:spacing w:val="-48"/>
        </w:rPr>
        <w:t> </w:t>
      </w:r>
      <w:r>
        <w:rPr/>
        <w:t>日，本集团分析结构性存款整体合同现金流的特征，认为其合 </w:t>
      </w:r>
      <w:r>
        <w:rPr>
          <w:spacing w:val="-2"/>
        </w:rPr>
        <w:t>同现金流量代表的不仅仅为对本金和以未偿本金为基础的利息的支付，因此将这些结</w:t>
      </w:r>
      <w:r>
        <w:rPr>
          <w:spacing w:val="-94"/>
        </w:rPr>
        <w:t> </w:t>
      </w:r>
      <w:r>
        <w:rPr>
          <w:spacing w:val="-94"/>
        </w:rPr>
      </w:r>
      <w:r>
        <w:rPr>
          <w:spacing w:val="-2"/>
        </w:rPr>
        <w:t>构性存款重分类为以公允价值计量且其变动计入当期损益的金融资产，列报为交易性</w:t>
      </w:r>
      <w:r>
        <w:rPr>
          <w:spacing w:val="-94"/>
        </w:rPr>
        <w:t> </w:t>
      </w:r>
      <w:r>
        <w:rPr>
          <w:spacing w:val="-94"/>
        </w:rPr>
      </w:r>
      <w:r>
        <w:rPr/>
        <w:t>金融资产。</w:t>
      </w:r>
      <w:r>
        <w:rPr>
          <w:rFonts w:ascii="宋体" w:hAnsi="宋体" w:cs="宋体" w:eastAsia="宋体" w:hint="default"/>
        </w:rPr>
        <w:t> </w:t>
      </w:r>
    </w:p>
    <w:p>
      <w:pPr>
        <w:pStyle w:val="BodyText"/>
        <w:spacing w:line="310" w:lineRule="exact" w:before="30"/>
        <w:ind w:left="618" w:right="5808"/>
        <w:jc w:val="left"/>
        <w:rPr>
          <w:rFonts w:ascii="宋体" w:hAnsi="宋体" w:cs="宋体" w:eastAsia="宋体" w:hint="default"/>
        </w:rPr>
      </w:pPr>
      <w:r>
        <w:rPr>
          <w:rFonts w:ascii="宋体" w:hAnsi="宋体" w:cs="宋体" w:eastAsia="宋体" w:hint="default"/>
        </w:rPr>
        <w:t> 2</w:t>
      </w:r>
      <w:r>
        <w:rPr/>
        <w:t>、财务报表列报方式变更</w:t>
      </w:r>
      <w:r>
        <w:rPr>
          <w:rFonts w:ascii="宋体" w:hAnsi="宋体" w:cs="宋体" w:eastAsia="宋体" w:hint="default"/>
        </w:rPr>
        <w:t> </w:t>
      </w:r>
    </w:p>
    <w:p>
      <w:pPr>
        <w:pStyle w:val="BodyText"/>
        <w:spacing w:line="283" w:lineRule="exact"/>
        <w:ind w:left="138" w:right="0" w:firstLine="479"/>
        <w:jc w:val="both"/>
        <w:rPr>
          <w:rFonts w:ascii="宋体" w:hAnsi="宋体" w:cs="宋体" w:eastAsia="宋体" w:hint="default"/>
        </w:rPr>
      </w:pPr>
      <w:r>
        <w:rPr/>
        <w:t>根据《关于修订印发 </w:t>
      </w:r>
      <w:r>
        <w:rPr>
          <w:rFonts w:ascii="宋体" w:hAnsi="宋体" w:cs="宋体" w:eastAsia="宋体" w:hint="default"/>
        </w:rPr>
        <w:t>2019</w:t>
      </w:r>
      <w:r>
        <w:rPr>
          <w:rFonts w:ascii="宋体" w:hAnsi="宋体" w:cs="宋体" w:eastAsia="宋体" w:hint="default"/>
          <w:spacing w:val="62"/>
        </w:rPr>
        <w:t> </w:t>
      </w:r>
      <w:r>
        <w:rPr/>
        <w:t>年度一般企业财务报表格式的通知》（财会</w:t>
      </w:r>
      <w:r>
        <w:rPr>
          <w:rFonts w:ascii="宋体" w:hAnsi="宋体" w:cs="宋体" w:eastAsia="宋体" w:hint="default"/>
        </w:rPr>
        <w:t>[2019]6</w:t>
      </w:r>
    </w:p>
    <w:p>
      <w:pPr>
        <w:pStyle w:val="BodyText"/>
        <w:spacing w:line="237" w:lineRule="auto" w:before="1"/>
        <w:ind w:left="138" w:right="0"/>
        <w:jc w:val="left"/>
        <w:rPr>
          <w:rFonts w:ascii="宋体" w:hAnsi="宋体" w:cs="宋体" w:eastAsia="宋体" w:hint="default"/>
        </w:rPr>
      </w:pPr>
      <w:r>
        <w:rPr/>
        <w:t>号）和《关于修订印发合并财务报表格式（</w:t>
      </w:r>
      <w:r>
        <w:rPr>
          <w:rFonts w:ascii="宋体" w:hAnsi="宋体" w:cs="宋体" w:eastAsia="宋体" w:hint="default"/>
        </w:rPr>
        <w:t>2019 </w:t>
      </w:r>
      <w:r>
        <w:rPr/>
        <w:t>版）的通知》（财会</w:t>
      </w:r>
      <w:r>
        <w:rPr>
          <w:rFonts w:ascii="宋体" w:hAnsi="宋体" w:cs="宋体" w:eastAsia="宋体" w:hint="default"/>
        </w:rPr>
        <w:t>[2019]16</w:t>
      </w:r>
      <w:r>
        <w:rPr>
          <w:rFonts w:ascii="宋体" w:hAnsi="宋体" w:cs="宋体" w:eastAsia="宋体" w:hint="default"/>
          <w:spacing w:val="-48"/>
        </w:rPr>
        <w:t> </w:t>
      </w:r>
      <w:r>
        <w:rPr/>
        <w:t>号） 要求，资产负债表中，“应收票据及应收账款”项目分拆为“应收票据”及“应收账 款”，“应付票据及应付账款”项目分拆为“应付票据”及“应付账款”。 </w:t>
      </w:r>
      <w:r>
        <w:rPr>
          <w:rFonts w:ascii="宋体" w:hAnsi="宋体" w:cs="宋体" w:eastAsia="宋体" w:hint="default"/>
        </w:rPr>
      </w:r>
      <w:r>
        <w:rPr/>
        <w:t>“递延</w:t>
      </w:r>
      <w:r>
        <w:rPr>
          <w:spacing w:val="-56"/>
        </w:rPr>
        <w:t> </w:t>
      </w:r>
      <w:r>
        <w:rPr>
          <w:spacing w:val="-56"/>
        </w:rPr>
      </w:r>
      <w:r>
        <w:rPr/>
        <w:t>收益”项目中摊销期限只剩一年或不足一年的，或预计在一年内（含一年）进行摊销</w:t>
      </w:r>
      <w:r>
        <w:rPr/>
        <w:t> 的部分，不得归类为流动负债，仍在该项目中填列，不转入“一年内到期的非流动负 债”项目。利润表中，“研发费用”项目除反映进行研究与开发过程中发生的费用化 支出外，还包括了原在“管理费用”项目中列示的自行开发无形资产的摊销；本集团 </w:t>
      </w:r>
      <w:r>
        <w:rPr>
          <w:spacing w:val="-2"/>
        </w:rPr>
        <w:t>相应追溯调整了比较数据。该会计政策变更对合并及公司净利润和所有者权益无影响。</w:t>
      </w:r>
      <w:r>
        <w:rPr>
          <w:spacing w:val="-93"/>
        </w:rPr>
        <w:t> </w:t>
      </w:r>
      <w:r>
        <w:rPr>
          <w:spacing w:val="-93"/>
        </w:rPr>
      </w:r>
      <w:r>
        <w:rPr/>
        <w:t>此外，随本年新金融工具准则的执行，按照《关于修订印发 </w:t>
      </w:r>
      <w:r>
        <w:rPr>
          <w:rFonts w:ascii="宋体" w:hAnsi="宋体" w:cs="宋体" w:eastAsia="宋体" w:hint="default"/>
        </w:rPr>
        <w:t>2019</w:t>
      </w:r>
      <w:r>
        <w:rPr>
          <w:rFonts w:ascii="宋体" w:hAnsi="宋体" w:cs="宋体" w:eastAsia="宋体" w:hint="default"/>
          <w:spacing w:val="-48"/>
        </w:rPr>
        <w:t> </w:t>
      </w:r>
      <w:r>
        <w:rPr/>
        <w:t>年度一般企业财务 报表格式的通知》（财会</w:t>
      </w:r>
      <w:r>
        <w:rPr>
          <w:rFonts w:ascii="宋体" w:hAnsi="宋体" w:cs="宋体" w:eastAsia="宋体" w:hint="default"/>
        </w:rPr>
        <w:t>[2019]6</w:t>
      </w:r>
      <w:r>
        <w:rPr>
          <w:rFonts w:ascii="宋体" w:hAnsi="宋体" w:cs="宋体" w:eastAsia="宋体" w:hint="default"/>
          <w:spacing w:val="-48"/>
        </w:rPr>
        <w:t> </w:t>
      </w:r>
      <w:r>
        <w:rPr/>
        <w:t>号）要求，“其他应收款”项目中的“应收利息” 改为仅反映相关金融工具已到期可收取但于资产负债表日尚未收到的利息（基于实际 利率法计提的金融工具的利息包含在相应金融工具的账面余额中），“其他应付款”</w:t>
      </w:r>
      <w:r>
        <w:rPr>
          <w:spacing w:val="-57"/>
        </w:rPr>
        <w:t> </w:t>
      </w:r>
      <w:r>
        <w:rPr>
          <w:spacing w:val="-57"/>
        </w:rPr>
      </w:r>
      <w:r>
        <w:rPr/>
        <w:t>项目中的“应付利息”改为仅反映相关金融工具已到期应支付但于资产负债表日尚未</w:t>
      </w:r>
      <w:r>
        <w:rPr/>
        <w:t> 支付的利息（基于实际利率法计提的金融工具的利息包含在相应金融工具的账面余额 中），参照新金融工具准则的衔接规定不追溯调整比较数据。</w:t>
      </w:r>
      <w:r>
        <w:rPr>
          <w:rFonts w:ascii="宋体" w:hAnsi="宋体" w:cs="宋体" w:eastAsia="宋体" w:hint="default"/>
        </w:rPr>
        <w:t> </w:t>
      </w:r>
    </w:p>
    <w:p>
      <w:pPr>
        <w:spacing w:line="240" w:lineRule="auto" w:before="8"/>
        <w:rPr>
          <w:rFonts w:ascii="宋体" w:hAnsi="宋体" w:cs="宋体" w:eastAsia="宋体" w:hint="default"/>
          <w:sz w:val="25"/>
          <w:szCs w:val="25"/>
        </w:rPr>
      </w:pPr>
    </w:p>
    <w:p>
      <w:pPr>
        <w:pStyle w:val="Heading2"/>
        <w:spacing w:line="240" w:lineRule="auto"/>
        <w:ind w:left="138" w:right="0"/>
        <w:jc w:val="left"/>
        <w:rPr>
          <w:b w:val="0"/>
          <w:bCs w:val="0"/>
        </w:rPr>
      </w:pPr>
      <w:r>
        <w:rPr/>
        <w:t>（二）公司对重大会计差错更正原因及影响的分析说明</w:t>
      </w:r>
      <w:r>
        <w:rPr>
          <w:b w:val="0"/>
          <w:bCs w:val="0"/>
        </w:rPr>
      </w:r>
    </w:p>
    <w:p>
      <w:pPr>
        <w:pStyle w:val="BodyText"/>
        <w:tabs>
          <w:tab w:pos="1001" w:val="left" w:leader="none"/>
        </w:tabs>
        <w:spacing w:line="240" w:lineRule="auto" w:before="58"/>
        <w:ind w:left="13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spacing w:line="240" w:lineRule="auto"/>
        <w:ind w:left="138" w:right="0"/>
        <w:jc w:val="left"/>
        <w:rPr>
          <w:b w:val="0"/>
          <w:bCs w:val="0"/>
        </w:rPr>
      </w:pPr>
      <w:r>
        <w:rPr/>
        <w:t>（三）与前任会计师事务所进行的沟通情况</w:t>
      </w:r>
      <w:r>
        <w:rPr>
          <w:b w:val="0"/>
          <w:bCs w:val="0"/>
        </w:rPr>
      </w:r>
    </w:p>
    <w:p>
      <w:pPr>
        <w:pStyle w:val="BodyText"/>
        <w:tabs>
          <w:tab w:pos="1001" w:val="left" w:leader="none"/>
        </w:tabs>
        <w:spacing w:line="240" w:lineRule="auto" w:before="58"/>
        <w:ind w:left="13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b w:val="0"/>
          <w:bCs w:val="0"/>
        </w:rPr>
      </w:pPr>
      <w:r>
        <w:rPr/>
        <w:t>（四）其他说明</w:t>
      </w:r>
      <w:r>
        <w:rPr>
          <w:b w:val="0"/>
          <w:bCs w:val="0"/>
        </w:rPr>
      </w:r>
    </w:p>
    <w:p>
      <w:pPr>
        <w:pStyle w:val="BodyText"/>
        <w:tabs>
          <w:tab w:pos="1001" w:val="left" w:leader="none"/>
        </w:tabs>
        <w:spacing w:line="240" w:lineRule="auto" w:before="58"/>
        <w:ind w:left="13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after="0" w:line="240" w:lineRule="auto"/>
        <w:jc w:val="left"/>
        <w:sectPr>
          <w:footerReference w:type="default" r:id="rId27"/>
          <w:pgSz w:w="11910" w:h="16840"/>
          <w:pgMar w:footer="1195" w:header="880" w:top="1120" w:bottom="1380" w:left="1660" w:right="920"/>
          <w:pgNumType w:start="31"/>
        </w:sectPr>
      </w:pPr>
    </w:p>
    <w:p>
      <w:pPr>
        <w:spacing w:line="240" w:lineRule="auto" w:before="8"/>
        <w:rPr>
          <w:rFonts w:ascii="宋体" w:hAnsi="宋体" w:cs="宋体" w:eastAsia="宋体" w:hint="default"/>
          <w:sz w:val="25"/>
          <w:szCs w:val="25"/>
        </w:rPr>
      </w:pPr>
    </w:p>
    <w:p>
      <w:pPr>
        <w:pStyle w:val="Heading2"/>
        <w:spacing w:line="240" w:lineRule="auto" w:before="26"/>
        <w:ind w:left="218" w:right="0"/>
        <w:jc w:val="left"/>
        <w:rPr>
          <w:b w:val="0"/>
          <w:bCs w:val="0"/>
        </w:rPr>
      </w:pPr>
      <w:r>
        <w:rPr/>
        <w:t>六、聘任、解聘会计师事务所情况</w:t>
      </w:r>
      <w:r>
        <w:rPr>
          <w:b w:val="0"/>
          <w:bCs w:val="0"/>
        </w:rPr>
      </w:r>
    </w:p>
    <w:p>
      <w:pPr>
        <w:pStyle w:val="BodyText"/>
        <w:tabs>
          <w:tab w:pos="1200" w:val="left" w:leader="none"/>
        </w:tabs>
        <w:spacing w:line="240" w:lineRule="auto" w:before="58"/>
        <w:ind w:left="0" w:right="232"/>
        <w:jc w:val="right"/>
      </w:pPr>
      <w:r>
        <w:rPr/>
        <w:t>单位：元</w:t>
        <w:tab/>
        <w:t>币种：人民币</w:t>
      </w:r>
    </w:p>
    <w:p>
      <w:pPr>
        <w:spacing w:line="240" w:lineRule="auto" w:before="12"/>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525"/>
        <w:gridCol w:w="4525"/>
      </w:tblGrid>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现聘任</w:t>
            </w:r>
          </w:p>
        </w:tc>
      </w:tr>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境内会计师事务所名称</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安永华明会计师事务所（特殊普通合伙）</w:t>
            </w:r>
          </w:p>
        </w:tc>
      </w:tr>
      <w:tr>
        <w:trPr>
          <w:trHeight w:val="319"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境内会计师事务所报酬</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213 </w:t>
            </w:r>
            <w:r>
              <w:rPr>
                <w:rFonts w:ascii="宋体" w:hAnsi="宋体" w:cs="宋体" w:eastAsia="宋体" w:hint="default"/>
                <w:sz w:val="24"/>
                <w:szCs w:val="24"/>
              </w:rPr>
              <w:t>万元</w:t>
            </w:r>
          </w:p>
        </w:tc>
      </w:tr>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境内会计师事务所审计年限</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22 </w:t>
            </w:r>
            <w:r>
              <w:rPr>
                <w:rFonts w:ascii="宋体" w:hAnsi="宋体" w:cs="宋体" w:eastAsia="宋体" w:hint="default"/>
                <w:sz w:val="24"/>
                <w:szCs w:val="24"/>
              </w:rPr>
              <w:t>年</w:t>
            </w:r>
          </w:p>
        </w:tc>
      </w:tr>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境外会计师事务所名称</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无</w:t>
            </w:r>
          </w:p>
        </w:tc>
      </w:tr>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境外会计师事务所报酬</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不适用</w:t>
            </w:r>
          </w:p>
        </w:tc>
      </w:tr>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境外会计师事务所审计年限</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不适用</w:t>
            </w:r>
          </w:p>
        </w:tc>
      </w:tr>
    </w:tbl>
    <w:p>
      <w:pPr>
        <w:spacing w:line="240" w:lineRule="auto" w:before="1"/>
        <w:rPr>
          <w:rFonts w:ascii="宋体" w:hAnsi="宋体" w:cs="宋体" w:eastAsia="宋体" w:hint="default"/>
          <w:sz w:val="21"/>
          <w:szCs w:val="21"/>
        </w:rPr>
      </w:pPr>
    </w:p>
    <w:tbl>
      <w:tblPr>
        <w:tblW w:w="0" w:type="auto"/>
        <w:jc w:val="left"/>
        <w:tblInd w:w="105" w:type="dxa"/>
        <w:tblLayout w:type="fixed"/>
        <w:tblCellMar>
          <w:top w:w="0" w:type="dxa"/>
          <w:left w:w="0" w:type="dxa"/>
          <w:bottom w:w="0" w:type="dxa"/>
          <w:right w:w="0" w:type="dxa"/>
        </w:tblCellMar>
        <w:tblLook w:val="01E0"/>
      </w:tblPr>
      <w:tblGrid>
        <w:gridCol w:w="3017"/>
        <w:gridCol w:w="3015"/>
        <w:gridCol w:w="3017"/>
      </w:tblGrid>
      <w:tr>
        <w:trPr>
          <w:trHeight w:val="322" w:hRule="exact"/>
        </w:trPr>
        <w:tc>
          <w:tcPr>
            <w:tcW w:w="3017" w:type="dxa"/>
            <w:tcBorders>
              <w:top w:val="single" w:sz="4" w:space="0" w:color="000000"/>
              <w:left w:val="single" w:sz="4" w:space="0" w:color="000000"/>
              <w:bottom w:val="single" w:sz="4" w:space="0" w:color="000000"/>
              <w:right w:val="single" w:sz="4" w:space="0" w:color="000000"/>
            </w:tcBorders>
          </w:tcPr>
          <w:p>
            <w:pP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名称</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报酬</w:t>
            </w:r>
          </w:p>
        </w:tc>
      </w:tr>
      <w:tr>
        <w:trPr>
          <w:trHeight w:val="632" w:hRule="exact"/>
        </w:trPr>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4"/>
                <w:sz w:val="24"/>
                <w:szCs w:val="24"/>
              </w:rPr>
              <w:t>内部控制审计会计师事务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所</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pacing w:val="-7"/>
                <w:sz w:val="24"/>
                <w:szCs w:val="24"/>
              </w:rPr>
              <w:t>信永中和会计师事务所（特</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殊普通合伙）</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60 </w:t>
            </w:r>
            <w:r>
              <w:rPr>
                <w:rFonts w:ascii="宋体" w:hAnsi="宋体" w:cs="宋体" w:eastAsia="宋体" w:hint="default"/>
                <w:sz w:val="24"/>
                <w:szCs w:val="24"/>
              </w:rPr>
              <w:t>万元</w:t>
            </w:r>
          </w:p>
        </w:tc>
      </w:tr>
      <w:tr>
        <w:trPr>
          <w:trHeight w:val="322" w:hRule="exact"/>
        </w:trPr>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财务顾问</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无</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不适用</w:t>
            </w:r>
          </w:p>
        </w:tc>
      </w:tr>
      <w:tr>
        <w:trPr>
          <w:trHeight w:val="634" w:hRule="exact"/>
        </w:trPr>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保荐人</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pacing w:val="14"/>
                <w:sz w:val="24"/>
                <w:szCs w:val="24"/>
              </w:rPr>
              <w:t>国泰君安证券股份有限公</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司</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Times New Roman" w:hAnsi="Times New Roman" w:cs="Times New Roman" w:eastAsia="Times New Roman" w:hint="default"/>
                <w:sz w:val="24"/>
                <w:szCs w:val="24"/>
              </w:rPr>
            </w:pPr>
            <w:r>
              <w:rPr>
                <w:rFonts w:ascii="Times New Roman"/>
                <w:sz w:val="24"/>
              </w:rPr>
              <w:t>0</w:t>
            </w:r>
          </w:p>
        </w:tc>
      </w:tr>
    </w:tbl>
    <w:p>
      <w:pPr>
        <w:spacing w:line="240" w:lineRule="auto" w:before="0"/>
        <w:rPr>
          <w:rFonts w:ascii="宋体" w:hAnsi="宋体" w:cs="宋体" w:eastAsia="宋体" w:hint="default"/>
          <w:sz w:val="16"/>
          <w:szCs w:val="16"/>
        </w:rPr>
      </w:pPr>
    </w:p>
    <w:p>
      <w:pPr>
        <w:pStyle w:val="BodyText"/>
        <w:spacing w:line="313" w:lineRule="exact" w:before="26"/>
        <w:ind w:left="218" w:right="0"/>
        <w:jc w:val="left"/>
      </w:pPr>
      <w:r>
        <w:rPr/>
        <w:t>聘任、解聘会计师事务所的情况说明</w:t>
      </w:r>
    </w:p>
    <w:p>
      <w:pPr>
        <w:pStyle w:val="BodyText"/>
        <w:spacing w:line="331" w:lineRule="exact"/>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5"/>
        <w:rPr>
          <w:rFonts w:ascii="宋体" w:hAnsi="宋体" w:cs="宋体" w:eastAsia="宋体" w:hint="default"/>
          <w:sz w:val="19"/>
          <w:szCs w:val="19"/>
        </w:rPr>
      </w:pPr>
    </w:p>
    <w:p>
      <w:pPr>
        <w:pStyle w:val="BodyText"/>
        <w:spacing w:line="313" w:lineRule="exact"/>
        <w:ind w:left="218" w:right="0"/>
        <w:jc w:val="left"/>
      </w:pPr>
      <w:r>
        <w:rPr/>
        <w:t>审计期间改聘会计师事务所的情况说明</w:t>
      </w:r>
    </w:p>
    <w:p>
      <w:pPr>
        <w:pStyle w:val="BodyText"/>
        <w:tabs>
          <w:tab w:pos="1081" w:val="left" w:leader="none"/>
        </w:tabs>
        <w:spacing w:line="331" w:lineRule="exact"/>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83" w:lineRule="auto"/>
        <w:ind w:left="218" w:right="5916"/>
        <w:jc w:val="left"/>
        <w:rPr>
          <w:b w:val="0"/>
          <w:bCs w:val="0"/>
        </w:rPr>
      </w:pPr>
      <w:r>
        <w:rPr/>
        <w:t>七、面临暂停上市风险的情况</w:t>
      </w:r>
      <w:r>
        <w:rPr>
          <w:w w:val="99"/>
        </w:rPr>
        <w:t> </w:t>
      </w:r>
      <w:r>
        <w:rPr>
          <w:rFonts w:ascii="宋体" w:hAnsi="宋体" w:cs="宋体" w:eastAsia="宋体" w:hint="default"/>
        </w:rPr>
        <w:t>(</w:t>
      </w:r>
      <w:r>
        <w:rPr/>
        <w:t>一</w:t>
      </w:r>
      <w:r>
        <w:rPr>
          <w:rFonts w:ascii="宋体" w:hAnsi="宋体" w:cs="宋体" w:eastAsia="宋体" w:hint="default"/>
        </w:rPr>
        <w:t>)</w:t>
      </w:r>
      <w:r>
        <w:rPr/>
        <w:t>导致暂停上市的原因</w:t>
      </w:r>
      <w:r>
        <w:rPr>
          <w:b w:val="0"/>
          <w:bCs w:val="0"/>
        </w:rPr>
      </w:r>
    </w:p>
    <w:p>
      <w:pPr>
        <w:pStyle w:val="BodyText"/>
        <w:tabs>
          <w:tab w:pos="1081" w:val="left" w:leader="none"/>
        </w:tabs>
        <w:spacing w:line="240" w:lineRule="auto" w:before="14"/>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rFonts w:ascii="宋体" w:hAnsi="宋体" w:cs="宋体" w:eastAsia="宋体" w:hint="default"/>
        </w:rPr>
        <w:t>(</w:t>
      </w:r>
      <w:r>
        <w:rPr/>
        <w:t>二</w:t>
      </w:r>
      <w:r>
        <w:rPr>
          <w:rFonts w:ascii="宋体" w:hAnsi="宋体" w:cs="宋体" w:eastAsia="宋体" w:hint="default"/>
        </w:rPr>
        <w:t>)</w:t>
      </w:r>
      <w:r>
        <w:rPr/>
        <w:t>公司拟采取的应对措施</w:t>
      </w:r>
      <w:r>
        <w:rPr>
          <w:b w:val="0"/>
          <w:bCs w:val="0"/>
        </w:rPr>
      </w:r>
    </w:p>
    <w:p>
      <w:pPr>
        <w:pStyle w:val="BodyText"/>
        <w:spacing w:line="240" w:lineRule="auto" w:before="55"/>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t>八、面临终止上市的情况和原因</w:t>
      </w:r>
      <w:r>
        <w:rPr>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13"/>
        <w:rPr>
          <w:rFonts w:ascii="宋体" w:hAnsi="宋体" w:cs="宋体" w:eastAsia="宋体" w:hint="default"/>
          <w:sz w:val="23"/>
          <w:szCs w:val="23"/>
        </w:rPr>
      </w:pPr>
    </w:p>
    <w:p>
      <w:pPr>
        <w:pStyle w:val="Heading2"/>
        <w:spacing w:line="240" w:lineRule="auto"/>
        <w:ind w:left="218" w:right="0"/>
        <w:jc w:val="left"/>
        <w:rPr>
          <w:b w:val="0"/>
          <w:bCs w:val="0"/>
        </w:rPr>
      </w:pPr>
      <w:r>
        <w:rPr/>
        <w:t>九、破产重整相关事项</w:t>
      </w:r>
      <w:r>
        <w:rPr>
          <w:b w:val="0"/>
          <w:bCs w:val="0"/>
        </w:rPr>
      </w:r>
    </w:p>
    <w:p>
      <w:pPr>
        <w:pStyle w:val="BodyText"/>
        <w:spacing w:line="240" w:lineRule="auto" w:before="58"/>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t>十、重大诉讼、仲裁事项</w:t>
      </w:r>
      <w:r>
        <w:rPr>
          <w:b w:val="0"/>
          <w:bCs w:val="0"/>
        </w:rPr>
      </w:r>
    </w:p>
    <w:p>
      <w:pPr>
        <w:pStyle w:val="BodyText"/>
        <w:spacing w:line="240" w:lineRule="auto" w:before="55"/>
        <w:ind w:left="218" w:right="0"/>
        <w:jc w:val="left"/>
      </w:pPr>
      <w:r>
        <w:rPr>
          <w:rFonts w:ascii="Times New Roman" w:hAnsi="Times New Roman" w:cs="Times New Roman" w:eastAsia="Times New Roman" w:hint="default"/>
        </w:rPr>
        <w:t>□</w:t>
      </w:r>
      <w:r>
        <w:rPr/>
        <w:t>本年度公司有重大诉讼、仲裁事项</w:t>
      </w:r>
      <w:r>
        <w:rPr>
          <w:spacing w:val="-1"/>
        </w:rPr>
        <w:t> </w:t>
      </w:r>
      <w:r>
        <w:rPr>
          <w:rFonts w:ascii="Times New Roman" w:hAnsi="Times New Roman" w:cs="Times New Roman" w:eastAsia="Times New Roman" w:hint="default"/>
        </w:rPr>
        <w:t>√</w:t>
      </w:r>
      <w:r>
        <w:rPr/>
        <w:t>本年度公司无重大诉讼、仲裁事项</w:t>
      </w:r>
    </w:p>
    <w:p>
      <w:pPr>
        <w:spacing w:line="240" w:lineRule="auto" w:before="6"/>
        <w:rPr>
          <w:rFonts w:ascii="宋体" w:hAnsi="宋体" w:cs="宋体" w:eastAsia="宋体" w:hint="default"/>
          <w:sz w:val="26"/>
          <w:szCs w:val="26"/>
        </w:rPr>
      </w:pPr>
    </w:p>
    <w:p>
      <w:pPr>
        <w:pStyle w:val="Heading2"/>
        <w:spacing w:line="312" w:lineRule="exact"/>
        <w:ind w:left="638" w:right="0" w:hanging="420"/>
        <w:jc w:val="left"/>
        <w:rPr>
          <w:b w:val="0"/>
          <w:bCs w:val="0"/>
        </w:rPr>
      </w:pPr>
      <w:r>
        <w:rPr>
          <w:spacing w:val="-2"/>
          <w:w w:val="95"/>
        </w:rPr>
        <w:t>十一、上市公司及其董事、监事、高级管理人员、控股股东、实际控制人、收购人处</w:t>
      </w:r>
      <w:r>
        <w:rPr>
          <w:spacing w:val="88"/>
          <w:w w:val="95"/>
        </w:rPr>
        <w:t> </w:t>
      </w:r>
      <w:r>
        <w:rPr>
          <w:spacing w:val="88"/>
          <w:w w:val="95"/>
        </w:rPr>
      </w:r>
      <w:r>
        <w:rPr/>
        <w:t>罚及整改情况</w:t>
      </w:r>
      <w:r>
        <w:rPr>
          <w:b w:val="0"/>
          <w:bCs w:val="0"/>
        </w:rPr>
      </w:r>
    </w:p>
    <w:p>
      <w:pPr>
        <w:pStyle w:val="BodyText"/>
        <w:spacing w:line="240" w:lineRule="auto" w:before="27"/>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after="0" w:line="240" w:lineRule="auto"/>
        <w:jc w:val="left"/>
        <w:sectPr>
          <w:pgSz w:w="11910" w:h="16840"/>
          <w:pgMar w:header="880" w:footer="1195" w:top="1120" w:bottom="1380" w:left="158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73"/>
        <w:ind w:left="218" w:right="0"/>
        <w:jc w:val="left"/>
        <w:rPr>
          <w:b w:val="0"/>
          <w:bCs w:val="0"/>
        </w:rPr>
      </w:pPr>
      <w:r>
        <w:rPr/>
        <w:t>十二、报告期内公司及其控股股东、实际控制人诚信状况的说明</w:t>
      </w:r>
      <w:r>
        <w:rPr>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83" w:lineRule="auto"/>
        <w:ind w:left="218" w:right="743"/>
        <w:jc w:val="left"/>
        <w:rPr>
          <w:b w:val="0"/>
          <w:bCs w:val="0"/>
        </w:rPr>
      </w:pPr>
      <w:r>
        <w:rPr>
          <w:w w:val="95"/>
        </w:rPr>
        <w:t>十三、公司股权激励计划、员工持股计划或其他员工激励措施的情况及其影响  </w:t>
      </w:r>
      <w:r>
        <w:rPr>
          <w:spacing w:val="58"/>
          <w:w w:val="95"/>
        </w:rPr>
        <w:t> </w:t>
      </w:r>
      <w:r>
        <w:rPr>
          <w:spacing w:val="58"/>
          <w:w w:val="95"/>
        </w:rPr>
      </w: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44"/>
        </w:rPr>
        <w:t> </w:t>
      </w:r>
      <w:r>
        <w:rPr/>
        <w:t>相关激励事项已在临时公告披露且后续实施无进展或变化的</w:t>
      </w:r>
      <w:r>
        <w:rPr>
          <w:b w:val="0"/>
          <w:bCs w:val="0"/>
        </w:rPr>
      </w:r>
    </w:p>
    <w:p>
      <w:pPr>
        <w:pStyle w:val="BodyText"/>
        <w:spacing w:line="240" w:lineRule="auto" w:before="14"/>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tbl>
      <w:tblPr>
        <w:tblW w:w="0" w:type="auto"/>
        <w:jc w:val="left"/>
        <w:tblInd w:w="105" w:type="dxa"/>
        <w:tblLayout w:type="fixed"/>
        <w:tblCellMar>
          <w:top w:w="0" w:type="dxa"/>
          <w:left w:w="0" w:type="dxa"/>
          <w:bottom w:w="0" w:type="dxa"/>
          <w:right w:w="0" w:type="dxa"/>
        </w:tblCellMar>
        <w:tblLook w:val="01E0"/>
      </w:tblPr>
      <w:tblGrid>
        <w:gridCol w:w="6102"/>
        <w:gridCol w:w="2869"/>
      </w:tblGrid>
      <w:tr>
        <w:trPr>
          <w:trHeight w:val="322" w:hRule="exact"/>
        </w:trPr>
        <w:tc>
          <w:tcPr>
            <w:tcW w:w="61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事项概述</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47" w:right="0"/>
              <w:jc w:val="left"/>
              <w:rPr>
                <w:rFonts w:ascii="宋体" w:hAnsi="宋体" w:cs="宋体" w:eastAsia="宋体" w:hint="default"/>
                <w:sz w:val="24"/>
                <w:szCs w:val="24"/>
              </w:rPr>
            </w:pPr>
            <w:r>
              <w:rPr>
                <w:rFonts w:ascii="宋体" w:hAnsi="宋体" w:cs="宋体" w:eastAsia="宋体" w:hint="default"/>
                <w:sz w:val="24"/>
                <w:szCs w:val="24"/>
              </w:rPr>
              <w:t>查询索引</w:t>
            </w:r>
          </w:p>
        </w:tc>
      </w:tr>
      <w:tr>
        <w:trPr>
          <w:trHeight w:val="3123" w:hRule="exact"/>
        </w:trPr>
        <w:tc>
          <w:tcPr>
            <w:tcW w:w="610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因张清华等</w:t>
            </w:r>
            <w:r>
              <w:rPr>
                <w:rFonts w:ascii="宋体" w:hAnsi="宋体" w:cs="宋体" w:eastAsia="宋体" w:hint="default"/>
                <w:spacing w:val="-61"/>
                <w:sz w:val="24"/>
                <w:szCs w:val="24"/>
              </w:rPr>
              <w:t> </w:t>
            </w:r>
            <w:r>
              <w:rPr>
                <w:rFonts w:ascii="宋体" w:hAnsi="宋体" w:cs="宋体" w:eastAsia="宋体" w:hint="default"/>
                <w:sz w:val="24"/>
                <w:szCs w:val="24"/>
              </w:rPr>
              <w:t>52</w:t>
            </w:r>
            <w:r>
              <w:rPr>
                <w:rFonts w:ascii="宋体" w:hAnsi="宋体" w:cs="宋体" w:eastAsia="宋体" w:hint="default"/>
                <w:spacing w:val="-60"/>
                <w:sz w:val="24"/>
                <w:szCs w:val="24"/>
              </w:rPr>
              <w:t> </w:t>
            </w:r>
            <w:r>
              <w:rPr>
                <w:rFonts w:ascii="宋体" w:hAnsi="宋体" w:cs="宋体" w:eastAsia="宋体" w:hint="default"/>
                <w:sz w:val="24"/>
                <w:szCs w:val="24"/>
              </w:rPr>
              <w:t>人发生</w:t>
            </w:r>
            <w:r>
              <w:rPr>
                <w:rFonts w:ascii="宋体" w:hAnsi="宋体" w:cs="宋体" w:eastAsia="宋体" w:hint="default"/>
                <w:spacing w:val="-116"/>
                <w:sz w:val="24"/>
                <w:szCs w:val="24"/>
              </w:rPr>
              <w:t>了</w:t>
            </w:r>
            <w:r>
              <w:rPr>
                <w:rFonts w:ascii="宋体" w:hAnsi="宋体" w:cs="宋体" w:eastAsia="宋体" w:hint="default"/>
                <w:sz w:val="24"/>
                <w:szCs w:val="24"/>
              </w:rPr>
              <w:t>《公司</w:t>
            </w:r>
            <w:r>
              <w:rPr>
                <w:rFonts w:ascii="宋体" w:hAnsi="宋体" w:cs="宋体" w:eastAsia="宋体" w:hint="default"/>
                <w:spacing w:val="-60"/>
                <w:sz w:val="24"/>
                <w:szCs w:val="24"/>
              </w:rPr>
              <w:t> </w:t>
            </w:r>
            <w:r>
              <w:rPr>
                <w:rFonts w:ascii="宋体" w:hAnsi="宋体" w:cs="宋体" w:eastAsia="宋体" w:hint="default"/>
                <w:sz w:val="24"/>
                <w:szCs w:val="24"/>
              </w:rPr>
              <w:t>2017</w:t>
            </w:r>
            <w:r>
              <w:rPr>
                <w:rFonts w:ascii="宋体" w:hAnsi="宋体" w:cs="宋体" w:eastAsia="宋体" w:hint="default"/>
                <w:spacing w:val="-60"/>
                <w:sz w:val="24"/>
                <w:szCs w:val="24"/>
              </w:rPr>
              <w:t> </w:t>
            </w:r>
            <w:r>
              <w:rPr>
                <w:rFonts w:ascii="宋体" w:hAnsi="宋体" w:cs="宋体" w:eastAsia="宋体" w:hint="default"/>
                <w:sz w:val="24"/>
                <w:szCs w:val="24"/>
              </w:rPr>
              <w:t>年股票期权与限制性</w:t>
            </w:r>
          </w:p>
          <w:p>
            <w:pPr>
              <w:pStyle w:val="TableParagraph"/>
              <w:spacing w:line="237" w:lineRule="auto" w:before="1"/>
              <w:ind w:left="103" w:right="99"/>
              <w:jc w:val="both"/>
              <w:rPr>
                <w:rFonts w:ascii="宋体" w:hAnsi="宋体" w:cs="宋体" w:eastAsia="宋体" w:hint="default"/>
                <w:sz w:val="24"/>
                <w:szCs w:val="24"/>
              </w:rPr>
            </w:pPr>
            <w:r>
              <w:rPr>
                <w:rFonts w:ascii="宋体" w:hAnsi="宋体" w:cs="宋体" w:eastAsia="宋体" w:hint="default"/>
                <w:spacing w:val="-5"/>
                <w:sz w:val="24"/>
                <w:szCs w:val="24"/>
              </w:rPr>
              <w:t>股票激励计划（草案））》中规定的激励对象发生变动的</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4"/>
                <w:sz w:val="24"/>
                <w:szCs w:val="24"/>
              </w:rPr>
              <w:t>情形，</w:t>
            </w:r>
            <w:r>
              <w:rPr>
                <w:rFonts w:ascii="宋体" w:hAnsi="宋体" w:cs="宋体" w:eastAsia="宋体" w:hint="default"/>
                <w:spacing w:val="-4"/>
                <w:sz w:val="24"/>
                <w:szCs w:val="24"/>
              </w:rPr>
              <w:t>2019</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3</w:t>
            </w:r>
            <w:r>
              <w:rPr>
                <w:rFonts w:ascii="宋体" w:hAnsi="宋体" w:cs="宋体" w:eastAsia="宋体" w:hint="default"/>
                <w:spacing w:val="-65"/>
                <w:sz w:val="24"/>
                <w:szCs w:val="24"/>
              </w:rPr>
              <w:t> </w:t>
            </w:r>
            <w:r>
              <w:rPr>
                <w:rFonts w:ascii="宋体" w:hAnsi="宋体" w:cs="宋体" w:eastAsia="宋体" w:hint="default"/>
                <w:sz w:val="24"/>
                <w:szCs w:val="24"/>
              </w:rPr>
              <w:t>月</w:t>
            </w:r>
            <w:r>
              <w:rPr>
                <w:rFonts w:ascii="宋体" w:hAnsi="宋体" w:cs="宋体" w:eastAsia="宋体" w:hint="default"/>
                <w:spacing w:val="-65"/>
                <w:sz w:val="24"/>
                <w:szCs w:val="24"/>
              </w:rPr>
              <w:t> </w:t>
            </w:r>
            <w:r>
              <w:rPr>
                <w:rFonts w:ascii="宋体" w:hAnsi="宋体" w:cs="宋体" w:eastAsia="宋体" w:hint="default"/>
                <w:sz w:val="24"/>
                <w:szCs w:val="24"/>
              </w:rPr>
              <w:t>15</w:t>
            </w:r>
            <w:r>
              <w:rPr>
                <w:rFonts w:ascii="宋体" w:hAnsi="宋体" w:cs="宋体" w:eastAsia="宋体" w:hint="default"/>
                <w:spacing w:val="-65"/>
                <w:sz w:val="24"/>
                <w:szCs w:val="24"/>
              </w:rPr>
              <w:t> </w:t>
            </w:r>
            <w:r>
              <w:rPr>
                <w:rFonts w:ascii="宋体" w:hAnsi="宋体" w:cs="宋体" w:eastAsia="宋体" w:hint="default"/>
                <w:sz w:val="24"/>
                <w:szCs w:val="24"/>
              </w:rPr>
              <w:t>日，公司召开了第七届董事会第三 </w:t>
            </w:r>
            <w:r>
              <w:rPr>
                <w:rFonts w:ascii="宋体" w:hAnsi="宋体" w:cs="宋体" w:eastAsia="宋体" w:hint="default"/>
                <w:spacing w:val="-6"/>
                <w:sz w:val="24"/>
                <w:szCs w:val="24"/>
              </w:rPr>
              <w:t>十二次会议、第七届监事会第十八次会议决议</w:t>
            </w:r>
            <w:r>
              <w:rPr>
                <w:rFonts w:ascii="宋体" w:hAnsi="宋体" w:cs="宋体" w:eastAsia="宋体" w:hint="default"/>
                <w:spacing w:val="-6"/>
                <w:sz w:val="24"/>
                <w:szCs w:val="24"/>
              </w:rPr>
              <w:t>,</w:t>
            </w:r>
            <w:r>
              <w:rPr>
                <w:rFonts w:ascii="宋体" w:hAnsi="宋体" w:cs="宋体" w:eastAsia="宋体" w:hint="default"/>
                <w:spacing w:val="8"/>
                <w:sz w:val="24"/>
                <w:szCs w:val="24"/>
              </w:rPr>
              <w:t> </w:t>
            </w:r>
            <w:r>
              <w:rPr>
                <w:rFonts w:ascii="宋体" w:hAnsi="宋体" w:cs="宋体" w:eastAsia="宋体" w:hint="default"/>
                <w:sz w:val="24"/>
                <w:szCs w:val="24"/>
              </w:rPr>
              <w:t>审议并通 </w:t>
            </w:r>
            <w:r>
              <w:rPr>
                <w:rFonts w:ascii="宋体" w:hAnsi="宋体" w:cs="宋体" w:eastAsia="宋体" w:hint="default"/>
                <w:spacing w:val="-5"/>
                <w:sz w:val="24"/>
                <w:szCs w:val="24"/>
              </w:rPr>
              <w:t>过了《关于作废部分已授出股票期权及回购注销部分已授</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5"/>
                <w:sz w:val="24"/>
                <w:szCs w:val="24"/>
              </w:rPr>
              <w:t>出限制性股票的议案》，同意回购注销已获授但尚未解锁</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的限制性股票共计</w:t>
            </w:r>
            <w:r>
              <w:rPr>
                <w:rFonts w:ascii="宋体" w:hAnsi="宋体" w:cs="宋体" w:eastAsia="宋体" w:hint="default"/>
                <w:spacing w:val="-61"/>
                <w:sz w:val="24"/>
                <w:szCs w:val="24"/>
              </w:rPr>
              <w:t> </w:t>
            </w:r>
            <w:r>
              <w:rPr>
                <w:rFonts w:ascii="宋体" w:hAnsi="宋体" w:cs="宋体" w:eastAsia="宋体" w:hint="default"/>
                <w:sz w:val="24"/>
                <w:szCs w:val="24"/>
              </w:rPr>
              <w:t>437,334</w:t>
            </w:r>
            <w:r>
              <w:rPr>
                <w:rFonts w:ascii="宋体" w:hAnsi="宋体" w:cs="宋体" w:eastAsia="宋体" w:hint="default"/>
                <w:spacing w:val="-60"/>
                <w:sz w:val="24"/>
                <w:szCs w:val="24"/>
              </w:rPr>
              <w:t> </w:t>
            </w:r>
            <w:r>
              <w:rPr>
                <w:rFonts w:ascii="宋体" w:hAnsi="宋体" w:cs="宋体" w:eastAsia="宋体" w:hint="default"/>
                <w:sz w:val="24"/>
                <w:szCs w:val="24"/>
              </w:rPr>
              <w:t>股。</w:t>
            </w:r>
            <w:r>
              <w:rPr>
                <w:rFonts w:ascii="宋体" w:hAnsi="宋体" w:cs="宋体" w:eastAsia="宋体" w:hint="default"/>
                <w:sz w:val="24"/>
                <w:szCs w:val="24"/>
              </w:rPr>
              <w:t>2019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日，公司</w:t>
            </w:r>
          </w:p>
          <w:p>
            <w:pPr>
              <w:pStyle w:val="TableParagraph"/>
              <w:spacing w:line="237" w:lineRule="auto" w:before="1"/>
              <w:ind w:left="103" w:right="101"/>
              <w:jc w:val="left"/>
              <w:rPr>
                <w:rFonts w:ascii="宋体" w:hAnsi="宋体" w:cs="宋体" w:eastAsia="宋体" w:hint="default"/>
                <w:sz w:val="24"/>
                <w:szCs w:val="24"/>
              </w:rPr>
            </w:pPr>
            <w:r>
              <w:rPr>
                <w:rFonts w:ascii="宋体" w:hAnsi="宋体" w:cs="宋体" w:eastAsia="宋体" w:hint="default"/>
                <w:sz w:val="24"/>
                <w:szCs w:val="24"/>
              </w:rPr>
              <w:t>召开了</w:t>
            </w:r>
            <w:r>
              <w:rPr>
                <w:rFonts w:ascii="宋体" w:hAnsi="宋体" w:cs="宋体" w:eastAsia="宋体" w:hint="default"/>
                <w:spacing w:val="-60"/>
                <w:sz w:val="24"/>
                <w:szCs w:val="24"/>
              </w:rPr>
              <w:t> </w:t>
            </w:r>
            <w:r>
              <w:rPr>
                <w:rFonts w:ascii="宋体" w:hAnsi="宋体" w:cs="宋体" w:eastAsia="宋体" w:hint="default"/>
                <w:sz w:val="24"/>
                <w:szCs w:val="24"/>
              </w:rPr>
              <w:t>2018</w:t>
            </w:r>
            <w:r>
              <w:rPr>
                <w:rFonts w:ascii="宋体" w:hAnsi="宋体" w:cs="宋体" w:eastAsia="宋体" w:hint="default"/>
                <w:spacing w:val="-59"/>
                <w:sz w:val="24"/>
                <w:szCs w:val="24"/>
              </w:rPr>
              <w:t> </w:t>
            </w:r>
            <w:r>
              <w:rPr>
                <w:rFonts w:ascii="宋体" w:hAnsi="宋体" w:cs="宋体" w:eastAsia="宋体" w:hint="default"/>
                <w:spacing w:val="-6"/>
                <w:sz w:val="24"/>
                <w:szCs w:val="24"/>
              </w:rPr>
              <w:t>年年度股东大会</w:t>
            </w:r>
            <w:r>
              <w:rPr>
                <w:rFonts w:ascii="宋体" w:hAnsi="宋体" w:cs="宋体" w:eastAsia="宋体" w:hint="default"/>
                <w:spacing w:val="-6"/>
                <w:sz w:val="24"/>
                <w:szCs w:val="24"/>
              </w:rPr>
              <w:t>,</w:t>
            </w:r>
            <w:r>
              <w:rPr>
                <w:rFonts w:ascii="宋体" w:hAnsi="宋体" w:cs="宋体" w:eastAsia="宋体" w:hint="default"/>
                <w:spacing w:val="-6"/>
                <w:sz w:val="24"/>
                <w:szCs w:val="24"/>
              </w:rPr>
              <w:t>审议并通过了《关于作废部</w:t>
            </w:r>
            <w:r>
              <w:rPr>
                <w:rFonts w:ascii="宋体" w:hAnsi="宋体" w:cs="宋体" w:eastAsia="宋体" w:hint="default"/>
                <w:sz w:val="24"/>
                <w:szCs w:val="24"/>
              </w:rPr>
              <w:t> 分已授出股票期权及回购注销部分已授出限制性股票的 议案》。</w:t>
            </w:r>
            <w:r>
              <w:rPr>
                <w:rFonts w:ascii="宋体" w:hAnsi="宋体" w:cs="宋体" w:eastAsia="宋体" w:hint="default"/>
                <w:sz w:val="24"/>
                <w:szCs w:val="24"/>
              </w:rPr>
              <w:t>  </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临</w:t>
            </w:r>
            <w:r>
              <w:rPr>
                <w:rFonts w:ascii="宋体" w:hAnsi="宋体" w:cs="宋体" w:eastAsia="宋体" w:hint="default"/>
                <w:spacing w:val="-60"/>
                <w:sz w:val="24"/>
                <w:szCs w:val="24"/>
              </w:rPr>
              <w:t> </w:t>
            </w:r>
            <w:r>
              <w:rPr>
                <w:rFonts w:ascii="宋体" w:hAnsi="宋体" w:cs="宋体" w:eastAsia="宋体" w:hint="default"/>
                <w:sz w:val="24"/>
                <w:szCs w:val="24"/>
              </w:rPr>
              <w:t>2019-024</w:t>
            </w:r>
            <w:r>
              <w:rPr>
                <w:rFonts w:ascii="宋体" w:hAnsi="宋体" w:cs="宋体" w:eastAsia="宋体" w:hint="default"/>
                <w:sz w:val="24"/>
                <w:szCs w:val="24"/>
              </w:rPr>
              <w:t>，临</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2019-025</w:t>
            </w:r>
            <w:r>
              <w:rPr>
                <w:rFonts w:ascii="宋体" w:hAnsi="宋体" w:cs="宋体" w:eastAsia="宋体" w:hint="default"/>
                <w:sz w:val="24"/>
                <w:szCs w:val="24"/>
              </w:rPr>
              <w:t>，临</w:t>
            </w:r>
            <w:r>
              <w:rPr>
                <w:rFonts w:ascii="宋体" w:hAnsi="宋体" w:cs="宋体" w:eastAsia="宋体" w:hint="default"/>
                <w:spacing w:val="-60"/>
                <w:sz w:val="24"/>
                <w:szCs w:val="24"/>
              </w:rPr>
              <w:t> </w:t>
            </w:r>
            <w:r>
              <w:rPr>
                <w:rFonts w:ascii="宋体" w:hAnsi="宋体" w:cs="宋体" w:eastAsia="宋体" w:hint="default"/>
                <w:sz w:val="24"/>
                <w:szCs w:val="24"/>
              </w:rPr>
              <w:t>2019-034 </w:t>
            </w:r>
          </w:p>
        </w:tc>
      </w:tr>
      <w:tr>
        <w:trPr>
          <w:trHeight w:val="3123" w:hRule="exact"/>
        </w:trPr>
        <w:tc>
          <w:tcPr>
            <w:tcW w:w="610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
                <w:sz w:val="24"/>
                <w:szCs w:val="24"/>
              </w:rPr>
              <w:t>因</w:t>
            </w:r>
            <w:r>
              <w:rPr>
                <w:rFonts w:ascii="宋体" w:hAnsi="宋体" w:cs="宋体" w:eastAsia="宋体" w:hint="default"/>
                <w:sz w:val="24"/>
                <w:szCs w:val="24"/>
              </w:rPr>
              <w:t>张智广等</w:t>
            </w:r>
            <w:r>
              <w:rPr>
                <w:rFonts w:ascii="宋体" w:hAnsi="宋体" w:cs="宋体" w:eastAsia="宋体" w:hint="default"/>
                <w:spacing w:val="-60"/>
                <w:sz w:val="24"/>
                <w:szCs w:val="24"/>
              </w:rPr>
              <w:t> </w:t>
            </w:r>
            <w:r>
              <w:rPr>
                <w:rFonts w:ascii="宋体" w:hAnsi="宋体" w:cs="宋体" w:eastAsia="宋体" w:hint="default"/>
                <w:sz w:val="24"/>
                <w:szCs w:val="24"/>
              </w:rPr>
              <w:t>23</w:t>
            </w:r>
            <w:r>
              <w:rPr>
                <w:rFonts w:ascii="宋体" w:hAnsi="宋体" w:cs="宋体" w:eastAsia="宋体" w:hint="default"/>
                <w:spacing w:val="-60"/>
                <w:sz w:val="24"/>
                <w:szCs w:val="24"/>
              </w:rPr>
              <w:t> </w:t>
            </w:r>
            <w:r>
              <w:rPr>
                <w:rFonts w:ascii="宋体" w:hAnsi="宋体" w:cs="宋体" w:eastAsia="宋体" w:hint="default"/>
                <w:sz w:val="24"/>
                <w:szCs w:val="24"/>
              </w:rPr>
              <w:t>人发生</w:t>
            </w:r>
            <w:r>
              <w:rPr>
                <w:rFonts w:ascii="宋体" w:hAnsi="宋体" w:cs="宋体" w:eastAsia="宋体" w:hint="default"/>
                <w:spacing w:val="-116"/>
                <w:sz w:val="24"/>
                <w:szCs w:val="24"/>
              </w:rPr>
              <w:t>了</w:t>
            </w:r>
            <w:r>
              <w:rPr>
                <w:rFonts w:ascii="宋体" w:hAnsi="宋体" w:cs="宋体" w:eastAsia="宋体" w:hint="default"/>
                <w:sz w:val="24"/>
                <w:szCs w:val="24"/>
              </w:rPr>
              <w:t>《公司</w:t>
            </w:r>
            <w:r>
              <w:rPr>
                <w:rFonts w:ascii="宋体" w:hAnsi="宋体" w:cs="宋体" w:eastAsia="宋体" w:hint="default"/>
                <w:spacing w:val="-60"/>
                <w:sz w:val="24"/>
                <w:szCs w:val="24"/>
              </w:rPr>
              <w:t> </w:t>
            </w:r>
            <w:r>
              <w:rPr>
                <w:rFonts w:ascii="宋体" w:hAnsi="宋体" w:cs="宋体" w:eastAsia="宋体" w:hint="default"/>
                <w:sz w:val="24"/>
                <w:szCs w:val="24"/>
              </w:rPr>
              <w:t>2017</w:t>
            </w:r>
            <w:r>
              <w:rPr>
                <w:rFonts w:ascii="宋体" w:hAnsi="宋体" w:cs="宋体" w:eastAsia="宋体" w:hint="default"/>
                <w:spacing w:val="-60"/>
                <w:sz w:val="24"/>
                <w:szCs w:val="24"/>
              </w:rPr>
              <w:t> </w:t>
            </w:r>
            <w:r>
              <w:rPr>
                <w:rFonts w:ascii="宋体" w:hAnsi="宋体" w:cs="宋体" w:eastAsia="宋体" w:hint="default"/>
                <w:sz w:val="24"/>
                <w:szCs w:val="24"/>
              </w:rPr>
              <w:t>年股票期权与限制性</w:t>
            </w:r>
          </w:p>
          <w:p>
            <w:pPr>
              <w:pStyle w:val="TableParagraph"/>
              <w:spacing w:line="237" w:lineRule="auto" w:before="1"/>
              <w:ind w:left="103" w:right="101"/>
              <w:jc w:val="left"/>
              <w:rPr>
                <w:rFonts w:ascii="宋体" w:hAnsi="宋体" w:cs="宋体" w:eastAsia="宋体" w:hint="default"/>
                <w:sz w:val="24"/>
                <w:szCs w:val="24"/>
              </w:rPr>
            </w:pPr>
            <w:r>
              <w:rPr>
                <w:rFonts w:ascii="宋体" w:hAnsi="宋体" w:cs="宋体" w:eastAsia="宋体" w:hint="default"/>
                <w:spacing w:val="-5"/>
                <w:sz w:val="24"/>
                <w:szCs w:val="24"/>
              </w:rPr>
              <w:t>股票激励计划（草案）》中规定的激励对象发生变动或个</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人绩效考核不合格的情形</w:t>
            </w:r>
            <w:r>
              <w:rPr>
                <w:rFonts w:ascii="宋体" w:hAnsi="宋体" w:cs="宋体" w:eastAsia="宋体" w:hint="default"/>
                <w:sz w:val="24"/>
                <w:szCs w:val="24"/>
              </w:rPr>
              <w:t>,2019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18</w:t>
            </w:r>
            <w:r>
              <w:rPr>
                <w:rFonts w:ascii="宋体" w:hAnsi="宋体" w:cs="宋体" w:eastAsia="宋体" w:hint="default"/>
                <w:spacing w:val="-60"/>
                <w:sz w:val="24"/>
                <w:szCs w:val="24"/>
              </w:rPr>
              <w:t> </w:t>
            </w:r>
            <w:r>
              <w:rPr>
                <w:rFonts w:ascii="宋体" w:hAnsi="宋体" w:cs="宋体" w:eastAsia="宋体" w:hint="default"/>
                <w:sz w:val="24"/>
                <w:szCs w:val="24"/>
              </w:rPr>
              <w:t>日，公司分别 召开了第七届董事会第三十八次会议和第七届监事会第 </w:t>
            </w:r>
            <w:r>
              <w:rPr>
                <w:rFonts w:ascii="宋体" w:hAnsi="宋体" w:cs="宋体" w:eastAsia="宋体" w:hint="default"/>
                <w:spacing w:val="-5"/>
                <w:sz w:val="24"/>
                <w:szCs w:val="24"/>
              </w:rPr>
              <w:t>二十次会议，审议并通过了《关于作废部分已授出股票期</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5"/>
                <w:sz w:val="24"/>
                <w:szCs w:val="24"/>
              </w:rPr>
              <w:t>权及回购注销部分已授出限制性股票的议案》，同意回购</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注销</w:t>
            </w:r>
            <w:r>
              <w:rPr>
                <w:rFonts w:ascii="宋体" w:hAnsi="宋体" w:cs="宋体" w:eastAsia="宋体" w:hint="default"/>
                <w:spacing w:val="-61"/>
                <w:sz w:val="24"/>
                <w:szCs w:val="24"/>
              </w:rPr>
              <w:t> </w:t>
            </w:r>
            <w:r>
              <w:rPr>
                <w:rFonts w:ascii="宋体" w:hAnsi="宋体" w:cs="宋体" w:eastAsia="宋体" w:hint="default"/>
                <w:sz w:val="24"/>
                <w:szCs w:val="24"/>
              </w:rPr>
              <w:t>23</w:t>
            </w:r>
            <w:r>
              <w:rPr>
                <w:rFonts w:ascii="宋体" w:hAnsi="宋体" w:cs="宋体" w:eastAsia="宋体" w:hint="default"/>
                <w:spacing w:val="-60"/>
                <w:sz w:val="24"/>
                <w:szCs w:val="24"/>
              </w:rPr>
              <w:t> </w:t>
            </w:r>
            <w:r>
              <w:rPr>
                <w:rFonts w:ascii="宋体" w:hAnsi="宋体" w:cs="宋体" w:eastAsia="宋体" w:hint="default"/>
                <w:sz w:val="24"/>
                <w:szCs w:val="24"/>
              </w:rPr>
              <w:t>人已获授但尚未解锁的限制性股票共计</w:t>
            </w:r>
            <w:r>
              <w:rPr>
                <w:rFonts w:ascii="宋体" w:hAnsi="宋体" w:cs="宋体" w:eastAsia="宋体" w:hint="default"/>
                <w:spacing w:val="-59"/>
                <w:sz w:val="24"/>
                <w:szCs w:val="24"/>
              </w:rPr>
              <w:t> </w:t>
            </w:r>
            <w:r>
              <w:rPr>
                <w:rFonts w:ascii="宋体" w:hAnsi="宋体" w:cs="宋体" w:eastAsia="宋体" w:hint="default"/>
                <w:sz w:val="24"/>
                <w:szCs w:val="24"/>
              </w:rPr>
              <w:t>327,557</w:t>
            </w:r>
          </w:p>
          <w:p>
            <w:pPr>
              <w:pStyle w:val="TableParagraph"/>
              <w:spacing w:line="237" w:lineRule="auto" w:before="1"/>
              <w:ind w:left="103" w:right="102"/>
              <w:jc w:val="both"/>
              <w:rPr>
                <w:rFonts w:ascii="宋体" w:hAnsi="宋体" w:cs="宋体" w:eastAsia="宋体" w:hint="default"/>
                <w:sz w:val="24"/>
                <w:szCs w:val="24"/>
              </w:rPr>
            </w:pPr>
            <w:r>
              <w:rPr>
                <w:rFonts w:ascii="宋体" w:hAnsi="宋体" w:cs="宋体" w:eastAsia="宋体" w:hint="default"/>
                <w:sz w:val="24"/>
                <w:szCs w:val="24"/>
              </w:rPr>
              <w:t>股。</w:t>
            </w:r>
            <w:r>
              <w:rPr>
                <w:rFonts w:ascii="宋体" w:hAnsi="宋体" w:cs="宋体" w:eastAsia="宋体" w:hint="default"/>
                <w:sz w:val="24"/>
                <w:szCs w:val="24"/>
              </w:rPr>
              <w:t>2019</w:t>
            </w:r>
            <w:r>
              <w:rPr>
                <w:rFonts w:ascii="宋体" w:hAnsi="宋体" w:cs="宋体" w:eastAsia="宋体" w:hint="default"/>
                <w:spacing w:val="-61"/>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宋体" w:hAnsi="宋体" w:cs="宋体" w:eastAsia="宋体" w:hint="default"/>
                <w:sz w:val="24"/>
                <w:szCs w:val="24"/>
              </w:rPr>
              <w:t>8</w:t>
            </w:r>
            <w:r>
              <w:rPr>
                <w:rFonts w:ascii="宋体" w:hAnsi="宋体" w:cs="宋体" w:eastAsia="宋体" w:hint="default"/>
                <w:spacing w:val="-61"/>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宋体" w:hAnsi="宋体" w:cs="宋体" w:eastAsia="宋体" w:hint="default"/>
                <w:sz w:val="24"/>
                <w:szCs w:val="24"/>
              </w:rPr>
              <w:t>29</w:t>
            </w:r>
            <w:r>
              <w:rPr>
                <w:rFonts w:ascii="宋体" w:hAnsi="宋体" w:cs="宋体" w:eastAsia="宋体" w:hint="default"/>
                <w:spacing w:val="-61"/>
                <w:sz w:val="24"/>
                <w:szCs w:val="24"/>
              </w:rPr>
              <w:t> </w:t>
            </w:r>
            <w:r>
              <w:rPr>
                <w:rFonts w:ascii="宋体" w:hAnsi="宋体" w:cs="宋体" w:eastAsia="宋体" w:hint="default"/>
                <w:sz w:val="24"/>
                <w:szCs w:val="24"/>
              </w:rPr>
              <w:t>日，公司召开</w:t>
            </w:r>
            <w:r>
              <w:rPr>
                <w:rFonts w:ascii="宋体" w:hAnsi="宋体" w:cs="宋体" w:eastAsia="宋体" w:hint="default"/>
                <w:spacing w:val="-61"/>
                <w:sz w:val="24"/>
                <w:szCs w:val="24"/>
              </w:rPr>
              <w:t> </w:t>
            </w:r>
            <w:r>
              <w:rPr>
                <w:rFonts w:ascii="宋体" w:hAnsi="宋体" w:cs="宋体" w:eastAsia="宋体" w:hint="default"/>
                <w:sz w:val="24"/>
                <w:szCs w:val="24"/>
              </w:rPr>
              <w:t>2019</w:t>
            </w:r>
            <w:r>
              <w:rPr>
                <w:rFonts w:ascii="宋体" w:hAnsi="宋体" w:cs="宋体" w:eastAsia="宋体" w:hint="default"/>
                <w:spacing w:val="-61"/>
                <w:sz w:val="24"/>
                <w:szCs w:val="24"/>
              </w:rPr>
              <w:t> </w:t>
            </w:r>
            <w:r>
              <w:rPr>
                <w:rFonts w:ascii="宋体" w:hAnsi="宋体" w:cs="宋体" w:eastAsia="宋体" w:hint="default"/>
                <w:sz w:val="24"/>
                <w:szCs w:val="24"/>
              </w:rPr>
              <w:t>年第一次临时股 </w:t>
            </w:r>
            <w:r>
              <w:rPr>
                <w:rFonts w:ascii="宋体" w:hAnsi="宋体" w:cs="宋体" w:eastAsia="宋体" w:hint="default"/>
                <w:spacing w:val="-5"/>
                <w:sz w:val="24"/>
                <w:szCs w:val="24"/>
              </w:rPr>
              <w:t>东大会，审议通过了《关于作废部分已授出股票期权及回</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购注销部分已授出限制性股票的议案》。</w:t>
            </w:r>
            <w:r>
              <w:rPr>
                <w:rFonts w:ascii="宋体" w:hAnsi="宋体" w:cs="宋体" w:eastAsia="宋体" w:hint="default"/>
                <w:sz w:val="24"/>
                <w:szCs w:val="24"/>
              </w:rPr>
              <w:t> </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临</w:t>
            </w:r>
            <w:r>
              <w:rPr>
                <w:rFonts w:ascii="宋体" w:hAnsi="宋体" w:cs="宋体" w:eastAsia="宋体" w:hint="default"/>
                <w:spacing w:val="-60"/>
                <w:sz w:val="24"/>
                <w:szCs w:val="24"/>
              </w:rPr>
              <w:t> </w:t>
            </w:r>
            <w:r>
              <w:rPr>
                <w:rFonts w:ascii="宋体" w:hAnsi="宋体" w:cs="宋体" w:eastAsia="宋体" w:hint="default"/>
                <w:sz w:val="24"/>
                <w:szCs w:val="24"/>
              </w:rPr>
              <w:t>2019</w:t>
            </w:r>
            <w:r>
              <w:rPr>
                <w:rFonts w:ascii="宋体" w:hAnsi="宋体" w:cs="宋体" w:eastAsia="宋体" w:hint="default"/>
                <w:sz w:val="24"/>
                <w:szCs w:val="24"/>
              </w:rPr>
              <w:t>－</w:t>
            </w:r>
            <w:r>
              <w:rPr>
                <w:rFonts w:ascii="宋体" w:hAnsi="宋体" w:cs="宋体" w:eastAsia="宋体" w:hint="default"/>
                <w:sz w:val="24"/>
                <w:szCs w:val="24"/>
              </w:rPr>
              <w:t>054</w:t>
            </w:r>
            <w:r>
              <w:rPr>
                <w:rFonts w:ascii="宋体" w:hAnsi="宋体" w:cs="宋体" w:eastAsia="宋体" w:hint="default"/>
                <w:sz w:val="24"/>
                <w:szCs w:val="24"/>
              </w:rPr>
              <w:t>，临</w:t>
            </w:r>
            <w:r>
              <w:rPr>
                <w:rFonts w:ascii="宋体" w:hAnsi="宋体" w:cs="宋体" w:eastAsia="宋体" w:hint="default"/>
                <w:spacing w:val="-60"/>
                <w:sz w:val="24"/>
                <w:szCs w:val="24"/>
              </w:rPr>
              <w:t> </w:t>
            </w:r>
            <w:r>
              <w:rPr>
                <w:rFonts w:ascii="宋体" w:hAnsi="宋体" w:cs="宋体" w:eastAsia="宋体" w:hint="default"/>
                <w:sz w:val="24"/>
                <w:szCs w:val="24"/>
              </w:rPr>
              <w:t>2019</w:t>
            </w:r>
            <w:r>
              <w:rPr>
                <w:rFonts w:ascii="宋体" w:hAnsi="宋体" w:cs="宋体" w:eastAsia="宋体" w:hint="default"/>
                <w:sz w:val="24"/>
                <w:szCs w:val="24"/>
              </w:rPr>
              <w:t>－</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057</w:t>
            </w:r>
            <w:r>
              <w:rPr>
                <w:rFonts w:ascii="宋体" w:hAnsi="宋体" w:cs="宋体" w:eastAsia="宋体" w:hint="default"/>
                <w:sz w:val="24"/>
                <w:szCs w:val="24"/>
              </w:rPr>
              <w:t>，临</w:t>
            </w:r>
            <w:r>
              <w:rPr>
                <w:rFonts w:ascii="宋体" w:hAnsi="宋体" w:cs="宋体" w:eastAsia="宋体" w:hint="default"/>
                <w:spacing w:val="-60"/>
                <w:sz w:val="24"/>
                <w:szCs w:val="24"/>
              </w:rPr>
              <w:t> </w:t>
            </w:r>
            <w:r>
              <w:rPr>
                <w:rFonts w:ascii="宋体" w:hAnsi="宋体" w:cs="宋体" w:eastAsia="宋体" w:hint="default"/>
                <w:sz w:val="24"/>
                <w:szCs w:val="24"/>
              </w:rPr>
              <w:t>2019-073 </w:t>
            </w:r>
          </w:p>
        </w:tc>
      </w:tr>
      <w:tr>
        <w:trPr>
          <w:trHeight w:val="2501" w:hRule="exact"/>
        </w:trPr>
        <w:tc>
          <w:tcPr>
            <w:tcW w:w="610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因郎松涛等</w:t>
            </w:r>
            <w:r>
              <w:rPr>
                <w:rFonts w:ascii="宋体" w:hAnsi="宋体" w:cs="宋体" w:eastAsia="宋体" w:hint="default"/>
                <w:spacing w:val="-61"/>
                <w:sz w:val="24"/>
                <w:szCs w:val="24"/>
              </w:rPr>
              <w:t> </w:t>
            </w:r>
            <w:r>
              <w:rPr>
                <w:rFonts w:ascii="宋体" w:hAnsi="宋体" w:cs="宋体" w:eastAsia="宋体" w:hint="default"/>
                <w:sz w:val="24"/>
                <w:szCs w:val="24"/>
              </w:rPr>
              <w:t>2</w:t>
            </w:r>
            <w:r>
              <w:rPr>
                <w:rFonts w:ascii="宋体" w:hAnsi="宋体" w:cs="宋体" w:eastAsia="宋体" w:hint="default"/>
                <w:spacing w:val="-61"/>
                <w:sz w:val="24"/>
                <w:szCs w:val="24"/>
              </w:rPr>
              <w:t> </w:t>
            </w:r>
            <w:r>
              <w:rPr>
                <w:rFonts w:ascii="宋体" w:hAnsi="宋体" w:cs="宋体" w:eastAsia="宋体" w:hint="default"/>
                <w:sz w:val="24"/>
                <w:szCs w:val="24"/>
              </w:rPr>
              <w:t>人发生了《公司</w:t>
            </w:r>
            <w:r>
              <w:rPr>
                <w:rFonts w:ascii="宋体" w:hAnsi="宋体" w:cs="宋体" w:eastAsia="宋体" w:hint="default"/>
                <w:spacing w:val="-61"/>
                <w:sz w:val="24"/>
                <w:szCs w:val="24"/>
              </w:rPr>
              <w:t> </w:t>
            </w:r>
            <w:r>
              <w:rPr>
                <w:rFonts w:ascii="宋体" w:hAnsi="宋体" w:cs="宋体" w:eastAsia="宋体" w:hint="default"/>
                <w:sz w:val="24"/>
                <w:szCs w:val="24"/>
              </w:rPr>
              <w:t>2018</w:t>
            </w:r>
            <w:r>
              <w:rPr>
                <w:rFonts w:ascii="宋体" w:hAnsi="宋体" w:cs="宋体" w:eastAsia="宋体" w:hint="default"/>
                <w:spacing w:val="-61"/>
                <w:sz w:val="24"/>
                <w:szCs w:val="24"/>
              </w:rPr>
              <w:t> </w:t>
            </w:r>
            <w:r>
              <w:rPr>
                <w:rFonts w:ascii="宋体" w:hAnsi="宋体" w:cs="宋体" w:eastAsia="宋体" w:hint="default"/>
                <w:sz w:val="24"/>
                <w:szCs w:val="24"/>
              </w:rPr>
              <w:t>年股票期权与限制性</w:t>
            </w:r>
          </w:p>
          <w:p>
            <w:pPr>
              <w:pStyle w:val="TableParagraph"/>
              <w:spacing w:line="237" w:lineRule="auto" w:before="1"/>
              <w:ind w:left="103" w:right="102"/>
              <w:jc w:val="left"/>
              <w:rPr>
                <w:rFonts w:ascii="宋体" w:hAnsi="宋体" w:cs="宋体" w:eastAsia="宋体" w:hint="default"/>
                <w:sz w:val="24"/>
                <w:szCs w:val="24"/>
              </w:rPr>
            </w:pPr>
            <w:r>
              <w:rPr>
                <w:rFonts w:ascii="宋体" w:hAnsi="宋体" w:cs="宋体" w:eastAsia="宋体" w:hint="default"/>
                <w:spacing w:val="-5"/>
                <w:sz w:val="24"/>
                <w:szCs w:val="24"/>
              </w:rPr>
              <w:t>股票激励计划（草案）》中规定的激励对象发生变动或个</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z w:val="24"/>
                <w:szCs w:val="24"/>
              </w:rPr>
              <w:t>人绩效考核不合格的情形，</w:t>
            </w:r>
            <w:r>
              <w:rPr>
                <w:rFonts w:ascii="宋体" w:hAnsi="宋体" w:cs="宋体" w:eastAsia="宋体" w:hint="default"/>
                <w:sz w:val="24"/>
                <w:szCs w:val="24"/>
              </w:rPr>
              <w:t>2019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23</w:t>
            </w:r>
            <w:r>
              <w:rPr>
                <w:rFonts w:ascii="宋体" w:hAnsi="宋体" w:cs="宋体" w:eastAsia="宋体" w:hint="default"/>
                <w:spacing w:val="-60"/>
                <w:sz w:val="24"/>
                <w:szCs w:val="24"/>
              </w:rPr>
              <w:t> </w:t>
            </w:r>
            <w:r>
              <w:rPr>
                <w:rFonts w:ascii="宋体" w:hAnsi="宋体" w:cs="宋体" w:eastAsia="宋体" w:hint="default"/>
                <w:sz w:val="24"/>
                <w:szCs w:val="24"/>
              </w:rPr>
              <w:t>日，公司分 别召开了第七届董事会第四十二次会议和第七届监事会 </w:t>
            </w:r>
            <w:r>
              <w:rPr>
                <w:rFonts w:ascii="宋体" w:hAnsi="宋体" w:cs="宋体" w:eastAsia="宋体" w:hint="default"/>
                <w:spacing w:val="-5"/>
                <w:sz w:val="24"/>
                <w:szCs w:val="24"/>
              </w:rPr>
              <w:t>第二十四会议，审议并通过了《关于作废部分已授出股票</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5"/>
                <w:sz w:val="24"/>
                <w:szCs w:val="24"/>
              </w:rPr>
              <w:t>期权及回购注销部分已授出限制性股票的议案》，同意回</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购注销</w:t>
            </w:r>
            <w:r>
              <w:rPr>
                <w:rFonts w:ascii="宋体" w:hAnsi="宋体" w:cs="宋体" w:eastAsia="宋体" w:hint="default"/>
                <w:spacing w:val="-61"/>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人已获授但尚未解锁的限制性股票共计</w:t>
            </w:r>
            <w:r>
              <w:rPr>
                <w:rFonts w:ascii="宋体" w:hAnsi="宋体" w:cs="宋体" w:eastAsia="宋体" w:hint="default"/>
                <w:spacing w:val="-59"/>
                <w:sz w:val="24"/>
                <w:szCs w:val="24"/>
              </w:rPr>
              <w:t> </w:t>
            </w:r>
            <w:r>
              <w:rPr>
                <w:rFonts w:ascii="宋体" w:hAnsi="宋体" w:cs="宋体" w:eastAsia="宋体" w:hint="default"/>
                <w:sz w:val="24"/>
                <w:szCs w:val="24"/>
              </w:rPr>
              <w:t>73,670 </w:t>
            </w:r>
            <w:r>
              <w:rPr>
                <w:rFonts w:ascii="宋体" w:hAnsi="宋体" w:cs="宋体" w:eastAsia="宋体" w:hint="default"/>
                <w:sz w:val="24"/>
                <w:szCs w:val="24"/>
              </w:rPr>
              <w:t>股。</w:t>
            </w:r>
            <w:r>
              <w:rPr>
                <w:rFonts w:ascii="宋体" w:hAnsi="宋体" w:cs="宋体" w:eastAsia="宋体" w:hint="default"/>
                <w:sz w:val="24"/>
                <w:szCs w:val="24"/>
              </w:rPr>
              <w:t> </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临</w:t>
            </w:r>
            <w:r>
              <w:rPr>
                <w:rFonts w:ascii="宋体" w:hAnsi="宋体" w:cs="宋体" w:eastAsia="宋体" w:hint="default"/>
                <w:spacing w:val="-60"/>
                <w:sz w:val="24"/>
                <w:szCs w:val="24"/>
              </w:rPr>
              <w:t> </w:t>
            </w:r>
            <w:r>
              <w:rPr>
                <w:rFonts w:ascii="宋体" w:hAnsi="宋体" w:cs="宋体" w:eastAsia="宋体" w:hint="default"/>
                <w:sz w:val="24"/>
                <w:szCs w:val="24"/>
              </w:rPr>
              <w:t>2019</w:t>
            </w:r>
            <w:r>
              <w:rPr>
                <w:rFonts w:ascii="宋体" w:hAnsi="宋体" w:cs="宋体" w:eastAsia="宋体" w:hint="default"/>
                <w:sz w:val="24"/>
                <w:szCs w:val="24"/>
              </w:rPr>
              <w:t>－</w:t>
            </w:r>
            <w:r>
              <w:rPr>
                <w:rFonts w:ascii="宋体" w:hAnsi="宋体" w:cs="宋体" w:eastAsia="宋体" w:hint="default"/>
                <w:sz w:val="24"/>
                <w:szCs w:val="24"/>
              </w:rPr>
              <w:t>082</w:t>
            </w:r>
            <w:r>
              <w:rPr>
                <w:rFonts w:ascii="宋体" w:hAnsi="宋体" w:cs="宋体" w:eastAsia="宋体" w:hint="default"/>
                <w:sz w:val="24"/>
                <w:szCs w:val="24"/>
              </w:rPr>
              <w:t>，临</w:t>
            </w:r>
            <w:r>
              <w:rPr>
                <w:rFonts w:ascii="宋体" w:hAnsi="宋体" w:cs="宋体" w:eastAsia="宋体" w:hint="default"/>
                <w:spacing w:val="-60"/>
                <w:sz w:val="24"/>
                <w:szCs w:val="24"/>
              </w:rPr>
              <w:t> </w:t>
            </w:r>
            <w:r>
              <w:rPr>
                <w:rFonts w:ascii="宋体" w:hAnsi="宋体" w:cs="宋体" w:eastAsia="宋体" w:hint="default"/>
                <w:sz w:val="24"/>
                <w:szCs w:val="24"/>
              </w:rPr>
              <w:t>2019</w:t>
            </w:r>
            <w:r>
              <w:rPr>
                <w:rFonts w:ascii="宋体" w:hAnsi="宋体" w:cs="宋体" w:eastAsia="宋体" w:hint="default"/>
                <w:sz w:val="24"/>
                <w:szCs w:val="24"/>
              </w:rPr>
              <w:t>－</w:t>
            </w:r>
          </w:p>
          <w:p>
            <w:pPr>
              <w:pStyle w:val="TableParagraph"/>
              <w:spacing w:line="313" w:lineRule="exact"/>
              <w:ind w:left="103" w:right="0"/>
              <w:jc w:val="left"/>
              <w:rPr>
                <w:rFonts w:ascii="宋体" w:hAnsi="宋体" w:cs="宋体" w:eastAsia="宋体" w:hint="default"/>
                <w:sz w:val="24"/>
                <w:szCs w:val="24"/>
              </w:rPr>
            </w:pPr>
            <w:r>
              <w:rPr>
                <w:rFonts w:ascii="宋体"/>
                <w:sz w:val="24"/>
              </w:rPr>
              <w:t>083 </w:t>
            </w:r>
          </w:p>
        </w:tc>
      </w:tr>
    </w:tbl>
    <w:p>
      <w:pPr>
        <w:spacing w:line="240" w:lineRule="auto" w:before="2"/>
        <w:rPr>
          <w:rFonts w:ascii="宋体" w:hAnsi="宋体" w:cs="宋体" w:eastAsia="宋体" w:hint="default"/>
          <w:sz w:val="22"/>
          <w:szCs w:val="22"/>
        </w:rPr>
      </w:pPr>
    </w:p>
    <w:p>
      <w:pPr>
        <w:spacing w:line="283" w:lineRule="auto" w:before="26"/>
        <w:ind w:left="218" w:right="4069"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二</w:t>
      </w:r>
      <w:r>
        <w:rPr>
          <w:rFonts w:ascii="宋体" w:hAnsi="宋体" w:cs="宋体" w:eastAsia="宋体" w:hint="default"/>
          <w:b/>
          <w:bCs/>
          <w:sz w:val="24"/>
          <w:szCs w:val="24"/>
        </w:rPr>
        <w:t>)</w:t>
      </w:r>
      <w:r>
        <w:rPr>
          <w:rFonts w:ascii="宋体" w:hAnsi="宋体" w:cs="宋体" w:eastAsia="宋体" w:hint="default"/>
          <w:b/>
          <w:bCs/>
          <w:spacing w:val="-42"/>
          <w:sz w:val="24"/>
          <w:szCs w:val="24"/>
        </w:rPr>
        <w:t> </w:t>
      </w:r>
      <w:r>
        <w:rPr>
          <w:rFonts w:ascii="宋体" w:hAnsi="宋体" w:cs="宋体" w:eastAsia="宋体" w:hint="default"/>
          <w:b/>
          <w:bCs/>
          <w:sz w:val="24"/>
          <w:szCs w:val="24"/>
        </w:rPr>
        <w:t>临时公告未披露或有后续进展的激励情况</w:t>
      </w:r>
      <w:r>
        <w:rPr>
          <w:rFonts w:ascii="宋体" w:hAnsi="宋体" w:cs="宋体" w:eastAsia="宋体" w:hint="default"/>
          <w:b/>
          <w:bCs/>
          <w:w w:val="99"/>
          <w:sz w:val="24"/>
          <w:szCs w:val="24"/>
        </w:rPr>
        <w:t> </w:t>
      </w:r>
      <w:r>
        <w:rPr>
          <w:rFonts w:ascii="宋体" w:hAnsi="宋体" w:cs="宋体" w:eastAsia="宋体" w:hint="default"/>
          <w:sz w:val="24"/>
          <w:szCs w:val="24"/>
        </w:rPr>
        <w:t>股权激励情况</w:t>
      </w:r>
    </w:p>
    <w:p>
      <w:pPr>
        <w:pStyle w:val="BodyText"/>
        <w:spacing w:line="287" w:lineRule="exact"/>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7"/>
        <w:rPr>
          <w:rFonts w:ascii="宋体" w:hAnsi="宋体" w:cs="宋体" w:eastAsia="宋体" w:hint="default"/>
          <w:sz w:val="19"/>
          <w:szCs w:val="19"/>
        </w:rPr>
      </w:pPr>
    </w:p>
    <w:p>
      <w:pPr>
        <w:pStyle w:val="BodyText"/>
        <w:spacing w:line="312" w:lineRule="exact"/>
        <w:ind w:left="218" w:right="0"/>
        <w:jc w:val="left"/>
      </w:pPr>
      <w:r>
        <w:rPr/>
        <w:t>其他说明</w:t>
      </w:r>
    </w:p>
    <w:p>
      <w:pPr>
        <w:pStyle w:val="BodyText"/>
        <w:tabs>
          <w:tab w:pos="1069" w:val="left" w:leader="none"/>
        </w:tabs>
        <w:spacing w:line="330" w:lineRule="exact"/>
        <w:ind w:left="21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spacing w:after="0" w:line="330" w:lineRule="exact"/>
        <w:jc w:val="left"/>
        <w:sectPr>
          <w:pgSz w:w="11910" w:h="16840"/>
          <w:pgMar w:header="880" w:footer="1195" w:top="1120" w:bottom="1380" w:left="1580" w:right="1120"/>
        </w:sectPr>
      </w:pPr>
    </w:p>
    <w:p>
      <w:pPr>
        <w:spacing w:line="240" w:lineRule="auto" w:before="8"/>
        <w:rPr>
          <w:rFonts w:ascii="宋体" w:hAnsi="宋体" w:cs="宋体" w:eastAsia="宋体" w:hint="default"/>
          <w:sz w:val="25"/>
          <w:szCs w:val="25"/>
        </w:rPr>
      </w:pPr>
    </w:p>
    <w:p>
      <w:pPr>
        <w:pStyle w:val="BodyText"/>
        <w:spacing w:line="312" w:lineRule="exact" w:before="56"/>
        <w:ind w:left="138" w:right="169" w:firstLine="479"/>
        <w:jc w:val="left"/>
      </w:pPr>
      <w:r>
        <w:rPr/>
        <w:t>详见“第六节 普通股股份变动及股东情况”中的“一、普通股股本变动情况” 中的“（一）普通股股份变动情况表”中的“</w:t>
      </w:r>
      <w:r>
        <w:rPr>
          <w:rFonts w:ascii="Times New Roman" w:hAnsi="Times New Roman" w:cs="Times New Roman" w:eastAsia="Times New Roman" w:hint="default"/>
        </w:rPr>
        <w:t>2</w:t>
      </w:r>
      <w:r>
        <w:rPr/>
        <w:t>、普通股股份变动情况说明”。</w:t>
      </w:r>
    </w:p>
    <w:p>
      <w:pPr>
        <w:spacing w:line="240" w:lineRule="auto" w:before="10"/>
        <w:rPr>
          <w:rFonts w:ascii="宋体" w:hAnsi="宋体" w:cs="宋体" w:eastAsia="宋体" w:hint="default"/>
          <w:sz w:val="18"/>
          <w:szCs w:val="18"/>
        </w:rPr>
      </w:pPr>
    </w:p>
    <w:p>
      <w:pPr>
        <w:pStyle w:val="BodyText"/>
        <w:spacing w:line="312" w:lineRule="exact"/>
        <w:ind w:left="138" w:right="0"/>
        <w:jc w:val="both"/>
      </w:pPr>
      <w:r>
        <w:rPr/>
        <w:t>员工持股计划情况</w:t>
      </w:r>
    </w:p>
    <w:p>
      <w:pPr>
        <w:pStyle w:val="BodyText"/>
        <w:spacing w:line="330" w:lineRule="exact"/>
        <w:ind w:left="13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spacing w:line="240" w:lineRule="auto" w:before="7"/>
        <w:rPr>
          <w:rFonts w:ascii="宋体" w:hAnsi="宋体" w:cs="宋体" w:eastAsia="宋体" w:hint="default"/>
          <w:sz w:val="19"/>
          <w:szCs w:val="19"/>
        </w:rPr>
      </w:pPr>
    </w:p>
    <w:p>
      <w:pPr>
        <w:pStyle w:val="BodyText"/>
        <w:spacing w:line="313" w:lineRule="exact"/>
        <w:ind w:left="138" w:right="0"/>
        <w:jc w:val="both"/>
      </w:pPr>
      <w:r>
        <w:rPr/>
        <w:t>其他激励措施</w:t>
      </w:r>
    </w:p>
    <w:p>
      <w:pPr>
        <w:pStyle w:val="BodyText"/>
        <w:spacing w:line="331" w:lineRule="exact"/>
        <w:ind w:left="138" w:right="0"/>
        <w:jc w:val="both"/>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both"/>
        <w:rPr>
          <w:b w:val="0"/>
          <w:bCs w:val="0"/>
        </w:rPr>
      </w:pPr>
      <w:r>
        <w:rPr/>
        <w:t>十四、重大关联交易</w:t>
      </w:r>
      <w:r>
        <w:rPr>
          <w:b w:val="0"/>
          <w:bCs w:val="0"/>
        </w:rPr>
      </w:r>
    </w:p>
    <w:p>
      <w:pPr>
        <w:pStyle w:val="Heading2"/>
        <w:spacing w:line="240" w:lineRule="auto" w:before="55"/>
        <w:ind w:left="138" w:right="0"/>
        <w:jc w:val="both"/>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28"/>
        </w:rPr>
        <w:t> </w:t>
      </w:r>
      <w:r>
        <w:rPr/>
        <w:t>与日常经营相关的关联交易</w:t>
      </w:r>
      <w:r>
        <w:rPr>
          <w:b w:val="0"/>
          <w:bCs w:val="0"/>
        </w:rPr>
      </w:r>
    </w:p>
    <w:p>
      <w:pPr>
        <w:pStyle w:val="Heading2"/>
        <w:spacing w:line="240" w:lineRule="auto" w:before="28"/>
        <w:ind w:left="138" w:right="0"/>
        <w:jc w:val="both"/>
        <w:rPr>
          <w:rFonts w:ascii="宋体" w:hAnsi="宋体" w:cs="宋体" w:eastAsia="宋体" w:hint="default"/>
          <w:b w:val="0"/>
          <w:bCs w:val="0"/>
        </w:rPr>
      </w:pPr>
      <w:r>
        <w:rPr>
          <w:rFonts w:ascii="宋体" w:hAnsi="宋体" w:cs="宋体" w:eastAsia="宋体" w:hint="default"/>
        </w:rPr>
        <w:t>1</w:t>
      </w:r>
      <w:r>
        <w:rPr/>
        <w:t>、</w:t>
      </w:r>
      <w:r>
        <w:rPr>
          <w:spacing w:val="-64"/>
        </w:rPr>
        <w:t> </w:t>
      </w:r>
      <w:r>
        <w:rPr/>
        <w:t>已在临时公告披露且后续实施无进展或变化的事项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both"/>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spacing w:line="240" w:lineRule="auto"/>
        <w:ind w:left="138" w:right="0"/>
        <w:jc w:val="both"/>
        <w:rPr>
          <w:rFonts w:ascii="宋体" w:hAnsi="宋体" w:cs="宋体" w:eastAsia="宋体" w:hint="default"/>
          <w:b w:val="0"/>
          <w:bCs w:val="0"/>
        </w:rPr>
      </w:pPr>
      <w:r>
        <w:rPr>
          <w:rFonts w:ascii="宋体" w:hAnsi="宋体" w:cs="宋体" w:eastAsia="宋体" w:hint="default"/>
        </w:rPr>
        <w:t>2</w:t>
      </w:r>
      <w:r>
        <w:rPr/>
        <w:t>、</w:t>
      </w:r>
      <w:r>
        <w:rPr>
          <w:spacing w:val="-64"/>
        </w:rPr>
        <w:t> </w:t>
      </w:r>
      <w:r>
        <w:rPr/>
        <w:t>已在临时公告披露，但有后续实施的进展或变化的事项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both"/>
        <w:rPr>
          <w:rFonts w:ascii="宋体" w:hAnsi="宋体" w:cs="宋体" w:eastAsia="宋体" w:hint="default"/>
          <w:b w:val="0"/>
          <w:bCs w:val="0"/>
        </w:rPr>
      </w:pPr>
      <w:r>
        <w:rPr>
          <w:rFonts w:ascii="宋体" w:hAnsi="宋体" w:cs="宋体" w:eastAsia="宋体" w:hint="default"/>
        </w:rPr>
        <w:t>3</w:t>
      </w:r>
      <w:r>
        <w:rPr/>
        <w:t>、</w:t>
      </w:r>
      <w:r>
        <w:rPr>
          <w:spacing w:val="-65"/>
        </w:rPr>
        <w:t> </w:t>
      </w:r>
      <w:r>
        <w:rPr/>
        <w:t>临时公告未披露的事项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138" w:right="0"/>
        <w:jc w:val="both"/>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both"/>
        <w:rPr>
          <w:rFonts w:ascii="宋体" w:hAnsi="宋体" w:cs="宋体" w:eastAsia="宋体" w:hint="default"/>
          <w:b w:val="0"/>
          <w:bCs w:val="0"/>
        </w:rPr>
      </w:pPr>
      <w:r>
        <w:rPr>
          <w:rFonts w:ascii="宋体" w:hAnsi="宋体" w:cs="宋体" w:eastAsia="宋体" w:hint="default"/>
        </w:rPr>
        <w:t>(</w:t>
      </w:r>
      <w:r>
        <w:rPr/>
        <w:t>二</w:t>
      </w:r>
      <w:r>
        <w:rPr>
          <w:rFonts w:ascii="宋体" w:hAnsi="宋体" w:cs="宋体" w:eastAsia="宋体" w:hint="default"/>
        </w:rPr>
        <w:t>) </w:t>
      </w:r>
      <w:r>
        <w:rPr>
          <w:rFonts w:ascii="宋体" w:hAnsi="宋体" w:cs="宋体" w:eastAsia="宋体" w:hint="default"/>
          <w:spacing w:val="113"/>
        </w:rPr>
        <w:t> </w:t>
      </w:r>
      <w:r>
        <w:rPr/>
        <w:t>资产或股权收购、出售发生的关联交易</w:t>
      </w:r>
      <w:r>
        <w:rPr>
          <w:rFonts w:ascii="宋体" w:hAnsi="宋体" w:cs="宋体" w:eastAsia="宋体" w:hint="default"/>
          <w:w w:val="99"/>
        </w:rPr>
        <w:t> </w:t>
      </w:r>
      <w:r>
        <w:rPr>
          <w:rFonts w:ascii="宋体" w:hAnsi="宋体" w:cs="宋体" w:eastAsia="宋体" w:hint="default"/>
          <w:b w:val="0"/>
          <w:bCs w:val="0"/>
        </w:rPr>
      </w:r>
    </w:p>
    <w:p>
      <w:pPr>
        <w:pStyle w:val="Heading2"/>
        <w:spacing w:line="240" w:lineRule="auto" w:before="58"/>
        <w:ind w:left="138" w:right="0"/>
        <w:jc w:val="both"/>
        <w:rPr>
          <w:rFonts w:ascii="宋体" w:hAnsi="宋体" w:cs="宋体" w:eastAsia="宋体" w:hint="default"/>
          <w:b w:val="0"/>
          <w:bCs w:val="0"/>
        </w:rPr>
      </w:pPr>
      <w:r>
        <w:rPr>
          <w:rFonts w:ascii="宋体" w:hAnsi="宋体" w:cs="宋体" w:eastAsia="宋体" w:hint="default"/>
        </w:rPr>
        <w:t>1</w:t>
      </w:r>
      <w:r>
        <w:rPr/>
        <w:t>、</w:t>
      </w:r>
      <w:r>
        <w:rPr>
          <w:spacing w:val="-64"/>
        </w:rPr>
        <w:t> </w:t>
      </w:r>
      <w:r>
        <w:rPr/>
        <w:t>已在临时公告披露且后续实施无进展或变化的事项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138" w:right="0"/>
        <w:jc w:val="both"/>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both"/>
        <w:rPr>
          <w:rFonts w:ascii="宋体" w:hAnsi="宋体" w:cs="宋体" w:eastAsia="宋体" w:hint="default"/>
          <w:b w:val="0"/>
          <w:bCs w:val="0"/>
        </w:rPr>
      </w:pPr>
      <w:r>
        <w:rPr>
          <w:rFonts w:ascii="宋体" w:hAnsi="宋体" w:cs="宋体" w:eastAsia="宋体" w:hint="default"/>
        </w:rPr>
        <w:t>2</w:t>
      </w:r>
      <w:r>
        <w:rPr/>
        <w:t>、</w:t>
      </w:r>
      <w:r>
        <w:rPr>
          <w:spacing w:val="-64"/>
        </w:rPr>
        <w:t> </w:t>
      </w:r>
      <w:r>
        <w:rPr/>
        <w:t>已在临时公告披露，但有后续实施的进展或变化的事项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321" w:lineRule="exact" w:before="58"/>
        <w:ind w:left="13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pStyle w:val="BodyText"/>
        <w:spacing w:line="302" w:lineRule="exact"/>
        <w:ind w:left="618" w:right="0"/>
        <w:jc w:val="left"/>
      </w:pPr>
      <w:r>
        <w:rPr>
          <w:rFonts w:ascii="宋体" w:hAnsi="宋体" w:cs="宋体" w:eastAsia="宋体" w:hint="default"/>
        </w:rPr>
        <w:t>2019</w:t>
      </w:r>
      <w:r>
        <w:rPr>
          <w:rFonts w:ascii="宋体" w:hAnsi="宋体" w:cs="宋体" w:eastAsia="宋体" w:hint="default"/>
          <w:spacing w:val="-58"/>
        </w:rPr>
        <w:t> </w:t>
      </w:r>
      <w:r>
        <w:rPr/>
        <w:t>年</w:t>
      </w:r>
      <w:r>
        <w:rPr>
          <w:spacing w:val="-58"/>
        </w:rPr>
        <w:t> </w:t>
      </w:r>
      <w:r>
        <w:rPr>
          <w:rFonts w:ascii="宋体" w:hAnsi="宋体" w:cs="宋体" w:eastAsia="宋体" w:hint="default"/>
        </w:rPr>
        <w:t>6</w:t>
      </w:r>
      <w:r>
        <w:rPr>
          <w:rFonts w:ascii="宋体" w:hAnsi="宋体" w:cs="宋体" w:eastAsia="宋体" w:hint="default"/>
          <w:spacing w:val="-58"/>
        </w:rPr>
        <w:t> </w:t>
      </w:r>
      <w:r>
        <w:rPr/>
        <w:t>月</w:t>
      </w:r>
      <w:r>
        <w:rPr>
          <w:spacing w:val="-58"/>
        </w:rPr>
        <w:t> </w:t>
      </w:r>
      <w:r>
        <w:rPr>
          <w:rFonts w:ascii="宋体" w:hAnsi="宋体" w:cs="宋体" w:eastAsia="宋体" w:hint="default"/>
        </w:rPr>
        <w:t>4</w:t>
      </w:r>
      <w:r>
        <w:rPr>
          <w:rFonts w:ascii="宋体" w:hAnsi="宋体" w:cs="宋体" w:eastAsia="宋体" w:hint="default"/>
          <w:spacing w:val="-58"/>
        </w:rPr>
        <w:t> </w:t>
      </w:r>
      <w:r>
        <w:rPr>
          <w:spacing w:val="-4"/>
        </w:rPr>
        <w:t>日，公司发布了《公司关于收购用友能源科技有限公司部分股权暨</w:t>
      </w:r>
    </w:p>
    <w:p>
      <w:pPr>
        <w:pStyle w:val="BodyText"/>
        <w:spacing w:line="237" w:lineRule="auto" w:before="1"/>
        <w:ind w:left="138" w:right="113"/>
        <w:jc w:val="both"/>
        <w:rPr>
          <w:rFonts w:ascii="宋体" w:hAnsi="宋体" w:cs="宋体" w:eastAsia="宋体" w:hint="default"/>
        </w:rPr>
      </w:pPr>
      <w:r>
        <w:rPr/>
        <w:t>关联交易的公告》，拟以评估价人民币 </w:t>
      </w:r>
      <w:r>
        <w:rPr>
          <w:rFonts w:ascii="宋体" w:hAnsi="宋体" w:cs="宋体" w:eastAsia="宋体" w:hint="default"/>
        </w:rPr>
        <w:t>4700</w:t>
      </w:r>
      <w:r>
        <w:rPr>
          <w:rFonts w:ascii="宋体" w:hAnsi="宋体" w:cs="宋体" w:eastAsia="宋体" w:hint="default"/>
          <w:spacing w:val="-48"/>
        </w:rPr>
        <w:t> </w:t>
      </w:r>
      <w:r>
        <w:rPr/>
        <w:t>万元收购北京中能合创投资中心（有限 合伙）持有的用友能源科技有限公司</w:t>
      </w:r>
      <w:r>
        <w:rPr>
          <w:spacing w:val="-48"/>
        </w:rPr>
        <w:t> </w:t>
      </w:r>
      <w:r>
        <w:rPr>
          <w:rFonts w:ascii="宋体" w:hAnsi="宋体" w:cs="宋体" w:eastAsia="宋体" w:hint="default"/>
        </w:rPr>
        <w:t>20%</w:t>
      </w:r>
      <w:r>
        <w:rPr/>
        <w:t>的股权。截至报告期末，公司已完成股权过 户、工商变更等相关手续。</w:t>
      </w:r>
      <w:r>
        <w:rPr>
          <w:rFonts w:ascii="宋体" w:hAnsi="宋体" w:cs="宋体" w:eastAsia="宋体" w:hint="default"/>
        </w:rPr>
        <w:t> </w:t>
      </w:r>
    </w:p>
    <w:p>
      <w:pPr>
        <w:pStyle w:val="BodyText"/>
        <w:spacing w:line="311" w:lineRule="exact"/>
        <w:ind w:left="618" w:right="0"/>
        <w:jc w:val="left"/>
      </w:pPr>
      <w:r>
        <w:rPr>
          <w:rFonts w:ascii="宋体" w:hAnsi="宋体" w:cs="宋体" w:eastAsia="宋体" w:hint="default"/>
        </w:rPr>
        <w:t>2019</w:t>
      </w:r>
      <w:r>
        <w:rPr>
          <w:rFonts w:ascii="宋体" w:hAnsi="宋体" w:cs="宋体" w:eastAsia="宋体" w:hint="default"/>
          <w:spacing w:val="-58"/>
        </w:rPr>
        <w:t> </w:t>
      </w:r>
      <w:r>
        <w:rPr/>
        <w:t>年</w:t>
      </w:r>
      <w:r>
        <w:rPr>
          <w:spacing w:val="-58"/>
        </w:rPr>
        <w:t> </w:t>
      </w:r>
      <w:r>
        <w:rPr>
          <w:rFonts w:ascii="宋体" w:hAnsi="宋体" w:cs="宋体" w:eastAsia="宋体" w:hint="default"/>
        </w:rPr>
        <w:t>6</w:t>
      </w:r>
      <w:r>
        <w:rPr>
          <w:rFonts w:ascii="宋体" w:hAnsi="宋体" w:cs="宋体" w:eastAsia="宋体" w:hint="default"/>
          <w:spacing w:val="-58"/>
        </w:rPr>
        <w:t> </w:t>
      </w:r>
      <w:r>
        <w:rPr/>
        <w:t>月</w:t>
      </w:r>
      <w:r>
        <w:rPr>
          <w:spacing w:val="-58"/>
        </w:rPr>
        <w:t> </w:t>
      </w:r>
      <w:r>
        <w:rPr>
          <w:rFonts w:ascii="宋体" w:hAnsi="宋体" w:cs="宋体" w:eastAsia="宋体" w:hint="default"/>
        </w:rPr>
        <w:t>4</w:t>
      </w:r>
      <w:r>
        <w:rPr>
          <w:rFonts w:ascii="宋体" w:hAnsi="宋体" w:cs="宋体" w:eastAsia="宋体" w:hint="default"/>
          <w:spacing w:val="-58"/>
        </w:rPr>
        <w:t> </w:t>
      </w:r>
      <w:r>
        <w:rPr>
          <w:spacing w:val="-4"/>
        </w:rPr>
        <w:t>日，公司发布了《公司关于转让北京用友审计软件有限公司部分股</w:t>
      </w:r>
    </w:p>
    <w:p>
      <w:pPr>
        <w:pStyle w:val="BodyText"/>
        <w:spacing w:line="237" w:lineRule="auto" w:before="1"/>
        <w:ind w:left="138" w:right="113"/>
        <w:jc w:val="both"/>
        <w:rPr>
          <w:rFonts w:ascii="宋体" w:hAnsi="宋体" w:cs="宋体" w:eastAsia="宋体" w:hint="default"/>
        </w:rPr>
      </w:pPr>
      <w:r>
        <w:rPr/>
        <w:t>权暨关联交易的公告》，拟以协商价人民币 </w:t>
      </w:r>
      <w:r>
        <w:rPr>
          <w:rFonts w:ascii="宋体" w:hAnsi="宋体" w:cs="宋体" w:eastAsia="宋体" w:hint="default"/>
        </w:rPr>
        <w:t>3290</w:t>
      </w:r>
      <w:r>
        <w:rPr>
          <w:rFonts w:ascii="宋体" w:hAnsi="宋体" w:cs="宋体" w:eastAsia="宋体" w:hint="default"/>
          <w:spacing w:val="-48"/>
        </w:rPr>
        <w:t> </w:t>
      </w:r>
      <w:r>
        <w:rPr/>
        <w:t>万元向北京友卫士科技中心（有限 合伙）转让公司持有的控股子公司北京用友审计软件有限公司</w:t>
      </w:r>
      <w:r>
        <w:rPr>
          <w:spacing w:val="-48"/>
        </w:rPr>
        <w:t> </w:t>
      </w:r>
      <w:r>
        <w:rPr>
          <w:rFonts w:ascii="宋体" w:hAnsi="宋体" w:cs="宋体" w:eastAsia="宋体" w:hint="default"/>
        </w:rPr>
        <w:t>65.8%</w:t>
      </w:r>
      <w:r>
        <w:rPr/>
        <w:t>的股权。截至报 告期末，公司已完成股权过户等手续。</w:t>
      </w:r>
      <w:r>
        <w:rPr>
          <w:rFonts w:ascii="宋体" w:hAnsi="宋体" w:cs="宋体" w:eastAsia="宋体" w:hint="default"/>
        </w:rPr>
        <w:t> </w:t>
      </w:r>
    </w:p>
    <w:p>
      <w:pPr>
        <w:pStyle w:val="BodyText"/>
        <w:spacing w:line="311" w:lineRule="exact"/>
        <w:ind w:left="618" w:right="0"/>
        <w:jc w:val="left"/>
      </w:pPr>
      <w:r>
        <w:rPr>
          <w:rFonts w:ascii="宋体" w:hAnsi="宋体" w:cs="宋体" w:eastAsia="宋体" w:hint="default"/>
        </w:rPr>
        <w:t>2019</w:t>
      </w:r>
      <w:r>
        <w:rPr>
          <w:rFonts w:ascii="宋体" w:hAnsi="宋体" w:cs="宋体" w:eastAsia="宋体" w:hint="default"/>
          <w:spacing w:val="-58"/>
        </w:rPr>
        <w:t> </w:t>
      </w:r>
      <w:r>
        <w:rPr/>
        <w:t>年</w:t>
      </w:r>
      <w:r>
        <w:rPr>
          <w:spacing w:val="-58"/>
        </w:rPr>
        <w:t> </w:t>
      </w:r>
      <w:r>
        <w:rPr>
          <w:rFonts w:ascii="宋体" w:hAnsi="宋体" w:cs="宋体" w:eastAsia="宋体" w:hint="default"/>
        </w:rPr>
        <w:t>7</w:t>
      </w:r>
      <w:r>
        <w:rPr>
          <w:rFonts w:ascii="宋体" w:hAnsi="宋体" w:cs="宋体" w:eastAsia="宋体" w:hint="default"/>
          <w:spacing w:val="-58"/>
        </w:rPr>
        <w:t> </w:t>
      </w:r>
      <w:r>
        <w:rPr/>
        <w:t>月</w:t>
      </w:r>
      <w:r>
        <w:rPr>
          <w:spacing w:val="-58"/>
        </w:rPr>
        <w:t> </w:t>
      </w:r>
      <w:r>
        <w:rPr>
          <w:rFonts w:ascii="宋体" w:hAnsi="宋体" w:cs="宋体" w:eastAsia="宋体" w:hint="default"/>
        </w:rPr>
        <w:t>11</w:t>
      </w:r>
      <w:r>
        <w:rPr>
          <w:rFonts w:ascii="宋体" w:hAnsi="宋体" w:cs="宋体" w:eastAsia="宋体" w:hint="default"/>
          <w:spacing w:val="-57"/>
        </w:rPr>
        <w:t> </w:t>
      </w:r>
      <w:r>
        <w:rPr/>
        <w:t>日，公司发布了《公司关于认购民太安财产保险公估股份有限公</w:t>
      </w:r>
    </w:p>
    <w:p>
      <w:pPr>
        <w:pStyle w:val="BodyText"/>
        <w:spacing w:line="237" w:lineRule="auto" w:before="1"/>
        <w:ind w:left="138" w:right="110"/>
        <w:jc w:val="both"/>
        <w:rPr>
          <w:rFonts w:ascii="宋体" w:hAnsi="宋体" w:cs="宋体" w:eastAsia="宋体" w:hint="default"/>
        </w:rPr>
      </w:pPr>
      <w:r>
        <w:rPr>
          <w:spacing w:val="-3"/>
        </w:rPr>
        <w:t>司增发股份暨关联交易的公告》，以人民币</w:t>
      </w:r>
      <w:r>
        <w:rPr>
          <w:spacing w:val="-56"/>
        </w:rPr>
        <w:t> </w:t>
      </w:r>
      <w:r>
        <w:rPr>
          <w:rFonts w:ascii="宋体" w:hAnsi="宋体" w:cs="宋体" w:eastAsia="宋体" w:hint="default"/>
        </w:rPr>
        <w:t>9,781,239</w:t>
      </w:r>
      <w:r>
        <w:rPr>
          <w:rFonts w:ascii="宋体" w:hAnsi="宋体" w:cs="宋体" w:eastAsia="宋体" w:hint="default"/>
          <w:spacing w:val="-56"/>
        </w:rPr>
        <w:t> </w:t>
      </w:r>
      <w:r>
        <w:rPr/>
        <w:t>元认购民太安财产保险公估股 份有限公司增发股票</w:t>
      </w:r>
      <w:r>
        <w:rPr>
          <w:spacing w:val="-56"/>
        </w:rPr>
        <w:t> </w:t>
      </w:r>
      <w:r>
        <w:rPr>
          <w:rFonts w:ascii="宋体" w:hAnsi="宋体" w:cs="宋体" w:eastAsia="宋体" w:hint="default"/>
        </w:rPr>
        <w:t>3,835,780</w:t>
      </w:r>
      <w:r>
        <w:rPr>
          <w:rFonts w:ascii="宋体" w:hAnsi="宋体" w:cs="宋体" w:eastAsia="宋体" w:hint="default"/>
          <w:spacing w:val="-56"/>
        </w:rPr>
        <w:t> </w:t>
      </w:r>
      <w:r>
        <w:rPr>
          <w:spacing w:val="-7"/>
        </w:rPr>
        <w:t>股，增资完成后，公司合计持有民太安</w:t>
      </w:r>
      <w:r>
        <w:rPr>
          <w:spacing w:val="-55"/>
        </w:rPr>
        <w:t> </w:t>
      </w:r>
      <w:r>
        <w:rPr>
          <w:rFonts w:ascii="宋体" w:hAnsi="宋体" w:cs="宋体" w:eastAsia="宋体" w:hint="default"/>
        </w:rPr>
        <w:t>13.6992%</w:t>
      </w:r>
      <w:r>
        <w:rPr/>
        <w:t>的股 </w:t>
      </w:r>
      <w:r>
        <w:rPr>
          <w:spacing w:val="-2"/>
        </w:rPr>
        <w:t>权。截至报告期末，公司已按照认购协议约定，向民太安财产保险公估股份有限公司</w:t>
      </w:r>
      <w:r>
        <w:rPr>
          <w:spacing w:val="-93"/>
        </w:rPr>
        <w:t> </w:t>
      </w:r>
      <w:r>
        <w:rPr>
          <w:spacing w:val="-93"/>
        </w:rPr>
      </w:r>
      <w:r>
        <w:rPr/>
        <w:t>支付全部认购款，并完成了相关手续。</w:t>
      </w:r>
      <w:r>
        <w:rPr>
          <w:rFonts w:ascii="宋体" w:hAnsi="宋体" w:cs="宋体" w:eastAsia="宋体" w:hint="default"/>
        </w:rPr>
        <w:t> </w:t>
      </w:r>
    </w:p>
    <w:p>
      <w:pPr>
        <w:spacing w:line="240" w:lineRule="auto" w:before="5"/>
        <w:rPr>
          <w:rFonts w:ascii="宋体" w:hAnsi="宋体" w:cs="宋体" w:eastAsia="宋体" w:hint="default"/>
          <w:sz w:val="25"/>
          <w:szCs w:val="25"/>
        </w:rPr>
      </w:pPr>
    </w:p>
    <w:p>
      <w:pPr>
        <w:pStyle w:val="Heading2"/>
        <w:spacing w:line="240" w:lineRule="auto"/>
        <w:ind w:left="138" w:right="0"/>
        <w:jc w:val="both"/>
        <w:rPr>
          <w:rFonts w:ascii="宋体" w:hAnsi="宋体" w:cs="宋体" w:eastAsia="宋体" w:hint="default"/>
          <w:b w:val="0"/>
          <w:bCs w:val="0"/>
        </w:rPr>
      </w:pPr>
      <w:r>
        <w:rPr>
          <w:rFonts w:ascii="宋体" w:hAnsi="宋体" w:cs="宋体" w:eastAsia="宋体" w:hint="default"/>
        </w:rPr>
        <w:t>3</w:t>
      </w:r>
      <w:r>
        <w:rPr/>
        <w:t>、</w:t>
      </w:r>
      <w:r>
        <w:rPr>
          <w:spacing w:val="-65"/>
        </w:rPr>
        <w:t> </w:t>
      </w:r>
      <w:r>
        <w:rPr/>
        <w:t>临时公告未披露的事项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both"/>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after="0" w:line="240" w:lineRule="auto"/>
        <w:jc w:val="both"/>
        <w:sectPr>
          <w:pgSz w:w="11910" w:h="16840"/>
          <w:pgMar w:header="880" w:footer="1195" w:top="1120" w:bottom="1380" w:left="166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73"/>
        <w:ind w:left="138" w:right="0"/>
        <w:jc w:val="left"/>
        <w:rPr>
          <w:rFonts w:ascii="宋体" w:hAnsi="宋体" w:cs="宋体" w:eastAsia="宋体" w:hint="default"/>
          <w:b w:val="0"/>
          <w:bCs w:val="0"/>
        </w:rPr>
      </w:pPr>
      <w:r>
        <w:rPr>
          <w:rFonts w:ascii="宋体" w:hAnsi="宋体" w:cs="宋体" w:eastAsia="宋体" w:hint="default"/>
        </w:rPr>
        <w:t>4</w:t>
      </w:r>
      <w:r>
        <w:rPr/>
        <w:t>、</w:t>
      </w:r>
      <w:r>
        <w:rPr>
          <w:spacing w:val="-65"/>
        </w:rPr>
        <w:t> </w:t>
      </w:r>
      <w:r>
        <w:rPr/>
        <w:t>涉及业绩约定的，应当披露报告期内的业绩实现情况</w:t>
      </w:r>
      <w:r>
        <w:rPr>
          <w:rFonts w:ascii="宋体" w:hAnsi="宋体" w:cs="宋体" w:eastAsia="宋体" w:hint="default"/>
          <w:w w:val="99"/>
        </w:rPr>
        <w:t> </w:t>
      </w:r>
      <w:r>
        <w:rPr>
          <w:rFonts w:ascii="宋体" w:hAnsi="宋体" w:cs="宋体" w:eastAsia="宋体" w:hint="default"/>
          <w:b w:val="0"/>
          <w:bCs w:val="0"/>
        </w:rPr>
      </w:r>
    </w:p>
    <w:p>
      <w:pPr>
        <w:pStyle w:val="BodyText"/>
        <w:tabs>
          <w:tab w:pos="1001" w:val="left" w:leader="none"/>
        </w:tabs>
        <w:spacing w:line="240" w:lineRule="auto" w:before="58"/>
        <w:ind w:left="13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9"/>
        </w:rPr>
        <w:t> </w:t>
      </w:r>
      <w:r>
        <w:rPr/>
        <w:t>共同对外投资的重大关联交易</w:t>
      </w:r>
      <w:r>
        <w:rPr>
          <w:b w:val="0"/>
          <w:bCs w:val="0"/>
        </w:rPr>
      </w:r>
    </w:p>
    <w:p>
      <w:pPr>
        <w:pStyle w:val="Heading2"/>
        <w:spacing w:line="240" w:lineRule="auto" w:before="25"/>
        <w:ind w:left="138" w:right="0"/>
        <w:jc w:val="left"/>
        <w:rPr>
          <w:rFonts w:ascii="宋体" w:hAnsi="宋体" w:cs="宋体" w:eastAsia="宋体" w:hint="default"/>
          <w:b w:val="0"/>
          <w:bCs w:val="0"/>
        </w:rPr>
      </w:pPr>
      <w:r>
        <w:rPr>
          <w:rFonts w:ascii="宋体" w:hAnsi="宋体" w:cs="宋体" w:eastAsia="宋体" w:hint="default"/>
        </w:rPr>
        <w:t>1</w:t>
      </w:r>
      <w:r>
        <w:rPr/>
        <w:t>、</w:t>
      </w:r>
      <w:r>
        <w:rPr>
          <w:spacing w:val="-64"/>
        </w:rPr>
        <w:t> </w:t>
      </w:r>
      <w:r>
        <w:rPr/>
        <w:t>已在临时公告披露且后续实施无进展或变化的事项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rFonts w:ascii="宋体" w:hAnsi="宋体" w:cs="宋体" w:eastAsia="宋体" w:hint="default"/>
          <w:b w:val="0"/>
          <w:bCs w:val="0"/>
        </w:rPr>
      </w:pPr>
      <w:r>
        <w:rPr>
          <w:rFonts w:ascii="宋体" w:hAnsi="宋体" w:cs="宋体" w:eastAsia="宋体" w:hint="default"/>
        </w:rPr>
        <w:t>2</w:t>
      </w:r>
      <w:r>
        <w:rPr/>
        <w:t>、</w:t>
      </w:r>
      <w:r>
        <w:rPr>
          <w:spacing w:val="-64"/>
        </w:rPr>
        <w:t> </w:t>
      </w:r>
      <w:r>
        <w:rPr/>
        <w:t>已在临时公告披露，但有后续实施的进展或变化的事项</w:t>
      </w:r>
      <w:r>
        <w:rPr>
          <w:rFonts w:ascii="宋体" w:hAnsi="宋体" w:cs="宋体" w:eastAsia="宋体" w:hint="default"/>
          <w:w w:val="99"/>
        </w:rPr>
        <w:t> </w:t>
      </w:r>
      <w:r>
        <w:rPr>
          <w:rFonts w:ascii="宋体" w:hAnsi="宋体" w:cs="宋体" w:eastAsia="宋体" w:hint="default"/>
          <w:b w:val="0"/>
          <w:bCs w:val="0"/>
        </w:rPr>
      </w:r>
    </w:p>
    <w:p>
      <w:pPr>
        <w:pStyle w:val="BodyText"/>
        <w:tabs>
          <w:tab w:pos="989" w:val="left" w:leader="none"/>
        </w:tabs>
        <w:spacing w:line="321" w:lineRule="exact" w:before="58"/>
        <w:ind w:left="13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pStyle w:val="BodyText"/>
        <w:spacing w:line="237" w:lineRule="auto"/>
        <w:ind w:left="138" w:right="233" w:firstLine="479"/>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59"/>
        </w:rPr>
        <w:t> </w:t>
      </w:r>
      <w:r>
        <w:rPr/>
        <w:t>年</w:t>
      </w:r>
      <w:r>
        <w:rPr>
          <w:spacing w:val="-59"/>
        </w:rPr>
        <w:t> </w:t>
      </w:r>
      <w:r>
        <w:rPr>
          <w:rFonts w:ascii="宋体" w:hAnsi="宋体" w:cs="宋体" w:eastAsia="宋体" w:hint="default"/>
        </w:rPr>
        <w:t>6</w:t>
      </w:r>
      <w:r>
        <w:rPr>
          <w:rFonts w:ascii="宋体" w:hAnsi="宋体" w:cs="宋体" w:eastAsia="宋体" w:hint="default"/>
          <w:spacing w:val="-59"/>
        </w:rPr>
        <w:t> </w:t>
      </w:r>
      <w:r>
        <w:rPr/>
        <w:t>月</w:t>
      </w:r>
      <w:r>
        <w:rPr>
          <w:spacing w:val="-59"/>
        </w:rPr>
        <w:t> </w:t>
      </w:r>
      <w:r>
        <w:rPr>
          <w:rFonts w:ascii="宋体" w:hAnsi="宋体" w:cs="宋体" w:eastAsia="宋体" w:hint="default"/>
        </w:rPr>
        <w:t>4</w:t>
      </w:r>
      <w:r>
        <w:rPr>
          <w:rFonts w:ascii="宋体" w:hAnsi="宋体" w:cs="宋体" w:eastAsia="宋体" w:hint="default"/>
          <w:spacing w:val="-59"/>
        </w:rPr>
        <w:t> </w:t>
      </w:r>
      <w:r>
        <w:rPr>
          <w:spacing w:val="-4"/>
        </w:rPr>
        <w:t>日，公司发布了《公司关于发起设立用友薪福社云科技有限公司暨</w:t>
      </w:r>
      <w:r>
        <w:rPr/>
        <w:t> </w:t>
      </w:r>
      <w:r>
        <w:rPr>
          <w:spacing w:val="-2"/>
        </w:rPr>
        <w:t>关联交易的公告》，拟与北京钜人有福投资中心（有限合伙）以及北京聚贤汇才投资</w:t>
      </w:r>
      <w:r>
        <w:rPr>
          <w:spacing w:val="-94"/>
        </w:rPr>
        <w:t> </w:t>
      </w:r>
      <w:r>
        <w:rPr>
          <w:spacing w:val="-94"/>
        </w:rPr>
      </w:r>
      <w:r>
        <w:rPr>
          <w:spacing w:val="-2"/>
        </w:rPr>
        <w:t>中心（有限合伙）共同发起设立用友薪福社云科技有限公司。截至报告期末，用友薪</w:t>
      </w:r>
      <w:r>
        <w:rPr>
          <w:spacing w:val="-94"/>
        </w:rPr>
        <w:t> </w:t>
      </w:r>
      <w:r>
        <w:rPr>
          <w:spacing w:val="-94"/>
        </w:rPr>
      </w:r>
      <w:r>
        <w:rPr/>
        <w:t>福社云科技有限公司设立，注册资本为人民币</w:t>
      </w:r>
      <w:r>
        <w:rPr>
          <w:spacing w:val="-60"/>
        </w:rPr>
        <w:t> </w:t>
      </w:r>
      <w:r>
        <w:rPr>
          <w:rFonts w:ascii="宋体" w:hAnsi="宋体" w:cs="宋体" w:eastAsia="宋体" w:hint="default"/>
        </w:rPr>
        <w:t>5000</w:t>
      </w:r>
      <w:r>
        <w:rPr>
          <w:rFonts w:ascii="宋体" w:hAnsi="宋体" w:cs="宋体" w:eastAsia="宋体" w:hint="default"/>
          <w:spacing w:val="-60"/>
        </w:rPr>
        <w:t> </w:t>
      </w:r>
      <w:r>
        <w:rPr/>
        <w:t>万元，公司持股</w:t>
      </w:r>
      <w:r>
        <w:rPr>
          <w:spacing w:val="-60"/>
        </w:rPr>
        <w:t> </w:t>
      </w:r>
      <w:r>
        <w:rPr>
          <w:rFonts w:ascii="宋体" w:hAnsi="宋体" w:cs="宋体" w:eastAsia="宋体" w:hint="default"/>
        </w:rPr>
        <w:t>75%</w:t>
      </w:r>
      <w:r>
        <w:rPr/>
        <w:t>。</w:t>
      </w:r>
      <w:r>
        <w:rPr>
          <w:rFonts w:ascii="宋体" w:hAnsi="宋体" w:cs="宋体" w:eastAsia="宋体" w:hint="default"/>
        </w:rPr>
        <w:t> </w:t>
      </w:r>
    </w:p>
    <w:p>
      <w:pPr>
        <w:pStyle w:val="BodyText"/>
        <w:spacing w:line="237" w:lineRule="auto" w:before="1"/>
        <w:ind w:left="138" w:right="112" w:firstLine="479"/>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11</w:t>
      </w:r>
      <w:r>
        <w:rPr>
          <w:rFonts w:ascii="宋体" w:hAnsi="宋体" w:cs="宋体" w:eastAsia="宋体" w:hint="default"/>
          <w:spacing w:val="-60"/>
        </w:rPr>
        <w:t> </w:t>
      </w:r>
      <w:r>
        <w:rPr/>
        <w:t>月</w:t>
      </w:r>
      <w:r>
        <w:rPr>
          <w:spacing w:val="-60"/>
        </w:rPr>
        <w:t> </w:t>
      </w:r>
      <w:r>
        <w:rPr>
          <w:rFonts w:ascii="宋体" w:hAnsi="宋体" w:cs="宋体" w:eastAsia="宋体" w:hint="default"/>
        </w:rPr>
        <w:t>26</w:t>
      </w:r>
      <w:r>
        <w:rPr>
          <w:rFonts w:ascii="宋体" w:hAnsi="宋体" w:cs="宋体" w:eastAsia="宋体" w:hint="default"/>
          <w:spacing w:val="-60"/>
        </w:rPr>
        <w:t> </w:t>
      </w:r>
      <w:r>
        <w:rPr>
          <w:spacing w:val="-4"/>
        </w:rPr>
        <w:t>日，公司发布了《公司关于发起设立友泰（北京）商务服务有限</w:t>
      </w:r>
      <w:r>
        <w:rPr/>
        <w:t> 公司暨关联交易的公告》，拟与控股子公司用友优普信息技术有限公司以及北京精诚 至胜科技中心（有限合伙）共同发起设立友泰（北京）商务服务有限公司。截至报告 </w:t>
      </w:r>
      <w:r>
        <w:rPr>
          <w:spacing w:val="-1"/>
        </w:rPr>
        <w:t>期末，友泰（北京）商务服务有限公司设立，注册资本为</w:t>
      </w:r>
      <w:r>
        <w:rPr>
          <w:spacing w:val="-53"/>
        </w:rPr>
        <w:t> </w:t>
      </w:r>
      <w:r>
        <w:rPr>
          <w:rFonts w:ascii="宋体" w:hAnsi="宋体" w:cs="宋体" w:eastAsia="宋体" w:hint="default"/>
        </w:rPr>
        <w:t>4725</w:t>
      </w:r>
      <w:r>
        <w:rPr>
          <w:rFonts w:ascii="宋体" w:hAnsi="宋体" w:cs="宋体" w:eastAsia="宋体" w:hint="default"/>
          <w:spacing w:val="-53"/>
        </w:rPr>
        <w:t> </w:t>
      </w:r>
      <w:r>
        <w:rPr/>
        <w:t>万元，公司持股</w:t>
      </w:r>
      <w:r>
        <w:rPr>
          <w:spacing w:val="-49"/>
        </w:rPr>
        <w:t> </w:t>
      </w:r>
      <w:r>
        <w:rPr>
          <w:rFonts w:ascii="宋体" w:hAnsi="宋体" w:cs="宋体" w:eastAsia="宋体" w:hint="default"/>
          <w:spacing w:val="-28"/>
        </w:rPr>
        <w:t>70%</w:t>
      </w:r>
      <w:r>
        <w:rPr>
          <w:spacing w:val="-28"/>
        </w:rPr>
        <w:t>。</w:t>
      </w:r>
      <w:r>
        <w:rPr>
          <w:rFonts w:ascii="宋体" w:hAnsi="宋体" w:cs="宋体" w:eastAsia="宋体" w:hint="default"/>
        </w:rPr>
        <w:t> </w:t>
      </w:r>
    </w:p>
    <w:p>
      <w:pPr>
        <w:spacing w:line="240" w:lineRule="auto" w:before="7"/>
        <w:rPr>
          <w:rFonts w:ascii="宋体" w:hAnsi="宋体" w:cs="宋体" w:eastAsia="宋体" w:hint="default"/>
          <w:sz w:val="25"/>
          <w:szCs w:val="25"/>
        </w:rPr>
      </w:pPr>
    </w:p>
    <w:p>
      <w:pPr>
        <w:pStyle w:val="Heading2"/>
        <w:spacing w:line="240" w:lineRule="auto"/>
        <w:ind w:left="138" w:right="0"/>
        <w:jc w:val="left"/>
        <w:rPr>
          <w:rFonts w:ascii="宋体" w:hAnsi="宋体" w:cs="宋体" w:eastAsia="宋体" w:hint="default"/>
          <w:b w:val="0"/>
          <w:bCs w:val="0"/>
        </w:rPr>
      </w:pPr>
      <w:r>
        <w:rPr>
          <w:rFonts w:ascii="宋体" w:hAnsi="宋体" w:cs="宋体" w:eastAsia="宋体" w:hint="default"/>
        </w:rPr>
        <w:t>3</w:t>
      </w:r>
      <w:r>
        <w:rPr/>
        <w:t>、</w:t>
      </w:r>
      <w:r>
        <w:rPr>
          <w:spacing w:val="-65"/>
        </w:rPr>
        <w:t> </w:t>
      </w:r>
      <w:r>
        <w:rPr/>
        <w:t>临时公告未披露的事项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b w:val="0"/>
          <w:bCs w:val="0"/>
        </w:rPr>
      </w:pPr>
      <w:r>
        <w:rPr>
          <w:rFonts w:ascii="Calibri" w:hAnsi="Calibri" w:cs="Calibri" w:eastAsia="Calibri" w:hint="default"/>
        </w:rPr>
        <w:t>(</w:t>
      </w:r>
      <w:r>
        <w:rPr/>
        <w:t>四</w:t>
      </w:r>
      <w:r>
        <w:rPr>
          <w:rFonts w:ascii="Calibri" w:hAnsi="Calibri" w:cs="Calibri" w:eastAsia="Calibri" w:hint="default"/>
        </w:rPr>
        <w:t>)</w:t>
      </w:r>
      <w:r>
        <w:rPr>
          <w:rFonts w:ascii="Calibri" w:hAnsi="Calibri" w:cs="Calibri" w:eastAsia="Calibri" w:hint="default"/>
          <w:spacing w:val="-28"/>
        </w:rPr>
        <w:t> </w:t>
      </w:r>
      <w:r>
        <w:rPr/>
        <w:t>关联债权债务往来</w:t>
      </w:r>
      <w:r>
        <w:rPr>
          <w:b w:val="0"/>
          <w:bCs w:val="0"/>
        </w:rPr>
      </w:r>
    </w:p>
    <w:p>
      <w:pPr>
        <w:pStyle w:val="Heading2"/>
        <w:spacing w:line="240" w:lineRule="auto" w:before="27"/>
        <w:ind w:left="138" w:right="0"/>
        <w:jc w:val="left"/>
        <w:rPr>
          <w:rFonts w:ascii="宋体" w:hAnsi="宋体" w:cs="宋体" w:eastAsia="宋体" w:hint="default"/>
          <w:b w:val="0"/>
          <w:bCs w:val="0"/>
        </w:rPr>
      </w:pPr>
      <w:r>
        <w:rPr>
          <w:rFonts w:ascii="宋体" w:hAnsi="宋体" w:cs="宋体" w:eastAsia="宋体" w:hint="default"/>
        </w:rPr>
        <w:t>1</w:t>
      </w:r>
      <w:r>
        <w:rPr/>
        <w:t>、</w:t>
      </w:r>
      <w:r>
        <w:rPr>
          <w:spacing w:val="-64"/>
        </w:rPr>
        <w:t> </w:t>
      </w:r>
      <w:r>
        <w:rPr/>
        <w:t>已在临时公告披露且后续实施无进展或变化的事项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rFonts w:ascii="宋体" w:hAnsi="宋体" w:cs="宋体" w:eastAsia="宋体" w:hint="default"/>
          <w:b w:val="0"/>
          <w:bCs w:val="0"/>
        </w:rPr>
      </w:pPr>
      <w:r>
        <w:rPr>
          <w:rFonts w:ascii="宋体" w:hAnsi="宋体" w:cs="宋体" w:eastAsia="宋体" w:hint="default"/>
        </w:rPr>
        <w:t>2</w:t>
      </w:r>
      <w:r>
        <w:rPr/>
        <w:t>、</w:t>
      </w:r>
      <w:r>
        <w:rPr>
          <w:spacing w:val="-64"/>
        </w:rPr>
        <w:t> </w:t>
      </w:r>
      <w:r>
        <w:rPr/>
        <w:t>已在临时公告披露，但有后续实施的进展或变化的事项</w:t>
      </w:r>
      <w:r>
        <w:rPr>
          <w:rFonts w:ascii="宋体" w:hAnsi="宋体" w:cs="宋体" w:eastAsia="宋体" w:hint="default"/>
          <w:w w:val="99"/>
        </w:rPr>
        <w:t> </w:t>
      </w:r>
      <w:r>
        <w:rPr>
          <w:rFonts w:ascii="宋体" w:hAnsi="宋体" w:cs="宋体" w:eastAsia="宋体" w:hint="default"/>
          <w:b w:val="0"/>
          <w:bCs w:val="0"/>
        </w:rPr>
      </w:r>
    </w:p>
    <w:p>
      <w:pPr>
        <w:pStyle w:val="BodyText"/>
        <w:tabs>
          <w:tab w:pos="1001" w:val="left" w:leader="none"/>
        </w:tabs>
        <w:spacing w:line="240" w:lineRule="auto" w:before="58"/>
        <w:ind w:left="13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spacing w:line="240" w:lineRule="auto"/>
        <w:ind w:left="138" w:right="0"/>
        <w:jc w:val="left"/>
        <w:rPr>
          <w:rFonts w:ascii="宋体" w:hAnsi="宋体" w:cs="宋体" w:eastAsia="宋体" w:hint="default"/>
          <w:b w:val="0"/>
          <w:bCs w:val="0"/>
        </w:rPr>
      </w:pPr>
      <w:r>
        <w:rPr>
          <w:rFonts w:ascii="宋体" w:hAnsi="宋体" w:cs="宋体" w:eastAsia="宋体" w:hint="default"/>
        </w:rPr>
        <w:t>3</w:t>
      </w:r>
      <w:r>
        <w:rPr/>
        <w:t>、</w:t>
      </w:r>
      <w:r>
        <w:rPr>
          <w:spacing w:val="-65"/>
        </w:rPr>
        <w:t> </w:t>
      </w:r>
      <w:r>
        <w:rPr/>
        <w:t>临时公告未披露的事项</w:t>
      </w:r>
      <w:r>
        <w:rPr>
          <w:rFonts w:ascii="宋体" w:hAnsi="宋体" w:cs="宋体" w:eastAsia="宋体" w:hint="default"/>
          <w:w w:val="99"/>
        </w:rPr>
        <w:t> </w:t>
      </w:r>
      <w:r>
        <w:rPr>
          <w:rFonts w:ascii="宋体" w:hAnsi="宋体" w:cs="宋体" w:eastAsia="宋体" w:hint="default"/>
          <w:b w:val="0"/>
          <w:bCs w:val="0"/>
        </w:rPr>
      </w:r>
    </w:p>
    <w:p>
      <w:pPr>
        <w:pStyle w:val="BodyText"/>
        <w:spacing w:line="322" w:lineRule="exact" w:before="58"/>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pStyle w:val="BodyText"/>
        <w:spacing w:line="304" w:lineRule="exact"/>
        <w:ind w:left="138" w:right="0"/>
        <w:jc w:val="left"/>
        <w:rPr>
          <w:rFonts w:ascii="宋体" w:hAnsi="宋体" w:cs="宋体" w:eastAsia="宋体" w:hint="default"/>
        </w:rPr>
      </w:pPr>
      <w:r>
        <w:rPr>
          <w:rFonts w:ascii="宋体"/>
        </w:rPr>
        <w:t> </w:t>
      </w:r>
    </w:p>
    <w:p>
      <w:pPr>
        <w:pStyle w:val="Heading2"/>
        <w:spacing w:line="240" w:lineRule="auto" w:before="58"/>
        <w:ind w:left="138" w:right="0"/>
        <w:jc w:val="left"/>
        <w:rPr>
          <w:b w:val="0"/>
          <w:bCs w:val="0"/>
        </w:rPr>
      </w:pPr>
      <w:r>
        <w:rPr>
          <w:rFonts w:ascii="Calibri" w:hAnsi="Calibri" w:cs="Calibri" w:eastAsia="Calibri" w:hint="default"/>
        </w:rPr>
        <w:t>(</w:t>
      </w:r>
      <w:r>
        <w:rPr/>
        <w:t>五</w:t>
      </w:r>
      <w:r>
        <w:rPr>
          <w:rFonts w:ascii="Calibri" w:hAnsi="Calibri" w:cs="Calibri" w:eastAsia="Calibri" w:hint="default"/>
        </w:rPr>
        <w:t>)</w:t>
      </w:r>
      <w:r>
        <w:rPr>
          <w:rFonts w:ascii="Calibri" w:hAnsi="Calibri" w:cs="Calibri" w:eastAsia="Calibri" w:hint="default"/>
          <w:spacing w:val="-24"/>
        </w:rPr>
        <w:t> </w:t>
      </w:r>
      <w:r>
        <w:rPr/>
        <w:t>其他</w:t>
      </w:r>
      <w:r>
        <w:rPr>
          <w:b w:val="0"/>
          <w:bCs w:val="0"/>
        </w:rPr>
      </w:r>
    </w:p>
    <w:p>
      <w:pPr>
        <w:pStyle w:val="BodyText"/>
        <w:tabs>
          <w:tab w:pos="1001" w:val="left" w:leader="none"/>
        </w:tabs>
        <w:spacing w:line="240" w:lineRule="auto" w:before="25"/>
        <w:ind w:left="13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tabs>
          <w:tab w:pos="977" w:val="left" w:leader="none"/>
        </w:tabs>
        <w:spacing w:line="283" w:lineRule="auto"/>
        <w:ind w:left="138" w:right="5817"/>
        <w:jc w:val="left"/>
        <w:rPr>
          <w:rFonts w:ascii="宋体" w:hAnsi="宋体" w:cs="宋体" w:eastAsia="宋体" w:hint="default"/>
          <w:b w:val="0"/>
          <w:bCs w:val="0"/>
        </w:rPr>
      </w:pPr>
      <w:r>
        <w:rPr/>
        <w:t>十五、重大合同及其履行情况</w:t>
      </w:r>
      <w:r>
        <w:rPr>
          <w:w w:val="99"/>
        </w:rPr>
        <w:t> </w:t>
      </w:r>
      <w:r>
        <w:rPr>
          <w:rFonts w:ascii="宋体" w:hAnsi="宋体" w:cs="宋体" w:eastAsia="宋体" w:hint="default"/>
          <w:w w:val="95"/>
        </w:rPr>
        <w:t>(</w:t>
      </w:r>
      <w:r>
        <w:rPr>
          <w:w w:val="95"/>
        </w:rPr>
        <w:t>一</w:t>
      </w:r>
      <w:r>
        <w:rPr>
          <w:rFonts w:ascii="宋体" w:hAnsi="宋体" w:cs="宋体" w:eastAsia="宋体" w:hint="default"/>
          <w:w w:val="95"/>
        </w:rPr>
        <w:t>)</w:t>
        <w:tab/>
      </w:r>
      <w:r>
        <w:rPr/>
        <w:t>托管、承包、租赁事项</w:t>
      </w:r>
      <w:r>
        <w:rPr>
          <w:w w:val="99"/>
        </w:rPr>
        <w:t> </w:t>
      </w:r>
      <w:r>
        <w:rPr>
          <w:rFonts w:ascii="宋体" w:hAnsi="宋体" w:cs="宋体" w:eastAsia="宋体" w:hint="default"/>
        </w:rPr>
        <w:t>1</w:t>
      </w:r>
      <w:r>
        <w:rPr/>
        <w:t>、</w:t>
      </w:r>
      <w:r>
        <w:rPr>
          <w:spacing w:val="-64"/>
        </w:rPr>
        <w:t> </w:t>
      </w:r>
      <w:r>
        <w:rPr/>
        <w:t>托管情况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after="0" w:line="240" w:lineRule="auto"/>
        <w:jc w:val="left"/>
        <w:sectPr>
          <w:pgSz w:w="11910" w:h="16840"/>
          <w:pgMar w:header="880" w:footer="1195" w:top="1120" w:bottom="1380" w:left="1660" w:right="1040"/>
        </w:sectPr>
      </w:pPr>
    </w:p>
    <w:p>
      <w:pPr>
        <w:spacing w:line="240" w:lineRule="auto" w:before="8"/>
        <w:rPr>
          <w:rFonts w:ascii="宋体" w:hAnsi="宋体" w:cs="宋体" w:eastAsia="宋体" w:hint="default"/>
          <w:sz w:val="25"/>
          <w:szCs w:val="25"/>
        </w:rPr>
      </w:pPr>
    </w:p>
    <w:p>
      <w:pPr>
        <w:pStyle w:val="Heading2"/>
        <w:spacing w:line="240" w:lineRule="auto" w:before="26"/>
        <w:ind w:left="138" w:right="0"/>
        <w:jc w:val="left"/>
        <w:rPr>
          <w:rFonts w:ascii="宋体" w:hAnsi="宋体" w:cs="宋体" w:eastAsia="宋体" w:hint="default"/>
          <w:b w:val="0"/>
          <w:bCs w:val="0"/>
        </w:rPr>
      </w:pPr>
      <w:r>
        <w:rPr>
          <w:rFonts w:ascii="宋体" w:hAnsi="宋体" w:cs="宋体" w:eastAsia="宋体" w:hint="default"/>
        </w:rPr>
        <w:t>2</w:t>
      </w:r>
      <w:r>
        <w:rPr/>
        <w:t>、</w:t>
      </w:r>
      <w:r>
        <w:rPr>
          <w:spacing w:val="-64"/>
        </w:rPr>
        <w:t> </w:t>
      </w:r>
      <w:r>
        <w:rPr/>
        <w:t>承包情况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rFonts w:ascii="宋体" w:hAnsi="宋体" w:cs="宋体" w:eastAsia="宋体" w:hint="default"/>
          <w:b w:val="0"/>
          <w:bCs w:val="0"/>
        </w:rPr>
      </w:pPr>
      <w:r>
        <w:rPr>
          <w:rFonts w:ascii="宋体" w:hAnsi="宋体" w:cs="宋体" w:eastAsia="宋体" w:hint="default"/>
        </w:rPr>
        <w:t>3</w:t>
      </w:r>
      <w:r>
        <w:rPr/>
        <w:t>、</w:t>
      </w:r>
      <w:r>
        <w:rPr>
          <w:spacing w:val="-64"/>
        </w:rPr>
        <w:t> </w:t>
      </w:r>
      <w:r>
        <w:rPr/>
        <w:t>租赁情况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0" w:footer="1195" w:top="1120" w:bottom="1380" w:left="1660" w:right="1120"/>
        </w:sectPr>
      </w:pPr>
    </w:p>
    <w:p>
      <w:pPr>
        <w:pStyle w:val="Heading2"/>
        <w:tabs>
          <w:tab w:pos="977" w:val="left" w:leader="none"/>
        </w:tabs>
        <w:spacing w:line="240" w:lineRule="auto" w:before="26"/>
        <w:ind w:left="138" w:right="-19"/>
        <w:jc w:val="left"/>
        <w:rPr>
          <w:b w:val="0"/>
          <w:bCs w:val="0"/>
        </w:rPr>
      </w:pPr>
      <w:bookmarkStart w:name="OLE_LINK2" w:id="6"/>
      <w:bookmarkEnd w:id="6"/>
      <w:r>
        <w:rPr>
          <w:b w:val="0"/>
          <w:bCs w:val="0"/>
        </w:rPr>
      </w:r>
      <w:bookmarkStart w:name="OLE_LINK3" w:id="7"/>
      <w:bookmarkEnd w:id="7"/>
      <w:r>
        <w:rPr>
          <w:b w:val="0"/>
          <w:bCs w:val="0"/>
        </w:rPr>
      </w:r>
      <w:r>
        <w:rPr>
          <w:rFonts w:ascii="宋体" w:hAnsi="宋体" w:cs="宋体" w:eastAsia="宋体" w:hint="default"/>
          <w:w w:val="95"/>
        </w:rPr>
        <w:t>(</w:t>
      </w:r>
      <w:r>
        <w:rPr>
          <w:w w:val="95"/>
        </w:rPr>
        <w:t>二</w:t>
      </w:r>
      <w:r>
        <w:rPr>
          <w:rFonts w:ascii="宋体" w:hAnsi="宋体" w:cs="宋体" w:eastAsia="宋体" w:hint="default"/>
          <w:w w:val="95"/>
        </w:rPr>
        <w:t>)</w:t>
        <w:tab/>
      </w:r>
      <w:r>
        <w:rPr/>
        <w:t>担保情况</w:t>
      </w:r>
      <w:r>
        <w:rPr>
          <w:b w:val="0"/>
          <w:bCs w:val="0"/>
        </w:rPr>
      </w:r>
    </w:p>
    <w:p>
      <w:pPr>
        <w:pStyle w:val="BodyText"/>
        <w:spacing w:line="240" w:lineRule="auto" w:before="58"/>
        <w:ind w:left="138" w:right="-19"/>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285" w:val="left" w:leader="none"/>
        </w:tabs>
        <w:spacing w:line="240" w:lineRule="auto"/>
        <w:ind w:left="138" w:right="0"/>
        <w:jc w:val="left"/>
      </w:pPr>
      <w:r>
        <w:rPr/>
        <w:t>单位</w:t>
      </w:r>
      <w:r>
        <w:rPr>
          <w:rFonts w:ascii="Times New Roman" w:hAnsi="Times New Roman" w:cs="Times New Roman" w:eastAsia="Times New Roman" w:hint="default"/>
        </w:rPr>
        <w:t>:  </w:t>
      </w:r>
      <w:r>
        <w:rPr/>
        <w:t>元</w:t>
        <w:tab/>
        <w:t>币种</w:t>
      </w:r>
      <w:r>
        <w:rPr>
          <w:rFonts w:ascii="Times New Roman" w:hAnsi="Times New Roman" w:cs="Times New Roman" w:eastAsia="Times New Roman" w:hint="default"/>
        </w:rPr>
        <w:t>:  </w:t>
      </w:r>
      <w:r>
        <w:rPr/>
        <w:t>人民币</w:t>
      </w:r>
    </w:p>
    <w:p>
      <w:pPr>
        <w:spacing w:after="0" w:line="240" w:lineRule="auto"/>
        <w:jc w:val="left"/>
        <w:sectPr>
          <w:type w:val="continuous"/>
          <w:pgSz w:w="11910" w:h="16840"/>
          <w:pgMar w:top="1120" w:bottom="1380" w:left="1660" w:right="1120"/>
          <w:cols w:num="2" w:equalWidth="0">
            <w:col w:w="1943" w:space="4356"/>
            <w:col w:w="2831"/>
          </w:cols>
        </w:sectPr>
      </w:pPr>
    </w:p>
    <w:tbl>
      <w:tblPr>
        <w:tblW w:w="0" w:type="auto"/>
        <w:jc w:val="left"/>
        <w:tblInd w:w="102" w:type="dxa"/>
        <w:tblLayout w:type="fixed"/>
        <w:tblCellMar>
          <w:top w:w="0" w:type="dxa"/>
          <w:left w:w="0" w:type="dxa"/>
          <w:bottom w:w="0" w:type="dxa"/>
          <w:right w:w="0" w:type="dxa"/>
        </w:tblCellMar>
        <w:tblLook w:val="01E0"/>
      </w:tblPr>
      <w:tblGrid>
        <w:gridCol w:w="619"/>
        <w:gridCol w:w="626"/>
        <w:gridCol w:w="626"/>
        <w:gridCol w:w="701"/>
        <w:gridCol w:w="626"/>
        <w:gridCol w:w="624"/>
        <w:gridCol w:w="624"/>
        <w:gridCol w:w="624"/>
        <w:gridCol w:w="626"/>
        <w:gridCol w:w="626"/>
        <w:gridCol w:w="698"/>
        <w:gridCol w:w="627"/>
        <w:gridCol w:w="626"/>
        <w:gridCol w:w="619"/>
      </w:tblGrid>
      <w:tr>
        <w:trPr>
          <w:trHeight w:val="322" w:hRule="exact"/>
        </w:trPr>
        <w:tc>
          <w:tcPr>
            <w:tcW w:w="889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042" w:right="0"/>
              <w:jc w:val="left"/>
              <w:rPr>
                <w:rFonts w:ascii="宋体" w:hAnsi="宋体" w:cs="宋体" w:eastAsia="宋体" w:hint="default"/>
                <w:sz w:val="24"/>
                <w:szCs w:val="24"/>
              </w:rPr>
            </w:pPr>
            <w:r>
              <w:rPr>
                <w:rFonts w:ascii="宋体" w:hAnsi="宋体" w:cs="宋体" w:eastAsia="宋体" w:hint="default"/>
                <w:sz w:val="24"/>
                <w:szCs w:val="24"/>
              </w:rPr>
              <w:t>公司对外担保情况（不包括对子公司的担保）</w:t>
            </w:r>
          </w:p>
        </w:tc>
      </w:tr>
      <w:tr>
        <w:trPr>
          <w:trHeight w:val="1877"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310" w:lineRule="exact"/>
              <w:ind w:left="184" w:right="62" w:hanging="120"/>
              <w:jc w:val="left"/>
              <w:rPr>
                <w:rFonts w:ascii="宋体" w:hAnsi="宋体" w:cs="宋体" w:eastAsia="宋体" w:hint="default"/>
                <w:sz w:val="24"/>
                <w:szCs w:val="24"/>
              </w:rPr>
            </w:pPr>
            <w:r>
              <w:rPr>
                <w:rFonts w:ascii="宋体" w:hAnsi="宋体" w:cs="宋体" w:eastAsia="宋体" w:hint="default"/>
                <w:sz w:val="24"/>
                <w:szCs w:val="24"/>
              </w:rPr>
              <w:t>担保 方</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67" w:right="0"/>
              <w:jc w:val="both"/>
              <w:rPr>
                <w:rFonts w:ascii="宋体" w:hAnsi="宋体" w:cs="宋体" w:eastAsia="宋体" w:hint="default"/>
                <w:sz w:val="24"/>
                <w:szCs w:val="24"/>
              </w:rPr>
            </w:pPr>
            <w:r>
              <w:rPr>
                <w:rFonts w:ascii="宋体" w:hAnsi="宋体" w:cs="宋体" w:eastAsia="宋体" w:hint="default"/>
                <w:sz w:val="24"/>
                <w:szCs w:val="24"/>
              </w:rPr>
              <w:t>担保</w:t>
            </w:r>
          </w:p>
          <w:p>
            <w:pPr>
              <w:pStyle w:val="TableParagraph"/>
              <w:spacing w:line="237" w:lineRule="auto" w:before="2"/>
              <w:ind w:left="67" w:right="67"/>
              <w:jc w:val="both"/>
              <w:rPr>
                <w:rFonts w:ascii="宋体" w:hAnsi="宋体" w:cs="宋体" w:eastAsia="宋体" w:hint="default"/>
                <w:sz w:val="24"/>
                <w:szCs w:val="24"/>
              </w:rPr>
            </w:pPr>
            <w:r>
              <w:rPr>
                <w:rFonts w:ascii="宋体" w:hAnsi="宋体" w:cs="宋体" w:eastAsia="宋体" w:hint="default"/>
                <w:sz w:val="24"/>
                <w:szCs w:val="24"/>
              </w:rPr>
              <w:t>方与 上市 公司 的关 系</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310" w:lineRule="exact"/>
              <w:ind w:left="67" w:right="67"/>
              <w:jc w:val="left"/>
              <w:rPr>
                <w:rFonts w:ascii="宋体" w:hAnsi="宋体" w:cs="宋体" w:eastAsia="宋体" w:hint="default"/>
                <w:sz w:val="24"/>
                <w:szCs w:val="24"/>
              </w:rPr>
            </w:pPr>
            <w:r>
              <w:rPr>
                <w:rFonts w:ascii="宋体" w:hAnsi="宋体" w:cs="宋体" w:eastAsia="宋体" w:hint="default"/>
                <w:sz w:val="24"/>
                <w:szCs w:val="24"/>
              </w:rPr>
              <w:t>被担 保方</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310" w:lineRule="exact"/>
              <w:ind w:left="103" w:right="106"/>
              <w:jc w:val="left"/>
              <w:rPr>
                <w:rFonts w:ascii="宋体" w:hAnsi="宋体" w:cs="宋体" w:eastAsia="宋体" w:hint="default"/>
                <w:sz w:val="24"/>
                <w:szCs w:val="24"/>
              </w:rPr>
            </w:pPr>
            <w:r>
              <w:rPr>
                <w:rFonts w:ascii="宋体" w:hAnsi="宋体" w:cs="宋体" w:eastAsia="宋体" w:hint="default"/>
                <w:sz w:val="24"/>
                <w:szCs w:val="24"/>
              </w:rPr>
              <w:t>担保 金额</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67" w:right="0"/>
              <w:jc w:val="both"/>
              <w:rPr>
                <w:rFonts w:ascii="宋体" w:hAnsi="宋体" w:cs="宋体" w:eastAsia="宋体" w:hint="default"/>
                <w:sz w:val="24"/>
                <w:szCs w:val="24"/>
              </w:rPr>
            </w:pPr>
            <w:r>
              <w:rPr>
                <w:rFonts w:ascii="宋体" w:hAnsi="宋体" w:cs="宋体" w:eastAsia="宋体" w:hint="default"/>
                <w:sz w:val="24"/>
                <w:szCs w:val="24"/>
              </w:rPr>
              <w:t>担保</w:t>
            </w:r>
          </w:p>
          <w:p>
            <w:pPr>
              <w:pStyle w:val="TableParagraph"/>
              <w:spacing w:line="235" w:lineRule="auto" w:before="5"/>
              <w:ind w:left="26" w:right="29" w:firstLine="40"/>
              <w:jc w:val="both"/>
              <w:rPr>
                <w:rFonts w:ascii="Times New Roman" w:hAnsi="Times New Roman" w:cs="Times New Roman" w:eastAsia="Times New Roman" w:hint="default"/>
                <w:sz w:val="24"/>
                <w:szCs w:val="24"/>
              </w:rPr>
            </w:pPr>
            <w:r>
              <w:rPr>
                <w:rFonts w:ascii="宋体" w:hAnsi="宋体" w:cs="宋体" w:eastAsia="宋体" w:hint="default"/>
                <w:sz w:val="24"/>
                <w:szCs w:val="24"/>
              </w:rPr>
              <w:t>发生 日期 </w:t>
            </w:r>
            <w:r>
              <w:rPr>
                <w:rFonts w:ascii="Times New Roman" w:hAnsi="Times New Roman" w:cs="Times New Roman" w:eastAsia="Times New Roman" w:hint="default"/>
                <w:sz w:val="24"/>
                <w:szCs w:val="24"/>
              </w:rPr>
              <w:t>(</w:t>
            </w:r>
            <w:r>
              <w:rPr>
                <w:rFonts w:ascii="宋体" w:hAnsi="宋体" w:cs="宋体" w:eastAsia="宋体" w:hint="default"/>
                <w:sz w:val="24"/>
                <w:szCs w:val="24"/>
              </w:rPr>
              <w:t>协议 签署 日</w:t>
            </w:r>
            <w:r>
              <w:rPr>
                <w:rFonts w:ascii="Times New Roman" w:hAnsi="Times New Roman" w:cs="Times New Roman" w:eastAsia="Times New Roman" w:hint="default"/>
                <w:sz w:val="24"/>
                <w:szCs w:val="24"/>
              </w:rPr>
              <w:t>)</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32"/>
                <w:szCs w:val="32"/>
              </w:rPr>
            </w:pPr>
          </w:p>
          <w:p>
            <w:pPr>
              <w:pStyle w:val="TableParagraph"/>
              <w:spacing w:line="237" w:lineRule="auto"/>
              <w:ind w:left="64" w:right="67"/>
              <w:jc w:val="both"/>
              <w:rPr>
                <w:rFonts w:ascii="宋体" w:hAnsi="宋体" w:cs="宋体" w:eastAsia="宋体" w:hint="default"/>
                <w:sz w:val="24"/>
                <w:szCs w:val="24"/>
              </w:rPr>
            </w:pPr>
            <w:r>
              <w:rPr>
                <w:rFonts w:ascii="宋体" w:hAnsi="宋体" w:cs="宋体" w:eastAsia="宋体" w:hint="default"/>
                <w:sz w:val="24"/>
                <w:szCs w:val="24"/>
              </w:rPr>
              <w:t>担保 起始 日</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32"/>
                <w:szCs w:val="32"/>
              </w:rPr>
            </w:pPr>
          </w:p>
          <w:p>
            <w:pPr>
              <w:pStyle w:val="TableParagraph"/>
              <w:spacing w:line="237" w:lineRule="auto"/>
              <w:ind w:left="64" w:right="67"/>
              <w:jc w:val="both"/>
              <w:rPr>
                <w:rFonts w:ascii="宋体" w:hAnsi="宋体" w:cs="宋体" w:eastAsia="宋体" w:hint="default"/>
                <w:sz w:val="24"/>
                <w:szCs w:val="24"/>
              </w:rPr>
            </w:pPr>
            <w:r>
              <w:rPr>
                <w:rFonts w:ascii="宋体" w:hAnsi="宋体" w:cs="宋体" w:eastAsia="宋体" w:hint="default"/>
                <w:sz w:val="24"/>
                <w:szCs w:val="24"/>
              </w:rPr>
              <w:t>担保 到期 日</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310" w:lineRule="exact"/>
              <w:ind w:left="67" w:right="65"/>
              <w:jc w:val="left"/>
              <w:rPr>
                <w:rFonts w:ascii="宋体" w:hAnsi="宋体" w:cs="宋体" w:eastAsia="宋体" w:hint="default"/>
                <w:sz w:val="24"/>
                <w:szCs w:val="24"/>
              </w:rPr>
            </w:pPr>
            <w:r>
              <w:rPr>
                <w:rFonts w:ascii="宋体" w:hAnsi="宋体" w:cs="宋体" w:eastAsia="宋体" w:hint="default"/>
                <w:sz w:val="24"/>
                <w:szCs w:val="24"/>
              </w:rPr>
              <w:t>担保 类型</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9"/>
              <w:ind w:left="69" w:right="65"/>
              <w:jc w:val="both"/>
              <w:rPr>
                <w:rFonts w:ascii="宋体" w:hAnsi="宋体" w:cs="宋体" w:eastAsia="宋体" w:hint="default"/>
                <w:sz w:val="24"/>
                <w:szCs w:val="24"/>
              </w:rPr>
            </w:pPr>
            <w:r>
              <w:rPr>
                <w:rFonts w:ascii="宋体" w:hAnsi="宋体" w:cs="宋体" w:eastAsia="宋体" w:hint="default"/>
                <w:sz w:val="24"/>
                <w:szCs w:val="24"/>
              </w:rPr>
              <w:t>担保 是否 已经 履行 完毕</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32"/>
                <w:szCs w:val="32"/>
              </w:rPr>
            </w:pPr>
          </w:p>
          <w:p>
            <w:pPr>
              <w:pStyle w:val="TableParagraph"/>
              <w:spacing w:line="237" w:lineRule="auto"/>
              <w:ind w:left="69" w:right="65"/>
              <w:jc w:val="both"/>
              <w:rPr>
                <w:rFonts w:ascii="宋体" w:hAnsi="宋体" w:cs="宋体" w:eastAsia="宋体" w:hint="default"/>
                <w:sz w:val="24"/>
                <w:szCs w:val="24"/>
              </w:rPr>
            </w:pPr>
            <w:r>
              <w:rPr>
                <w:rFonts w:ascii="宋体" w:hAnsi="宋体" w:cs="宋体" w:eastAsia="宋体" w:hint="default"/>
                <w:sz w:val="24"/>
                <w:szCs w:val="24"/>
              </w:rPr>
              <w:t>担保 是否 逾期</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32"/>
                <w:szCs w:val="32"/>
              </w:rPr>
            </w:pPr>
          </w:p>
          <w:p>
            <w:pPr>
              <w:pStyle w:val="TableParagraph"/>
              <w:spacing w:line="237" w:lineRule="auto"/>
              <w:ind w:left="103" w:right="103"/>
              <w:jc w:val="both"/>
              <w:rPr>
                <w:rFonts w:ascii="宋体" w:hAnsi="宋体" w:cs="宋体" w:eastAsia="宋体" w:hint="default"/>
                <w:sz w:val="24"/>
                <w:szCs w:val="24"/>
              </w:rPr>
            </w:pPr>
            <w:r>
              <w:rPr>
                <w:rFonts w:ascii="宋体" w:hAnsi="宋体" w:cs="宋体" w:eastAsia="宋体" w:hint="default"/>
                <w:sz w:val="24"/>
                <w:szCs w:val="24"/>
              </w:rPr>
              <w:t>担保 逾期 金额</w:t>
            </w:r>
          </w:p>
        </w:tc>
        <w:tc>
          <w:tcPr>
            <w:tcW w:w="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37" w:lineRule="auto"/>
              <w:ind w:left="69" w:right="65"/>
              <w:jc w:val="both"/>
              <w:rPr>
                <w:rFonts w:ascii="宋体" w:hAnsi="宋体" w:cs="宋体" w:eastAsia="宋体" w:hint="default"/>
                <w:sz w:val="24"/>
                <w:szCs w:val="24"/>
              </w:rPr>
            </w:pPr>
            <w:r>
              <w:rPr>
                <w:rFonts w:ascii="宋体" w:hAnsi="宋体" w:cs="宋体" w:eastAsia="宋体" w:hint="default"/>
                <w:sz w:val="24"/>
                <w:szCs w:val="24"/>
              </w:rPr>
              <w:t>是否 存在 反担 保</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37" w:lineRule="auto"/>
              <w:ind w:left="67" w:right="67"/>
              <w:jc w:val="both"/>
              <w:rPr>
                <w:rFonts w:ascii="宋体" w:hAnsi="宋体" w:cs="宋体" w:eastAsia="宋体" w:hint="default"/>
                <w:sz w:val="24"/>
                <w:szCs w:val="24"/>
              </w:rPr>
            </w:pPr>
            <w:r>
              <w:rPr>
                <w:rFonts w:ascii="宋体" w:hAnsi="宋体" w:cs="宋体" w:eastAsia="宋体" w:hint="default"/>
                <w:sz w:val="24"/>
                <w:szCs w:val="24"/>
              </w:rPr>
              <w:t>是否 为关 联方 担保</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310" w:lineRule="exact"/>
              <w:ind w:left="62" w:right="65"/>
              <w:jc w:val="left"/>
              <w:rPr>
                <w:rFonts w:ascii="宋体" w:hAnsi="宋体" w:cs="宋体" w:eastAsia="宋体" w:hint="default"/>
                <w:sz w:val="24"/>
                <w:szCs w:val="24"/>
              </w:rPr>
            </w:pPr>
            <w:r>
              <w:rPr>
                <w:rFonts w:ascii="宋体" w:hAnsi="宋体" w:cs="宋体" w:eastAsia="宋体" w:hint="default"/>
                <w:sz w:val="24"/>
                <w:szCs w:val="24"/>
              </w:rPr>
              <w:t>关联 关系</w:t>
            </w:r>
          </w:p>
        </w:tc>
      </w:tr>
      <w:tr>
        <w:trPr>
          <w:trHeight w:val="305" w:hRule="exact"/>
        </w:trPr>
        <w:tc>
          <w:tcPr>
            <w:tcW w:w="619" w:type="dxa"/>
            <w:tcBorders>
              <w:top w:val="single" w:sz="4" w:space="0" w:color="000000"/>
              <w:left w:val="single" w:sz="4" w:space="0" w:color="000000"/>
              <w:bottom w:val="single" w:sz="4" w:space="0" w:color="000000"/>
              <w:right w:val="single" w:sz="4" w:space="0" w:color="000000"/>
            </w:tcBorders>
          </w:tcPr>
          <w:p>
            <w:pP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3" w:right="0"/>
              <w:jc w:val="left"/>
              <w:rPr>
                <w:rFonts w:ascii="宋体" w:hAnsi="宋体" w:cs="宋体" w:eastAsia="宋体" w:hint="default"/>
                <w:sz w:val="24"/>
                <w:szCs w:val="24"/>
              </w:rPr>
            </w:pPr>
            <w:r>
              <w:rPr>
                <w:rFonts w:ascii="宋体"/>
                <w:sz w:val="24"/>
              </w:rPr>
              <w:t> </w:t>
            </w:r>
          </w:p>
        </w:tc>
        <w:tc>
          <w:tcPr>
            <w:tcW w:w="626"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26"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3" w:right="0"/>
              <w:jc w:val="left"/>
              <w:rPr>
                <w:rFonts w:ascii="宋体" w:hAnsi="宋体" w:cs="宋体" w:eastAsia="宋体" w:hint="default"/>
                <w:sz w:val="24"/>
                <w:szCs w:val="24"/>
              </w:rPr>
            </w:pPr>
            <w:r>
              <w:rPr>
                <w:rFonts w:ascii="宋体"/>
                <w:sz w:val="24"/>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6" w:right="0"/>
              <w:jc w:val="left"/>
              <w:rPr>
                <w:rFonts w:ascii="宋体" w:hAnsi="宋体" w:cs="宋体" w:eastAsia="宋体" w:hint="default"/>
                <w:sz w:val="24"/>
                <w:szCs w:val="24"/>
              </w:rPr>
            </w:pPr>
            <w:r>
              <w:rPr>
                <w:rFonts w:ascii="宋体"/>
                <w:sz w:val="24"/>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6" w:right="0"/>
              <w:jc w:val="left"/>
              <w:rPr>
                <w:rFonts w:ascii="宋体" w:hAnsi="宋体" w:cs="宋体" w:eastAsia="宋体" w:hint="default"/>
                <w:sz w:val="24"/>
                <w:szCs w:val="24"/>
              </w:rPr>
            </w:pPr>
            <w:r>
              <w:rPr>
                <w:rFonts w:ascii="宋体"/>
                <w:sz w:val="24"/>
              </w:rPr>
              <w:t> </w:t>
            </w:r>
          </w:p>
        </w:tc>
        <w:tc>
          <w:tcPr>
            <w:tcW w:w="698" w:type="dxa"/>
            <w:tcBorders>
              <w:top w:val="single" w:sz="4" w:space="0" w:color="000000"/>
              <w:left w:val="single" w:sz="4" w:space="0" w:color="000000"/>
              <w:bottom w:val="single" w:sz="4" w:space="0" w:color="000000"/>
              <w:right w:val="single" w:sz="4" w:space="0" w:color="000000"/>
            </w:tcBorders>
          </w:tcPr>
          <w:p>
            <w:pPr/>
          </w:p>
        </w:tc>
        <w:tc>
          <w:tcPr>
            <w:tcW w:w="627"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6" w:right="0"/>
              <w:jc w:val="left"/>
              <w:rPr>
                <w:rFonts w:ascii="宋体" w:hAnsi="宋体" w:cs="宋体" w:eastAsia="宋体" w:hint="default"/>
                <w:sz w:val="24"/>
                <w:szCs w:val="24"/>
              </w:rPr>
            </w:pPr>
            <w:r>
              <w:rPr>
                <w:rFonts w:ascii="宋体"/>
                <w:sz w:val="24"/>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23" w:right="0"/>
              <w:jc w:val="left"/>
              <w:rPr>
                <w:rFonts w:ascii="宋体" w:hAnsi="宋体" w:cs="宋体" w:eastAsia="宋体" w:hint="default"/>
                <w:sz w:val="24"/>
                <w:szCs w:val="24"/>
              </w:rPr>
            </w:pPr>
            <w:r>
              <w:rPr>
                <w:rFonts w:ascii="宋体"/>
                <w:sz w:val="24"/>
              </w:rPr>
              <w:t> </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85"/>
              <w:jc w:val="right"/>
              <w:rPr>
                <w:rFonts w:ascii="宋体" w:hAnsi="宋体" w:cs="宋体" w:eastAsia="宋体" w:hint="default"/>
                <w:sz w:val="24"/>
                <w:szCs w:val="24"/>
              </w:rPr>
            </w:pPr>
            <w:r>
              <w:rPr>
                <w:rFonts w:ascii="宋体"/>
                <w:sz w:val="24"/>
              </w:rPr>
              <w:t> </w:t>
            </w:r>
          </w:p>
        </w:tc>
      </w:tr>
      <w:tr>
        <w:trPr>
          <w:trHeight w:val="302" w:hRule="exact"/>
        </w:trPr>
        <w:tc>
          <w:tcPr>
            <w:tcW w:w="619" w:type="dxa"/>
            <w:tcBorders>
              <w:top w:val="single" w:sz="4" w:space="0" w:color="000000"/>
              <w:left w:val="single" w:sz="4" w:space="0" w:color="000000"/>
              <w:bottom w:val="single" w:sz="4" w:space="0" w:color="000000"/>
              <w:right w:val="single" w:sz="4" w:space="0" w:color="000000"/>
            </w:tcBorders>
          </w:tcPr>
          <w:p>
            <w:pP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3" w:right="0"/>
              <w:jc w:val="left"/>
              <w:rPr>
                <w:rFonts w:ascii="宋体" w:hAnsi="宋体" w:cs="宋体" w:eastAsia="宋体" w:hint="default"/>
                <w:sz w:val="24"/>
                <w:szCs w:val="24"/>
              </w:rPr>
            </w:pPr>
            <w:r>
              <w:rPr>
                <w:rFonts w:ascii="宋体"/>
                <w:sz w:val="24"/>
              </w:rPr>
              <w:t> </w:t>
            </w:r>
          </w:p>
        </w:tc>
        <w:tc>
          <w:tcPr>
            <w:tcW w:w="626"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626"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3" w:right="0"/>
              <w:jc w:val="left"/>
              <w:rPr>
                <w:rFonts w:ascii="宋体" w:hAnsi="宋体" w:cs="宋体" w:eastAsia="宋体" w:hint="default"/>
                <w:sz w:val="24"/>
                <w:szCs w:val="24"/>
              </w:rPr>
            </w:pPr>
            <w:r>
              <w:rPr>
                <w:rFonts w:ascii="宋体"/>
                <w:sz w:val="24"/>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6" w:right="0"/>
              <w:jc w:val="left"/>
              <w:rPr>
                <w:rFonts w:ascii="宋体" w:hAnsi="宋体" w:cs="宋体" w:eastAsia="宋体" w:hint="default"/>
                <w:sz w:val="24"/>
                <w:szCs w:val="24"/>
              </w:rPr>
            </w:pPr>
            <w:r>
              <w:rPr>
                <w:rFonts w:ascii="宋体"/>
                <w:sz w:val="24"/>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6" w:right="0"/>
              <w:jc w:val="left"/>
              <w:rPr>
                <w:rFonts w:ascii="宋体" w:hAnsi="宋体" w:cs="宋体" w:eastAsia="宋体" w:hint="default"/>
                <w:sz w:val="24"/>
                <w:szCs w:val="24"/>
              </w:rPr>
            </w:pPr>
            <w:r>
              <w:rPr>
                <w:rFonts w:ascii="宋体"/>
                <w:sz w:val="24"/>
              </w:rPr>
              <w:t> </w:t>
            </w:r>
          </w:p>
        </w:tc>
        <w:tc>
          <w:tcPr>
            <w:tcW w:w="698" w:type="dxa"/>
            <w:tcBorders>
              <w:top w:val="single" w:sz="4" w:space="0" w:color="000000"/>
              <w:left w:val="single" w:sz="4" w:space="0" w:color="000000"/>
              <w:bottom w:val="single" w:sz="4" w:space="0" w:color="000000"/>
              <w:right w:val="single" w:sz="4" w:space="0" w:color="000000"/>
            </w:tcBorders>
          </w:tcPr>
          <w:p>
            <w:pPr/>
          </w:p>
        </w:tc>
        <w:tc>
          <w:tcPr>
            <w:tcW w:w="62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6" w:right="0"/>
              <w:jc w:val="left"/>
              <w:rPr>
                <w:rFonts w:ascii="宋体" w:hAnsi="宋体" w:cs="宋体" w:eastAsia="宋体" w:hint="default"/>
                <w:sz w:val="24"/>
                <w:szCs w:val="24"/>
              </w:rPr>
            </w:pPr>
            <w:r>
              <w:rPr>
                <w:rFonts w:ascii="宋体"/>
                <w:sz w:val="24"/>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3" w:right="0"/>
              <w:jc w:val="left"/>
              <w:rPr>
                <w:rFonts w:ascii="宋体" w:hAnsi="宋体" w:cs="宋体" w:eastAsia="宋体" w:hint="default"/>
                <w:sz w:val="24"/>
                <w:szCs w:val="24"/>
              </w:rPr>
            </w:pPr>
            <w:r>
              <w:rPr>
                <w:rFonts w:ascii="宋体"/>
                <w:sz w:val="24"/>
              </w:rPr>
              <w:t> </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85"/>
              <w:jc w:val="right"/>
              <w:rPr>
                <w:rFonts w:ascii="宋体" w:hAnsi="宋体" w:cs="宋体" w:eastAsia="宋体" w:hint="default"/>
                <w:sz w:val="24"/>
                <w:szCs w:val="24"/>
              </w:rPr>
            </w:pPr>
            <w:r>
              <w:rPr>
                <w:rFonts w:ascii="宋体"/>
                <w:sz w:val="24"/>
              </w:rPr>
              <w:t> </w:t>
            </w:r>
          </w:p>
        </w:tc>
      </w:tr>
      <w:tr>
        <w:trPr>
          <w:trHeight w:val="631"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6" w:right="0"/>
              <w:jc w:val="left"/>
              <w:rPr>
                <w:rFonts w:ascii="宋体" w:hAnsi="宋体" w:cs="宋体" w:eastAsia="宋体" w:hint="default"/>
                <w:sz w:val="24"/>
                <w:szCs w:val="24"/>
              </w:rPr>
            </w:pPr>
            <w:r>
              <w:rPr>
                <w:rFonts w:ascii="宋体" w:hAnsi="宋体" w:cs="宋体" w:eastAsia="宋体" w:hint="default"/>
                <w:spacing w:val="-5"/>
                <w:sz w:val="24"/>
                <w:szCs w:val="24"/>
              </w:rPr>
              <w:t>报告期内担保发生额合计（不包括对</w:t>
            </w:r>
          </w:p>
          <w:p>
            <w:pPr>
              <w:pStyle w:val="TableParagraph"/>
              <w:spacing w:line="313" w:lineRule="exact"/>
              <w:ind w:left="26" w:right="0"/>
              <w:jc w:val="left"/>
              <w:rPr>
                <w:rFonts w:ascii="宋体" w:hAnsi="宋体" w:cs="宋体" w:eastAsia="宋体" w:hint="default"/>
                <w:sz w:val="24"/>
                <w:szCs w:val="24"/>
              </w:rPr>
            </w:pPr>
            <w:r>
              <w:rPr>
                <w:rFonts w:ascii="宋体" w:hAnsi="宋体" w:cs="宋体" w:eastAsia="宋体" w:hint="default"/>
                <w:sz w:val="24"/>
                <w:szCs w:val="24"/>
              </w:rPr>
              <w:t>子公司的担保）</w:t>
            </w:r>
          </w:p>
        </w:tc>
        <w:tc>
          <w:tcPr>
            <w:tcW w:w="5072" w:type="dxa"/>
            <w:gridSpan w:val="8"/>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报告期末担保余额合计（</w:t>
            </w:r>
            <w:r>
              <w:rPr>
                <w:rFonts w:ascii="宋体" w:hAnsi="宋体" w:cs="宋体" w:eastAsia="宋体" w:hint="default"/>
                <w:sz w:val="24"/>
                <w:szCs w:val="24"/>
              </w:rPr>
              <w:t>A</w:t>
            </w:r>
            <w:r>
              <w:rPr>
                <w:rFonts w:ascii="宋体" w:hAnsi="宋体" w:cs="宋体" w:eastAsia="宋体" w:hint="default"/>
                <w:sz w:val="24"/>
                <w:szCs w:val="24"/>
              </w:rPr>
              <w:t>）（不包</w:t>
            </w:r>
          </w:p>
          <w:p>
            <w:pPr>
              <w:pStyle w:val="TableParagraph"/>
              <w:spacing w:line="312" w:lineRule="exact"/>
              <w:ind w:left="26" w:right="0"/>
              <w:jc w:val="left"/>
              <w:rPr>
                <w:rFonts w:ascii="宋体" w:hAnsi="宋体" w:cs="宋体" w:eastAsia="宋体" w:hint="default"/>
                <w:sz w:val="24"/>
                <w:szCs w:val="24"/>
              </w:rPr>
            </w:pPr>
            <w:r>
              <w:rPr>
                <w:rFonts w:ascii="宋体" w:hAnsi="宋体" w:cs="宋体" w:eastAsia="宋体" w:hint="default"/>
                <w:sz w:val="24"/>
                <w:szCs w:val="24"/>
              </w:rPr>
              <w:t>括对子公司的担保）</w:t>
            </w:r>
            <w:r>
              <w:rPr>
                <w:rFonts w:ascii="宋体" w:hAnsi="宋体" w:cs="宋体" w:eastAsia="宋体" w:hint="default"/>
                <w:sz w:val="24"/>
                <w:szCs w:val="24"/>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889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74" w:right="0"/>
              <w:jc w:val="left"/>
              <w:rPr>
                <w:rFonts w:ascii="宋体" w:hAnsi="宋体" w:cs="宋体" w:eastAsia="宋体" w:hint="default"/>
                <w:sz w:val="24"/>
                <w:szCs w:val="24"/>
              </w:rPr>
            </w:pPr>
            <w:r>
              <w:rPr>
                <w:rFonts w:ascii="宋体" w:hAnsi="宋体" w:cs="宋体" w:eastAsia="宋体" w:hint="default"/>
                <w:sz w:val="24"/>
                <w:szCs w:val="24"/>
              </w:rPr>
              <w:t>公司及其子公司对子公司的担保情况</w:t>
            </w:r>
            <w:r>
              <w:rPr>
                <w:rFonts w:ascii="宋体" w:hAnsi="宋体" w:cs="宋体" w:eastAsia="宋体" w:hint="default"/>
                <w:sz w:val="24"/>
                <w:szCs w:val="24"/>
              </w:rPr>
              <w:t> </w:t>
            </w: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报告期内对子公司担保发生额合计</w:t>
            </w:r>
            <w:r>
              <w:rPr>
                <w:rFonts w:ascii="宋体" w:hAnsi="宋体" w:cs="宋体" w:eastAsia="宋体" w:hint="default"/>
                <w:color w:val="FF0000"/>
                <w:sz w:val="24"/>
                <w:szCs w:val="24"/>
              </w:rPr>
              <w:t> </w:t>
            </w:r>
            <w:r>
              <w:rPr>
                <w:rFonts w:ascii="宋体" w:hAnsi="宋体" w:cs="宋体" w:eastAsia="宋体" w:hint="default"/>
                <w:sz w:val="24"/>
                <w:szCs w:val="24"/>
              </w:rPr>
            </w:r>
          </w:p>
        </w:tc>
        <w:tc>
          <w:tcPr>
            <w:tcW w:w="5072" w:type="dxa"/>
            <w:gridSpan w:val="8"/>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6" w:right="0"/>
              <w:jc w:val="left"/>
              <w:rPr>
                <w:rFonts w:ascii="宋体" w:hAnsi="宋体" w:cs="宋体" w:eastAsia="宋体" w:hint="default"/>
                <w:sz w:val="24"/>
                <w:szCs w:val="24"/>
              </w:rPr>
            </w:pPr>
            <w:r>
              <w:rPr>
                <w:rFonts w:ascii="宋体" w:hAnsi="宋体" w:cs="宋体" w:eastAsia="宋体" w:hint="default"/>
                <w:sz w:val="24"/>
                <w:szCs w:val="24"/>
              </w:rPr>
              <w:t>报告期末对子公司担保余额合计</w:t>
            </w:r>
          </w:p>
          <w:p>
            <w:pPr>
              <w:pStyle w:val="TableParagraph"/>
              <w:spacing w:line="312" w:lineRule="exact"/>
              <w:ind w:left="26" w:right="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B</w:t>
            </w:r>
            <w:r>
              <w:rPr>
                <w:rFonts w:ascii="宋体" w:hAnsi="宋体" w:cs="宋体" w:eastAsia="宋体" w:hint="default"/>
                <w:sz w:val="24"/>
                <w:szCs w:val="24"/>
              </w:rPr>
              <w:t>）</w:t>
            </w:r>
            <w:r>
              <w:rPr>
                <w:rFonts w:ascii="宋体" w:hAnsi="宋体" w:cs="宋体" w:eastAsia="宋体" w:hint="default"/>
                <w:color w:val="FF0000"/>
                <w:sz w:val="24"/>
                <w:szCs w:val="24"/>
              </w:rPr>
              <w:t> </w:t>
            </w:r>
            <w:r>
              <w:rPr>
                <w:rFonts w:ascii="宋体" w:hAnsi="宋体" w:cs="宋体" w:eastAsia="宋体" w:hint="default"/>
                <w:sz w:val="24"/>
                <w:szCs w:val="24"/>
              </w:rPr>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135,000,000 </w:t>
            </w:r>
          </w:p>
        </w:tc>
      </w:tr>
      <w:tr>
        <w:trPr>
          <w:trHeight w:val="322" w:hRule="exact"/>
        </w:trPr>
        <w:tc>
          <w:tcPr>
            <w:tcW w:w="889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14" w:right="0"/>
              <w:jc w:val="left"/>
              <w:rPr>
                <w:rFonts w:ascii="宋体" w:hAnsi="宋体" w:cs="宋体" w:eastAsia="宋体" w:hint="default"/>
                <w:sz w:val="24"/>
                <w:szCs w:val="24"/>
              </w:rPr>
            </w:pPr>
            <w:r>
              <w:rPr>
                <w:rFonts w:ascii="宋体" w:hAnsi="宋体" w:cs="宋体" w:eastAsia="宋体" w:hint="default"/>
                <w:sz w:val="24"/>
                <w:szCs w:val="24"/>
              </w:rPr>
              <w:t>公司担保总额情况（包括对子公司的担保）</w:t>
            </w:r>
            <w:r>
              <w:rPr>
                <w:rFonts w:ascii="宋体" w:hAnsi="宋体" w:cs="宋体" w:eastAsia="宋体" w:hint="default"/>
                <w:sz w:val="24"/>
                <w:szCs w:val="24"/>
              </w:rPr>
              <w:t> </w:t>
            </w:r>
          </w:p>
        </w:tc>
      </w:tr>
      <w:tr>
        <w:trPr>
          <w:trHeight w:val="480"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担保总额（</w:t>
            </w:r>
            <w:r>
              <w:rPr>
                <w:rFonts w:ascii="宋体" w:hAnsi="宋体" w:cs="宋体" w:eastAsia="宋体" w:hint="default"/>
                <w:sz w:val="24"/>
                <w:szCs w:val="24"/>
              </w:rPr>
              <w:t>A+B</w:t>
            </w:r>
            <w:r>
              <w:rPr>
                <w:rFonts w:ascii="宋体" w:hAnsi="宋体" w:cs="宋体" w:eastAsia="宋体" w:hint="default"/>
                <w:sz w:val="24"/>
                <w:szCs w:val="24"/>
              </w:rPr>
              <w:t>）</w:t>
            </w:r>
            <w:r>
              <w:rPr>
                <w:rFonts w:ascii="宋体" w:hAnsi="宋体" w:cs="宋体" w:eastAsia="宋体" w:hint="default"/>
                <w:sz w:val="24"/>
                <w:szCs w:val="24"/>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135,000,000 </w:t>
            </w: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担保总额占公司净资产的比例</w:t>
            </w:r>
            <w:r>
              <w:rPr>
                <w:rFonts w:ascii="宋体" w:hAnsi="宋体" w:cs="宋体" w:eastAsia="宋体" w:hint="default"/>
                <w:sz w:val="24"/>
                <w:szCs w:val="24"/>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1.88 </w:t>
            </w:r>
          </w:p>
        </w:tc>
      </w:tr>
      <w:tr>
        <w:trPr>
          <w:trHeight w:val="322" w:hRule="exact"/>
        </w:trPr>
        <w:tc>
          <w:tcPr>
            <w:tcW w:w="889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其中：</w:t>
            </w:r>
            <w:r>
              <w:rPr>
                <w:rFonts w:ascii="宋体" w:hAnsi="宋体" w:cs="宋体" w:eastAsia="宋体" w:hint="default"/>
                <w:sz w:val="24"/>
                <w:szCs w:val="24"/>
              </w:rPr>
              <w:t> </w:t>
            </w:r>
          </w:p>
        </w:tc>
      </w:tr>
      <w:tr>
        <w:trPr>
          <w:trHeight w:val="631"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6" w:right="0"/>
              <w:jc w:val="left"/>
              <w:rPr>
                <w:rFonts w:ascii="宋体" w:hAnsi="宋体" w:cs="宋体" w:eastAsia="宋体" w:hint="default"/>
                <w:sz w:val="24"/>
                <w:szCs w:val="24"/>
              </w:rPr>
            </w:pPr>
            <w:r>
              <w:rPr>
                <w:rFonts w:ascii="宋体" w:hAnsi="宋体" w:cs="宋体" w:eastAsia="宋体" w:hint="default"/>
                <w:spacing w:val="-5"/>
                <w:sz w:val="24"/>
                <w:szCs w:val="24"/>
              </w:rPr>
              <w:t>为股东、实际控制人及其关联方提供</w:t>
            </w:r>
          </w:p>
          <w:p>
            <w:pPr>
              <w:pStyle w:val="TableParagraph"/>
              <w:spacing w:line="313" w:lineRule="exact"/>
              <w:ind w:left="26" w:right="0"/>
              <w:jc w:val="left"/>
              <w:rPr>
                <w:rFonts w:ascii="宋体" w:hAnsi="宋体" w:cs="宋体" w:eastAsia="宋体" w:hint="default"/>
                <w:sz w:val="24"/>
                <w:szCs w:val="24"/>
              </w:rPr>
            </w:pPr>
            <w:r>
              <w:rPr>
                <w:rFonts w:ascii="宋体" w:hAnsi="宋体" w:cs="宋体" w:eastAsia="宋体" w:hint="default"/>
                <w:sz w:val="24"/>
                <w:szCs w:val="24"/>
              </w:rPr>
              <w:t>担保的金额（</w:t>
            </w:r>
            <w:r>
              <w:rPr>
                <w:rFonts w:ascii="宋体" w:hAnsi="宋体" w:cs="宋体" w:eastAsia="宋体" w:hint="default"/>
                <w:sz w:val="24"/>
                <w:szCs w:val="24"/>
              </w:rPr>
              <w:t>C</w:t>
            </w:r>
            <w:r>
              <w:rPr>
                <w:rFonts w:ascii="宋体" w:hAnsi="宋体" w:cs="宋体" w:eastAsia="宋体" w:hint="default"/>
                <w:sz w:val="24"/>
                <w:szCs w:val="24"/>
              </w:rPr>
              <w:t>）</w:t>
            </w:r>
            <w:r>
              <w:rPr>
                <w:rFonts w:ascii="宋体" w:hAnsi="宋体" w:cs="宋体" w:eastAsia="宋体" w:hint="default"/>
                <w:sz w:val="24"/>
                <w:szCs w:val="24"/>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6" w:right="0"/>
              <w:jc w:val="left"/>
              <w:rPr>
                <w:rFonts w:ascii="宋体" w:hAnsi="宋体" w:cs="宋体" w:eastAsia="宋体" w:hint="default"/>
                <w:sz w:val="24"/>
                <w:szCs w:val="24"/>
              </w:rPr>
            </w:pPr>
            <w:r>
              <w:rPr>
                <w:rFonts w:ascii="宋体" w:hAnsi="宋体" w:cs="宋体" w:eastAsia="宋体" w:hint="default"/>
                <w:sz w:val="24"/>
                <w:szCs w:val="24"/>
              </w:rPr>
              <w:t>直接或间接为资产负债率超过</w:t>
            </w:r>
            <w:r>
              <w:rPr>
                <w:rFonts w:ascii="宋体" w:hAnsi="宋体" w:cs="宋体" w:eastAsia="宋体" w:hint="default"/>
                <w:sz w:val="24"/>
                <w:szCs w:val="24"/>
              </w:rPr>
              <w:t>70%</w:t>
            </w:r>
            <w:r>
              <w:rPr>
                <w:rFonts w:ascii="宋体" w:hAnsi="宋体" w:cs="宋体" w:eastAsia="宋体" w:hint="default"/>
                <w:sz w:val="24"/>
                <w:szCs w:val="24"/>
              </w:rPr>
              <w:t>的</w:t>
            </w:r>
          </w:p>
          <w:p>
            <w:pPr>
              <w:pStyle w:val="TableParagraph"/>
              <w:spacing w:line="313" w:lineRule="exact"/>
              <w:ind w:left="26" w:right="0"/>
              <w:jc w:val="left"/>
              <w:rPr>
                <w:rFonts w:ascii="宋体" w:hAnsi="宋体" w:cs="宋体" w:eastAsia="宋体" w:hint="default"/>
                <w:sz w:val="24"/>
                <w:szCs w:val="24"/>
              </w:rPr>
            </w:pPr>
            <w:r>
              <w:rPr>
                <w:rFonts w:ascii="宋体" w:hAnsi="宋体" w:cs="宋体" w:eastAsia="宋体" w:hint="default"/>
                <w:spacing w:val="-5"/>
                <w:sz w:val="24"/>
                <w:szCs w:val="24"/>
              </w:rPr>
              <w:t>被担保对象提供的债务担保金额（</w:t>
            </w:r>
            <w:r>
              <w:rPr>
                <w:rFonts w:ascii="宋体" w:hAnsi="宋体" w:cs="宋体" w:eastAsia="宋体" w:hint="default"/>
                <w:spacing w:val="-5"/>
                <w:sz w:val="24"/>
                <w:szCs w:val="24"/>
              </w:rPr>
              <w:t>D</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57" w:right="0"/>
              <w:jc w:val="left"/>
              <w:rPr>
                <w:rFonts w:ascii="宋体" w:hAnsi="宋体" w:cs="宋体" w:eastAsia="宋体" w:hint="default"/>
                <w:sz w:val="24"/>
                <w:szCs w:val="24"/>
              </w:rPr>
            </w:pPr>
            <w:r>
              <w:rPr>
                <w:rFonts w:ascii="宋体" w:hAnsi="宋体" w:cs="宋体" w:eastAsia="宋体" w:hint="default"/>
                <w:sz w:val="24"/>
                <w:szCs w:val="24"/>
              </w:rPr>
              <w:t>）</w:t>
            </w:r>
          </w:p>
        </w:tc>
      </w:tr>
      <w:tr>
        <w:trPr>
          <w:trHeight w:val="631"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6" w:right="0"/>
              <w:jc w:val="left"/>
              <w:rPr>
                <w:rFonts w:ascii="宋体" w:hAnsi="宋体" w:cs="宋体" w:eastAsia="宋体" w:hint="default"/>
                <w:sz w:val="24"/>
                <w:szCs w:val="24"/>
              </w:rPr>
            </w:pPr>
            <w:r>
              <w:rPr>
                <w:rFonts w:ascii="宋体" w:hAnsi="宋体" w:cs="宋体" w:eastAsia="宋体" w:hint="default"/>
                <w:sz w:val="24"/>
                <w:szCs w:val="24"/>
              </w:rPr>
              <w:t>担保总额超过净资产</w:t>
            </w:r>
            <w:r>
              <w:rPr>
                <w:rFonts w:ascii="宋体" w:hAnsi="宋体" w:cs="宋体" w:eastAsia="宋体" w:hint="default"/>
                <w:sz w:val="24"/>
                <w:szCs w:val="24"/>
              </w:rPr>
              <w:t>50%</w:t>
            </w:r>
            <w:r>
              <w:rPr>
                <w:rFonts w:ascii="宋体" w:hAnsi="宋体" w:cs="宋体" w:eastAsia="宋体" w:hint="default"/>
                <w:sz w:val="24"/>
                <w:szCs w:val="24"/>
              </w:rPr>
              <w:t>部分的金额</w:t>
            </w:r>
          </w:p>
          <w:p>
            <w:pPr>
              <w:pStyle w:val="TableParagraph"/>
              <w:spacing w:line="313" w:lineRule="exact"/>
              <w:ind w:left="26" w:right="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E</w:t>
            </w:r>
            <w:r>
              <w:rPr>
                <w:rFonts w:ascii="宋体" w:hAnsi="宋体" w:cs="宋体" w:eastAsia="宋体" w:hint="default"/>
                <w:sz w:val="24"/>
                <w:szCs w:val="24"/>
              </w:rPr>
              <w:t>）</w:t>
            </w:r>
            <w:r>
              <w:rPr>
                <w:rFonts w:ascii="宋体" w:hAnsi="宋体" w:cs="宋体" w:eastAsia="宋体" w:hint="default"/>
                <w:sz w:val="24"/>
                <w:szCs w:val="24"/>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上述三项担保金额合计（</w:t>
            </w:r>
            <w:r>
              <w:rPr>
                <w:rFonts w:ascii="宋体" w:hAnsi="宋体" w:cs="宋体" w:eastAsia="宋体" w:hint="default"/>
                <w:sz w:val="24"/>
                <w:szCs w:val="24"/>
              </w:rPr>
              <w:t>C+D+E</w:t>
            </w:r>
            <w:r>
              <w:rPr>
                <w:rFonts w:ascii="宋体" w:hAnsi="宋体" w:cs="宋体" w:eastAsia="宋体" w:hint="default"/>
                <w:sz w:val="24"/>
                <w:szCs w:val="24"/>
              </w:rPr>
              <w:t>）</w:t>
            </w:r>
            <w:r>
              <w:rPr>
                <w:rFonts w:ascii="宋体" w:hAnsi="宋体" w:cs="宋体" w:eastAsia="宋体" w:hint="default"/>
                <w:sz w:val="24"/>
                <w:szCs w:val="24"/>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6" w:right="0"/>
              <w:jc w:val="left"/>
              <w:rPr>
                <w:rFonts w:ascii="宋体" w:hAnsi="宋体" w:cs="宋体" w:eastAsia="宋体" w:hint="default"/>
                <w:sz w:val="24"/>
                <w:szCs w:val="24"/>
              </w:rPr>
            </w:pPr>
            <w:r>
              <w:rPr>
                <w:rFonts w:ascii="宋体" w:hAnsi="宋体" w:cs="宋体" w:eastAsia="宋体" w:hint="default"/>
                <w:spacing w:val="10"/>
                <w:sz w:val="24"/>
                <w:szCs w:val="24"/>
              </w:rPr>
              <w:t>未到期担保可能承担连带清偿责任</w:t>
            </w:r>
          </w:p>
          <w:p>
            <w:pPr>
              <w:pStyle w:val="TableParagraph"/>
              <w:spacing w:line="313" w:lineRule="exact"/>
              <w:ind w:left="26" w:right="0"/>
              <w:jc w:val="left"/>
              <w:rPr>
                <w:rFonts w:ascii="宋体" w:hAnsi="宋体" w:cs="宋体" w:eastAsia="宋体" w:hint="default"/>
                <w:sz w:val="24"/>
                <w:szCs w:val="24"/>
              </w:rPr>
            </w:pPr>
            <w:r>
              <w:rPr>
                <w:rFonts w:ascii="宋体" w:hAnsi="宋体" w:cs="宋体" w:eastAsia="宋体" w:hint="default"/>
                <w:sz w:val="24"/>
                <w:szCs w:val="24"/>
              </w:rPr>
              <w:t>说明</w:t>
            </w:r>
            <w:r>
              <w:rPr>
                <w:rFonts w:ascii="宋体" w:hAnsi="宋体" w:cs="宋体" w:eastAsia="宋体" w:hint="default"/>
                <w:sz w:val="24"/>
                <w:szCs w:val="24"/>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担保情况说明</w:t>
            </w:r>
          </w:p>
        </w:tc>
        <w:tc>
          <w:tcPr>
            <w:tcW w:w="5072" w:type="dxa"/>
            <w:gridSpan w:val="8"/>
            <w:tcBorders>
              <w:top w:val="single" w:sz="4" w:space="0" w:color="000000"/>
              <w:left w:val="single" w:sz="4" w:space="0" w:color="000000"/>
              <w:bottom w:val="single" w:sz="4" w:space="0" w:color="000000"/>
              <w:right w:val="single" w:sz="4" w:space="0" w:color="000000"/>
            </w:tcBorders>
          </w:tcPr>
          <w:p>
            <w:pPr/>
          </w:p>
        </w:tc>
      </w:tr>
    </w:tbl>
    <w:p>
      <w:pPr>
        <w:pStyle w:val="BodyText"/>
        <w:spacing w:line="291" w:lineRule="exact"/>
        <w:ind w:left="138" w:right="0"/>
        <w:jc w:val="left"/>
        <w:rPr>
          <w:rFonts w:ascii="宋体" w:hAnsi="宋体" w:cs="宋体" w:eastAsia="宋体" w:hint="default"/>
        </w:rPr>
      </w:pPr>
      <w:r>
        <w:rPr>
          <w:rFonts w:ascii="宋体"/>
        </w:rPr>
        <w:t> </w:t>
      </w:r>
    </w:p>
    <w:p>
      <w:pPr>
        <w:spacing w:after="0" w:line="291" w:lineRule="exact"/>
        <w:jc w:val="left"/>
        <w:rPr>
          <w:rFonts w:ascii="宋体" w:hAnsi="宋体" w:cs="宋体" w:eastAsia="宋体" w:hint="default"/>
        </w:rPr>
        <w:sectPr>
          <w:type w:val="continuous"/>
          <w:pgSz w:w="11910" w:h="16840"/>
          <w:pgMar w:top="1120" w:bottom="1380" w:left="1660" w:right="1120"/>
        </w:sectPr>
      </w:pPr>
    </w:p>
    <w:p>
      <w:pPr>
        <w:spacing w:line="240" w:lineRule="auto" w:before="8"/>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880" w:footer="1195" w:top="1120" w:bottom="1380" w:left="1580" w:right="1040"/>
        </w:sectPr>
      </w:pPr>
    </w:p>
    <w:p>
      <w:pPr>
        <w:pStyle w:val="Heading2"/>
        <w:tabs>
          <w:tab w:pos="1057" w:val="left" w:leader="none"/>
        </w:tabs>
        <w:spacing w:line="283" w:lineRule="auto" w:before="26"/>
        <w:ind w:left="218" w:right="0"/>
        <w:jc w:val="left"/>
        <w:rPr>
          <w:rFonts w:ascii="宋体" w:hAnsi="宋体" w:cs="宋体" w:eastAsia="宋体" w:hint="default"/>
          <w:b w:val="0"/>
          <w:bCs w:val="0"/>
        </w:rPr>
      </w:pPr>
      <w:r>
        <w:rPr>
          <w:rFonts w:ascii="宋体" w:hAnsi="宋体" w:cs="宋体" w:eastAsia="宋体" w:hint="default"/>
          <w:w w:val="95"/>
        </w:rPr>
        <w:t>(</w:t>
      </w:r>
      <w:r>
        <w:rPr>
          <w:w w:val="95"/>
        </w:rPr>
        <w:t>三</w:t>
      </w:r>
      <w:r>
        <w:rPr>
          <w:rFonts w:ascii="宋体" w:hAnsi="宋体" w:cs="宋体" w:eastAsia="宋体" w:hint="default"/>
          <w:w w:val="95"/>
        </w:rPr>
        <w:t>)</w:t>
        <w:tab/>
      </w:r>
      <w:r>
        <w:rPr>
          <w:w w:val="95"/>
        </w:rPr>
        <w:t>委托他人进行现金资产管理的情况</w:t>
      </w:r>
      <w:r>
        <w:rPr>
          <w:spacing w:val="63"/>
          <w:w w:val="95"/>
        </w:rPr>
        <w:t> </w:t>
      </w:r>
      <w:r>
        <w:rPr>
          <w:spacing w:val="63"/>
          <w:w w:val="95"/>
        </w:rPr>
      </w:r>
      <w:r>
        <w:rPr>
          <w:rFonts w:ascii="宋体" w:hAnsi="宋体" w:cs="宋体" w:eastAsia="宋体" w:hint="default"/>
        </w:rPr>
        <w:t>1.</w:t>
      </w:r>
      <w:r>
        <w:rPr>
          <w:rFonts w:ascii="宋体" w:hAnsi="宋体" w:cs="宋体" w:eastAsia="宋体" w:hint="default"/>
          <w:spacing w:val="59"/>
        </w:rPr>
        <w:t> </w:t>
      </w:r>
      <w:r>
        <w:rPr/>
        <w:t>委托理财情况</w:t>
      </w:r>
      <w:r>
        <w:rPr>
          <w:rFonts w:ascii="宋体" w:hAnsi="宋体" w:cs="宋体" w:eastAsia="宋体" w:hint="default"/>
          <w:w w:val="99"/>
        </w:rPr>
        <w:t> </w:t>
      </w:r>
      <w:r>
        <w:rPr>
          <w:rFonts w:ascii="宋体" w:hAnsi="宋体" w:cs="宋体" w:eastAsia="宋体" w:hint="default"/>
          <w:b w:val="0"/>
          <w:bCs w:val="0"/>
        </w:rPr>
      </w:r>
    </w:p>
    <w:p>
      <w:pPr>
        <w:pStyle w:val="Heading2"/>
        <w:spacing w:line="240" w:lineRule="auto" w:before="14"/>
        <w:ind w:left="218" w:right="0"/>
        <w:jc w:val="left"/>
        <w:rPr>
          <w:b w:val="0"/>
          <w:bCs w:val="0"/>
        </w:rPr>
      </w:pPr>
      <w:r>
        <w:rPr>
          <w:rFonts w:ascii="宋体" w:hAnsi="宋体" w:cs="宋体" w:eastAsia="宋体" w:hint="default"/>
        </w:rPr>
        <w:t>(1)</w:t>
      </w:r>
      <w:r>
        <w:rPr>
          <w:rFonts w:ascii="宋体" w:hAnsi="宋体" w:cs="宋体" w:eastAsia="宋体" w:hint="default"/>
          <w:spacing w:val="-67"/>
        </w:rPr>
        <w:t> </w:t>
      </w:r>
      <w:r>
        <w:rPr/>
        <w:t>委托理财总体情况</w:t>
      </w:r>
      <w:r>
        <w:rPr>
          <w:b w:val="0"/>
          <w:bCs w:val="0"/>
        </w:rPr>
      </w:r>
    </w:p>
    <w:p>
      <w:pPr>
        <w:pStyle w:val="BodyText"/>
        <w:tabs>
          <w:tab w:pos="1069" w:val="left" w:leader="none"/>
        </w:tabs>
        <w:spacing w:line="240" w:lineRule="auto" w:before="55"/>
        <w:ind w:left="21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tabs>
          <w:tab w:pos="1418" w:val="left" w:leader="none"/>
        </w:tabs>
        <w:spacing w:line="240" w:lineRule="auto" w:before="195"/>
        <w:ind w:left="218" w:right="0"/>
        <w:jc w:val="left"/>
      </w:pPr>
      <w:r>
        <w:rPr/>
        <w:t>单位：元</w:t>
        <w:tab/>
        <w:t>币种：人民币</w:t>
      </w:r>
    </w:p>
    <w:p>
      <w:pPr>
        <w:spacing w:after="0" w:line="240" w:lineRule="auto"/>
        <w:jc w:val="left"/>
        <w:sectPr>
          <w:type w:val="continuous"/>
          <w:pgSz w:w="11910" w:h="16840"/>
          <w:pgMar w:top="1120" w:bottom="1380" w:left="1580" w:right="1040"/>
          <w:cols w:num="2" w:equalWidth="0">
            <w:col w:w="4671" w:space="1521"/>
            <w:col w:w="3098"/>
          </w:cols>
        </w:sectPr>
      </w:pPr>
    </w:p>
    <w:p>
      <w:pPr>
        <w:spacing w:line="240" w:lineRule="auto" w:before="12"/>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668"/>
        <w:gridCol w:w="1702"/>
        <w:gridCol w:w="1702"/>
        <w:gridCol w:w="1702"/>
        <w:gridCol w:w="2276"/>
      </w:tblGrid>
      <w:tr>
        <w:trPr>
          <w:trHeight w:val="322"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46" w:right="0"/>
              <w:jc w:val="left"/>
              <w:rPr>
                <w:rFonts w:ascii="宋体" w:hAnsi="宋体" w:cs="宋体" w:eastAsia="宋体" w:hint="default"/>
                <w:sz w:val="24"/>
                <w:szCs w:val="24"/>
              </w:rPr>
            </w:pPr>
            <w:r>
              <w:rPr>
                <w:rFonts w:ascii="宋体" w:hAnsi="宋体" w:cs="宋体" w:eastAsia="宋体" w:hint="default"/>
                <w:sz w:val="24"/>
                <w:szCs w:val="24"/>
              </w:rPr>
              <w:t>类型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64" w:right="0"/>
              <w:jc w:val="left"/>
              <w:rPr>
                <w:rFonts w:ascii="宋体" w:hAnsi="宋体" w:cs="宋体" w:eastAsia="宋体" w:hint="default"/>
                <w:sz w:val="24"/>
                <w:szCs w:val="24"/>
              </w:rPr>
            </w:pPr>
            <w:r>
              <w:rPr>
                <w:rFonts w:ascii="宋体" w:hAnsi="宋体" w:cs="宋体" w:eastAsia="宋体" w:hint="default"/>
                <w:sz w:val="24"/>
                <w:szCs w:val="24"/>
              </w:rPr>
              <w:t>资金来源</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84" w:right="0"/>
              <w:jc w:val="left"/>
              <w:rPr>
                <w:rFonts w:ascii="宋体" w:hAnsi="宋体" w:cs="宋体" w:eastAsia="宋体" w:hint="default"/>
                <w:sz w:val="24"/>
                <w:szCs w:val="24"/>
              </w:rPr>
            </w:pPr>
            <w:r>
              <w:rPr>
                <w:rFonts w:ascii="宋体" w:hAnsi="宋体" w:cs="宋体" w:eastAsia="宋体" w:hint="default"/>
                <w:sz w:val="24"/>
                <w:szCs w:val="24"/>
              </w:rPr>
              <w:t>发生额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4" w:right="0"/>
              <w:jc w:val="left"/>
              <w:rPr>
                <w:rFonts w:ascii="宋体" w:hAnsi="宋体" w:cs="宋体" w:eastAsia="宋体" w:hint="default"/>
                <w:sz w:val="24"/>
                <w:szCs w:val="24"/>
              </w:rPr>
            </w:pPr>
            <w:r>
              <w:rPr>
                <w:rFonts w:ascii="宋体" w:hAnsi="宋体" w:cs="宋体" w:eastAsia="宋体" w:hint="default"/>
                <w:sz w:val="24"/>
                <w:szCs w:val="24"/>
              </w:rPr>
              <w:t>未到期余额</w:t>
            </w: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90" w:right="0"/>
              <w:jc w:val="left"/>
              <w:rPr>
                <w:rFonts w:ascii="宋体" w:hAnsi="宋体" w:cs="宋体" w:eastAsia="宋体" w:hint="default"/>
                <w:sz w:val="24"/>
                <w:szCs w:val="24"/>
              </w:rPr>
            </w:pPr>
            <w:r>
              <w:rPr>
                <w:rFonts w:ascii="宋体" w:hAnsi="宋体" w:cs="宋体" w:eastAsia="宋体" w:hint="default"/>
                <w:sz w:val="24"/>
                <w:szCs w:val="24"/>
              </w:rPr>
              <w:t>逾期未收回金额</w:t>
            </w:r>
          </w:p>
        </w:tc>
      </w:tr>
      <w:tr>
        <w:trPr>
          <w:trHeight w:val="322"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信托理财</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自有资金</w:t>
            </w:r>
            <w:r>
              <w:rPr>
                <w:rFonts w:ascii="宋体" w:hAnsi="宋体" w:cs="宋体" w:eastAsia="宋体" w:hint="default"/>
                <w:sz w:val="24"/>
                <w:szCs w:val="24"/>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88" w:right="-17"/>
              <w:jc w:val="left"/>
              <w:rPr>
                <w:rFonts w:ascii="宋体" w:hAnsi="宋体" w:cs="宋体" w:eastAsia="宋体" w:hint="default"/>
                <w:sz w:val="24"/>
                <w:szCs w:val="24"/>
              </w:rPr>
            </w:pPr>
            <w:r>
              <w:rPr>
                <w:rFonts w:ascii="宋体"/>
                <w:sz w:val="24"/>
              </w:rPr>
              <w:t>92,250,000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88" w:right="-17"/>
              <w:jc w:val="left"/>
              <w:rPr>
                <w:rFonts w:ascii="宋体" w:hAnsi="宋体" w:cs="宋体" w:eastAsia="宋体" w:hint="default"/>
                <w:sz w:val="24"/>
                <w:szCs w:val="24"/>
              </w:rPr>
            </w:pPr>
            <w:r>
              <w:rPr>
                <w:rFonts w:ascii="宋体"/>
                <w:sz w:val="24"/>
              </w:rPr>
              <w:t>84,300,000 </w:t>
            </w: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r>
    </w:tbl>
    <w:p>
      <w:pPr>
        <w:spacing w:line="240" w:lineRule="auto" w:before="0"/>
        <w:rPr>
          <w:rFonts w:ascii="宋体" w:hAnsi="宋体" w:cs="宋体" w:eastAsia="宋体" w:hint="default"/>
          <w:sz w:val="16"/>
          <w:szCs w:val="16"/>
        </w:rPr>
      </w:pPr>
    </w:p>
    <w:p>
      <w:pPr>
        <w:pStyle w:val="Heading2"/>
        <w:spacing w:line="312" w:lineRule="exact" w:before="26"/>
        <w:ind w:left="218" w:right="0"/>
        <w:jc w:val="left"/>
        <w:rPr>
          <w:b w:val="0"/>
          <w:bCs w:val="0"/>
        </w:rPr>
      </w:pPr>
      <w:r>
        <w:rPr/>
        <w:t>其他情况</w:t>
      </w:r>
      <w:r>
        <w:rPr>
          <w:b w:val="0"/>
          <w:bCs w:val="0"/>
        </w:rPr>
      </w:r>
    </w:p>
    <w:p>
      <w:pPr>
        <w:pStyle w:val="BodyText"/>
        <w:tabs>
          <w:tab w:pos="1081" w:val="left" w:leader="none"/>
        </w:tabs>
        <w:spacing w:line="330" w:lineRule="exact"/>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rFonts w:ascii="宋体" w:hAnsi="宋体" w:cs="宋体" w:eastAsia="宋体" w:hint="default"/>
        </w:rPr>
        <w:t>(2)</w:t>
      </w:r>
      <w:r>
        <w:rPr>
          <w:rFonts w:ascii="宋体" w:hAnsi="宋体" w:cs="宋体" w:eastAsia="宋体" w:hint="default"/>
          <w:spacing w:val="-67"/>
        </w:rPr>
        <w:t> </w:t>
      </w:r>
      <w:r>
        <w:rPr/>
        <w:t>单项委托理财情况</w:t>
      </w:r>
      <w:r>
        <w:rPr>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5"/>
        <w:rPr>
          <w:rFonts w:ascii="宋体" w:hAnsi="宋体" w:cs="宋体" w:eastAsia="宋体" w:hint="default"/>
          <w:sz w:val="19"/>
          <w:szCs w:val="19"/>
        </w:rPr>
      </w:pPr>
    </w:p>
    <w:p>
      <w:pPr>
        <w:pStyle w:val="Heading2"/>
        <w:spacing w:line="313" w:lineRule="exact"/>
        <w:ind w:left="218" w:right="0"/>
        <w:jc w:val="left"/>
        <w:rPr>
          <w:b w:val="0"/>
          <w:bCs w:val="0"/>
        </w:rPr>
      </w:pPr>
      <w:r>
        <w:rPr/>
        <w:t>其他情况</w:t>
      </w:r>
      <w:r>
        <w:rPr>
          <w:b w:val="0"/>
          <w:bCs w:val="0"/>
        </w:rPr>
      </w:r>
    </w:p>
    <w:p>
      <w:pPr>
        <w:pStyle w:val="BodyText"/>
        <w:tabs>
          <w:tab w:pos="1081" w:val="left" w:leader="none"/>
        </w:tabs>
        <w:spacing w:line="331" w:lineRule="exact"/>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rFonts w:ascii="宋体" w:hAnsi="宋体" w:cs="宋体" w:eastAsia="宋体" w:hint="default"/>
        </w:rPr>
        <w:t>(3)</w:t>
      </w:r>
      <w:r>
        <w:rPr>
          <w:rFonts w:ascii="宋体" w:hAnsi="宋体" w:cs="宋体" w:eastAsia="宋体" w:hint="default"/>
          <w:spacing w:val="-67"/>
        </w:rPr>
        <w:t> </w:t>
      </w:r>
      <w:r>
        <w:rPr/>
        <w:t>委托理财减值准备</w:t>
      </w:r>
      <w:r>
        <w:rPr>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spacing w:line="240" w:lineRule="auto"/>
        <w:ind w:left="218" w:right="0"/>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spacing w:val="59"/>
        </w:rPr>
        <w:t> </w:t>
      </w:r>
      <w:r>
        <w:rPr/>
        <w:t>委托贷款情况</w:t>
      </w:r>
      <w:r>
        <w:rPr>
          <w:rFonts w:ascii="宋体" w:hAnsi="宋体" w:cs="宋体" w:eastAsia="宋体" w:hint="default"/>
          <w:w w:val="99"/>
        </w:rPr>
        <w:t> </w:t>
      </w:r>
      <w:r>
        <w:rPr>
          <w:rFonts w:ascii="宋体" w:hAnsi="宋体" w:cs="宋体" w:eastAsia="宋体" w:hint="default"/>
          <w:b w:val="0"/>
          <w:bCs w:val="0"/>
        </w:rPr>
      </w:r>
    </w:p>
    <w:p>
      <w:pPr>
        <w:pStyle w:val="Heading2"/>
        <w:spacing w:line="240" w:lineRule="auto" w:before="58"/>
        <w:ind w:left="218" w:right="0"/>
        <w:jc w:val="left"/>
        <w:rPr>
          <w:b w:val="0"/>
          <w:bCs w:val="0"/>
        </w:rPr>
      </w:pPr>
      <w:r>
        <w:rPr>
          <w:rFonts w:ascii="宋体" w:hAnsi="宋体" w:cs="宋体" w:eastAsia="宋体" w:hint="default"/>
        </w:rPr>
        <w:t>(1)</w:t>
      </w:r>
      <w:r>
        <w:rPr>
          <w:rFonts w:ascii="宋体" w:hAnsi="宋体" w:cs="宋体" w:eastAsia="宋体" w:hint="default"/>
          <w:spacing w:val="-67"/>
        </w:rPr>
        <w:t> </w:t>
      </w:r>
      <w:r>
        <w:rPr/>
        <w:t>委托贷款总体情况</w:t>
      </w:r>
      <w:r>
        <w:rPr>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5"/>
        <w:rPr>
          <w:rFonts w:ascii="宋体" w:hAnsi="宋体" w:cs="宋体" w:eastAsia="宋体" w:hint="default"/>
          <w:sz w:val="19"/>
          <w:szCs w:val="19"/>
        </w:rPr>
      </w:pPr>
    </w:p>
    <w:p>
      <w:pPr>
        <w:pStyle w:val="Heading2"/>
        <w:spacing w:line="313" w:lineRule="exact"/>
        <w:ind w:left="218" w:right="0"/>
        <w:jc w:val="left"/>
        <w:rPr>
          <w:b w:val="0"/>
          <w:bCs w:val="0"/>
        </w:rPr>
      </w:pPr>
      <w:r>
        <w:rPr/>
        <w:t>其他情况</w:t>
      </w:r>
      <w:r>
        <w:rPr>
          <w:b w:val="0"/>
          <w:bCs w:val="0"/>
        </w:rPr>
      </w:r>
    </w:p>
    <w:p>
      <w:pPr>
        <w:pStyle w:val="BodyText"/>
        <w:tabs>
          <w:tab w:pos="1081" w:val="left" w:leader="none"/>
        </w:tabs>
        <w:spacing w:line="331" w:lineRule="exact"/>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rFonts w:ascii="宋体" w:hAnsi="宋体" w:cs="宋体" w:eastAsia="宋体" w:hint="default"/>
        </w:rPr>
        <w:t>(2)</w:t>
      </w:r>
      <w:r>
        <w:rPr>
          <w:rFonts w:ascii="宋体" w:hAnsi="宋体" w:cs="宋体" w:eastAsia="宋体" w:hint="default"/>
          <w:spacing w:val="-67"/>
        </w:rPr>
        <w:t> </w:t>
      </w:r>
      <w:r>
        <w:rPr/>
        <w:t>单项委托贷款情况</w:t>
      </w:r>
      <w:r>
        <w:rPr>
          <w:b w:val="0"/>
          <w:bCs w:val="0"/>
        </w:rPr>
      </w:r>
    </w:p>
    <w:p>
      <w:pPr>
        <w:pStyle w:val="BodyText"/>
        <w:tabs>
          <w:tab w:pos="1081" w:val="left" w:leader="none"/>
        </w:tabs>
        <w:spacing w:line="240" w:lineRule="auto" w:before="55"/>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7"/>
        <w:rPr>
          <w:rFonts w:ascii="宋体" w:hAnsi="宋体" w:cs="宋体" w:eastAsia="宋体" w:hint="default"/>
          <w:sz w:val="19"/>
          <w:szCs w:val="19"/>
        </w:rPr>
      </w:pPr>
    </w:p>
    <w:p>
      <w:pPr>
        <w:pStyle w:val="Heading2"/>
        <w:spacing w:line="313" w:lineRule="exact"/>
        <w:ind w:left="218" w:right="0"/>
        <w:jc w:val="left"/>
        <w:rPr>
          <w:b w:val="0"/>
          <w:bCs w:val="0"/>
        </w:rPr>
      </w:pPr>
      <w:r>
        <w:rPr/>
        <w:t>其他情况</w:t>
      </w:r>
      <w:r>
        <w:rPr>
          <w:b w:val="0"/>
          <w:bCs w:val="0"/>
        </w:rPr>
      </w:r>
    </w:p>
    <w:p>
      <w:pPr>
        <w:pStyle w:val="BodyText"/>
        <w:tabs>
          <w:tab w:pos="1081" w:val="left" w:leader="none"/>
        </w:tabs>
        <w:spacing w:line="331" w:lineRule="exact"/>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13"/>
        <w:rPr>
          <w:rFonts w:ascii="宋体" w:hAnsi="宋体" w:cs="宋体" w:eastAsia="宋体" w:hint="default"/>
          <w:sz w:val="23"/>
          <w:szCs w:val="23"/>
        </w:rPr>
      </w:pPr>
    </w:p>
    <w:p>
      <w:pPr>
        <w:pStyle w:val="Heading2"/>
        <w:spacing w:line="240" w:lineRule="auto"/>
        <w:ind w:left="218" w:right="0"/>
        <w:jc w:val="left"/>
        <w:rPr>
          <w:b w:val="0"/>
          <w:bCs w:val="0"/>
        </w:rPr>
      </w:pPr>
      <w:r>
        <w:rPr>
          <w:rFonts w:ascii="宋体" w:hAnsi="宋体" w:cs="宋体" w:eastAsia="宋体" w:hint="default"/>
        </w:rPr>
        <w:t>(3)</w:t>
      </w:r>
      <w:r>
        <w:rPr>
          <w:rFonts w:ascii="宋体" w:hAnsi="宋体" w:cs="宋体" w:eastAsia="宋体" w:hint="default"/>
          <w:spacing w:val="-67"/>
        </w:rPr>
        <w:t> </w:t>
      </w:r>
      <w:r>
        <w:rPr/>
        <w:t>委托贷款减值准备</w:t>
      </w:r>
      <w:r>
        <w:rPr>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61"/>
        </w:rPr>
        <w:t> </w:t>
      </w:r>
      <w:r>
        <w:rPr/>
        <w:t>其他情况</w:t>
      </w:r>
      <w:r>
        <w:rPr>
          <w:rFonts w:ascii="宋体" w:hAnsi="宋体" w:cs="宋体" w:eastAsia="宋体" w:hint="default"/>
          <w:w w:val="99"/>
        </w:rPr>
        <w:t> </w:t>
      </w:r>
      <w:r>
        <w:rPr>
          <w:rFonts w:ascii="宋体" w:hAnsi="宋体" w:cs="宋体" w:eastAsia="宋体" w:hint="default"/>
          <w:b w:val="0"/>
          <w:bCs w:val="0"/>
        </w:rPr>
      </w:r>
    </w:p>
    <w:p>
      <w:pPr>
        <w:pStyle w:val="BodyText"/>
        <w:tabs>
          <w:tab w:pos="1081" w:val="left" w:leader="none"/>
        </w:tabs>
        <w:spacing w:line="240" w:lineRule="auto" w:before="55"/>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tabs>
          <w:tab w:pos="1057" w:val="left" w:leader="none"/>
        </w:tabs>
        <w:spacing w:line="240" w:lineRule="auto"/>
        <w:ind w:left="218" w:right="0"/>
        <w:jc w:val="left"/>
        <w:rPr>
          <w:b w:val="0"/>
          <w:bCs w:val="0"/>
        </w:rPr>
      </w:pPr>
      <w:r>
        <w:rPr>
          <w:rFonts w:ascii="宋体" w:hAnsi="宋体" w:cs="宋体" w:eastAsia="宋体" w:hint="default"/>
          <w:w w:val="95"/>
        </w:rPr>
        <w:t>(</w:t>
      </w:r>
      <w:r>
        <w:rPr>
          <w:w w:val="95"/>
        </w:rPr>
        <w:t>四</w:t>
      </w:r>
      <w:r>
        <w:rPr>
          <w:rFonts w:ascii="宋体" w:hAnsi="宋体" w:cs="宋体" w:eastAsia="宋体" w:hint="default"/>
          <w:w w:val="95"/>
        </w:rPr>
        <w:t>)</w:t>
        <w:tab/>
      </w:r>
      <w:r>
        <w:rPr/>
        <w:t>其他重大合同</w:t>
      </w:r>
      <w:r>
        <w:rPr>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after="0" w:line="240" w:lineRule="auto"/>
        <w:jc w:val="left"/>
        <w:sectPr>
          <w:type w:val="continuous"/>
          <w:pgSz w:w="11910" w:h="16840"/>
          <w:pgMar w:top="1120" w:bottom="1380" w:left="1580" w:right="1040"/>
        </w:sectPr>
      </w:pPr>
    </w:p>
    <w:p>
      <w:pPr>
        <w:spacing w:line="240" w:lineRule="auto" w:before="8"/>
        <w:rPr>
          <w:rFonts w:ascii="宋体" w:hAnsi="宋体" w:cs="宋体" w:eastAsia="宋体" w:hint="default"/>
          <w:sz w:val="25"/>
          <w:szCs w:val="25"/>
        </w:rPr>
      </w:pPr>
    </w:p>
    <w:p>
      <w:pPr>
        <w:pStyle w:val="Heading2"/>
        <w:spacing w:line="240" w:lineRule="auto" w:before="26"/>
        <w:ind w:left="138" w:right="0"/>
        <w:jc w:val="left"/>
        <w:rPr>
          <w:b w:val="0"/>
          <w:bCs w:val="0"/>
        </w:rPr>
      </w:pPr>
      <w:r>
        <w:rPr/>
        <w:t>十六、其他重大事项的说明</w:t>
      </w:r>
      <w:r>
        <w:rPr>
          <w:b w:val="0"/>
          <w:bCs w:val="0"/>
        </w:rPr>
      </w:r>
    </w:p>
    <w:p>
      <w:pPr>
        <w:pStyle w:val="BodyText"/>
        <w:spacing w:line="322" w:lineRule="exact" w:before="58"/>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pStyle w:val="BodyText"/>
        <w:spacing w:line="310" w:lineRule="exact" w:before="22"/>
        <w:ind w:left="138" w:right="0" w:firstLine="479"/>
        <w:jc w:val="left"/>
        <w:rPr>
          <w:rFonts w:ascii="宋体" w:hAnsi="宋体" w:cs="宋体" w:eastAsia="宋体" w:hint="default"/>
        </w:rPr>
      </w:pPr>
      <w:r>
        <w:rPr>
          <w:spacing w:val="-2"/>
        </w:rPr>
        <w:t>报告期内，根据《计算机软件保护条例》规定，经中华人民共和国国家版权局批</w:t>
      </w:r>
      <w:r>
        <w:rPr/>
        <w:t> 准，公司获得了“用友金融数据工厂</w:t>
      </w:r>
      <w:r>
        <w:rPr>
          <w:spacing w:val="-60"/>
        </w:rPr>
        <w:t> </w:t>
      </w:r>
      <w:r>
        <w:rPr>
          <w:rFonts w:ascii="宋体" w:hAnsi="宋体" w:cs="宋体" w:eastAsia="宋体" w:hint="default"/>
        </w:rPr>
        <w:t>dataworks</w:t>
      </w:r>
      <w:r>
        <w:rPr>
          <w:rFonts w:ascii="宋体" w:hAnsi="宋体" w:cs="宋体" w:eastAsia="宋体" w:hint="default"/>
          <w:spacing w:val="-60"/>
        </w:rPr>
        <w:t> </w:t>
      </w:r>
      <w:r>
        <w:rPr/>
        <w:t>平台”等</w:t>
      </w:r>
      <w:r>
        <w:rPr>
          <w:spacing w:val="-60"/>
        </w:rPr>
        <w:t> </w:t>
      </w:r>
      <w:r>
        <w:rPr>
          <w:rFonts w:ascii="宋体" w:hAnsi="宋体" w:cs="宋体" w:eastAsia="宋体" w:hint="default"/>
        </w:rPr>
        <w:t>141</w:t>
      </w:r>
      <w:r>
        <w:rPr>
          <w:rFonts w:ascii="宋体" w:hAnsi="宋体" w:cs="宋体" w:eastAsia="宋体" w:hint="default"/>
          <w:spacing w:val="-60"/>
        </w:rPr>
        <w:t> </w:t>
      </w:r>
      <w:r>
        <w:rPr/>
        <w:t>项软件著作权。</w:t>
      </w:r>
      <w:r>
        <w:rPr>
          <w:rFonts w:ascii="宋体" w:hAnsi="宋体" w:cs="宋体" w:eastAsia="宋体" w:hint="default"/>
        </w:rPr>
        <w:t> </w:t>
      </w:r>
    </w:p>
    <w:p>
      <w:pPr>
        <w:pStyle w:val="BodyText"/>
        <w:spacing w:line="312" w:lineRule="exact"/>
        <w:ind w:left="138" w:right="0" w:firstLine="479"/>
        <w:jc w:val="left"/>
        <w:rPr>
          <w:rFonts w:ascii="宋体" w:hAnsi="宋体" w:cs="宋体" w:eastAsia="宋体" w:hint="default"/>
        </w:rPr>
      </w:pPr>
      <w:r>
        <w:rPr>
          <w:spacing w:val="-2"/>
        </w:rPr>
        <w:t>报告期内，根据《中华人民共和国专利法》规定，经中华人民共和国知识产权局</w:t>
      </w:r>
      <w:r>
        <w:rPr/>
        <w:t> 核准，公司获得了“单据子表行关联查询装置和方法”等</w:t>
      </w:r>
      <w:r>
        <w:rPr>
          <w:spacing w:val="-60"/>
        </w:rPr>
        <w:t> </w:t>
      </w:r>
      <w:r>
        <w:rPr>
          <w:rFonts w:ascii="宋体" w:hAnsi="宋体" w:cs="宋体" w:eastAsia="宋体" w:hint="default"/>
        </w:rPr>
        <w:t>47</w:t>
      </w:r>
      <w:r>
        <w:rPr>
          <w:rFonts w:ascii="宋体" w:hAnsi="宋体" w:cs="宋体" w:eastAsia="宋体" w:hint="default"/>
          <w:spacing w:val="-60"/>
        </w:rPr>
        <w:t> </w:t>
      </w:r>
      <w:r>
        <w:rPr/>
        <w:t>项专利授权。</w:t>
      </w:r>
      <w:r>
        <w:rPr>
          <w:rFonts w:ascii="宋体" w:hAnsi="宋体" w:cs="宋体" w:eastAsia="宋体" w:hint="default"/>
        </w:rPr>
        <w:t> </w:t>
      </w:r>
    </w:p>
    <w:p>
      <w:pPr>
        <w:pStyle w:val="BodyText"/>
        <w:spacing w:line="310" w:lineRule="exact" w:before="1"/>
        <w:ind w:left="138" w:right="0" w:firstLine="479"/>
        <w:jc w:val="left"/>
        <w:rPr>
          <w:rFonts w:ascii="宋体" w:hAnsi="宋体" w:cs="宋体" w:eastAsia="宋体" w:hint="default"/>
        </w:rPr>
      </w:pPr>
      <w:r>
        <w:rPr>
          <w:spacing w:val="-2"/>
        </w:rPr>
        <w:t>报告期内，根据《中华人民共和国商标法》规定，经中华人民共和国国家知识产</w:t>
      </w:r>
      <w:r>
        <w:rPr/>
        <w:t> 权局商标局核准，公司获得了“友互会”等</w:t>
      </w:r>
      <w:r>
        <w:rPr>
          <w:spacing w:val="-60"/>
        </w:rPr>
        <w:t> </w:t>
      </w:r>
      <w:r>
        <w:rPr>
          <w:rFonts w:ascii="宋体" w:hAnsi="宋体" w:cs="宋体" w:eastAsia="宋体" w:hint="default"/>
        </w:rPr>
        <w:t>187</w:t>
      </w:r>
      <w:r>
        <w:rPr>
          <w:rFonts w:ascii="宋体" w:hAnsi="宋体" w:cs="宋体" w:eastAsia="宋体" w:hint="default"/>
          <w:spacing w:val="-60"/>
        </w:rPr>
        <w:t> </w:t>
      </w:r>
      <w:r>
        <w:rPr/>
        <w:t>项注册商标专有权。</w:t>
      </w:r>
      <w:r>
        <w:rPr>
          <w:rFonts w:ascii="宋体" w:hAnsi="宋体" w:cs="宋体" w:eastAsia="宋体" w:hint="default"/>
        </w:rPr>
        <w:t> </w:t>
      </w:r>
    </w:p>
    <w:p>
      <w:pPr>
        <w:spacing w:line="240" w:lineRule="auto" w:before="5"/>
        <w:rPr>
          <w:rFonts w:ascii="宋体" w:hAnsi="宋体" w:cs="宋体" w:eastAsia="宋体" w:hint="default"/>
          <w:sz w:val="23"/>
          <w:szCs w:val="23"/>
        </w:rPr>
      </w:pPr>
    </w:p>
    <w:p>
      <w:pPr>
        <w:pStyle w:val="Heading2"/>
        <w:tabs>
          <w:tab w:pos="989" w:val="left" w:leader="none"/>
        </w:tabs>
        <w:spacing w:line="283" w:lineRule="auto"/>
        <w:ind w:left="138" w:right="5093"/>
        <w:jc w:val="left"/>
        <w:rPr>
          <w:b w:val="0"/>
          <w:bCs w:val="0"/>
        </w:rPr>
      </w:pPr>
      <w:r>
        <w:rPr/>
        <w:t>十七、积极履行社会责任的工作情况</w:t>
      </w:r>
      <w:r>
        <w:rPr>
          <w:w w:val="99"/>
        </w:rPr>
        <w:t> </w:t>
      </w:r>
      <w:r>
        <w:rPr>
          <w:rFonts w:ascii="宋体" w:hAnsi="宋体" w:cs="宋体" w:eastAsia="宋体" w:hint="default"/>
          <w:w w:val="95"/>
        </w:rPr>
        <w:t>(</w:t>
      </w:r>
      <w:r>
        <w:rPr>
          <w:w w:val="95"/>
        </w:rPr>
        <w:t>一</w:t>
      </w:r>
      <w:r>
        <w:rPr>
          <w:rFonts w:ascii="宋体" w:hAnsi="宋体" w:cs="宋体" w:eastAsia="宋体" w:hint="default"/>
          <w:w w:val="95"/>
        </w:rPr>
        <w:t>)</w:t>
        <w:tab/>
      </w:r>
      <w:r>
        <w:rPr/>
        <w:t>上市公司扶贫工作情况</w:t>
      </w:r>
      <w:r>
        <w:rPr>
          <w:b w:val="0"/>
          <w:bCs w:val="0"/>
        </w:rPr>
      </w:r>
    </w:p>
    <w:p>
      <w:pPr>
        <w:pStyle w:val="BodyText"/>
        <w:spacing w:line="240" w:lineRule="auto" w:before="13"/>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b w:val="0"/>
          <w:bCs w:val="0"/>
        </w:rPr>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35"/>
        </w:rPr>
        <w:t> </w:t>
      </w:r>
      <w:r>
        <w:rPr/>
        <w:t>社会责任工作情况</w:t>
      </w:r>
      <w:r>
        <w:rPr>
          <w:b w:val="0"/>
          <w:bCs w:val="0"/>
        </w:rPr>
      </w:r>
    </w:p>
    <w:p>
      <w:pPr>
        <w:pStyle w:val="BodyText"/>
        <w:tabs>
          <w:tab w:pos="989" w:val="left" w:leader="none"/>
        </w:tabs>
        <w:spacing w:line="321" w:lineRule="exact" w:before="58"/>
        <w:ind w:left="13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pStyle w:val="BodyText"/>
        <w:spacing w:line="312" w:lineRule="exact" w:before="19"/>
        <w:ind w:left="138" w:right="408"/>
        <w:jc w:val="left"/>
        <w:rPr>
          <w:rFonts w:ascii="宋体" w:hAnsi="宋体" w:cs="宋体" w:eastAsia="宋体" w:hint="default"/>
        </w:rPr>
      </w:pPr>
      <w:r>
        <w:rPr/>
        <w:t>公司披露了《用友网络科技股份有限公司</w:t>
      </w:r>
      <w:r>
        <w:rPr>
          <w:spacing w:val="-60"/>
        </w:rPr>
        <w:t> </w:t>
      </w:r>
      <w:r>
        <w:rPr>
          <w:rFonts w:ascii="宋体" w:hAnsi="宋体" w:cs="宋体" w:eastAsia="宋体" w:hint="default"/>
        </w:rPr>
        <w:t>2019</w:t>
      </w:r>
      <w:r>
        <w:rPr>
          <w:rFonts w:ascii="宋体" w:hAnsi="宋体" w:cs="宋体" w:eastAsia="宋体" w:hint="default"/>
          <w:spacing w:val="-60"/>
        </w:rPr>
        <w:t> </w:t>
      </w:r>
      <w:r>
        <w:rPr/>
        <w:t>年度社会责任报告》，披露网址： </w:t>
      </w:r>
      <w:hyperlink r:id="rId11">
        <w:r>
          <w:rPr>
            <w:rFonts w:ascii="宋体" w:hAnsi="宋体" w:cs="宋体" w:eastAsia="宋体" w:hint="default"/>
          </w:rPr>
          <w:t>www.sse.com.cn</w:t>
        </w:r>
      </w:hyperlink>
      <w:r>
        <w:rPr/>
        <w:t>。</w:t>
      </w:r>
      <w:r>
        <w:rPr>
          <w:rFonts w:ascii="宋体" w:hAnsi="宋体" w:cs="宋体" w:eastAsia="宋体" w:hint="default"/>
        </w:rPr>
        <w:t> </w:t>
      </w:r>
    </w:p>
    <w:p>
      <w:pPr>
        <w:spacing w:line="240" w:lineRule="auto" w:before="4"/>
        <w:rPr>
          <w:rFonts w:ascii="宋体" w:hAnsi="宋体" w:cs="宋体" w:eastAsia="宋体" w:hint="default"/>
          <w:sz w:val="23"/>
          <w:szCs w:val="23"/>
        </w:rPr>
      </w:pPr>
    </w:p>
    <w:p>
      <w:pPr>
        <w:pStyle w:val="Heading2"/>
        <w:spacing w:line="240" w:lineRule="auto"/>
        <w:ind w:left="138" w:right="0"/>
        <w:jc w:val="left"/>
        <w:rPr>
          <w:b w:val="0"/>
          <w:bCs w:val="0"/>
        </w:rPr>
      </w:pP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35"/>
        </w:rPr>
        <w:t> </w:t>
      </w:r>
      <w:r>
        <w:rPr/>
        <w:t>环境信息情况</w:t>
      </w:r>
      <w:r>
        <w:rPr>
          <w:b w:val="0"/>
          <w:bCs w:val="0"/>
        </w:rPr>
      </w:r>
    </w:p>
    <w:p>
      <w:pPr>
        <w:pStyle w:val="Heading2"/>
        <w:spacing w:line="240" w:lineRule="auto" w:before="55"/>
        <w:ind w:left="138"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61"/>
        </w:rPr>
        <w:t> </w:t>
      </w:r>
      <w:r>
        <w:rPr/>
        <w:t>属于环境保护部门公布的重点排污单位的公司及其重要子公司的环保情况说明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6"/>
        <w:rPr>
          <w:rFonts w:ascii="宋体" w:hAnsi="宋体" w:cs="宋体" w:eastAsia="宋体" w:hint="default"/>
          <w:sz w:val="25"/>
          <w:szCs w:val="25"/>
        </w:rPr>
      </w:pPr>
    </w:p>
    <w:p>
      <w:pPr>
        <w:pStyle w:val="Heading2"/>
        <w:spacing w:line="240" w:lineRule="auto"/>
        <w:ind w:left="138" w:right="0"/>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spacing w:val="60"/>
        </w:rPr>
        <w:t> </w:t>
      </w:r>
      <w:r>
        <w:rPr/>
        <w:t>重点排污单位之外的公司的环保情况说明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3"/>
        <w:rPr>
          <w:rFonts w:ascii="宋体" w:hAnsi="宋体" w:cs="宋体" w:eastAsia="宋体" w:hint="default"/>
          <w:sz w:val="25"/>
          <w:szCs w:val="25"/>
        </w:rPr>
      </w:pPr>
    </w:p>
    <w:p>
      <w:pPr>
        <w:pStyle w:val="Heading2"/>
        <w:spacing w:line="240" w:lineRule="auto"/>
        <w:ind w:left="138" w:right="0"/>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60"/>
        </w:rPr>
        <w:t> </w:t>
      </w:r>
      <w:r>
        <w:rPr/>
        <w:t>重点排污单位之外的公司未披露环境信息的原因说明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5"/>
        <w:rPr>
          <w:rFonts w:ascii="宋体" w:hAnsi="宋体" w:cs="宋体" w:eastAsia="宋体" w:hint="default"/>
          <w:sz w:val="25"/>
          <w:szCs w:val="25"/>
        </w:rPr>
      </w:pPr>
    </w:p>
    <w:p>
      <w:pPr>
        <w:pStyle w:val="Heading2"/>
        <w:spacing w:line="240" w:lineRule="auto"/>
        <w:ind w:left="138" w:right="0"/>
        <w:jc w:val="left"/>
        <w:rPr>
          <w:rFonts w:ascii="宋体" w:hAnsi="宋体" w:cs="宋体" w:eastAsia="宋体" w:hint="default"/>
          <w:b w:val="0"/>
          <w:bCs w:val="0"/>
        </w:rPr>
      </w:pPr>
      <w:r>
        <w:rPr>
          <w:rFonts w:ascii="宋体" w:hAnsi="宋体" w:cs="宋体" w:eastAsia="宋体" w:hint="default"/>
        </w:rPr>
        <w:t>4.</w:t>
      </w:r>
      <w:r>
        <w:rPr>
          <w:rFonts w:ascii="宋体" w:hAnsi="宋体" w:cs="宋体" w:eastAsia="宋体" w:hint="default"/>
          <w:spacing w:val="60"/>
        </w:rPr>
        <w:t> </w:t>
      </w:r>
      <w:r>
        <w:rPr/>
        <w:t>报告期内披露环境信息内容的后续进展或变化情况的说明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5"/>
        <w:rPr>
          <w:rFonts w:ascii="宋体" w:hAnsi="宋体" w:cs="宋体" w:eastAsia="宋体" w:hint="default"/>
          <w:sz w:val="25"/>
          <w:szCs w:val="25"/>
        </w:rPr>
      </w:pPr>
    </w:p>
    <w:p>
      <w:pPr>
        <w:pStyle w:val="Heading2"/>
        <w:spacing w:line="240" w:lineRule="auto"/>
        <w:ind w:left="138" w:right="0"/>
        <w:jc w:val="left"/>
        <w:rPr>
          <w:b w:val="0"/>
          <w:bCs w:val="0"/>
        </w:rPr>
      </w:pPr>
      <w:r>
        <w:rPr>
          <w:rFonts w:ascii="宋体" w:hAnsi="宋体" w:cs="宋体" w:eastAsia="宋体" w:hint="default"/>
        </w:rPr>
        <w:t>(</w:t>
      </w:r>
      <w:r>
        <w:rPr/>
        <w:t>四</w:t>
      </w:r>
      <w:r>
        <w:rPr>
          <w:rFonts w:ascii="宋体" w:hAnsi="宋体" w:cs="宋体" w:eastAsia="宋体" w:hint="default"/>
        </w:rPr>
        <w:t>)</w:t>
      </w:r>
      <w:r>
        <w:rPr>
          <w:rFonts w:ascii="宋体" w:hAnsi="宋体" w:cs="宋体" w:eastAsia="宋体" w:hint="default"/>
          <w:spacing w:val="37"/>
        </w:rPr>
        <w:t> </w:t>
      </w:r>
      <w:r>
        <w:rPr/>
        <w:t>其他说明</w:t>
      </w:r>
      <w:r>
        <w:rPr>
          <w:b w:val="0"/>
          <w:bCs w:val="0"/>
        </w:rPr>
      </w:r>
    </w:p>
    <w:p>
      <w:pPr>
        <w:pStyle w:val="BodyText"/>
        <w:tabs>
          <w:tab w:pos="1001" w:val="left" w:leader="none"/>
        </w:tabs>
        <w:spacing w:line="240" w:lineRule="auto" w:before="58"/>
        <w:ind w:left="13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left"/>
        <w:rPr>
          <w:b w:val="0"/>
          <w:bCs w:val="0"/>
        </w:rPr>
      </w:pPr>
      <w:r>
        <w:rPr/>
        <w:t>十八、可转换公司债券情况</w:t>
      </w:r>
      <w:r>
        <w:rPr>
          <w:b w:val="0"/>
          <w:bCs w:val="0"/>
        </w:rPr>
      </w:r>
    </w:p>
    <w:p>
      <w:pPr>
        <w:pStyle w:val="BodyText"/>
        <w:spacing w:line="240" w:lineRule="auto" w:before="55"/>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after="0" w:line="240" w:lineRule="auto"/>
        <w:jc w:val="left"/>
        <w:sectPr>
          <w:pgSz w:w="11910" w:h="16840"/>
          <w:pgMar w:header="880" w:footer="1195" w:top="1120" w:bottom="1380" w:left="1660" w:right="1160"/>
        </w:sectPr>
      </w:pPr>
    </w:p>
    <w:p>
      <w:pPr>
        <w:spacing w:line="240" w:lineRule="auto" w:before="11"/>
        <w:rPr>
          <w:rFonts w:ascii="宋体" w:hAnsi="宋体" w:cs="宋体" w:eastAsia="宋体" w:hint="default"/>
          <w:sz w:val="25"/>
          <w:szCs w:val="25"/>
        </w:rPr>
      </w:pPr>
    </w:p>
    <w:p>
      <w:pPr>
        <w:pStyle w:val="Heading1"/>
        <w:spacing w:line="240" w:lineRule="auto"/>
        <w:ind w:left="3037" w:right="0"/>
        <w:jc w:val="left"/>
        <w:rPr>
          <w:b w:val="0"/>
          <w:bCs w:val="0"/>
        </w:rPr>
      </w:pPr>
      <w:bookmarkStart w:name="_bookmark5" w:id="8"/>
      <w:bookmarkEnd w:id="8"/>
      <w:r>
        <w:rPr>
          <w:b w:val="0"/>
          <w:bCs w:val="0"/>
        </w:rPr>
      </w:r>
      <w:r>
        <w:rPr/>
        <w:t>第六节</w:t>
      </w:r>
      <w:r>
        <w:rPr>
          <w:spacing w:val="133"/>
        </w:rPr>
        <w:t> </w:t>
      </w:r>
      <w:r>
        <w:rPr>
          <w:rFonts w:ascii="宋体" w:hAnsi="宋体" w:cs="宋体" w:eastAsia="宋体" w:hint="default"/>
          <w:spacing w:val="133"/>
        </w:rPr>
      </w:r>
      <w:r>
        <w:rPr/>
        <w:t>普通股股份变动及股东情况</w:t>
      </w:r>
      <w:r>
        <w:rPr>
          <w:b w:val="0"/>
          <w:bCs w:val="0"/>
        </w:rPr>
      </w:r>
    </w:p>
    <w:p>
      <w:pPr>
        <w:spacing w:line="240" w:lineRule="auto" w:before="11"/>
        <w:rPr>
          <w:rFonts w:ascii="黑体" w:hAnsi="黑体" w:cs="黑体" w:eastAsia="黑体" w:hint="default"/>
          <w:b/>
          <w:bCs/>
          <w:sz w:val="16"/>
          <w:szCs w:val="16"/>
        </w:rPr>
      </w:pPr>
    </w:p>
    <w:p>
      <w:pPr>
        <w:spacing w:after="0" w:line="240" w:lineRule="auto"/>
        <w:rPr>
          <w:rFonts w:ascii="黑体" w:hAnsi="黑体" w:cs="黑体" w:eastAsia="黑体" w:hint="default"/>
          <w:sz w:val="16"/>
          <w:szCs w:val="16"/>
        </w:rPr>
        <w:sectPr>
          <w:pgSz w:w="11910" w:h="16840"/>
          <w:pgMar w:header="880" w:footer="1195" w:top="1120" w:bottom="1380" w:left="1000" w:right="640"/>
        </w:sectPr>
      </w:pPr>
    </w:p>
    <w:p>
      <w:pPr>
        <w:pStyle w:val="Heading2"/>
        <w:spacing w:line="271" w:lineRule="auto" w:before="26"/>
        <w:ind w:left="798" w:right="0"/>
        <w:jc w:val="both"/>
        <w:rPr>
          <w:rFonts w:ascii="宋体" w:hAnsi="宋体" w:cs="宋体" w:eastAsia="宋体" w:hint="default"/>
          <w:b w:val="0"/>
          <w:bCs w:val="0"/>
        </w:rPr>
      </w:pPr>
      <w:r>
        <w:rPr/>
        <w:t>一、</w:t>
      </w:r>
      <w:r>
        <w:rPr>
          <w:spacing w:val="113"/>
        </w:rPr>
        <w:t> </w:t>
      </w:r>
      <w:r>
        <w:rPr>
          <w:rFonts w:ascii="宋体" w:hAnsi="宋体" w:cs="宋体" w:eastAsia="宋体" w:hint="default"/>
          <w:spacing w:val="113"/>
        </w:rPr>
      </w:r>
      <w:r>
        <w:rPr/>
        <w:t>普通股股本变动情况</w:t>
      </w:r>
      <w:r>
        <w:rPr>
          <w:w w:val="99"/>
        </w:rPr>
        <w:t> </w:t>
      </w: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10"/>
        </w:rPr>
        <w:t> </w:t>
      </w:r>
      <w:r>
        <w:rPr/>
        <w:t>普通股股份变动情况表</w:t>
      </w:r>
      <w:r>
        <w:rPr>
          <w:w w:val="99"/>
        </w:rPr>
        <w:t> </w:t>
      </w:r>
      <w:r>
        <w:rPr>
          <w:rFonts w:ascii="宋体" w:hAnsi="宋体" w:cs="宋体" w:eastAsia="宋体" w:hint="default"/>
        </w:rPr>
        <w:t>1</w:t>
      </w:r>
      <w:r>
        <w:rPr/>
        <w:t>、</w:t>
      </w:r>
      <w:r>
        <w:rPr>
          <w:spacing w:val="-65"/>
        </w:rPr>
        <w:t> </w:t>
      </w:r>
      <w:r>
        <w:rPr/>
        <w:t>普通股股份变动情况表</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4"/>
          <w:szCs w:val="24"/>
        </w:rPr>
      </w:pPr>
      <w:r>
        <w:rPr/>
        <w:br w:type="column"/>
      </w:r>
      <w:r>
        <w:rPr>
          <w:rFonts w:ascii="宋体"/>
          <w:b/>
          <w:sz w:val="24"/>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pStyle w:val="BodyText"/>
        <w:spacing w:line="240" w:lineRule="auto" w:before="197"/>
        <w:ind w:left="798" w:right="0"/>
        <w:jc w:val="left"/>
      </w:pPr>
      <w:r>
        <w:rPr/>
        <w:t>单位：股</w:t>
      </w:r>
    </w:p>
    <w:p>
      <w:pPr>
        <w:spacing w:after="0" w:line="240" w:lineRule="auto"/>
        <w:jc w:val="left"/>
        <w:sectPr>
          <w:type w:val="continuous"/>
          <w:pgSz w:w="11910" w:h="16840"/>
          <w:pgMar w:top="1120" w:bottom="1380" w:left="1000" w:right="640"/>
          <w:cols w:num="2" w:equalWidth="0">
            <w:col w:w="3808" w:space="4066"/>
            <w:col w:w="2396"/>
          </w:cols>
        </w:sectPr>
      </w:pPr>
    </w:p>
    <w:p>
      <w:pPr>
        <w:spacing w:line="240" w:lineRule="auto" w:before="12"/>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872"/>
        <w:gridCol w:w="1452"/>
        <w:gridCol w:w="788"/>
        <w:gridCol w:w="403"/>
        <w:gridCol w:w="403"/>
        <w:gridCol w:w="1315"/>
        <w:gridCol w:w="1164"/>
        <w:gridCol w:w="1308"/>
        <w:gridCol w:w="1455"/>
        <w:gridCol w:w="874"/>
      </w:tblGrid>
      <w:tr>
        <w:trPr>
          <w:trHeight w:val="245" w:hRule="exact"/>
        </w:trPr>
        <w:tc>
          <w:tcPr>
            <w:tcW w:w="872" w:type="dxa"/>
            <w:vMerge w:val="restart"/>
            <w:tcBorders>
              <w:top w:val="single" w:sz="4" w:space="0" w:color="000000"/>
              <w:left w:val="single" w:sz="4" w:space="0" w:color="000000"/>
              <w:right w:val="single" w:sz="4" w:space="0" w:color="000000"/>
            </w:tcBorders>
          </w:tcPr>
          <w:p>
            <w:pPr>
              <w:pStyle w:val="TableParagraph"/>
              <w:spacing w:line="205" w:lineRule="exact"/>
              <w:ind w:left="83" w:right="0"/>
              <w:jc w:val="center"/>
              <w:rPr>
                <w:rFonts w:ascii="宋体" w:hAnsi="宋体" w:cs="宋体" w:eastAsia="宋体" w:hint="default"/>
                <w:sz w:val="18"/>
                <w:szCs w:val="18"/>
              </w:rPr>
            </w:pPr>
            <w:r>
              <w:rPr>
                <w:rFonts w:ascii="宋体"/>
                <w:sz w:val="18"/>
              </w:rPr>
              <w:t> </w:t>
            </w:r>
          </w:p>
        </w:tc>
        <w:tc>
          <w:tcPr>
            <w:tcW w:w="22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64" w:right="0"/>
              <w:jc w:val="left"/>
              <w:rPr>
                <w:rFonts w:ascii="宋体" w:hAnsi="宋体" w:cs="宋体" w:eastAsia="宋体" w:hint="default"/>
                <w:sz w:val="18"/>
                <w:szCs w:val="18"/>
              </w:rPr>
            </w:pPr>
            <w:r>
              <w:rPr>
                <w:rFonts w:ascii="宋体" w:hAnsi="宋体" w:cs="宋体" w:eastAsia="宋体" w:hint="default"/>
                <w:sz w:val="18"/>
                <w:szCs w:val="18"/>
              </w:rPr>
              <w:t>本次变动前</w:t>
            </w:r>
            <w:r>
              <w:rPr>
                <w:rFonts w:ascii="宋体" w:hAnsi="宋体" w:cs="宋体" w:eastAsia="宋体" w:hint="default"/>
                <w:sz w:val="18"/>
                <w:szCs w:val="18"/>
              </w:rPr>
              <w:t> </w:t>
            </w:r>
          </w:p>
        </w:tc>
        <w:tc>
          <w:tcPr>
            <w:tcW w:w="4594" w:type="dxa"/>
            <w:gridSpan w:val="5"/>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00"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宋体" w:hAnsi="宋体" w:cs="宋体" w:eastAsia="宋体" w:hint="default"/>
                <w:sz w:val="18"/>
                <w:szCs w:val="18"/>
              </w:rPr>
              <w:t> </w:t>
            </w:r>
          </w:p>
        </w:tc>
        <w:tc>
          <w:tcPr>
            <w:tcW w:w="23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06" w:right="0"/>
              <w:jc w:val="left"/>
              <w:rPr>
                <w:rFonts w:ascii="宋体" w:hAnsi="宋体" w:cs="宋体" w:eastAsia="宋体" w:hint="default"/>
                <w:sz w:val="18"/>
                <w:szCs w:val="18"/>
              </w:rPr>
            </w:pPr>
            <w:r>
              <w:rPr>
                <w:rFonts w:ascii="宋体" w:hAnsi="宋体" w:cs="宋体" w:eastAsia="宋体" w:hint="default"/>
                <w:sz w:val="18"/>
                <w:szCs w:val="18"/>
              </w:rPr>
              <w:t>本次变动后</w:t>
            </w:r>
            <w:r>
              <w:rPr>
                <w:rFonts w:ascii="宋体" w:hAnsi="宋体" w:cs="宋体" w:eastAsia="宋体" w:hint="default"/>
                <w:sz w:val="18"/>
                <w:szCs w:val="18"/>
              </w:rPr>
              <w:t> </w:t>
            </w:r>
          </w:p>
        </w:tc>
      </w:tr>
      <w:tr>
        <w:trPr>
          <w:trHeight w:val="943" w:hRule="exact"/>
        </w:trPr>
        <w:tc>
          <w:tcPr>
            <w:tcW w:w="872" w:type="dxa"/>
            <w:vMerge/>
            <w:tcBorders>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39" w:right="0"/>
              <w:jc w:val="left"/>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251" w:right="162" w:hanging="44"/>
              <w:jc w:val="left"/>
              <w:rPr>
                <w:rFonts w:ascii="宋体" w:hAnsi="宋体" w:cs="宋体" w:eastAsia="宋体" w:hint="default"/>
                <w:sz w:val="18"/>
                <w:szCs w:val="18"/>
              </w:rPr>
            </w:pPr>
            <w:r>
              <w:rPr>
                <w:rFonts w:ascii="宋体" w:hAnsi="宋体" w:cs="宋体" w:eastAsia="宋体" w:hint="default"/>
                <w:sz w:val="18"/>
                <w:szCs w:val="18"/>
              </w:rPr>
              <w:t>比例 </w:t>
            </w:r>
            <w:r>
              <w:rPr>
                <w:rFonts w:ascii="宋体" w:hAnsi="宋体" w:cs="宋体" w:eastAsia="宋体" w:hint="default"/>
                <w:sz w:val="18"/>
                <w:szCs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5" w:right="0"/>
              <w:jc w:val="both"/>
              <w:rPr>
                <w:rFonts w:ascii="宋体" w:hAnsi="宋体" w:cs="宋体" w:eastAsia="宋体" w:hint="default"/>
                <w:sz w:val="18"/>
                <w:szCs w:val="18"/>
              </w:rPr>
            </w:pPr>
            <w:r>
              <w:rPr>
                <w:rFonts w:ascii="宋体" w:hAnsi="宋体" w:cs="宋体" w:eastAsia="宋体" w:hint="default"/>
                <w:sz w:val="18"/>
                <w:szCs w:val="18"/>
              </w:rPr>
              <w:t>发</w:t>
            </w:r>
          </w:p>
          <w:p>
            <w:pPr>
              <w:pStyle w:val="TableParagraph"/>
              <w:spacing w:line="237" w:lineRule="auto"/>
              <w:ind w:left="105" w:right="17"/>
              <w:jc w:val="both"/>
              <w:rPr>
                <w:rFonts w:ascii="宋体" w:hAnsi="宋体" w:cs="宋体" w:eastAsia="宋体" w:hint="default"/>
                <w:sz w:val="18"/>
                <w:szCs w:val="18"/>
              </w:rPr>
            </w:pPr>
            <w:r>
              <w:rPr>
                <w:rFonts w:ascii="宋体" w:hAnsi="宋体" w:cs="宋体" w:eastAsia="宋体" w:hint="default"/>
                <w:sz w:val="18"/>
                <w:szCs w:val="18"/>
              </w:rPr>
              <w:t>行 新 股</w:t>
            </w:r>
            <w:r>
              <w:rPr>
                <w:rFonts w:ascii="宋体" w:hAnsi="宋体" w:cs="宋体" w:eastAsia="宋体" w:hint="default"/>
                <w:sz w:val="18"/>
                <w:szCs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105" w:right="17"/>
              <w:jc w:val="left"/>
              <w:rPr>
                <w:rFonts w:ascii="宋体" w:hAnsi="宋体" w:cs="宋体" w:eastAsia="宋体" w:hint="default"/>
                <w:sz w:val="18"/>
                <w:szCs w:val="18"/>
              </w:rPr>
            </w:pPr>
            <w:r>
              <w:rPr>
                <w:rFonts w:ascii="宋体" w:hAnsi="宋体" w:cs="宋体" w:eastAsia="宋体" w:hint="default"/>
                <w:sz w:val="18"/>
                <w:szCs w:val="18"/>
              </w:rPr>
              <w:t>送 股</w:t>
            </w:r>
            <w:r>
              <w:rPr>
                <w:rFonts w:ascii="宋体" w:hAnsi="宋体" w:cs="宋体" w:eastAsia="宋体" w:hint="default"/>
                <w:sz w:val="18"/>
                <w:szCs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公积金转股</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9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小计</w:t>
            </w:r>
            <w:r>
              <w:rPr>
                <w:rFonts w:ascii="宋体" w:hAnsi="宋体" w:cs="宋体" w:eastAsia="宋体" w:hint="default"/>
                <w:sz w:val="18"/>
                <w:szCs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40" w:right="0"/>
              <w:jc w:val="left"/>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5"/>
              <w:jc w:val="righ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 </w:t>
            </w:r>
          </w:p>
        </w:tc>
      </w:tr>
      <w:tr>
        <w:trPr>
          <w:trHeight w:val="711"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一、有限</w:t>
            </w:r>
          </w:p>
          <w:p>
            <w:pPr>
              <w:pStyle w:val="TableParagraph"/>
              <w:spacing w:line="234" w:lineRule="exact" w:before="21"/>
              <w:ind w:left="100" w:right="219"/>
              <w:jc w:val="left"/>
              <w:rPr>
                <w:rFonts w:ascii="宋体" w:hAnsi="宋体" w:cs="宋体" w:eastAsia="宋体" w:hint="default"/>
                <w:sz w:val="18"/>
                <w:szCs w:val="18"/>
              </w:rPr>
            </w:pPr>
            <w:r>
              <w:rPr>
                <w:rFonts w:ascii="宋体" w:hAnsi="宋体" w:cs="宋体" w:eastAsia="宋体" w:hint="default"/>
                <w:sz w:val="18"/>
                <w:szCs w:val="18"/>
              </w:rPr>
              <w:t>售条件 股份</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26,684,771</w:t>
            </w: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1.39</w:t>
            </w: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42"/>
              <w:jc w:val="right"/>
              <w:rPr>
                <w:rFonts w:ascii="宋体" w:hAnsi="宋体" w:cs="宋体" w:eastAsia="宋体" w:hint="default"/>
                <w:sz w:val="18"/>
                <w:szCs w:val="18"/>
              </w:rPr>
            </w:pPr>
            <w:r>
              <w:rPr>
                <w:rFonts w:ascii="宋体"/>
                <w:spacing w:val="-1"/>
                <w:sz w:val="18"/>
              </w:rPr>
              <w:t>4,534,478</w:t>
            </w:r>
            <w:r>
              <w:rPr>
                <w:rFonts w:ascii="宋体"/>
                <w:imprint/>
                <w:sz w:val="18"/>
              </w:rPr>
              <w:t> </w:t>
            </w:r>
            <w:r>
              <w:rPr>
                <w:rFonts w:ascii="宋体"/>
                <w:shadow w:val="0"/>
                <w:sz w:val="18"/>
              </w:rPr>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3"/>
              <w:jc w:val="right"/>
              <w:rPr>
                <w:rFonts w:ascii="宋体" w:hAnsi="宋体" w:cs="宋体" w:eastAsia="宋体" w:hint="default"/>
                <w:sz w:val="18"/>
                <w:szCs w:val="18"/>
              </w:rPr>
            </w:pPr>
            <w:r>
              <w:rPr>
                <w:rFonts w:ascii="宋体"/>
                <w:spacing w:val="-1"/>
                <w:sz w:val="18"/>
              </w:rPr>
              <w:t>-19,994,29</w:t>
            </w:r>
          </w:p>
          <w:p>
            <w:pPr>
              <w:pStyle w:val="TableParagraph"/>
              <w:spacing w:line="234" w:lineRule="exact"/>
              <w:ind w:right="13"/>
              <w:jc w:val="right"/>
              <w:rPr>
                <w:rFonts w:ascii="宋体" w:hAnsi="宋体" w:cs="宋体" w:eastAsia="宋体" w:hint="default"/>
                <w:sz w:val="18"/>
                <w:szCs w:val="18"/>
              </w:rPr>
            </w:pPr>
            <w:r>
              <w:rPr>
                <w:rFonts w:ascii="宋体"/>
                <w:sz w:val="18"/>
              </w:rPr>
              <w:t>1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-15,459,813</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11,224,958</w:t>
            </w: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0.45</w:t>
            </w:r>
            <w:r>
              <w:rPr>
                <w:rFonts w:ascii="宋体"/>
                <w:sz w:val="18"/>
              </w:rPr>
              <w:t> </w:t>
            </w:r>
          </w:p>
        </w:tc>
      </w:tr>
      <w:tr>
        <w:trPr>
          <w:trHeight w:val="475"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、国家</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710"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、国有</w:t>
            </w:r>
          </w:p>
          <w:p>
            <w:pPr>
              <w:pStyle w:val="TableParagraph"/>
              <w:spacing w:line="232" w:lineRule="exact" w:before="23"/>
              <w:ind w:left="100" w:right="219"/>
              <w:jc w:val="left"/>
              <w:rPr>
                <w:rFonts w:ascii="宋体" w:hAnsi="宋体" w:cs="宋体" w:eastAsia="宋体" w:hint="default"/>
                <w:sz w:val="18"/>
                <w:szCs w:val="18"/>
              </w:rPr>
            </w:pPr>
            <w:r>
              <w:rPr>
                <w:rFonts w:ascii="宋体" w:hAnsi="宋体" w:cs="宋体" w:eastAsia="宋体" w:hint="default"/>
                <w:sz w:val="18"/>
                <w:szCs w:val="18"/>
              </w:rPr>
              <w:t>法人持 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r>
      <w:tr>
        <w:trPr>
          <w:trHeight w:val="710"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w:t>
            </w:r>
          </w:p>
          <w:p>
            <w:pPr>
              <w:pStyle w:val="TableParagraph"/>
              <w:spacing w:line="232" w:lineRule="exact" w:before="23"/>
              <w:ind w:left="100" w:right="219"/>
              <w:jc w:val="left"/>
              <w:rPr>
                <w:rFonts w:ascii="宋体" w:hAnsi="宋体" w:cs="宋体" w:eastAsia="宋体" w:hint="default"/>
                <w:sz w:val="18"/>
                <w:szCs w:val="18"/>
              </w:rPr>
            </w:pPr>
            <w:r>
              <w:rPr>
                <w:rFonts w:ascii="宋体" w:hAnsi="宋体" w:cs="宋体" w:eastAsia="宋体" w:hint="default"/>
                <w:sz w:val="18"/>
                <w:szCs w:val="18"/>
              </w:rPr>
              <w:t>内资持 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26,684,771</w:t>
            </w: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1.39</w:t>
            </w: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4,534,478</w:t>
            </w: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3"/>
              <w:jc w:val="right"/>
              <w:rPr>
                <w:rFonts w:ascii="宋体" w:hAnsi="宋体" w:cs="宋体" w:eastAsia="宋体" w:hint="default"/>
                <w:sz w:val="18"/>
                <w:szCs w:val="18"/>
              </w:rPr>
            </w:pPr>
            <w:r>
              <w:rPr>
                <w:rFonts w:ascii="宋体"/>
                <w:spacing w:val="-1"/>
                <w:sz w:val="18"/>
              </w:rPr>
              <w:t>-19,994,29</w:t>
            </w:r>
          </w:p>
          <w:p>
            <w:pPr>
              <w:pStyle w:val="TableParagraph"/>
              <w:spacing w:line="234" w:lineRule="exact"/>
              <w:ind w:right="13"/>
              <w:jc w:val="right"/>
              <w:rPr>
                <w:rFonts w:ascii="宋体" w:hAnsi="宋体" w:cs="宋体" w:eastAsia="宋体" w:hint="default"/>
                <w:sz w:val="18"/>
                <w:szCs w:val="18"/>
              </w:rPr>
            </w:pPr>
            <w:r>
              <w:rPr>
                <w:rFonts w:ascii="宋体"/>
                <w:sz w:val="18"/>
              </w:rPr>
              <w:t>1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-15,459,813</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11,224,958</w:t>
            </w: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0.45</w:t>
            </w:r>
            <w:r>
              <w:rPr>
                <w:rFonts w:ascii="宋体"/>
                <w:sz w:val="18"/>
              </w:rPr>
              <w:t> </w:t>
            </w:r>
          </w:p>
        </w:tc>
      </w:tr>
      <w:tr>
        <w:trPr>
          <w:trHeight w:val="946"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pacing w:val="-17"/>
                <w:sz w:val="18"/>
                <w:szCs w:val="18"/>
              </w:rPr>
              <w:t>其中：境</w:t>
            </w:r>
          </w:p>
          <w:p>
            <w:pPr>
              <w:pStyle w:val="TableParagraph"/>
              <w:spacing w:line="232" w:lineRule="exact" w:before="23"/>
              <w:ind w:left="100" w:right="219"/>
              <w:jc w:val="both"/>
              <w:rPr>
                <w:rFonts w:ascii="宋体" w:hAnsi="宋体" w:cs="宋体" w:eastAsia="宋体" w:hint="default"/>
                <w:sz w:val="18"/>
                <w:szCs w:val="18"/>
              </w:rPr>
            </w:pPr>
            <w:r>
              <w:rPr>
                <w:rFonts w:ascii="宋体" w:hAnsi="宋体" w:cs="宋体" w:eastAsia="宋体" w:hint="default"/>
                <w:sz w:val="18"/>
                <w:szCs w:val="18"/>
              </w:rPr>
              <w:t>内非国 有法人 持股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70</w:t>
            </w: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-70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-70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3"/>
              <w:jc w:val="right"/>
              <w:rPr>
                <w:rFonts w:ascii="宋体" w:hAnsi="宋体" w:cs="宋体" w:eastAsia="宋体" w:hint="default"/>
                <w:sz w:val="18"/>
                <w:szCs w:val="18"/>
              </w:rPr>
            </w:pPr>
            <w:r>
              <w:rPr>
                <w:rFonts w:ascii="Times New Roman"/>
                <w:sz w:val="24"/>
              </w:rPr>
              <w:t>- </w:t>
            </w:r>
            <w:r>
              <w:rPr>
                <w:rFonts w:ascii="Times New Roman"/>
                <w:spacing w:val="-1"/>
                <w:sz w:val="24"/>
              </w:rPr>
              <w:t> </w:t>
            </w: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0.00</w:t>
            </w:r>
            <w:r>
              <w:rPr>
                <w:rFonts w:ascii="宋体"/>
                <w:sz w:val="18"/>
              </w:rPr>
              <w:t> </w:t>
            </w:r>
          </w:p>
        </w:tc>
      </w:tr>
      <w:tr>
        <w:trPr>
          <w:trHeight w:val="711"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641" w:right="0"/>
              <w:jc w:val="left"/>
              <w:rPr>
                <w:rFonts w:ascii="宋体" w:hAnsi="宋体" w:cs="宋体" w:eastAsia="宋体" w:hint="default"/>
                <w:sz w:val="18"/>
                <w:szCs w:val="18"/>
              </w:rPr>
            </w:pPr>
            <w:r>
              <w:rPr>
                <w:rFonts w:ascii="宋体" w:hAnsi="宋体" w:cs="宋体" w:eastAsia="宋体" w:hint="default"/>
                <w:sz w:val="18"/>
                <w:szCs w:val="18"/>
              </w:rPr>
              <w:t>境</w:t>
            </w:r>
          </w:p>
          <w:p>
            <w:pPr>
              <w:pStyle w:val="TableParagraph"/>
              <w:spacing w:line="234" w:lineRule="exact" w:before="21"/>
              <w:ind w:left="100" w:right="128"/>
              <w:jc w:val="left"/>
              <w:rPr>
                <w:rFonts w:ascii="宋体" w:hAnsi="宋体" w:cs="宋体" w:eastAsia="宋体" w:hint="default"/>
                <w:sz w:val="18"/>
                <w:szCs w:val="18"/>
              </w:rPr>
            </w:pPr>
            <w:r>
              <w:rPr>
                <w:rFonts w:ascii="宋体" w:hAnsi="宋体" w:cs="宋体" w:eastAsia="宋体" w:hint="default"/>
                <w:sz w:val="18"/>
                <w:szCs w:val="18"/>
              </w:rPr>
              <w:t>内自然 人持股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26,684,701</w:t>
            </w: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1.39</w:t>
            </w: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4,534,478</w:t>
            </w: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3"/>
              <w:jc w:val="right"/>
              <w:rPr>
                <w:rFonts w:ascii="宋体" w:hAnsi="宋体" w:cs="宋体" w:eastAsia="宋体" w:hint="default"/>
                <w:sz w:val="18"/>
                <w:szCs w:val="18"/>
              </w:rPr>
            </w:pPr>
            <w:r>
              <w:rPr>
                <w:rFonts w:ascii="宋体"/>
                <w:spacing w:val="-1"/>
                <w:sz w:val="18"/>
              </w:rPr>
              <w:t>-19,994,22</w:t>
            </w:r>
          </w:p>
          <w:p>
            <w:pPr>
              <w:pStyle w:val="TableParagraph"/>
              <w:spacing w:line="234" w:lineRule="exact"/>
              <w:ind w:right="13"/>
              <w:jc w:val="right"/>
              <w:rPr>
                <w:rFonts w:ascii="宋体" w:hAnsi="宋体" w:cs="宋体" w:eastAsia="宋体" w:hint="default"/>
                <w:sz w:val="18"/>
                <w:szCs w:val="18"/>
              </w:rPr>
            </w:pPr>
            <w:r>
              <w:rPr>
                <w:rFonts w:ascii="宋体"/>
                <w:sz w:val="18"/>
              </w:rPr>
              <w:t>1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-15,459,743</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11,224,958</w:t>
            </w: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0.45</w:t>
            </w:r>
            <w:r>
              <w:rPr>
                <w:rFonts w:ascii="宋体"/>
                <w:sz w:val="18"/>
              </w:rPr>
              <w:t> </w:t>
            </w:r>
          </w:p>
        </w:tc>
      </w:tr>
      <w:tr>
        <w:trPr>
          <w:trHeight w:val="562"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、外资</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3"/>
              <w:jc w:val="right"/>
              <w:rPr>
                <w:rFonts w:ascii="宋体" w:hAnsi="宋体" w:cs="宋体" w:eastAsia="宋体" w:hint="default"/>
                <w:sz w:val="18"/>
                <w:szCs w:val="18"/>
              </w:rPr>
            </w:pPr>
            <w:r>
              <w:rPr>
                <w:rFonts w:ascii="Times New Roman"/>
                <w:w w:val="95"/>
                <w:sz w:val="24"/>
              </w:rPr>
              <w:t>- </w:t>
            </w:r>
            <w:r>
              <w:rPr>
                <w:rFonts w:ascii="Times New Roman"/>
                <w:spacing w:val="-1"/>
                <w:w w:val="95"/>
                <w:sz w:val="24"/>
              </w:rPr>
              <w:t> </w:t>
            </w:r>
            <w:r>
              <w:rPr>
                <w:rFonts w:ascii="宋体"/>
                <w:w w:val="95"/>
                <w:sz w:val="18"/>
              </w:rPr>
              <w:t> </w:t>
            </w:r>
            <w:r>
              <w:rPr>
                <w:rFonts w:ascii="宋体"/>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710"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其中：境</w:t>
            </w:r>
          </w:p>
          <w:p>
            <w:pPr>
              <w:pStyle w:val="TableParagraph"/>
              <w:spacing w:line="232" w:lineRule="exact" w:before="23"/>
              <w:ind w:left="100" w:right="219"/>
              <w:jc w:val="left"/>
              <w:rPr>
                <w:rFonts w:ascii="宋体" w:hAnsi="宋体" w:cs="宋体" w:eastAsia="宋体" w:hint="default"/>
                <w:sz w:val="18"/>
                <w:szCs w:val="18"/>
              </w:rPr>
            </w:pPr>
            <w:r>
              <w:rPr>
                <w:rFonts w:ascii="宋体" w:hAnsi="宋体" w:cs="宋体" w:eastAsia="宋体" w:hint="default"/>
                <w:sz w:val="18"/>
                <w:szCs w:val="18"/>
              </w:rPr>
              <w:t>外法人 持股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3"/>
              <w:jc w:val="right"/>
              <w:rPr>
                <w:rFonts w:ascii="宋体" w:hAnsi="宋体" w:cs="宋体" w:eastAsia="宋体" w:hint="default"/>
                <w:sz w:val="18"/>
                <w:szCs w:val="18"/>
              </w:rPr>
            </w:pPr>
            <w:r>
              <w:rPr>
                <w:rFonts w:ascii="Times New Roman"/>
                <w:w w:val="95"/>
                <w:sz w:val="24"/>
              </w:rPr>
              <w:t>- </w:t>
            </w:r>
            <w:r>
              <w:rPr>
                <w:rFonts w:ascii="Times New Roman"/>
                <w:spacing w:val="-1"/>
                <w:w w:val="95"/>
                <w:sz w:val="24"/>
              </w:rPr>
              <w:t> </w:t>
            </w:r>
            <w:r>
              <w:rPr>
                <w:rFonts w:ascii="宋体"/>
                <w:w w:val="95"/>
                <w:sz w:val="18"/>
              </w:rPr>
              <w:t> </w:t>
            </w:r>
            <w:r>
              <w:rPr>
                <w:rFonts w:ascii="宋体"/>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710"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641" w:right="0"/>
              <w:jc w:val="left"/>
              <w:rPr>
                <w:rFonts w:ascii="宋体" w:hAnsi="宋体" w:cs="宋体" w:eastAsia="宋体" w:hint="default"/>
                <w:sz w:val="18"/>
                <w:szCs w:val="18"/>
              </w:rPr>
            </w:pPr>
            <w:r>
              <w:rPr>
                <w:rFonts w:ascii="宋体" w:hAnsi="宋体" w:cs="宋体" w:eastAsia="宋体" w:hint="default"/>
                <w:sz w:val="18"/>
                <w:szCs w:val="18"/>
              </w:rPr>
              <w:t>境</w:t>
            </w:r>
          </w:p>
          <w:p>
            <w:pPr>
              <w:pStyle w:val="TableParagraph"/>
              <w:spacing w:line="232" w:lineRule="exact" w:before="23"/>
              <w:ind w:left="100" w:right="128"/>
              <w:jc w:val="left"/>
              <w:rPr>
                <w:rFonts w:ascii="宋体" w:hAnsi="宋体" w:cs="宋体" w:eastAsia="宋体" w:hint="default"/>
                <w:sz w:val="18"/>
                <w:szCs w:val="18"/>
              </w:rPr>
            </w:pPr>
            <w:r>
              <w:rPr>
                <w:rFonts w:ascii="宋体" w:hAnsi="宋体" w:cs="宋体" w:eastAsia="宋体" w:hint="default"/>
                <w:sz w:val="18"/>
                <w:szCs w:val="18"/>
              </w:rPr>
              <w:t>外自然 人持股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3"/>
              <w:jc w:val="right"/>
              <w:rPr>
                <w:rFonts w:ascii="宋体" w:hAnsi="宋体" w:cs="宋体" w:eastAsia="宋体" w:hint="default"/>
                <w:sz w:val="18"/>
                <w:szCs w:val="18"/>
              </w:rPr>
            </w:pPr>
            <w:r>
              <w:rPr>
                <w:rFonts w:ascii="Times New Roman"/>
                <w:w w:val="95"/>
                <w:sz w:val="24"/>
              </w:rPr>
              <w:t>- </w:t>
            </w:r>
            <w:r>
              <w:rPr>
                <w:rFonts w:ascii="Times New Roman"/>
                <w:spacing w:val="-1"/>
                <w:w w:val="95"/>
                <w:sz w:val="24"/>
              </w:rPr>
              <w:t> </w:t>
            </w:r>
            <w:r>
              <w:rPr>
                <w:rFonts w:ascii="宋体"/>
                <w:w w:val="95"/>
                <w:sz w:val="18"/>
              </w:rPr>
              <w:t> </w:t>
            </w:r>
            <w:r>
              <w:rPr>
                <w:rFonts w:ascii="宋体"/>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943"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both"/>
              <w:rPr>
                <w:rFonts w:ascii="宋体" w:hAnsi="宋体" w:cs="宋体" w:eastAsia="宋体" w:hint="default"/>
                <w:sz w:val="18"/>
                <w:szCs w:val="18"/>
              </w:rPr>
            </w:pPr>
            <w:r>
              <w:rPr>
                <w:rFonts w:ascii="宋体" w:hAnsi="宋体" w:cs="宋体" w:eastAsia="宋体" w:hint="default"/>
                <w:spacing w:val="-17"/>
                <w:sz w:val="18"/>
                <w:szCs w:val="18"/>
              </w:rPr>
              <w:t>二、无限</w:t>
            </w:r>
          </w:p>
          <w:p>
            <w:pPr>
              <w:pStyle w:val="TableParagraph"/>
              <w:spacing w:line="237" w:lineRule="auto"/>
              <w:ind w:left="100" w:right="219"/>
              <w:jc w:val="both"/>
              <w:rPr>
                <w:rFonts w:ascii="宋体" w:hAnsi="宋体" w:cs="宋体" w:eastAsia="宋体" w:hint="default"/>
                <w:sz w:val="18"/>
                <w:szCs w:val="18"/>
              </w:rPr>
            </w:pPr>
            <w:r>
              <w:rPr>
                <w:rFonts w:ascii="宋体" w:hAnsi="宋体" w:cs="宋体" w:eastAsia="宋体" w:hint="default"/>
                <w:sz w:val="18"/>
                <w:szCs w:val="18"/>
              </w:rPr>
              <w:t>售条件 流通股 份</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1,891,148,021</w:t>
            </w: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98.61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564,761,164</w:t>
            </w: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36,764,021</w:t>
            </w: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601,525,185</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2,492,673,206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99.55 </w:t>
            </w:r>
          </w:p>
        </w:tc>
      </w:tr>
      <w:tr>
        <w:trPr>
          <w:trHeight w:val="711"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、人民</w:t>
            </w:r>
          </w:p>
          <w:p>
            <w:pPr>
              <w:pStyle w:val="TableParagraph"/>
              <w:spacing w:line="240" w:lineRule="auto"/>
              <w:ind w:left="100" w:right="219"/>
              <w:jc w:val="left"/>
              <w:rPr>
                <w:rFonts w:ascii="宋体" w:hAnsi="宋体" w:cs="宋体" w:eastAsia="宋体" w:hint="default"/>
                <w:sz w:val="18"/>
                <w:szCs w:val="18"/>
              </w:rPr>
            </w:pPr>
            <w:r>
              <w:rPr>
                <w:rFonts w:ascii="宋体" w:hAnsi="宋体" w:cs="宋体" w:eastAsia="宋体" w:hint="default"/>
                <w:sz w:val="18"/>
                <w:szCs w:val="18"/>
              </w:rPr>
              <w:t>币普通 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1,891,148,021</w:t>
            </w: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98.61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564,761,164</w:t>
            </w: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36,764,021</w:t>
            </w: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601,525,185</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2,492,673,206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99.55 </w:t>
            </w:r>
          </w:p>
        </w:tc>
      </w:tr>
      <w:tr>
        <w:trPr>
          <w:trHeight w:val="710"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、境内</w:t>
            </w:r>
          </w:p>
          <w:p>
            <w:pPr>
              <w:pStyle w:val="TableParagraph"/>
              <w:spacing w:line="240" w:lineRule="auto"/>
              <w:ind w:left="100" w:right="128"/>
              <w:jc w:val="left"/>
              <w:rPr>
                <w:rFonts w:ascii="宋体" w:hAnsi="宋体" w:cs="宋体" w:eastAsia="宋体" w:hint="default"/>
                <w:sz w:val="18"/>
                <w:szCs w:val="18"/>
              </w:rPr>
            </w:pPr>
            <w:r>
              <w:rPr>
                <w:rFonts w:ascii="宋体" w:hAnsi="宋体" w:cs="宋体" w:eastAsia="宋体" w:hint="default"/>
                <w:sz w:val="18"/>
                <w:szCs w:val="18"/>
              </w:rPr>
              <w:t>上市的 外资股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3"/>
              <w:jc w:val="right"/>
              <w:rPr>
                <w:rFonts w:ascii="宋体" w:hAnsi="宋体" w:cs="宋体" w:eastAsia="宋体" w:hint="default"/>
                <w:sz w:val="18"/>
                <w:szCs w:val="18"/>
              </w:rPr>
            </w:pPr>
            <w:r>
              <w:rPr>
                <w:rFonts w:ascii="Times New Roman"/>
                <w:w w:val="95"/>
                <w:sz w:val="24"/>
              </w:rPr>
              <w:t>- </w:t>
            </w:r>
            <w:r>
              <w:rPr>
                <w:rFonts w:ascii="Times New Roman"/>
                <w:spacing w:val="-1"/>
                <w:w w:val="95"/>
                <w:sz w:val="24"/>
              </w:rPr>
              <w:t> </w:t>
            </w:r>
            <w:r>
              <w:rPr>
                <w:rFonts w:ascii="宋体"/>
                <w:w w:val="95"/>
                <w:sz w:val="18"/>
              </w:rPr>
              <w:t> </w:t>
            </w:r>
            <w:r>
              <w:rPr>
                <w:rFonts w:ascii="宋体"/>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710"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、境外</w:t>
            </w:r>
          </w:p>
          <w:p>
            <w:pPr>
              <w:pStyle w:val="TableParagraph"/>
              <w:spacing w:line="232" w:lineRule="exact" w:before="23"/>
              <w:ind w:left="100" w:right="128"/>
              <w:jc w:val="left"/>
              <w:rPr>
                <w:rFonts w:ascii="宋体" w:hAnsi="宋体" w:cs="宋体" w:eastAsia="宋体" w:hint="default"/>
                <w:sz w:val="18"/>
                <w:szCs w:val="18"/>
              </w:rPr>
            </w:pPr>
            <w:r>
              <w:rPr>
                <w:rFonts w:ascii="宋体" w:hAnsi="宋体" w:cs="宋体" w:eastAsia="宋体" w:hint="default"/>
                <w:sz w:val="18"/>
                <w:szCs w:val="18"/>
              </w:rPr>
              <w:t>上市的 外资股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3"/>
              <w:jc w:val="right"/>
              <w:rPr>
                <w:rFonts w:ascii="宋体" w:hAnsi="宋体" w:cs="宋体" w:eastAsia="宋体" w:hint="default"/>
                <w:sz w:val="18"/>
                <w:szCs w:val="18"/>
              </w:rPr>
            </w:pPr>
            <w:r>
              <w:rPr>
                <w:rFonts w:ascii="Times New Roman"/>
                <w:w w:val="95"/>
                <w:sz w:val="24"/>
              </w:rPr>
              <w:t>- </w:t>
            </w:r>
            <w:r>
              <w:rPr>
                <w:rFonts w:ascii="Times New Roman"/>
                <w:spacing w:val="-1"/>
                <w:w w:val="95"/>
                <w:sz w:val="24"/>
              </w:rPr>
              <w:t> </w:t>
            </w:r>
            <w:r>
              <w:rPr>
                <w:rFonts w:ascii="宋体"/>
                <w:w w:val="95"/>
                <w:sz w:val="18"/>
              </w:rPr>
              <w:t> </w:t>
            </w:r>
            <w:r>
              <w:rPr>
                <w:rFonts w:ascii="宋体"/>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562"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3"/>
              <w:jc w:val="right"/>
              <w:rPr>
                <w:rFonts w:ascii="宋体" w:hAnsi="宋体" w:cs="宋体" w:eastAsia="宋体" w:hint="default"/>
                <w:sz w:val="18"/>
                <w:szCs w:val="18"/>
              </w:rPr>
            </w:pPr>
            <w:r>
              <w:rPr>
                <w:rFonts w:ascii="Times New Roman"/>
                <w:w w:val="95"/>
                <w:sz w:val="24"/>
              </w:rPr>
              <w:t>- </w:t>
            </w:r>
            <w:r>
              <w:rPr>
                <w:rFonts w:ascii="Times New Roman"/>
                <w:spacing w:val="-1"/>
                <w:w w:val="95"/>
                <w:sz w:val="24"/>
              </w:rPr>
              <w:t> </w:t>
            </w:r>
            <w:r>
              <w:rPr>
                <w:rFonts w:ascii="宋体"/>
                <w:w w:val="95"/>
                <w:sz w:val="18"/>
              </w:rPr>
              <w:t> </w:t>
            </w:r>
            <w:r>
              <w:rPr>
                <w:rFonts w:ascii="宋体"/>
                <w:sz w:val="18"/>
              </w:rPr>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710" w:hRule="exact"/>
        </w:trPr>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三、普通</w:t>
            </w:r>
          </w:p>
          <w:p>
            <w:pPr>
              <w:pStyle w:val="TableParagraph"/>
              <w:spacing w:line="240" w:lineRule="auto"/>
              <w:ind w:left="100" w:right="218"/>
              <w:jc w:val="left"/>
              <w:rPr>
                <w:rFonts w:ascii="宋体" w:hAnsi="宋体" w:cs="宋体" w:eastAsia="宋体" w:hint="default"/>
                <w:sz w:val="18"/>
                <w:szCs w:val="18"/>
              </w:rPr>
            </w:pPr>
            <w:r>
              <w:rPr>
                <w:rFonts w:ascii="宋体" w:hAnsi="宋体" w:cs="宋体" w:eastAsia="宋体" w:hint="default"/>
                <w:sz w:val="18"/>
                <w:szCs w:val="18"/>
              </w:rPr>
              <w:t>股股份 总数</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1,917,832,792</w:t>
            </w:r>
            <w:r>
              <w:rPr>
                <w:rFonts w:ascii="宋体"/>
                <w:sz w:val="18"/>
              </w:rPr>
              <w:t> </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569,295,642</w:t>
            </w:r>
            <w:r>
              <w:rPr>
                <w:rFonts w:ascii="宋体"/>
                <w:sz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16,769,730</w:t>
            </w: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586,065,372</w:t>
            </w:r>
            <w:r>
              <w:rPr>
                <w:rFonts w:ascii="宋体"/>
                <w:sz w:val="18"/>
              </w:rPr>
              <w: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2,503,898,164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r>
    </w:tbl>
    <w:p>
      <w:pPr>
        <w:spacing w:after="0" w:line="205" w:lineRule="exact"/>
        <w:jc w:val="right"/>
        <w:rPr>
          <w:rFonts w:ascii="宋体" w:hAnsi="宋体" w:cs="宋体" w:eastAsia="宋体" w:hint="default"/>
          <w:sz w:val="18"/>
          <w:szCs w:val="18"/>
        </w:rPr>
        <w:sectPr>
          <w:type w:val="continuous"/>
          <w:pgSz w:w="11910" w:h="16840"/>
          <w:pgMar w:top="1120" w:bottom="1380" w:left="1000" w:right="6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87"/>
        <w:ind w:left="138" w:right="0"/>
        <w:jc w:val="both"/>
        <w:rPr>
          <w:rFonts w:ascii="宋体" w:hAnsi="宋体" w:cs="宋体" w:eastAsia="宋体" w:hint="default"/>
          <w:b w:val="0"/>
          <w:bCs w:val="0"/>
        </w:rPr>
      </w:pPr>
      <w:r>
        <w:rPr>
          <w:rFonts w:ascii="宋体" w:hAnsi="宋体" w:cs="宋体" w:eastAsia="宋体" w:hint="default"/>
        </w:rPr>
        <w:t>2</w:t>
      </w:r>
      <w:r>
        <w:rPr/>
        <w:t>、</w:t>
      </w:r>
      <w:r>
        <w:rPr>
          <w:spacing w:val="-66"/>
        </w:rPr>
        <w:t> </w:t>
      </w:r>
      <w:r>
        <w:rPr/>
        <w:t>普通股股份变动情况说明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pStyle w:val="BodyText"/>
        <w:spacing w:line="240" w:lineRule="auto" w:before="99"/>
        <w:ind w:left="618" w:right="0"/>
        <w:jc w:val="left"/>
        <w:rPr>
          <w:rFonts w:ascii="宋体" w:hAnsi="宋体" w:cs="宋体" w:eastAsia="宋体" w:hint="default"/>
        </w:rPr>
      </w:pPr>
      <w:r>
        <w:rPr/>
        <w:t>（</w:t>
      </w:r>
      <w:r>
        <w:rPr>
          <w:rFonts w:ascii="宋体" w:hAnsi="宋体" w:cs="宋体" w:eastAsia="宋体" w:hint="default"/>
        </w:rPr>
        <w:t>1</w:t>
      </w:r>
      <w:r>
        <w:rPr/>
        <w:t>）注销回购股权激励股权</w:t>
      </w:r>
      <w:r>
        <w:rPr>
          <w:rFonts w:ascii="宋体" w:hAnsi="宋体" w:cs="宋体" w:eastAsia="宋体" w:hint="default"/>
        </w:rPr>
        <w:t> </w:t>
      </w:r>
    </w:p>
    <w:p>
      <w:pPr>
        <w:pStyle w:val="BodyText"/>
        <w:spacing w:line="313" w:lineRule="exact" w:before="115"/>
        <w:ind w:left="618" w:right="0"/>
        <w:jc w:val="left"/>
      </w:pPr>
      <w:r>
        <w:rPr/>
        <w:t>公司于</w:t>
      </w:r>
      <w:r>
        <w:rPr>
          <w:spacing w:val="-89"/>
        </w:rPr>
        <w:t> </w:t>
      </w:r>
      <w:r>
        <w:rPr>
          <w:rFonts w:ascii="宋体" w:hAnsi="宋体" w:cs="宋体" w:eastAsia="宋体" w:hint="default"/>
        </w:rPr>
        <w:t>2018</w:t>
      </w:r>
      <w:r>
        <w:rPr>
          <w:rFonts w:ascii="宋体" w:hAnsi="宋体" w:cs="宋体" w:eastAsia="宋体" w:hint="default"/>
          <w:spacing w:val="-89"/>
        </w:rPr>
        <w:t> </w:t>
      </w:r>
      <w:r>
        <w:rPr/>
        <w:t>年</w:t>
      </w:r>
      <w:r>
        <w:rPr>
          <w:spacing w:val="-89"/>
        </w:rPr>
        <w:t> </w:t>
      </w:r>
      <w:r>
        <w:rPr>
          <w:rFonts w:ascii="宋体" w:hAnsi="宋体" w:cs="宋体" w:eastAsia="宋体" w:hint="default"/>
          <w:spacing w:val="2"/>
        </w:rPr>
        <w:t>1</w:t>
      </w:r>
      <w:r>
        <w:rPr>
          <w:rFonts w:ascii="宋体" w:hAnsi="宋体" w:cs="宋体" w:eastAsia="宋体" w:hint="default"/>
        </w:rPr>
        <w:t>2</w:t>
      </w:r>
      <w:r>
        <w:rPr>
          <w:rFonts w:ascii="宋体" w:hAnsi="宋体" w:cs="宋体" w:eastAsia="宋体" w:hint="default"/>
          <w:spacing w:val="-89"/>
        </w:rPr>
        <w:t> </w:t>
      </w:r>
      <w:r>
        <w:rPr/>
        <w:t>月</w:t>
      </w:r>
      <w:r>
        <w:rPr>
          <w:spacing w:val="-89"/>
        </w:rPr>
        <w:t> </w:t>
      </w:r>
      <w:r>
        <w:rPr>
          <w:rFonts w:ascii="宋体" w:hAnsi="宋体" w:cs="宋体" w:eastAsia="宋体" w:hint="default"/>
        </w:rPr>
        <w:t>29</w:t>
      </w:r>
      <w:r>
        <w:rPr>
          <w:rFonts w:ascii="宋体" w:hAnsi="宋体" w:cs="宋体" w:eastAsia="宋体" w:hint="default"/>
          <w:spacing w:val="-87"/>
        </w:rPr>
        <w:t> </w:t>
      </w:r>
      <w:r>
        <w:rPr/>
        <w:t>日披露</w:t>
      </w:r>
      <w:r>
        <w:rPr>
          <w:spacing w:val="-120"/>
        </w:rPr>
        <w:t>了</w:t>
      </w:r>
      <w:r>
        <w:rPr/>
        <w:t>《公司关于注销已回购的股权激励股份的公告</w:t>
      </w:r>
      <w:r>
        <w:rPr>
          <w:spacing w:val="-120"/>
        </w:rPr>
        <w:t>》</w:t>
      </w:r>
      <w:r>
        <w:rPr/>
        <w:t>，</w:t>
      </w:r>
    </w:p>
    <w:p>
      <w:pPr>
        <w:pStyle w:val="BodyText"/>
        <w:spacing w:line="312" w:lineRule="exact"/>
        <w:ind w:left="138" w:right="0"/>
        <w:jc w:val="both"/>
      </w:pPr>
      <w:r>
        <w:rPr/>
        <w:t>公司于</w:t>
      </w:r>
      <w:r>
        <w:rPr>
          <w:spacing w:val="-51"/>
        </w:rPr>
        <w:t> </w:t>
      </w:r>
      <w:r>
        <w:rPr>
          <w:rFonts w:ascii="宋体" w:hAnsi="宋体" w:cs="宋体" w:eastAsia="宋体" w:hint="default"/>
        </w:rPr>
        <w:t>2019</w:t>
      </w:r>
      <w:r>
        <w:rPr>
          <w:rFonts w:ascii="宋体" w:hAnsi="宋体" w:cs="宋体" w:eastAsia="宋体" w:hint="default"/>
          <w:spacing w:val="-51"/>
        </w:rPr>
        <w:t> </w:t>
      </w:r>
      <w:r>
        <w:rPr/>
        <w:t>年</w:t>
      </w:r>
      <w:r>
        <w:rPr>
          <w:spacing w:val="-51"/>
        </w:rPr>
        <w:t> </w:t>
      </w:r>
      <w:r>
        <w:rPr>
          <w:rFonts w:ascii="宋体" w:hAnsi="宋体" w:cs="宋体" w:eastAsia="宋体" w:hint="default"/>
        </w:rPr>
        <w:t>1</w:t>
      </w:r>
      <w:r>
        <w:rPr>
          <w:rFonts w:ascii="宋体" w:hAnsi="宋体" w:cs="宋体" w:eastAsia="宋体" w:hint="default"/>
          <w:spacing w:val="-51"/>
        </w:rPr>
        <w:t> </w:t>
      </w:r>
      <w:r>
        <w:rPr/>
        <w:t>月</w:t>
      </w:r>
      <w:r>
        <w:rPr>
          <w:spacing w:val="-50"/>
        </w:rPr>
        <w:t> </w:t>
      </w:r>
      <w:r>
        <w:rPr>
          <w:rFonts w:ascii="宋体" w:hAnsi="宋体" w:cs="宋体" w:eastAsia="宋体" w:hint="default"/>
        </w:rPr>
        <w:t>2</w:t>
      </w:r>
      <w:r>
        <w:rPr>
          <w:rFonts w:ascii="宋体" w:hAnsi="宋体" w:cs="宋体" w:eastAsia="宋体" w:hint="default"/>
          <w:spacing w:val="-53"/>
        </w:rPr>
        <w:t> </w:t>
      </w:r>
      <w:r>
        <w:rPr/>
        <w:t>日合计注销了</w:t>
      </w:r>
      <w:r>
        <w:rPr>
          <w:spacing w:val="-51"/>
        </w:rPr>
        <w:t> </w:t>
      </w:r>
      <w:r>
        <w:rPr>
          <w:rFonts w:ascii="宋体" w:hAnsi="宋体" w:cs="宋体" w:eastAsia="宋体" w:hint="default"/>
        </w:rPr>
        <w:t>350,859</w:t>
      </w:r>
      <w:r>
        <w:rPr>
          <w:rFonts w:ascii="宋体" w:hAnsi="宋体" w:cs="宋体" w:eastAsia="宋体" w:hint="default"/>
          <w:spacing w:val="-50"/>
        </w:rPr>
        <w:t> </w:t>
      </w:r>
      <w:r>
        <w:rPr/>
        <w:t>股限制性股票。本次回购注销完成后，</w:t>
      </w:r>
    </w:p>
    <w:p>
      <w:pPr>
        <w:pStyle w:val="BodyText"/>
        <w:spacing w:line="312" w:lineRule="exact"/>
        <w:ind w:left="138" w:right="0"/>
        <w:jc w:val="both"/>
        <w:rPr>
          <w:rFonts w:ascii="宋体" w:hAnsi="宋体" w:cs="宋体" w:eastAsia="宋体" w:hint="default"/>
        </w:rPr>
      </w:pPr>
      <w:r>
        <w:rPr/>
        <w:t>公司总股本变为</w:t>
      </w:r>
      <w:r>
        <w:rPr>
          <w:spacing w:val="-61"/>
        </w:rPr>
        <w:t> </w:t>
      </w:r>
      <w:r>
        <w:rPr>
          <w:rFonts w:ascii="宋体" w:hAnsi="宋体" w:cs="宋体" w:eastAsia="宋体" w:hint="default"/>
        </w:rPr>
        <w:t>1,917,481,933</w:t>
      </w:r>
      <w:r>
        <w:rPr>
          <w:rFonts w:ascii="宋体" w:hAnsi="宋体" w:cs="宋体" w:eastAsia="宋体" w:hint="default"/>
          <w:spacing w:val="-60"/>
        </w:rPr>
        <w:t> </w:t>
      </w:r>
      <w:r>
        <w:rPr/>
        <w:t>股。</w:t>
      </w:r>
      <w:r>
        <w:rPr>
          <w:rFonts w:ascii="宋体" w:hAnsi="宋体" w:cs="宋体" w:eastAsia="宋体" w:hint="default"/>
        </w:rPr>
        <w:t> </w:t>
      </w:r>
    </w:p>
    <w:p>
      <w:pPr>
        <w:pStyle w:val="BodyText"/>
        <w:spacing w:line="311" w:lineRule="exact"/>
        <w:ind w:left="618" w:right="0"/>
        <w:jc w:val="left"/>
      </w:pPr>
      <w:r>
        <w:rPr/>
        <w:t>公司于</w:t>
      </w:r>
      <w:r>
        <w:rPr>
          <w:spacing w:val="-48"/>
        </w:rPr>
        <w:t> </w:t>
      </w:r>
      <w:r>
        <w:rPr>
          <w:rFonts w:ascii="宋体" w:hAnsi="宋体" w:cs="宋体" w:eastAsia="宋体" w:hint="default"/>
        </w:rPr>
        <w:t>2019</w:t>
      </w:r>
      <w:r>
        <w:rPr>
          <w:rFonts w:ascii="宋体" w:hAnsi="宋体" w:cs="宋体" w:eastAsia="宋体" w:hint="default"/>
          <w:spacing w:val="-48"/>
        </w:rPr>
        <w:t> </w:t>
      </w:r>
      <w:r>
        <w:rPr/>
        <w:t>年</w:t>
      </w:r>
      <w:r>
        <w:rPr>
          <w:spacing w:val="-48"/>
        </w:rPr>
        <w:t> </w:t>
      </w:r>
      <w:r>
        <w:rPr>
          <w:rFonts w:ascii="宋体" w:hAnsi="宋体" w:cs="宋体" w:eastAsia="宋体" w:hint="default"/>
        </w:rPr>
        <w:t>5</w:t>
      </w:r>
      <w:r>
        <w:rPr>
          <w:rFonts w:ascii="宋体" w:hAnsi="宋体" w:cs="宋体" w:eastAsia="宋体" w:hint="default"/>
          <w:spacing w:val="-48"/>
        </w:rPr>
        <w:t> </w:t>
      </w:r>
      <w:r>
        <w:rPr/>
        <w:t>月</w:t>
      </w:r>
      <w:r>
        <w:rPr>
          <w:spacing w:val="-48"/>
        </w:rPr>
        <w:t> </w:t>
      </w:r>
      <w:r>
        <w:rPr>
          <w:rFonts w:ascii="宋体" w:hAnsi="宋体" w:cs="宋体" w:eastAsia="宋体" w:hint="default"/>
        </w:rPr>
        <w:t>15</w:t>
      </w:r>
      <w:r>
        <w:rPr>
          <w:rFonts w:ascii="宋体" w:hAnsi="宋体" w:cs="宋体" w:eastAsia="宋体" w:hint="default"/>
          <w:spacing w:val="-48"/>
        </w:rPr>
        <w:t> </w:t>
      </w:r>
      <w:r>
        <w:rPr/>
        <w:t>日披露了《公司关于注销已回购股权激励股份的公告》。</w:t>
      </w:r>
    </w:p>
    <w:p>
      <w:pPr>
        <w:pStyle w:val="BodyText"/>
        <w:spacing w:line="311" w:lineRule="exact"/>
        <w:ind w:left="138" w:right="0"/>
        <w:jc w:val="both"/>
        <w:rPr>
          <w:rFonts w:ascii="宋体" w:hAnsi="宋体" w:cs="宋体" w:eastAsia="宋体" w:hint="default"/>
        </w:rPr>
      </w:pPr>
      <w:r>
        <w:rPr/>
        <w:t>注销已回购的</w:t>
      </w:r>
      <w:r>
        <w:rPr>
          <w:spacing w:val="-61"/>
        </w:rPr>
        <w:t> </w:t>
      </w:r>
      <w:r>
        <w:rPr>
          <w:rFonts w:ascii="宋体" w:hAnsi="宋体" w:cs="宋体" w:eastAsia="宋体" w:hint="default"/>
        </w:rPr>
        <w:t>643,000</w:t>
      </w:r>
      <w:r>
        <w:rPr>
          <w:rFonts w:ascii="宋体" w:hAnsi="宋体" w:cs="宋体" w:eastAsia="宋体" w:hint="default"/>
          <w:spacing w:val="-60"/>
        </w:rPr>
        <w:t> </w:t>
      </w:r>
      <w:r>
        <w:rPr/>
        <w:t>股。</w:t>
      </w:r>
      <w:r>
        <w:rPr>
          <w:rFonts w:ascii="宋体" w:hAnsi="宋体" w:cs="宋体" w:eastAsia="宋体" w:hint="default"/>
        </w:rPr>
        <w:t> </w:t>
      </w:r>
    </w:p>
    <w:p>
      <w:pPr>
        <w:pStyle w:val="BodyText"/>
        <w:spacing w:line="312" w:lineRule="exact"/>
        <w:ind w:left="618" w:right="0"/>
        <w:jc w:val="left"/>
      </w:pPr>
      <w:r>
        <w:rPr/>
        <w:t>公司于</w:t>
      </w:r>
      <w:r>
        <w:rPr>
          <w:spacing w:val="-69"/>
        </w:rPr>
        <w:t> </w:t>
      </w:r>
      <w:r>
        <w:rPr>
          <w:rFonts w:ascii="宋体" w:hAnsi="宋体" w:cs="宋体" w:eastAsia="宋体" w:hint="default"/>
        </w:rPr>
        <w:t>2019</w:t>
      </w:r>
      <w:r>
        <w:rPr>
          <w:rFonts w:ascii="宋体" w:hAnsi="宋体" w:cs="宋体" w:eastAsia="宋体" w:hint="default"/>
          <w:spacing w:val="-69"/>
        </w:rPr>
        <w:t> </w:t>
      </w:r>
      <w:r>
        <w:rPr/>
        <w:t>年</w:t>
      </w:r>
      <w:r>
        <w:rPr>
          <w:spacing w:val="-69"/>
        </w:rPr>
        <w:t> </w:t>
      </w:r>
      <w:r>
        <w:rPr>
          <w:rFonts w:ascii="宋体" w:hAnsi="宋体" w:cs="宋体" w:eastAsia="宋体" w:hint="default"/>
        </w:rPr>
        <w:t>9</w:t>
      </w:r>
      <w:r>
        <w:rPr>
          <w:rFonts w:ascii="宋体" w:hAnsi="宋体" w:cs="宋体" w:eastAsia="宋体" w:hint="default"/>
          <w:spacing w:val="-69"/>
        </w:rPr>
        <w:t> </w:t>
      </w:r>
      <w:r>
        <w:rPr/>
        <w:t>月</w:t>
      </w:r>
      <w:r>
        <w:rPr>
          <w:spacing w:val="-69"/>
        </w:rPr>
        <w:t> </w:t>
      </w:r>
      <w:r>
        <w:rPr>
          <w:rFonts w:ascii="宋体" w:hAnsi="宋体" w:cs="宋体" w:eastAsia="宋体" w:hint="default"/>
        </w:rPr>
        <w:t>10</w:t>
      </w:r>
      <w:r>
        <w:rPr>
          <w:rFonts w:ascii="宋体" w:hAnsi="宋体" w:cs="宋体" w:eastAsia="宋体" w:hint="default"/>
          <w:spacing w:val="-69"/>
        </w:rPr>
        <w:t> </w:t>
      </w:r>
      <w:r>
        <w:rPr/>
        <w:t>日披露了《公司关于注销已回购股份的公告》。注销已回</w:t>
      </w:r>
    </w:p>
    <w:p>
      <w:pPr>
        <w:pStyle w:val="BodyText"/>
        <w:spacing w:line="313" w:lineRule="exact"/>
        <w:ind w:left="138" w:right="0"/>
        <w:jc w:val="both"/>
        <w:rPr>
          <w:rFonts w:ascii="宋体" w:hAnsi="宋体" w:cs="宋体" w:eastAsia="宋体" w:hint="default"/>
        </w:rPr>
      </w:pPr>
      <w:r>
        <w:rPr/>
        <w:t>购未授予的限制性股票</w:t>
      </w:r>
      <w:r>
        <w:rPr>
          <w:spacing w:val="-60"/>
        </w:rPr>
        <w:t> </w:t>
      </w:r>
      <w:r>
        <w:rPr>
          <w:rFonts w:ascii="宋体" w:hAnsi="宋体" w:cs="宋体" w:eastAsia="宋体" w:hint="default"/>
        </w:rPr>
        <w:t>70</w:t>
      </w:r>
      <w:r>
        <w:rPr>
          <w:rFonts w:ascii="宋体" w:hAnsi="宋体" w:cs="宋体" w:eastAsia="宋体" w:hint="default"/>
          <w:spacing w:val="-60"/>
        </w:rPr>
        <w:t> </w:t>
      </w:r>
      <w:r>
        <w:rPr/>
        <w:t>股。</w:t>
      </w:r>
      <w:r>
        <w:rPr>
          <w:rFonts w:ascii="宋体" w:hAnsi="宋体" w:cs="宋体" w:eastAsia="宋体" w:hint="default"/>
        </w:rPr>
        <w:t> </w:t>
      </w:r>
    </w:p>
    <w:p>
      <w:pPr>
        <w:pStyle w:val="BodyText"/>
        <w:spacing w:line="240" w:lineRule="auto" w:before="115"/>
        <w:ind w:left="618" w:right="0"/>
        <w:jc w:val="left"/>
        <w:rPr>
          <w:rFonts w:ascii="宋体" w:hAnsi="宋体" w:cs="宋体" w:eastAsia="宋体" w:hint="default"/>
        </w:rPr>
      </w:pPr>
      <w:r>
        <w:rPr/>
        <w:t>（</w:t>
      </w:r>
      <w:r>
        <w:rPr>
          <w:rFonts w:ascii="宋体" w:hAnsi="宋体" w:cs="宋体" w:eastAsia="宋体" w:hint="default"/>
        </w:rPr>
        <w:t>2</w:t>
      </w:r>
      <w:r>
        <w:rPr/>
        <w:t>）利润分配</w:t>
      </w:r>
      <w:r>
        <w:rPr>
          <w:rFonts w:ascii="宋体" w:hAnsi="宋体" w:cs="宋体" w:eastAsia="宋体" w:hint="default"/>
        </w:rPr>
        <w:t> </w:t>
      </w:r>
    </w:p>
    <w:p>
      <w:pPr>
        <w:pStyle w:val="BodyText"/>
        <w:spacing w:line="313" w:lineRule="exact" w:before="118"/>
        <w:ind w:left="618" w:right="0"/>
        <w:jc w:val="left"/>
        <w:rPr>
          <w:rFonts w:ascii="宋体" w:hAnsi="宋体" w:cs="宋体" w:eastAsia="宋体" w:hint="default"/>
        </w:rPr>
      </w:pPr>
      <w:r>
        <w:rPr/>
        <w:t>公司于</w:t>
      </w:r>
      <w:r>
        <w:rPr>
          <w:spacing w:val="-46"/>
        </w:rPr>
        <w:t> </w:t>
      </w:r>
      <w:r>
        <w:rPr>
          <w:rFonts w:ascii="宋体" w:hAnsi="宋体" w:cs="宋体" w:eastAsia="宋体" w:hint="default"/>
        </w:rPr>
        <w:t>2019</w:t>
      </w:r>
      <w:r>
        <w:rPr>
          <w:rFonts w:ascii="宋体" w:hAnsi="宋体" w:cs="宋体" w:eastAsia="宋体" w:hint="default"/>
          <w:spacing w:val="-46"/>
        </w:rPr>
        <w:t> </w:t>
      </w:r>
      <w:r>
        <w:rPr/>
        <w:t>年</w:t>
      </w:r>
      <w:r>
        <w:rPr>
          <w:spacing w:val="-45"/>
        </w:rPr>
        <w:t> </w:t>
      </w:r>
      <w:r>
        <w:rPr>
          <w:rFonts w:ascii="宋体" w:hAnsi="宋体" w:cs="宋体" w:eastAsia="宋体" w:hint="default"/>
        </w:rPr>
        <w:t>4</w:t>
      </w:r>
      <w:r>
        <w:rPr>
          <w:rFonts w:ascii="宋体" w:hAnsi="宋体" w:cs="宋体" w:eastAsia="宋体" w:hint="default"/>
          <w:spacing w:val="-46"/>
        </w:rPr>
        <w:t> </w:t>
      </w:r>
      <w:r>
        <w:rPr/>
        <w:t>月</w:t>
      </w:r>
      <w:r>
        <w:rPr>
          <w:spacing w:val="-46"/>
        </w:rPr>
        <w:t> </w:t>
      </w:r>
      <w:r>
        <w:rPr>
          <w:rFonts w:ascii="宋体" w:hAnsi="宋体" w:cs="宋体" w:eastAsia="宋体" w:hint="default"/>
        </w:rPr>
        <w:t>8</w:t>
      </w:r>
      <w:r>
        <w:rPr>
          <w:rFonts w:ascii="宋体" w:hAnsi="宋体" w:cs="宋体" w:eastAsia="宋体" w:hint="default"/>
          <w:spacing w:val="-44"/>
        </w:rPr>
        <w:t> </w:t>
      </w:r>
      <w:r>
        <w:rPr/>
        <w:t>日召开了</w:t>
      </w:r>
      <w:r>
        <w:rPr>
          <w:spacing w:val="-46"/>
        </w:rPr>
        <w:t> </w:t>
      </w:r>
      <w:r>
        <w:rPr>
          <w:rFonts w:ascii="宋体" w:hAnsi="宋体" w:cs="宋体" w:eastAsia="宋体" w:hint="default"/>
        </w:rPr>
        <w:t>2018</w:t>
      </w:r>
      <w:r>
        <w:rPr>
          <w:rFonts w:ascii="宋体" w:hAnsi="宋体" w:cs="宋体" w:eastAsia="宋体" w:hint="default"/>
          <w:spacing w:val="-46"/>
        </w:rPr>
        <w:t> </w:t>
      </w:r>
      <w:r>
        <w:rPr/>
        <w:t>年年度股东大会，审议通过了《公司</w:t>
      </w:r>
      <w:r>
        <w:rPr>
          <w:spacing w:val="-45"/>
        </w:rPr>
        <w:t> </w:t>
      </w:r>
      <w:r>
        <w:rPr>
          <w:rFonts w:ascii="宋体" w:hAnsi="宋体" w:cs="宋体" w:eastAsia="宋体" w:hint="default"/>
        </w:rPr>
        <w:t>2018</w:t>
      </w:r>
    </w:p>
    <w:p>
      <w:pPr>
        <w:pStyle w:val="BodyText"/>
        <w:spacing w:line="237" w:lineRule="auto" w:before="1"/>
        <w:ind w:left="138" w:right="231"/>
        <w:jc w:val="both"/>
        <w:rPr>
          <w:rFonts w:ascii="宋体" w:hAnsi="宋体" w:cs="宋体" w:eastAsia="宋体" w:hint="default"/>
        </w:rPr>
      </w:pPr>
      <w:r>
        <w:rPr/>
        <w:t>年度利润分配方案》和《公司 </w:t>
      </w:r>
      <w:r>
        <w:rPr>
          <w:rFonts w:ascii="宋体" w:hAnsi="宋体" w:cs="宋体" w:eastAsia="宋体" w:hint="default"/>
        </w:rPr>
        <w:t>2018</w:t>
      </w:r>
      <w:r>
        <w:rPr>
          <w:rFonts w:ascii="宋体" w:hAnsi="宋体" w:cs="宋体" w:eastAsia="宋体" w:hint="default"/>
          <w:spacing w:val="-48"/>
        </w:rPr>
        <w:t> </w:t>
      </w:r>
      <w:r>
        <w:rPr/>
        <w:t>年度资本公积金转增股本方案》。公司本次利润 </w:t>
      </w:r>
      <w:r>
        <w:rPr>
          <w:spacing w:val="4"/>
        </w:rPr>
        <w:t>分配及转增股本以利润分配实施公告确定的股权登记日的总股本，扣除回购的股份</w:t>
      </w:r>
      <w:r>
        <w:rPr>
          <w:spacing w:val="-105"/>
        </w:rPr>
        <w:t> </w:t>
      </w:r>
      <w:r>
        <w:rPr>
          <w:spacing w:val="-105"/>
        </w:rPr>
      </w:r>
      <w:r>
        <w:rPr>
          <w:rFonts w:ascii="宋体" w:hAnsi="宋体" w:cs="宋体" w:eastAsia="宋体" w:hint="default"/>
        </w:rPr>
        <w:t>19,829,791</w:t>
      </w:r>
      <w:r>
        <w:rPr>
          <w:rFonts w:ascii="宋体" w:hAnsi="宋体" w:cs="宋体" w:eastAsia="宋体" w:hint="default"/>
          <w:spacing w:val="-58"/>
        </w:rPr>
        <w:t> </w:t>
      </w:r>
      <w:r>
        <w:rPr>
          <w:spacing w:val="-15"/>
        </w:rPr>
        <w:t>股，即以</w:t>
      </w:r>
      <w:r>
        <w:rPr>
          <w:spacing w:val="-58"/>
        </w:rPr>
        <w:t> </w:t>
      </w:r>
      <w:r>
        <w:rPr>
          <w:rFonts w:ascii="宋体" w:hAnsi="宋体" w:cs="宋体" w:eastAsia="宋体" w:hint="default"/>
        </w:rPr>
        <w:t>1,897,652,142</w:t>
      </w:r>
      <w:r>
        <w:rPr>
          <w:rFonts w:ascii="宋体" w:hAnsi="宋体" w:cs="宋体" w:eastAsia="宋体" w:hint="default"/>
          <w:spacing w:val="-58"/>
        </w:rPr>
        <w:t> </w:t>
      </w:r>
      <w:r>
        <w:rPr>
          <w:spacing w:val="-5"/>
        </w:rPr>
        <w:t>股为基数，每股派发现金红利</w:t>
      </w:r>
      <w:r>
        <w:rPr>
          <w:spacing w:val="-58"/>
        </w:rPr>
        <w:t> </w:t>
      </w:r>
      <w:r>
        <w:rPr>
          <w:rFonts w:ascii="宋体" w:hAnsi="宋体" w:cs="宋体" w:eastAsia="宋体" w:hint="default"/>
        </w:rPr>
        <w:t>0.25</w:t>
      </w:r>
      <w:r>
        <w:rPr>
          <w:rFonts w:ascii="宋体" w:hAnsi="宋体" w:cs="宋体" w:eastAsia="宋体" w:hint="default"/>
          <w:spacing w:val="-58"/>
        </w:rPr>
        <w:t> </w:t>
      </w:r>
      <w:r>
        <w:rPr>
          <w:spacing w:val="-20"/>
        </w:rPr>
        <w:t>元（含税），</w:t>
      </w:r>
      <w:r>
        <w:rPr/>
        <w:t> 以资本公积转增股本，每股转增</w:t>
      </w:r>
      <w:r>
        <w:rPr>
          <w:spacing w:val="-55"/>
        </w:rPr>
        <w:t> </w:t>
      </w:r>
      <w:r>
        <w:rPr>
          <w:rFonts w:ascii="宋体" w:hAnsi="宋体" w:cs="宋体" w:eastAsia="宋体" w:hint="default"/>
        </w:rPr>
        <w:t>0.3</w:t>
      </w:r>
      <w:r>
        <w:rPr>
          <w:rFonts w:ascii="宋体" w:hAnsi="宋体" w:cs="宋体" w:eastAsia="宋体" w:hint="default"/>
          <w:spacing w:val="-56"/>
        </w:rPr>
        <w:t> </w:t>
      </w:r>
      <w:r>
        <w:rPr/>
        <w:t>股。根据《公司 </w:t>
      </w:r>
      <w:r>
        <w:rPr>
          <w:rFonts w:ascii="宋体" w:hAnsi="宋体" w:cs="宋体" w:eastAsia="宋体" w:hint="default"/>
        </w:rPr>
        <w:t>2017</w:t>
      </w:r>
      <w:r>
        <w:rPr>
          <w:rFonts w:ascii="宋体" w:hAnsi="宋体" w:cs="宋体" w:eastAsia="宋体" w:hint="default"/>
          <w:spacing w:val="-56"/>
        </w:rPr>
        <w:t> </w:t>
      </w:r>
      <w:r>
        <w:rPr/>
        <w:t>年股票期权与限制性股票 </w:t>
      </w:r>
      <w:r>
        <w:rPr>
          <w:spacing w:val="-3"/>
        </w:rPr>
        <w:t>激励计划（草案）》和《公司 </w:t>
      </w:r>
      <w:r>
        <w:rPr>
          <w:rFonts w:ascii="宋体" w:hAnsi="宋体" w:cs="宋体" w:eastAsia="宋体" w:hint="default"/>
          <w:spacing w:val="-3"/>
        </w:rPr>
      </w:r>
      <w:r>
        <w:rPr>
          <w:rFonts w:ascii="宋体" w:hAnsi="宋体" w:cs="宋体" w:eastAsia="宋体" w:hint="default"/>
        </w:rPr>
        <w:t>2018</w:t>
      </w:r>
      <w:r>
        <w:rPr>
          <w:rFonts w:ascii="宋体" w:hAnsi="宋体" w:cs="宋体" w:eastAsia="宋体" w:hint="default"/>
          <w:spacing w:val="-11"/>
        </w:rPr>
        <w:t> </w:t>
      </w:r>
      <w:r>
        <w:rPr/>
        <w:t>年股票期权与限制性股票激励计划（草案）》的 </w:t>
      </w:r>
      <w:r>
        <w:rPr>
          <w:spacing w:val="-2"/>
        </w:rPr>
        <w:t>有关规定，上述利润分配与资本公积金转增股本实施完毕后，应对股票期权的行权价</w:t>
      </w:r>
      <w:r>
        <w:rPr>
          <w:spacing w:val="-94"/>
        </w:rPr>
        <w:t> </w:t>
      </w:r>
      <w:r>
        <w:rPr>
          <w:spacing w:val="-94"/>
        </w:rPr>
      </w:r>
      <w:r>
        <w:rPr/>
        <w:t>格与数量和限制性股票的回购价格与数量进行调整。</w:t>
      </w:r>
      <w:r>
        <w:rPr>
          <w:rFonts w:ascii="宋体" w:hAnsi="宋体" w:cs="宋体" w:eastAsia="宋体" w:hint="default"/>
        </w:rPr>
        <w:t> </w:t>
      </w:r>
    </w:p>
    <w:p>
      <w:pPr>
        <w:pStyle w:val="BodyText"/>
        <w:spacing w:line="240" w:lineRule="auto" w:before="116"/>
        <w:ind w:left="618" w:right="0"/>
        <w:jc w:val="left"/>
        <w:rPr>
          <w:rFonts w:ascii="宋体" w:hAnsi="宋体" w:cs="宋体" w:eastAsia="宋体" w:hint="default"/>
        </w:rPr>
      </w:pPr>
      <w:r>
        <w:rPr/>
        <w:t>（</w:t>
      </w:r>
      <w:r>
        <w:rPr>
          <w:rFonts w:ascii="宋体" w:hAnsi="宋体" w:cs="宋体" w:eastAsia="宋体" w:hint="default"/>
        </w:rPr>
        <w:t>3</w:t>
      </w:r>
      <w:r>
        <w:rPr/>
        <w:t>）股权激励的解锁和行权</w:t>
      </w:r>
      <w:r>
        <w:rPr>
          <w:rFonts w:ascii="宋体" w:hAnsi="宋体" w:cs="宋体" w:eastAsia="宋体" w:hint="default"/>
        </w:rPr>
        <w:t> </w:t>
      </w:r>
    </w:p>
    <w:p>
      <w:pPr>
        <w:pStyle w:val="BodyText"/>
        <w:spacing w:line="237" w:lineRule="auto" w:before="120"/>
        <w:ind w:left="138" w:right="230" w:firstLine="479"/>
        <w:jc w:val="both"/>
        <w:rPr>
          <w:rFonts w:ascii="宋体" w:hAnsi="宋体" w:cs="宋体" w:eastAsia="宋体" w:hint="default"/>
        </w:rPr>
      </w:pPr>
      <w:r>
        <w:rPr/>
        <w:t>公司于</w:t>
      </w:r>
      <w:r>
        <w:rPr>
          <w:spacing w:val="-68"/>
        </w:rPr>
        <w:t> </w:t>
      </w:r>
      <w:r>
        <w:rPr>
          <w:rFonts w:ascii="宋体" w:hAnsi="宋体" w:cs="宋体" w:eastAsia="宋体" w:hint="default"/>
        </w:rPr>
        <w:t>2019</w:t>
      </w:r>
      <w:r>
        <w:rPr>
          <w:rFonts w:ascii="宋体" w:hAnsi="宋体" w:cs="宋体" w:eastAsia="宋体" w:hint="default"/>
          <w:spacing w:val="-68"/>
        </w:rPr>
        <w:t> </w:t>
      </w:r>
      <w:r>
        <w:rPr/>
        <w:t>年</w:t>
      </w:r>
      <w:r>
        <w:rPr>
          <w:spacing w:val="-68"/>
        </w:rPr>
        <w:t> </w:t>
      </w:r>
      <w:r>
        <w:rPr>
          <w:rFonts w:ascii="宋体" w:hAnsi="宋体" w:cs="宋体" w:eastAsia="宋体" w:hint="default"/>
        </w:rPr>
        <w:t>7</w:t>
      </w:r>
      <w:r>
        <w:rPr>
          <w:rFonts w:ascii="宋体" w:hAnsi="宋体" w:cs="宋体" w:eastAsia="宋体" w:hint="default"/>
          <w:spacing w:val="-68"/>
        </w:rPr>
        <w:t> </w:t>
      </w:r>
      <w:r>
        <w:rPr/>
        <w:t>月</w:t>
      </w:r>
      <w:r>
        <w:rPr>
          <w:spacing w:val="-68"/>
        </w:rPr>
        <w:t> </w:t>
      </w:r>
      <w:r>
        <w:rPr>
          <w:rFonts w:ascii="宋体" w:hAnsi="宋体" w:cs="宋体" w:eastAsia="宋体" w:hint="default"/>
        </w:rPr>
        <w:t>18</w:t>
      </w:r>
      <w:r>
        <w:rPr>
          <w:rFonts w:ascii="宋体" w:hAnsi="宋体" w:cs="宋体" w:eastAsia="宋体" w:hint="default"/>
          <w:spacing w:val="-68"/>
        </w:rPr>
        <w:t> </w:t>
      </w:r>
      <w:r>
        <w:rPr/>
        <w:t>日召开了第七届董事会三十八次会议，审议通过了《公司 </w:t>
      </w:r>
      <w:r>
        <w:rPr>
          <w:spacing w:val="-2"/>
        </w:rPr>
        <w:t>关于调整股票期权行权价格与数量和限制性股票回购价格与数量的议案》、《公司关</w:t>
      </w:r>
      <w:r>
        <w:rPr>
          <w:spacing w:val="-97"/>
        </w:rPr>
        <w:t> </w:t>
      </w:r>
      <w:r>
        <w:rPr>
          <w:spacing w:val="-97"/>
        </w:rPr>
      </w:r>
      <w:r>
        <w:rPr>
          <w:spacing w:val="-2"/>
        </w:rPr>
        <w:t>于股权激励计划限制性股票符合解锁条件的议案》和《公司关于股权激励计划股票期</w:t>
      </w:r>
      <w:r>
        <w:rPr>
          <w:spacing w:val="-94"/>
        </w:rPr>
        <w:t> </w:t>
      </w:r>
      <w:r>
        <w:rPr>
          <w:spacing w:val="-94"/>
        </w:rPr>
      </w:r>
      <w:r>
        <w:rPr>
          <w:spacing w:val="-7"/>
        </w:rPr>
        <w:t>权符合行权条件的议案》。调整后股票期权的数量为</w:t>
      </w:r>
      <w:r>
        <w:rPr>
          <w:spacing w:val="-56"/>
        </w:rPr>
        <w:t> </w:t>
      </w:r>
      <w:r>
        <w:rPr>
          <w:rFonts w:ascii="宋体" w:hAnsi="宋体" w:cs="宋体" w:eastAsia="宋体" w:hint="default"/>
        </w:rPr>
        <w:t>40,044,234</w:t>
      </w:r>
      <w:r>
        <w:rPr>
          <w:rFonts w:ascii="宋体" w:hAnsi="宋体" w:cs="宋体" w:eastAsia="宋体" w:hint="default"/>
          <w:spacing w:val="-57"/>
        </w:rPr>
        <w:t> </w:t>
      </w:r>
      <w:r>
        <w:rPr>
          <w:spacing w:val="-11"/>
        </w:rPr>
        <w:t>份，行权价格为</w:t>
      </w:r>
      <w:r>
        <w:rPr>
          <w:spacing w:val="-57"/>
        </w:rPr>
        <w:t> </w:t>
      </w:r>
      <w:r>
        <w:rPr>
          <w:rFonts w:ascii="宋体" w:hAnsi="宋体" w:cs="宋体" w:eastAsia="宋体" w:hint="default"/>
        </w:rPr>
        <w:t>9.12</w:t>
      </w:r>
    </w:p>
    <w:p>
      <w:pPr>
        <w:pStyle w:val="BodyText"/>
        <w:spacing w:line="311" w:lineRule="exact"/>
        <w:ind w:left="138" w:right="0"/>
        <w:jc w:val="both"/>
      </w:pPr>
      <w:r>
        <w:rPr/>
        <w:t>元</w:t>
      </w:r>
      <w:r>
        <w:rPr>
          <w:rFonts w:ascii="宋体" w:hAnsi="宋体" w:cs="宋体" w:eastAsia="宋体" w:hint="default"/>
        </w:rPr>
        <w:t>/</w:t>
      </w:r>
      <w:r>
        <w:rPr/>
        <w:t>份；限制性股票的数量为</w:t>
      </w:r>
      <w:r>
        <w:rPr>
          <w:spacing w:val="-68"/>
        </w:rPr>
        <w:t> </w:t>
      </w:r>
      <w:r>
        <w:rPr>
          <w:rFonts w:ascii="宋体" w:hAnsi="宋体" w:cs="宋体" w:eastAsia="宋体" w:hint="default"/>
        </w:rPr>
        <w:t>18,898,873</w:t>
      </w:r>
      <w:r>
        <w:rPr>
          <w:rFonts w:ascii="宋体" w:hAnsi="宋体" w:cs="宋体" w:eastAsia="宋体" w:hint="default"/>
          <w:spacing w:val="-68"/>
        </w:rPr>
        <w:t> </w:t>
      </w:r>
      <w:r>
        <w:rPr>
          <w:spacing w:val="-3"/>
        </w:rPr>
        <w:t>股，回购价格为</w:t>
      </w:r>
      <w:r>
        <w:rPr>
          <w:spacing w:val="-68"/>
        </w:rPr>
        <w:t> </w:t>
      </w:r>
      <w:r>
        <w:rPr>
          <w:rFonts w:ascii="宋体" w:hAnsi="宋体" w:cs="宋体" w:eastAsia="宋体" w:hint="default"/>
        </w:rPr>
        <w:t>2.44</w:t>
      </w:r>
      <w:r>
        <w:rPr>
          <w:rFonts w:ascii="宋体" w:hAnsi="宋体" w:cs="宋体" w:eastAsia="宋体" w:hint="default"/>
          <w:spacing w:val="-68"/>
        </w:rPr>
        <w:t> </w:t>
      </w:r>
      <w:r>
        <w:rPr/>
        <w:t>元</w:t>
      </w:r>
      <w:r>
        <w:rPr>
          <w:rFonts w:ascii="宋体" w:hAnsi="宋体" w:cs="宋体" w:eastAsia="宋体" w:hint="default"/>
        </w:rPr>
        <w:t>/</w:t>
      </w:r>
      <w:r>
        <w:rPr/>
        <w:t>股。公司本次解锁</w:t>
      </w:r>
    </w:p>
    <w:p>
      <w:pPr>
        <w:pStyle w:val="BodyText"/>
        <w:spacing w:line="311" w:lineRule="exact"/>
        <w:ind w:left="138" w:right="0"/>
        <w:jc w:val="both"/>
      </w:pPr>
      <w:r>
        <w:rPr>
          <w:rFonts w:ascii="宋体" w:hAnsi="宋体" w:cs="宋体" w:eastAsia="宋体" w:hint="default"/>
        </w:rPr>
        <w:t>1264</w:t>
      </w:r>
      <w:r>
        <w:rPr>
          <w:rFonts w:ascii="宋体" w:hAnsi="宋体" w:cs="宋体" w:eastAsia="宋体" w:hint="default"/>
          <w:spacing w:val="-58"/>
        </w:rPr>
        <w:t> </w:t>
      </w:r>
      <w:r>
        <w:rPr/>
        <w:t>名限制性股票激励对象，合计</w:t>
      </w:r>
      <w:r>
        <w:rPr>
          <w:spacing w:val="-57"/>
        </w:rPr>
        <w:t> </w:t>
      </w:r>
      <w:r>
        <w:rPr>
          <w:rFonts w:ascii="宋体" w:hAnsi="宋体" w:cs="宋体" w:eastAsia="宋体" w:hint="default"/>
        </w:rPr>
        <w:t>8,930,125</w:t>
      </w:r>
      <w:r>
        <w:rPr>
          <w:rFonts w:ascii="宋体" w:hAnsi="宋体" w:cs="宋体" w:eastAsia="宋体" w:hint="default"/>
          <w:spacing w:val="-58"/>
        </w:rPr>
        <w:t> </w:t>
      </w:r>
      <w:r>
        <w:rPr/>
        <w:t>股；本次行权</w:t>
      </w:r>
      <w:r>
        <w:rPr>
          <w:spacing w:val="-58"/>
        </w:rPr>
        <w:t> </w:t>
      </w:r>
      <w:r>
        <w:rPr>
          <w:rFonts w:ascii="宋体" w:hAnsi="宋体" w:cs="宋体" w:eastAsia="宋体" w:hint="default"/>
        </w:rPr>
        <w:t>1264</w:t>
      </w:r>
      <w:r>
        <w:rPr>
          <w:rFonts w:ascii="宋体" w:hAnsi="宋体" w:cs="宋体" w:eastAsia="宋体" w:hint="default"/>
          <w:spacing w:val="-58"/>
        </w:rPr>
        <w:t> </w:t>
      </w:r>
      <w:r>
        <w:rPr/>
        <w:t>名股票期权激励对</w:t>
      </w:r>
    </w:p>
    <w:p>
      <w:pPr>
        <w:pStyle w:val="BodyText"/>
        <w:spacing w:line="311" w:lineRule="exact"/>
        <w:ind w:left="138" w:right="0"/>
        <w:jc w:val="both"/>
        <w:rPr>
          <w:rFonts w:ascii="宋体" w:hAnsi="宋体" w:cs="宋体" w:eastAsia="宋体" w:hint="default"/>
        </w:rPr>
      </w:pPr>
      <w:r>
        <w:rPr/>
        <w:t>象，合计</w:t>
      </w:r>
      <w:r>
        <w:rPr>
          <w:spacing w:val="-61"/>
        </w:rPr>
        <w:t> </w:t>
      </w:r>
      <w:r>
        <w:rPr>
          <w:rFonts w:ascii="宋体" w:hAnsi="宋体" w:cs="宋体" w:eastAsia="宋体" w:hint="default"/>
        </w:rPr>
        <w:t>17,362,923</w:t>
      </w:r>
      <w:r>
        <w:rPr>
          <w:rFonts w:ascii="宋体" w:hAnsi="宋体" w:cs="宋体" w:eastAsia="宋体" w:hint="default"/>
          <w:spacing w:val="-60"/>
        </w:rPr>
        <w:t> </w:t>
      </w:r>
      <w:r>
        <w:rPr/>
        <w:t>份。</w:t>
      </w:r>
      <w:r>
        <w:rPr>
          <w:rFonts w:ascii="宋体" w:hAnsi="宋体" w:cs="宋体" w:eastAsia="宋体" w:hint="default"/>
        </w:rPr>
        <w:t> </w:t>
      </w:r>
    </w:p>
    <w:p>
      <w:pPr>
        <w:pStyle w:val="BodyText"/>
        <w:spacing w:line="237" w:lineRule="auto" w:before="1"/>
        <w:ind w:left="138" w:right="231" w:firstLine="479"/>
        <w:jc w:val="both"/>
      </w:pPr>
      <w:r>
        <w:rPr/>
        <w:t>公司于</w:t>
      </w:r>
      <w:r>
        <w:rPr>
          <w:spacing w:val="-48"/>
        </w:rPr>
        <w:t> </w:t>
      </w:r>
      <w:r>
        <w:rPr>
          <w:rFonts w:ascii="宋体" w:hAnsi="宋体" w:cs="宋体" w:eastAsia="宋体" w:hint="default"/>
        </w:rPr>
        <w:t>2019</w:t>
      </w:r>
      <w:r>
        <w:rPr>
          <w:rFonts w:ascii="宋体" w:hAnsi="宋体" w:cs="宋体" w:eastAsia="宋体" w:hint="default"/>
          <w:spacing w:val="-48"/>
        </w:rPr>
        <w:t> </w:t>
      </w:r>
      <w:r>
        <w:rPr/>
        <w:t>年</w:t>
      </w:r>
      <w:r>
        <w:rPr>
          <w:spacing w:val="-48"/>
        </w:rPr>
        <w:t> </w:t>
      </w:r>
      <w:r>
        <w:rPr>
          <w:rFonts w:ascii="宋体" w:hAnsi="宋体" w:cs="宋体" w:eastAsia="宋体" w:hint="default"/>
        </w:rPr>
        <w:t>10</w:t>
      </w:r>
      <w:r>
        <w:rPr>
          <w:rFonts w:ascii="宋体" w:hAnsi="宋体" w:cs="宋体" w:eastAsia="宋体" w:hint="default"/>
          <w:spacing w:val="-48"/>
        </w:rPr>
        <w:t> </w:t>
      </w:r>
      <w:r>
        <w:rPr/>
        <w:t>月</w:t>
      </w:r>
      <w:r>
        <w:rPr>
          <w:spacing w:val="-48"/>
        </w:rPr>
        <w:t> </w:t>
      </w:r>
      <w:r>
        <w:rPr>
          <w:rFonts w:ascii="宋体" w:hAnsi="宋体" w:cs="宋体" w:eastAsia="宋体" w:hint="default"/>
        </w:rPr>
        <w:t>23</w:t>
      </w:r>
      <w:r>
        <w:rPr>
          <w:rFonts w:ascii="宋体" w:hAnsi="宋体" w:cs="宋体" w:eastAsia="宋体" w:hint="default"/>
          <w:spacing w:val="-48"/>
        </w:rPr>
        <w:t> </w:t>
      </w:r>
      <w:r>
        <w:rPr/>
        <w:t>日召开了第七届董事会四十二次会议，审议通过了《公 </w:t>
      </w:r>
      <w:r>
        <w:rPr>
          <w:spacing w:val="-2"/>
        </w:rPr>
        <w:t>司关于调整股票期权行权价格与数量和限制性股票回购价格与数量的议案》、《公司</w:t>
      </w:r>
      <w:r>
        <w:rPr>
          <w:spacing w:val="-97"/>
        </w:rPr>
        <w:t> </w:t>
      </w:r>
      <w:r>
        <w:rPr>
          <w:spacing w:val="-97"/>
        </w:rPr>
      </w:r>
      <w:r>
        <w:rPr>
          <w:spacing w:val="-2"/>
        </w:rPr>
        <w:t>关于股权激励计划限制性股票符合解锁条件的议案》和《公司关于股权激励计划股票</w:t>
      </w:r>
      <w:r>
        <w:rPr>
          <w:spacing w:val="-94"/>
        </w:rPr>
        <w:t> </w:t>
      </w:r>
      <w:r>
        <w:rPr>
          <w:spacing w:val="-94"/>
        </w:rPr>
      </w:r>
      <w:r>
        <w:rPr>
          <w:spacing w:val="2"/>
        </w:rPr>
        <w:t>期权符合行权条件的议案》。调整后，股票期权的数量为 </w:t>
      </w:r>
      <w:r>
        <w:rPr>
          <w:rFonts w:ascii="宋体" w:hAnsi="宋体" w:cs="宋体" w:eastAsia="宋体" w:hint="default"/>
          <w:spacing w:val="2"/>
        </w:rPr>
      </w:r>
      <w:r>
        <w:rPr>
          <w:rFonts w:ascii="宋体" w:hAnsi="宋体" w:cs="宋体" w:eastAsia="宋体" w:hint="default"/>
        </w:rPr>
        <w:t>1,149,170</w:t>
      </w:r>
      <w:r>
        <w:rPr>
          <w:rFonts w:ascii="宋体" w:hAnsi="宋体" w:cs="宋体" w:eastAsia="宋体" w:hint="default"/>
          <w:spacing w:val="11"/>
        </w:rPr>
        <w:t> </w:t>
      </w:r>
      <w:r>
        <w:rPr/>
        <w:t>份，行权价格 为 </w:t>
      </w:r>
      <w:r>
        <w:rPr>
          <w:rFonts w:ascii="宋体" w:hAnsi="宋体" w:cs="宋体" w:eastAsia="宋体" w:hint="default"/>
        </w:rPr>
        <w:t>21.48 </w:t>
      </w:r>
      <w:r>
        <w:rPr/>
        <w:t>元</w:t>
      </w:r>
      <w:r>
        <w:rPr>
          <w:rFonts w:ascii="宋体" w:hAnsi="宋体" w:cs="宋体" w:eastAsia="宋体" w:hint="default"/>
        </w:rPr>
        <w:t>/</w:t>
      </w:r>
      <w:r>
        <w:rPr/>
        <w:t>股；限制性股票的数量为 </w:t>
      </w:r>
      <w:r>
        <w:rPr>
          <w:rFonts w:ascii="宋体" w:hAnsi="宋体" w:cs="宋体" w:eastAsia="宋体" w:hint="default"/>
        </w:rPr>
        <w:t>574,630 </w:t>
      </w:r>
      <w:r>
        <w:rPr>
          <w:spacing w:val="-3"/>
        </w:rPr>
        <w:t>股，回购价格为 </w:t>
      </w:r>
      <w:r>
        <w:rPr>
          <w:rFonts w:ascii="宋体" w:hAnsi="宋体" w:cs="宋体" w:eastAsia="宋体" w:hint="default"/>
          <w:spacing w:val="-3"/>
        </w:rPr>
      </w:r>
      <w:r>
        <w:rPr>
          <w:rFonts w:ascii="宋体" w:hAnsi="宋体" w:cs="宋体" w:eastAsia="宋体" w:hint="default"/>
        </w:rPr>
        <w:t>4.61</w:t>
      </w:r>
      <w:r>
        <w:rPr>
          <w:rFonts w:ascii="宋体" w:hAnsi="宋体" w:cs="宋体" w:eastAsia="宋体" w:hint="default"/>
          <w:spacing w:val="-3"/>
        </w:rPr>
        <w:t> </w:t>
      </w:r>
      <w:r>
        <w:rPr>
          <w:spacing w:val="-4"/>
        </w:rPr>
        <w:t>元</w:t>
      </w:r>
      <w:r>
        <w:rPr>
          <w:rFonts w:ascii="宋体" w:hAnsi="宋体" w:cs="宋体" w:eastAsia="宋体" w:hint="default"/>
          <w:spacing w:val="-4"/>
        </w:rPr>
        <w:t>/</w:t>
      </w:r>
      <w:r>
        <w:rPr>
          <w:spacing w:val="-4"/>
        </w:rPr>
        <w:t>股。公司</w:t>
      </w:r>
      <w:r>
        <w:rPr/>
        <w:t> 本次解锁</w:t>
      </w:r>
      <w:r>
        <w:rPr>
          <w:spacing w:val="-65"/>
        </w:rPr>
        <w:t> </w:t>
      </w:r>
      <w:r>
        <w:rPr>
          <w:rFonts w:ascii="宋体" w:hAnsi="宋体" w:cs="宋体" w:eastAsia="宋体" w:hint="default"/>
        </w:rPr>
        <w:t>26</w:t>
      </w:r>
      <w:r>
        <w:rPr>
          <w:rFonts w:ascii="宋体" w:hAnsi="宋体" w:cs="宋体" w:eastAsia="宋体" w:hint="default"/>
          <w:spacing w:val="-64"/>
        </w:rPr>
        <w:t> </w:t>
      </w:r>
      <w:r>
        <w:rPr/>
        <w:t>名限制性股票激励对象，合计</w:t>
      </w:r>
      <w:r>
        <w:rPr>
          <w:spacing w:val="-64"/>
        </w:rPr>
        <w:t> </w:t>
      </w:r>
      <w:r>
        <w:rPr>
          <w:rFonts w:ascii="宋体" w:hAnsi="宋体" w:cs="宋体" w:eastAsia="宋体" w:hint="default"/>
        </w:rPr>
        <w:t>200,383</w:t>
      </w:r>
      <w:r>
        <w:rPr>
          <w:rFonts w:ascii="宋体" w:hAnsi="宋体" w:cs="宋体" w:eastAsia="宋体" w:hint="default"/>
          <w:spacing w:val="-64"/>
        </w:rPr>
        <w:t> </w:t>
      </w:r>
      <w:r>
        <w:rPr>
          <w:spacing w:val="-4"/>
        </w:rPr>
        <w:t>股；本次行权</w:t>
      </w:r>
      <w:r>
        <w:rPr>
          <w:spacing w:val="-64"/>
        </w:rPr>
        <w:t> </w:t>
      </w:r>
      <w:r>
        <w:rPr>
          <w:rFonts w:ascii="宋体" w:hAnsi="宋体" w:cs="宋体" w:eastAsia="宋体" w:hint="default"/>
        </w:rPr>
        <w:t>26</w:t>
      </w:r>
      <w:r>
        <w:rPr>
          <w:rFonts w:ascii="宋体" w:hAnsi="宋体" w:cs="宋体" w:eastAsia="宋体" w:hint="default"/>
          <w:spacing w:val="-64"/>
        </w:rPr>
        <w:t> </w:t>
      </w:r>
      <w:r>
        <w:rPr/>
        <w:t>名股票期权激励</w:t>
      </w:r>
    </w:p>
    <w:p>
      <w:pPr>
        <w:pStyle w:val="BodyText"/>
        <w:spacing w:line="311" w:lineRule="exact"/>
        <w:ind w:left="138" w:right="0"/>
        <w:jc w:val="both"/>
        <w:rPr>
          <w:rFonts w:ascii="宋体" w:hAnsi="宋体" w:cs="宋体" w:eastAsia="宋体" w:hint="default"/>
        </w:rPr>
      </w:pPr>
      <w:r>
        <w:rPr/>
        <w:t>对象，合计</w:t>
      </w:r>
      <w:r>
        <w:rPr>
          <w:spacing w:val="-61"/>
        </w:rPr>
        <w:t> </w:t>
      </w:r>
      <w:r>
        <w:rPr>
          <w:rFonts w:ascii="宋体" w:hAnsi="宋体" w:cs="宋体" w:eastAsia="宋体" w:hint="default"/>
        </w:rPr>
        <w:t>400,736</w:t>
      </w:r>
      <w:r>
        <w:rPr>
          <w:rFonts w:ascii="宋体" w:hAnsi="宋体" w:cs="宋体" w:eastAsia="宋体" w:hint="default"/>
          <w:spacing w:val="-60"/>
        </w:rPr>
        <w:t> </w:t>
      </w:r>
      <w:r>
        <w:rPr/>
        <w:t>份。</w:t>
      </w:r>
      <w:r>
        <w:rPr>
          <w:rFonts w:ascii="宋体" w:hAnsi="宋体" w:cs="宋体" w:eastAsia="宋体" w:hint="default"/>
        </w:rPr>
        <w:t> </w:t>
      </w:r>
    </w:p>
    <w:p>
      <w:pPr>
        <w:pStyle w:val="BodyText"/>
        <w:spacing w:line="311" w:lineRule="exact"/>
        <w:ind w:left="618" w:right="0"/>
        <w:jc w:val="left"/>
      </w:pPr>
      <w:r>
        <w:rPr/>
        <w:t>公司于</w:t>
      </w:r>
      <w:r>
        <w:rPr>
          <w:spacing w:val="-65"/>
        </w:rPr>
        <w:t> </w:t>
      </w:r>
      <w:r>
        <w:rPr>
          <w:rFonts w:ascii="宋体" w:hAnsi="宋体" w:cs="宋体" w:eastAsia="宋体" w:hint="default"/>
        </w:rPr>
        <w:t>2019</w:t>
      </w:r>
      <w:r>
        <w:rPr>
          <w:rFonts w:ascii="宋体" w:hAnsi="宋体" w:cs="宋体" w:eastAsia="宋体" w:hint="default"/>
          <w:spacing w:val="-65"/>
        </w:rPr>
        <w:t> </w:t>
      </w:r>
      <w:r>
        <w:rPr/>
        <w:t>年</w:t>
      </w:r>
      <w:r>
        <w:rPr>
          <w:spacing w:val="-67"/>
        </w:rPr>
        <w:t> </w:t>
      </w:r>
      <w:r>
        <w:rPr>
          <w:rFonts w:ascii="宋体" w:hAnsi="宋体" w:cs="宋体" w:eastAsia="宋体" w:hint="default"/>
        </w:rPr>
        <w:t>8</w:t>
      </w:r>
      <w:r>
        <w:rPr>
          <w:rFonts w:ascii="宋体" w:hAnsi="宋体" w:cs="宋体" w:eastAsia="宋体" w:hint="default"/>
          <w:spacing w:val="-65"/>
        </w:rPr>
        <w:t> </w:t>
      </w:r>
      <w:r>
        <w:rPr/>
        <w:t>月</w:t>
      </w:r>
      <w:r>
        <w:rPr>
          <w:spacing w:val="-65"/>
        </w:rPr>
        <w:t> </w:t>
      </w:r>
      <w:r>
        <w:rPr>
          <w:rFonts w:ascii="宋体" w:hAnsi="宋体" w:cs="宋体" w:eastAsia="宋体" w:hint="default"/>
          <w:spacing w:val="-3"/>
        </w:rPr>
        <w:t>2</w:t>
      </w:r>
      <w:r>
        <w:rPr>
          <w:rFonts w:ascii="宋体" w:hAnsi="宋体" w:cs="宋体" w:eastAsia="宋体" w:hint="default"/>
        </w:rPr>
        <w:t>9</w:t>
      </w:r>
      <w:r>
        <w:rPr>
          <w:rFonts w:ascii="宋体" w:hAnsi="宋体" w:cs="宋体" w:eastAsia="宋体" w:hint="default"/>
          <w:spacing w:val="-68"/>
        </w:rPr>
        <w:t> </w:t>
      </w:r>
      <w:r>
        <w:rPr/>
        <w:t>日召开了公司</w:t>
      </w:r>
      <w:r>
        <w:rPr>
          <w:spacing w:val="-65"/>
        </w:rPr>
        <w:t> </w:t>
      </w:r>
      <w:r>
        <w:rPr>
          <w:rFonts w:ascii="宋体" w:hAnsi="宋体" w:cs="宋体" w:eastAsia="宋体" w:hint="default"/>
        </w:rPr>
        <w:t>2019</w:t>
      </w:r>
      <w:r>
        <w:rPr>
          <w:rFonts w:ascii="宋体" w:hAnsi="宋体" w:cs="宋体" w:eastAsia="宋体" w:hint="default"/>
          <w:spacing w:val="-65"/>
        </w:rPr>
        <w:t> </w:t>
      </w:r>
      <w:r>
        <w:rPr>
          <w:spacing w:val="-3"/>
        </w:rPr>
        <w:t>年</w:t>
      </w:r>
      <w:r>
        <w:rPr/>
        <w:t>第一次临时股东大会审议通过</w:t>
      </w:r>
      <w:r>
        <w:rPr>
          <w:spacing w:val="-120"/>
        </w:rPr>
        <w:t>了</w:t>
      </w:r>
      <w:r>
        <w:rPr/>
        <w:t>《公</w:t>
      </w:r>
    </w:p>
    <w:p>
      <w:pPr>
        <w:pStyle w:val="BodyText"/>
        <w:spacing w:line="312" w:lineRule="exact" w:before="28"/>
        <w:ind w:left="138" w:right="110"/>
        <w:jc w:val="both"/>
      </w:pPr>
      <w:r>
        <w:rPr/>
        <w:t>司</w:t>
      </w:r>
      <w:r>
        <w:rPr>
          <w:spacing w:val="-58"/>
        </w:rPr>
        <w:t> </w:t>
      </w:r>
      <w:r>
        <w:rPr>
          <w:rFonts w:ascii="宋体" w:hAnsi="宋体" w:cs="宋体" w:eastAsia="宋体" w:hint="default"/>
        </w:rPr>
        <w:t>2019</w:t>
      </w:r>
      <w:r>
        <w:rPr>
          <w:rFonts w:ascii="宋体" w:hAnsi="宋体" w:cs="宋体" w:eastAsia="宋体" w:hint="default"/>
          <w:spacing w:val="-58"/>
        </w:rPr>
        <w:t> </w:t>
      </w:r>
      <w:r>
        <w:rPr/>
        <w:t>年股票期权与限制性股票激励计划（草案）及摘要》，</w:t>
      </w:r>
      <w:r>
        <w:rPr>
          <w:rFonts w:ascii="宋体" w:hAnsi="宋体" w:cs="宋体" w:eastAsia="宋体" w:hint="default"/>
        </w:rPr>
        <w:t>2019</w:t>
      </w:r>
      <w:r>
        <w:rPr>
          <w:rFonts w:ascii="宋体" w:hAnsi="宋体" w:cs="宋体" w:eastAsia="宋体" w:hint="default"/>
          <w:spacing w:val="-58"/>
        </w:rPr>
        <w:t> </w:t>
      </w:r>
      <w:r>
        <w:rPr/>
        <w:t>年</w:t>
      </w:r>
      <w:r>
        <w:rPr>
          <w:spacing w:val="-57"/>
        </w:rPr>
        <w:t> </w:t>
      </w:r>
      <w:r>
        <w:rPr>
          <w:rFonts w:ascii="宋体" w:hAnsi="宋体" w:cs="宋体" w:eastAsia="宋体" w:hint="default"/>
        </w:rPr>
        <w:t>9</w:t>
      </w:r>
      <w:r>
        <w:rPr>
          <w:rFonts w:ascii="宋体" w:hAnsi="宋体" w:cs="宋体" w:eastAsia="宋体" w:hint="default"/>
          <w:spacing w:val="-58"/>
        </w:rPr>
        <w:t> </w:t>
      </w:r>
      <w:r>
        <w:rPr/>
        <w:t>月</w:t>
      </w:r>
      <w:r>
        <w:rPr>
          <w:spacing w:val="-58"/>
        </w:rPr>
        <w:t> </w:t>
      </w:r>
      <w:r>
        <w:rPr>
          <w:rFonts w:ascii="宋体" w:hAnsi="宋体" w:cs="宋体" w:eastAsia="宋体" w:hint="default"/>
        </w:rPr>
        <w:t>9</w:t>
      </w:r>
      <w:r>
        <w:rPr>
          <w:rFonts w:ascii="宋体" w:hAnsi="宋体" w:cs="宋体" w:eastAsia="宋体" w:hint="default"/>
          <w:spacing w:val="-58"/>
        </w:rPr>
        <w:t> </w:t>
      </w:r>
      <w:r>
        <w:rPr/>
        <w:t>日召开 了公司第七届董事会第四十一次会议，审议通过了《关于向激励对象授予股票期权与 限制性股票的议案》。公司本次授予</w:t>
      </w:r>
      <w:r>
        <w:rPr>
          <w:spacing w:val="-42"/>
        </w:rPr>
        <w:t> </w:t>
      </w:r>
      <w:r>
        <w:rPr>
          <w:rFonts w:ascii="宋体" w:hAnsi="宋体" w:cs="宋体" w:eastAsia="宋体" w:hint="default"/>
        </w:rPr>
        <w:t>150</w:t>
      </w:r>
      <w:r>
        <w:rPr>
          <w:rFonts w:ascii="宋体" w:hAnsi="宋体" w:cs="宋体" w:eastAsia="宋体" w:hint="default"/>
          <w:spacing w:val="-42"/>
        </w:rPr>
        <w:t> </w:t>
      </w:r>
      <w:r>
        <w:rPr/>
        <w:t>名限制性股票激励对象，合计</w:t>
      </w:r>
      <w:r>
        <w:rPr>
          <w:spacing w:val="-41"/>
        </w:rPr>
        <w:t> </w:t>
      </w:r>
      <w:r>
        <w:rPr>
          <w:rFonts w:ascii="宋体" w:hAnsi="宋体" w:cs="宋体" w:eastAsia="宋体" w:hint="default"/>
        </w:rPr>
        <w:t>706,060</w:t>
      </w:r>
      <w:r>
        <w:rPr>
          <w:rFonts w:ascii="宋体" w:hAnsi="宋体" w:cs="宋体" w:eastAsia="宋体" w:hint="default"/>
          <w:spacing w:val="-42"/>
        </w:rPr>
        <w:t> </w:t>
      </w:r>
      <w:r>
        <w:rPr/>
        <w:t>股；</w:t>
      </w:r>
    </w:p>
    <w:p>
      <w:pPr>
        <w:pStyle w:val="BodyText"/>
        <w:spacing w:line="283" w:lineRule="exact"/>
        <w:ind w:left="138" w:right="0"/>
        <w:jc w:val="both"/>
        <w:rPr>
          <w:rFonts w:ascii="宋体" w:hAnsi="宋体" w:cs="宋体" w:eastAsia="宋体" w:hint="default"/>
        </w:rPr>
      </w:pPr>
      <w:r>
        <w:rPr/>
        <w:t>授予</w:t>
      </w:r>
      <w:r>
        <w:rPr>
          <w:spacing w:val="-61"/>
        </w:rPr>
        <w:t> </w:t>
      </w:r>
      <w:r>
        <w:rPr>
          <w:rFonts w:ascii="宋体" w:hAnsi="宋体" w:cs="宋体" w:eastAsia="宋体" w:hint="default"/>
        </w:rPr>
        <w:t>150</w:t>
      </w:r>
      <w:r>
        <w:rPr>
          <w:rFonts w:ascii="宋体" w:hAnsi="宋体" w:cs="宋体" w:eastAsia="宋体" w:hint="default"/>
          <w:spacing w:val="-60"/>
        </w:rPr>
        <w:t> </w:t>
      </w:r>
      <w:r>
        <w:rPr/>
        <w:t>名股票期权激励对象，合计</w:t>
      </w:r>
      <w:r>
        <w:rPr>
          <w:spacing w:val="-60"/>
        </w:rPr>
        <w:t> </w:t>
      </w:r>
      <w:r>
        <w:rPr>
          <w:rFonts w:ascii="宋体" w:hAnsi="宋体" w:cs="宋体" w:eastAsia="宋体" w:hint="default"/>
        </w:rPr>
        <w:t>1,412,190</w:t>
      </w:r>
      <w:r>
        <w:rPr>
          <w:rFonts w:ascii="宋体" w:hAnsi="宋体" w:cs="宋体" w:eastAsia="宋体" w:hint="default"/>
          <w:spacing w:val="-60"/>
        </w:rPr>
        <w:t> </w:t>
      </w:r>
      <w:r>
        <w:rPr/>
        <w:t>份。</w:t>
      </w:r>
      <w:r>
        <w:rPr>
          <w:rFonts w:ascii="宋体" w:hAnsi="宋体" w:cs="宋体" w:eastAsia="宋体" w:hint="default"/>
        </w:rPr>
        <w:t> </w:t>
      </w:r>
    </w:p>
    <w:p>
      <w:pPr>
        <w:spacing w:after="0" w:line="283" w:lineRule="exact"/>
        <w:jc w:val="both"/>
        <w:rPr>
          <w:rFonts w:ascii="宋体" w:hAnsi="宋体" w:cs="宋体" w:eastAsia="宋体" w:hint="default"/>
        </w:rPr>
        <w:sectPr>
          <w:footerReference w:type="default" r:id="rId28"/>
          <w:pgSz w:w="11910" w:h="16840"/>
          <w:pgMar w:footer="1195" w:header="880" w:top="1120" w:bottom="1380" w:left="1660" w:right="1040"/>
        </w:sectPr>
      </w:pPr>
    </w:p>
    <w:p>
      <w:pPr>
        <w:spacing w:line="240" w:lineRule="auto" w:before="8"/>
        <w:rPr>
          <w:rFonts w:ascii="宋体" w:hAnsi="宋体" w:cs="宋体" w:eastAsia="宋体" w:hint="default"/>
          <w:sz w:val="25"/>
          <w:szCs w:val="25"/>
        </w:rPr>
      </w:pPr>
    </w:p>
    <w:p>
      <w:pPr>
        <w:pStyle w:val="BodyText"/>
        <w:spacing w:line="240" w:lineRule="auto" w:before="26"/>
        <w:ind w:left="618" w:right="0"/>
        <w:jc w:val="left"/>
        <w:rPr>
          <w:rFonts w:ascii="宋体" w:hAnsi="宋体" w:cs="宋体" w:eastAsia="宋体" w:hint="default"/>
        </w:rPr>
      </w:pPr>
      <w:r>
        <w:rPr/>
        <w:t>（</w:t>
      </w:r>
      <w:r>
        <w:rPr>
          <w:rFonts w:ascii="宋体" w:hAnsi="宋体" w:cs="宋体" w:eastAsia="宋体" w:hint="default"/>
        </w:rPr>
        <w:t>4</w:t>
      </w:r>
      <w:r>
        <w:rPr/>
        <w:t>）股份回购</w:t>
      </w:r>
      <w:r>
        <w:rPr>
          <w:rFonts w:ascii="宋体" w:hAnsi="宋体" w:cs="宋体" w:eastAsia="宋体" w:hint="default"/>
        </w:rPr>
        <w:t> </w:t>
      </w:r>
    </w:p>
    <w:p>
      <w:pPr>
        <w:pStyle w:val="BodyText"/>
        <w:spacing w:line="237" w:lineRule="auto" w:before="120"/>
        <w:ind w:left="138" w:right="232" w:firstLine="479"/>
        <w:jc w:val="both"/>
        <w:rPr>
          <w:rFonts w:ascii="宋体" w:hAnsi="宋体" w:cs="宋体" w:eastAsia="宋体" w:hint="default"/>
        </w:rPr>
      </w:pPr>
      <w:r>
        <w:rPr/>
        <w:t>公司于</w:t>
      </w:r>
      <w:r>
        <w:rPr>
          <w:spacing w:val="-59"/>
        </w:rPr>
        <w:t> </w:t>
      </w:r>
      <w:r>
        <w:rPr>
          <w:rFonts w:ascii="宋体" w:hAnsi="宋体" w:cs="宋体" w:eastAsia="宋体" w:hint="default"/>
        </w:rPr>
        <w:t>2019</w:t>
      </w:r>
      <w:r>
        <w:rPr>
          <w:rFonts w:ascii="宋体" w:hAnsi="宋体" w:cs="宋体" w:eastAsia="宋体" w:hint="default"/>
          <w:spacing w:val="-59"/>
        </w:rPr>
        <w:t> </w:t>
      </w:r>
      <w:r>
        <w:rPr/>
        <w:t>年</w:t>
      </w:r>
      <w:r>
        <w:rPr>
          <w:spacing w:val="-59"/>
        </w:rPr>
        <w:t> </w:t>
      </w:r>
      <w:r>
        <w:rPr>
          <w:rFonts w:ascii="宋体" w:hAnsi="宋体" w:cs="宋体" w:eastAsia="宋体" w:hint="default"/>
        </w:rPr>
        <w:t>1</w:t>
      </w:r>
      <w:r>
        <w:rPr>
          <w:rFonts w:ascii="宋体" w:hAnsi="宋体" w:cs="宋体" w:eastAsia="宋体" w:hint="default"/>
          <w:spacing w:val="-59"/>
        </w:rPr>
        <w:t> </w:t>
      </w:r>
      <w:r>
        <w:rPr/>
        <w:t>月</w:t>
      </w:r>
      <w:r>
        <w:rPr>
          <w:spacing w:val="-59"/>
        </w:rPr>
        <w:t> </w:t>
      </w:r>
      <w:r>
        <w:rPr>
          <w:rFonts w:ascii="宋体" w:hAnsi="宋体" w:cs="宋体" w:eastAsia="宋体" w:hint="default"/>
        </w:rPr>
        <w:t>3</w:t>
      </w:r>
      <w:r>
        <w:rPr>
          <w:rFonts w:ascii="宋体" w:hAnsi="宋体" w:cs="宋体" w:eastAsia="宋体" w:hint="default"/>
          <w:spacing w:val="-59"/>
        </w:rPr>
        <w:t> </w:t>
      </w:r>
      <w:r>
        <w:rPr>
          <w:spacing w:val="-8"/>
        </w:rPr>
        <w:t>日在上海证券交易所网站（</w:t>
      </w:r>
      <w:hyperlink r:id="rId11">
        <w:r>
          <w:rPr>
            <w:rFonts w:ascii="宋体" w:hAnsi="宋体" w:cs="宋体" w:eastAsia="宋体" w:hint="default"/>
            <w:spacing w:val="-8"/>
          </w:rPr>
          <w:t>http://www.sse.com.cn</w:t>
        </w:r>
      </w:hyperlink>
      <w:r>
        <w:rPr>
          <w:spacing w:val="-8"/>
        </w:rPr>
        <w:t>）和《上</w:t>
      </w:r>
      <w:r>
        <w:rPr/>
        <w:t> </w:t>
      </w:r>
      <w:r>
        <w:rPr>
          <w:spacing w:val="-2"/>
        </w:rPr>
        <w:t>海证券报》、《中国证券报》、《证券时报》、《证券日报》上刊登了《公司关于以</w:t>
      </w:r>
      <w:r>
        <w:rPr>
          <w:spacing w:val="-95"/>
        </w:rPr>
        <w:t> </w:t>
      </w:r>
      <w:r>
        <w:rPr>
          <w:spacing w:val="-95"/>
        </w:rPr>
      </w:r>
      <w:r>
        <w:rPr/>
        <w:t>集中竞价交易方式回购股份方案的公告》。</w:t>
      </w:r>
      <w:r>
        <w:rPr>
          <w:rFonts w:ascii="宋体" w:hAnsi="宋体" w:cs="宋体" w:eastAsia="宋体" w:hint="default"/>
        </w:rPr>
        <w:t> </w:t>
      </w:r>
    </w:p>
    <w:p>
      <w:pPr>
        <w:pStyle w:val="BodyText"/>
        <w:spacing w:line="311" w:lineRule="exact"/>
        <w:ind w:left="618" w:right="0"/>
        <w:jc w:val="left"/>
      </w:pPr>
      <w:r>
        <w:rPr/>
        <w:t>公司于</w:t>
      </w:r>
      <w:r>
        <w:rPr>
          <w:spacing w:val="-48"/>
        </w:rPr>
        <w:t> </w:t>
      </w:r>
      <w:r>
        <w:rPr>
          <w:rFonts w:ascii="宋体" w:hAnsi="宋体" w:cs="宋体" w:eastAsia="宋体" w:hint="default"/>
        </w:rPr>
        <w:t>2019</w:t>
      </w:r>
      <w:r>
        <w:rPr>
          <w:rFonts w:ascii="宋体" w:hAnsi="宋体" w:cs="宋体" w:eastAsia="宋体" w:hint="default"/>
          <w:spacing w:val="-48"/>
        </w:rPr>
        <w:t> </w:t>
      </w:r>
      <w:r>
        <w:rPr/>
        <w:t>年</w:t>
      </w:r>
      <w:r>
        <w:rPr>
          <w:spacing w:val="-48"/>
        </w:rPr>
        <w:t> </w:t>
      </w:r>
      <w:r>
        <w:rPr>
          <w:rFonts w:ascii="宋体" w:hAnsi="宋体" w:cs="宋体" w:eastAsia="宋体" w:hint="default"/>
        </w:rPr>
        <w:t>7</w:t>
      </w:r>
      <w:r>
        <w:rPr>
          <w:rFonts w:ascii="宋体" w:hAnsi="宋体" w:cs="宋体" w:eastAsia="宋体" w:hint="default"/>
          <w:spacing w:val="-48"/>
        </w:rPr>
        <w:t> </w:t>
      </w:r>
      <w:r>
        <w:rPr/>
        <w:t>月</w:t>
      </w:r>
      <w:r>
        <w:rPr>
          <w:spacing w:val="-48"/>
        </w:rPr>
        <w:t> </w:t>
      </w:r>
      <w:r>
        <w:rPr>
          <w:rFonts w:ascii="宋体" w:hAnsi="宋体" w:cs="宋体" w:eastAsia="宋体" w:hint="default"/>
        </w:rPr>
        <w:t>4</w:t>
      </w:r>
      <w:r>
        <w:rPr>
          <w:rFonts w:ascii="宋体" w:hAnsi="宋体" w:cs="宋体" w:eastAsia="宋体" w:hint="default"/>
          <w:spacing w:val="-48"/>
        </w:rPr>
        <w:t> </w:t>
      </w:r>
      <w:r>
        <w:rPr/>
        <w:t>日在上述媒体刊登了《公司关于股份回购实施结果暨股份</w:t>
      </w:r>
    </w:p>
    <w:p>
      <w:pPr>
        <w:pStyle w:val="BodyText"/>
        <w:spacing w:line="312" w:lineRule="exact"/>
        <w:ind w:left="138" w:right="0"/>
        <w:jc w:val="both"/>
        <w:rPr>
          <w:rFonts w:ascii="宋体" w:hAnsi="宋体" w:cs="宋体" w:eastAsia="宋体" w:hint="default"/>
        </w:rPr>
      </w:pPr>
      <w:r>
        <w:rPr/>
        <w:t>变动公告</w:t>
      </w:r>
      <w:r>
        <w:rPr>
          <w:spacing w:val="-116"/>
        </w:rPr>
        <w:t>》。</w:t>
      </w:r>
      <w:r>
        <w:rPr/>
        <w:t>本次股份回购自</w:t>
      </w:r>
      <w:r>
        <w:rPr>
          <w:spacing w:val="-60"/>
        </w:rPr>
        <w:t> </w:t>
      </w: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3</w:t>
      </w:r>
      <w:r>
        <w:rPr>
          <w:rFonts w:ascii="宋体" w:hAnsi="宋体" w:cs="宋体" w:eastAsia="宋体" w:hint="default"/>
          <w:spacing w:val="-60"/>
        </w:rPr>
        <w:t> </w:t>
      </w:r>
      <w:r>
        <w:rPr/>
        <w:t>日开始至</w:t>
      </w:r>
      <w:r>
        <w:rPr>
          <w:spacing w:val="-60"/>
        </w:rPr>
        <w:t> </w:t>
      </w: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w:t>
      </w:r>
      <w:r>
        <w:rPr>
          <w:spacing w:val="-60"/>
        </w:rPr>
        <w:t> </w:t>
      </w:r>
      <w:r>
        <w:rPr>
          <w:rFonts w:ascii="宋体" w:hAnsi="宋体" w:cs="宋体" w:eastAsia="宋体" w:hint="default"/>
        </w:rPr>
        <w:t>2</w:t>
      </w:r>
      <w:r>
        <w:rPr>
          <w:rFonts w:ascii="宋体" w:hAnsi="宋体" w:cs="宋体" w:eastAsia="宋体" w:hint="default"/>
          <w:spacing w:val="-60"/>
        </w:rPr>
        <w:t> </w:t>
      </w:r>
      <w:r>
        <w:rPr/>
        <w:t>日结束</w:t>
      </w:r>
      <w:r>
        <w:rPr>
          <w:spacing w:val="-116"/>
        </w:rPr>
        <w:t>。</w:t>
      </w:r>
      <w:r>
        <w:rPr/>
        <w:t>截至</w:t>
      </w:r>
      <w:r>
        <w:rPr>
          <w:spacing w:val="-60"/>
        </w:rPr>
        <w:t> </w:t>
      </w:r>
      <w:r>
        <w:rPr>
          <w:rFonts w:ascii="宋体" w:hAnsi="宋体" w:cs="宋体" w:eastAsia="宋体" w:hint="default"/>
        </w:rPr>
        <w:t>2019</w:t>
      </w:r>
    </w:p>
    <w:p>
      <w:pPr>
        <w:pStyle w:val="BodyText"/>
        <w:spacing w:line="311" w:lineRule="exact"/>
        <w:ind w:left="138" w:right="0"/>
        <w:jc w:val="both"/>
      </w:pPr>
      <w:r>
        <w:rPr/>
        <w:t>年</w:t>
      </w:r>
      <w:r>
        <w:rPr>
          <w:spacing w:val="-49"/>
        </w:rPr>
        <w:t> </w:t>
      </w:r>
      <w:r>
        <w:rPr>
          <w:rFonts w:ascii="宋体" w:hAnsi="宋体" w:cs="宋体" w:eastAsia="宋体" w:hint="default"/>
        </w:rPr>
        <w:t>7</w:t>
      </w:r>
      <w:r>
        <w:rPr>
          <w:rFonts w:ascii="宋体" w:hAnsi="宋体" w:cs="宋体" w:eastAsia="宋体" w:hint="default"/>
          <w:spacing w:val="-48"/>
        </w:rPr>
        <w:t> </w:t>
      </w:r>
      <w:r>
        <w:rPr/>
        <w:t>月</w:t>
      </w:r>
      <w:r>
        <w:rPr>
          <w:spacing w:val="-48"/>
        </w:rPr>
        <w:t> </w:t>
      </w:r>
      <w:r>
        <w:rPr>
          <w:rFonts w:ascii="宋体" w:hAnsi="宋体" w:cs="宋体" w:eastAsia="宋体" w:hint="default"/>
        </w:rPr>
        <w:t>2</w:t>
      </w:r>
      <w:r>
        <w:rPr>
          <w:rFonts w:ascii="宋体" w:hAnsi="宋体" w:cs="宋体" w:eastAsia="宋体" w:hint="default"/>
          <w:spacing w:val="-48"/>
        </w:rPr>
        <w:t> </w:t>
      </w:r>
      <w:r>
        <w:rPr/>
        <w:t>日止，本次股份回购实际购买公司股票</w:t>
      </w:r>
      <w:r>
        <w:rPr>
          <w:spacing w:val="-47"/>
        </w:rPr>
        <w:t> </w:t>
      </w:r>
      <w:r>
        <w:rPr>
          <w:rFonts w:ascii="宋体" w:hAnsi="宋体" w:cs="宋体" w:eastAsia="宋体" w:hint="default"/>
        </w:rPr>
        <w:t>19,186,721</w:t>
      </w:r>
      <w:r>
        <w:rPr>
          <w:rFonts w:ascii="宋体" w:hAnsi="宋体" w:cs="宋体" w:eastAsia="宋体" w:hint="default"/>
          <w:spacing w:val="-48"/>
        </w:rPr>
        <w:t> </w:t>
      </w:r>
      <w:r>
        <w:rPr/>
        <w:t>股，占公司股本总额的</w:t>
      </w:r>
    </w:p>
    <w:p>
      <w:pPr>
        <w:pStyle w:val="BodyText"/>
        <w:spacing w:line="312" w:lineRule="exact"/>
        <w:ind w:left="138" w:right="0"/>
        <w:jc w:val="both"/>
        <w:rPr>
          <w:rFonts w:ascii="宋体" w:hAnsi="宋体" w:cs="宋体" w:eastAsia="宋体" w:hint="default"/>
        </w:rPr>
      </w:pPr>
      <w:r>
        <w:rPr>
          <w:rFonts w:ascii="宋体" w:hAnsi="宋体" w:cs="宋体" w:eastAsia="宋体" w:hint="default"/>
        </w:rPr>
        <w:t>0.023%</w:t>
      </w:r>
      <w:r>
        <w:rPr/>
        <w:t>，实际使用资金总额为</w:t>
      </w:r>
      <w:r>
        <w:rPr>
          <w:spacing w:val="-61"/>
        </w:rPr>
        <w:t> </w:t>
      </w:r>
      <w:r>
        <w:rPr>
          <w:rFonts w:ascii="宋体" w:hAnsi="宋体" w:cs="宋体" w:eastAsia="宋体" w:hint="default"/>
        </w:rPr>
        <w:t>469,077,017.85</w:t>
      </w:r>
      <w:r>
        <w:rPr>
          <w:rFonts w:ascii="宋体" w:hAnsi="宋体" w:cs="宋体" w:eastAsia="宋体" w:hint="default"/>
          <w:spacing w:val="-61"/>
        </w:rPr>
        <w:t> </w:t>
      </w:r>
      <w:r>
        <w:rPr/>
        <w:t>元（含各种交易费用）。</w:t>
      </w:r>
      <w:r>
        <w:rPr>
          <w:rFonts w:ascii="宋体" w:hAnsi="宋体" w:cs="宋体" w:eastAsia="宋体" w:hint="default"/>
        </w:rPr>
        <w:t> </w:t>
      </w:r>
    </w:p>
    <w:p>
      <w:pPr>
        <w:spacing w:line="240" w:lineRule="auto" w:before="11"/>
        <w:rPr>
          <w:rFonts w:ascii="宋体" w:hAnsi="宋体" w:cs="宋体" w:eastAsia="宋体" w:hint="default"/>
          <w:sz w:val="26"/>
          <w:szCs w:val="26"/>
        </w:rPr>
      </w:pPr>
    </w:p>
    <w:p>
      <w:pPr>
        <w:pStyle w:val="Heading2"/>
        <w:spacing w:line="313" w:lineRule="exact"/>
        <w:ind w:left="138" w:right="0"/>
        <w:jc w:val="both"/>
        <w:rPr>
          <w:b w:val="0"/>
          <w:bCs w:val="0"/>
        </w:rPr>
      </w:pPr>
      <w:r>
        <w:rPr>
          <w:rFonts w:ascii="宋体" w:hAnsi="宋体" w:cs="宋体" w:eastAsia="宋体" w:hint="default"/>
        </w:rPr>
        <w:t>3</w:t>
      </w:r>
      <w:r>
        <w:rPr/>
        <w:t>、</w:t>
      </w:r>
      <w:r>
        <w:rPr>
          <w:spacing w:val="-87"/>
        </w:rPr>
        <w:t> </w:t>
      </w:r>
      <w:r>
        <w:rPr/>
        <w:t>普通股股份变动对最近一年和最近一期每股收益、每股净资产等财务指标的影响</w:t>
      </w:r>
      <w:r>
        <w:rPr>
          <w:b w:val="0"/>
          <w:bCs w:val="0"/>
        </w:rPr>
      </w:r>
    </w:p>
    <w:p>
      <w:pPr>
        <w:pStyle w:val="Heading2"/>
        <w:spacing w:line="313" w:lineRule="exact"/>
        <w:ind w:left="138" w:right="0"/>
        <w:jc w:val="both"/>
        <w:rPr>
          <w:rFonts w:ascii="宋体" w:hAnsi="宋体" w:cs="宋体" w:eastAsia="宋体" w:hint="default"/>
          <w:b w:val="0"/>
          <w:bCs w:val="0"/>
        </w:rPr>
      </w:pPr>
      <w:r>
        <w:rPr/>
        <w:t>（如有）</w:t>
      </w:r>
      <w:r>
        <w:rPr>
          <w:rFonts w:ascii="宋体" w:hAnsi="宋体" w:cs="宋体" w:eastAsia="宋体" w:hint="default"/>
          <w:w w:val="99"/>
        </w:rPr>
        <w:t> </w:t>
      </w:r>
      <w:r>
        <w:rPr>
          <w:rFonts w:ascii="宋体" w:hAnsi="宋体" w:cs="宋体" w:eastAsia="宋体" w:hint="default"/>
          <w:b w:val="0"/>
          <w:bCs w:val="0"/>
        </w:rPr>
      </w:r>
    </w:p>
    <w:p>
      <w:pPr>
        <w:pStyle w:val="BodyText"/>
        <w:spacing w:line="322" w:lineRule="exact" w:before="56"/>
        <w:ind w:left="13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pStyle w:val="BodyText"/>
        <w:spacing w:line="312" w:lineRule="exact" w:before="20"/>
        <w:ind w:left="138" w:right="289" w:firstLine="479"/>
        <w:jc w:val="left"/>
      </w:pPr>
      <w:r>
        <w:rPr/>
        <w:t>详见“第二节 公司简介和主要财务指标”中的“七、近三年主要会计数据和财 务指标”中的“</w:t>
      </w: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t>主要财务指标”。</w:t>
      </w:r>
    </w:p>
    <w:p>
      <w:pPr>
        <w:spacing w:line="240" w:lineRule="auto" w:before="2"/>
        <w:rPr>
          <w:rFonts w:ascii="宋体" w:hAnsi="宋体" w:cs="宋体" w:eastAsia="宋体" w:hint="default"/>
          <w:sz w:val="23"/>
          <w:szCs w:val="23"/>
        </w:rPr>
      </w:pPr>
    </w:p>
    <w:p>
      <w:pPr>
        <w:pStyle w:val="Heading2"/>
        <w:spacing w:line="240" w:lineRule="auto"/>
        <w:ind w:left="138" w:right="0"/>
        <w:jc w:val="both"/>
        <w:rPr>
          <w:rFonts w:ascii="宋体" w:hAnsi="宋体" w:cs="宋体" w:eastAsia="宋体" w:hint="default"/>
          <w:b w:val="0"/>
          <w:bCs w:val="0"/>
        </w:rPr>
      </w:pPr>
      <w:r>
        <w:rPr>
          <w:rFonts w:ascii="宋体" w:hAnsi="宋体" w:cs="宋体" w:eastAsia="宋体" w:hint="default"/>
        </w:rPr>
        <w:t>4</w:t>
      </w:r>
      <w:r>
        <w:rPr/>
        <w:t>、</w:t>
      </w:r>
      <w:r>
        <w:rPr>
          <w:spacing w:val="-64"/>
        </w:rPr>
        <w:t> </w:t>
      </w:r>
      <w:r>
        <w:rPr/>
        <w:t>公司认为必要或证券监管机构要求披露的其他内容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both"/>
      </w:pPr>
      <w:r>
        <w:rPr>
          <w:rFonts w:ascii="Times New Roman" w:hAnsi="Times New Roman" w:cs="Times New Roman" w:eastAsia="Times New Roman" w:hint="default"/>
        </w:rPr>
        <w:t>□</w:t>
      </w:r>
      <w:r>
        <w:rPr/>
        <w:t>适用</w:t>
      </w:r>
      <w:r>
        <w:rPr>
          <w:spacing w:val="118"/>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138" w:right="0"/>
        <w:jc w:val="both"/>
        <w:rPr>
          <w:b w:val="0"/>
          <w:bCs w:val="0"/>
        </w:rPr>
      </w:pPr>
      <w:r>
        <w:rPr>
          <w:rFonts w:ascii="Calibri" w:hAnsi="Calibri" w:cs="Calibri" w:eastAsia="Calibri" w:hint="default"/>
        </w:rPr>
        <w:t>(</w:t>
      </w:r>
      <w:r>
        <w:rPr/>
        <w:t>二</w:t>
      </w:r>
      <w:r>
        <w:rPr>
          <w:rFonts w:ascii="Calibri" w:hAnsi="Calibri" w:cs="Calibri" w:eastAsia="Calibri" w:hint="default"/>
        </w:rPr>
        <w:t>)  </w:t>
      </w:r>
      <w:r>
        <w:rPr>
          <w:rFonts w:ascii="Calibri" w:hAnsi="Calibri" w:cs="Calibri" w:eastAsia="Calibri" w:hint="default"/>
          <w:spacing w:val="10"/>
        </w:rPr>
        <w:t> </w:t>
      </w:r>
      <w:r>
        <w:rPr/>
        <w:t>限售股份变动情况</w:t>
      </w:r>
      <w:r>
        <w:rPr>
          <w:b w:val="0"/>
          <w:bCs w:val="0"/>
        </w:rPr>
      </w:r>
    </w:p>
    <w:p>
      <w:pPr>
        <w:pStyle w:val="BodyText"/>
        <w:spacing w:line="322" w:lineRule="exact" w:before="25"/>
        <w:ind w:left="138" w:right="0"/>
        <w:jc w:val="both"/>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pStyle w:val="BodyText"/>
        <w:spacing w:line="303" w:lineRule="exact"/>
        <w:ind w:left="618" w:right="0"/>
        <w:jc w:val="left"/>
      </w:pPr>
      <w:r>
        <w:rPr/>
        <w:t>公司于</w:t>
      </w:r>
      <w:r>
        <w:rPr>
          <w:spacing w:val="-89"/>
        </w:rPr>
        <w:t> </w:t>
      </w:r>
      <w:r>
        <w:rPr>
          <w:rFonts w:ascii="宋体" w:hAnsi="宋体" w:cs="宋体" w:eastAsia="宋体" w:hint="default"/>
        </w:rPr>
        <w:t>2018</w:t>
      </w:r>
      <w:r>
        <w:rPr>
          <w:rFonts w:ascii="宋体" w:hAnsi="宋体" w:cs="宋体" w:eastAsia="宋体" w:hint="default"/>
          <w:spacing w:val="-89"/>
        </w:rPr>
        <w:t> </w:t>
      </w:r>
      <w:r>
        <w:rPr/>
        <w:t>年</w:t>
      </w:r>
      <w:r>
        <w:rPr>
          <w:spacing w:val="-89"/>
        </w:rPr>
        <w:t> </w:t>
      </w:r>
      <w:r>
        <w:rPr>
          <w:rFonts w:ascii="宋体" w:hAnsi="宋体" w:cs="宋体" w:eastAsia="宋体" w:hint="default"/>
          <w:spacing w:val="2"/>
        </w:rPr>
        <w:t>1</w:t>
      </w:r>
      <w:r>
        <w:rPr>
          <w:rFonts w:ascii="宋体" w:hAnsi="宋体" w:cs="宋体" w:eastAsia="宋体" w:hint="default"/>
        </w:rPr>
        <w:t>2</w:t>
      </w:r>
      <w:r>
        <w:rPr>
          <w:rFonts w:ascii="宋体" w:hAnsi="宋体" w:cs="宋体" w:eastAsia="宋体" w:hint="default"/>
          <w:spacing w:val="-89"/>
        </w:rPr>
        <w:t> </w:t>
      </w:r>
      <w:r>
        <w:rPr/>
        <w:t>月</w:t>
      </w:r>
      <w:r>
        <w:rPr>
          <w:spacing w:val="-89"/>
        </w:rPr>
        <w:t> </w:t>
      </w:r>
      <w:r>
        <w:rPr>
          <w:rFonts w:ascii="宋体" w:hAnsi="宋体" w:cs="宋体" w:eastAsia="宋体" w:hint="default"/>
        </w:rPr>
        <w:t>29</w:t>
      </w:r>
      <w:r>
        <w:rPr>
          <w:rFonts w:ascii="宋体" w:hAnsi="宋体" w:cs="宋体" w:eastAsia="宋体" w:hint="default"/>
          <w:spacing w:val="-87"/>
        </w:rPr>
        <w:t> </w:t>
      </w:r>
      <w:r>
        <w:rPr/>
        <w:t>日披露</w:t>
      </w:r>
      <w:r>
        <w:rPr>
          <w:spacing w:val="-120"/>
        </w:rPr>
        <w:t>了</w:t>
      </w:r>
      <w:r>
        <w:rPr/>
        <w:t>《公司关于注销已回购的股权激励股份的公告</w:t>
      </w:r>
      <w:r>
        <w:rPr>
          <w:spacing w:val="-120"/>
        </w:rPr>
        <w:t>》</w:t>
      </w:r>
      <w:r>
        <w:rPr/>
        <w:t>，</w:t>
      </w:r>
    </w:p>
    <w:p>
      <w:pPr>
        <w:pStyle w:val="BodyText"/>
        <w:spacing w:line="312" w:lineRule="exact"/>
        <w:ind w:left="138" w:right="0"/>
        <w:jc w:val="both"/>
      </w:pPr>
      <w:r>
        <w:rPr/>
        <w:t>公司于</w:t>
      </w:r>
      <w:r>
        <w:rPr>
          <w:spacing w:val="-61"/>
        </w:rPr>
        <w:t> </w:t>
      </w:r>
      <w:r>
        <w:rPr>
          <w:rFonts w:ascii="宋体" w:hAnsi="宋体" w:cs="宋体" w:eastAsia="宋体" w:hint="default"/>
        </w:rPr>
        <w:t>2019</w:t>
      </w:r>
      <w:r>
        <w:rPr>
          <w:rFonts w:ascii="宋体" w:hAnsi="宋体" w:cs="宋体" w:eastAsia="宋体" w:hint="default"/>
          <w:spacing w:val="-61"/>
        </w:rPr>
        <w:t> </w:t>
      </w:r>
      <w:r>
        <w:rPr/>
        <w:t>年</w:t>
      </w:r>
      <w:r>
        <w:rPr>
          <w:spacing w:val="-61"/>
        </w:rPr>
        <w:t> </w:t>
      </w:r>
      <w:r>
        <w:rPr>
          <w:rFonts w:ascii="宋体" w:hAnsi="宋体" w:cs="宋体" w:eastAsia="宋体" w:hint="default"/>
        </w:rPr>
        <w:t>1</w:t>
      </w:r>
      <w:r>
        <w:rPr>
          <w:rFonts w:ascii="宋体" w:hAnsi="宋体" w:cs="宋体" w:eastAsia="宋体" w:hint="default"/>
          <w:spacing w:val="-61"/>
        </w:rPr>
        <w:t> </w:t>
      </w:r>
      <w:r>
        <w:rPr/>
        <w:t>月</w:t>
      </w:r>
      <w:r>
        <w:rPr>
          <w:spacing w:val="-61"/>
        </w:rPr>
        <w:t> </w:t>
      </w:r>
      <w:r>
        <w:rPr>
          <w:rFonts w:ascii="宋体" w:hAnsi="宋体" w:cs="宋体" w:eastAsia="宋体" w:hint="default"/>
        </w:rPr>
        <w:t>2</w:t>
      </w:r>
      <w:r>
        <w:rPr>
          <w:rFonts w:ascii="宋体" w:hAnsi="宋体" w:cs="宋体" w:eastAsia="宋体" w:hint="default"/>
          <w:spacing w:val="-61"/>
        </w:rPr>
        <w:t> </w:t>
      </w:r>
      <w:r>
        <w:rPr/>
        <w:t>日合计注销了</w:t>
      </w:r>
      <w:r>
        <w:rPr>
          <w:spacing w:val="-61"/>
        </w:rPr>
        <w:t> </w:t>
      </w:r>
      <w:r>
        <w:rPr>
          <w:rFonts w:ascii="宋体" w:hAnsi="宋体" w:cs="宋体" w:eastAsia="宋体" w:hint="default"/>
        </w:rPr>
        <w:t>350,859</w:t>
      </w:r>
      <w:r>
        <w:rPr>
          <w:rFonts w:ascii="宋体" w:hAnsi="宋体" w:cs="宋体" w:eastAsia="宋体" w:hint="default"/>
          <w:spacing w:val="-61"/>
        </w:rPr>
        <w:t> </w:t>
      </w:r>
      <w:r>
        <w:rPr/>
        <w:t>股限制性股票。本次注销完成后，公司</w:t>
      </w:r>
    </w:p>
    <w:p>
      <w:pPr>
        <w:pStyle w:val="BodyText"/>
        <w:spacing w:line="311" w:lineRule="exact"/>
        <w:ind w:left="138" w:right="0"/>
        <w:jc w:val="both"/>
        <w:rPr>
          <w:rFonts w:ascii="宋体" w:hAnsi="宋体" w:cs="宋体" w:eastAsia="宋体" w:hint="default"/>
        </w:rPr>
      </w:pPr>
      <w:r>
        <w:rPr/>
        <w:t>限售股变为</w:t>
      </w:r>
      <w:r>
        <w:rPr>
          <w:spacing w:val="-61"/>
        </w:rPr>
        <w:t> </w:t>
      </w:r>
      <w:r>
        <w:rPr>
          <w:rFonts w:ascii="宋体" w:hAnsi="宋体" w:cs="宋体" w:eastAsia="宋体" w:hint="default"/>
        </w:rPr>
        <w:t>15,757,998</w:t>
      </w:r>
      <w:r>
        <w:rPr>
          <w:rFonts w:ascii="宋体" w:hAnsi="宋体" w:cs="宋体" w:eastAsia="宋体" w:hint="default"/>
          <w:spacing w:val="-61"/>
        </w:rPr>
        <w:t> </w:t>
      </w:r>
      <w:r>
        <w:rPr/>
        <w:t>股。</w:t>
      </w:r>
      <w:r>
        <w:rPr>
          <w:rFonts w:ascii="宋体" w:hAnsi="宋体" w:cs="宋体" w:eastAsia="宋体" w:hint="default"/>
        </w:rPr>
        <w:t> </w:t>
      </w:r>
    </w:p>
    <w:p>
      <w:pPr>
        <w:pStyle w:val="BodyText"/>
        <w:spacing w:line="311" w:lineRule="exact"/>
        <w:ind w:left="618" w:right="0"/>
        <w:jc w:val="left"/>
        <w:rPr>
          <w:rFonts w:ascii="宋体" w:hAnsi="宋体" w:cs="宋体" w:eastAsia="宋体" w:hint="default"/>
        </w:rPr>
      </w:pPr>
      <w:r>
        <w:rPr/>
        <w:t>公司于</w:t>
      </w:r>
      <w:r>
        <w:rPr>
          <w:spacing w:val="-46"/>
        </w:rPr>
        <w:t> </w:t>
      </w:r>
      <w:r>
        <w:rPr>
          <w:rFonts w:ascii="宋体" w:hAnsi="宋体" w:cs="宋体" w:eastAsia="宋体" w:hint="default"/>
        </w:rPr>
        <w:t>2019</w:t>
      </w:r>
      <w:r>
        <w:rPr>
          <w:rFonts w:ascii="宋体" w:hAnsi="宋体" w:cs="宋体" w:eastAsia="宋体" w:hint="default"/>
          <w:spacing w:val="-46"/>
        </w:rPr>
        <w:t> </w:t>
      </w:r>
      <w:r>
        <w:rPr/>
        <w:t>年</w:t>
      </w:r>
      <w:r>
        <w:rPr>
          <w:spacing w:val="-45"/>
        </w:rPr>
        <w:t> </w:t>
      </w:r>
      <w:r>
        <w:rPr>
          <w:rFonts w:ascii="宋体" w:hAnsi="宋体" w:cs="宋体" w:eastAsia="宋体" w:hint="default"/>
        </w:rPr>
        <w:t>4</w:t>
      </w:r>
      <w:r>
        <w:rPr>
          <w:rFonts w:ascii="宋体" w:hAnsi="宋体" w:cs="宋体" w:eastAsia="宋体" w:hint="default"/>
          <w:spacing w:val="-46"/>
        </w:rPr>
        <w:t> </w:t>
      </w:r>
      <w:r>
        <w:rPr/>
        <w:t>月</w:t>
      </w:r>
      <w:r>
        <w:rPr>
          <w:spacing w:val="-46"/>
        </w:rPr>
        <w:t> </w:t>
      </w:r>
      <w:r>
        <w:rPr>
          <w:rFonts w:ascii="宋体" w:hAnsi="宋体" w:cs="宋体" w:eastAsia="宋体" w:hint="default"/>
        </w:rPr>
        <w:t>8</w:t>
      </w:r>
      <w:r>
        <w:rPr>
          <w:rFonts w:ascii="宋体" w:hAnsi="宋体" w:cs="宋体" w:eastAsia="宋体" w:hint="default"/>
          <w:spacing w:val="-44"/>
        </w:rPr>
        <w:t> </w:t>
      </w:r>
      <w:r>
        <w:rPr/>
        <w:t>日召开了</w:t>
      </w:r>
      <w:r>
        <w:rPr>
          <w:spacing w:val="-46"/>
        </w:rPr>
        <w:t> </w:t>
      </w:r>
      <w:r>
        <w:rPr>
          <w:rFonts w:ascii="宋体" w:hAnsi="宋体" w:cs="宋体" w:eastAsia="宋体" w:hint="default"/>
        </w:rPr>
        <w:t>2018</w:t>
      </w:r>
      <w:r>
        <w:rPr>
          <w:rFonts w:ascii="宋体" w:hAnsi="宋体" w:cs="宋体" w:eastAsia="宋体" w:hint="default"/>
          <w:spacing w:val="-46"/>
        </w:rPr>
        <w:t> </w:t>
      </w:r>
      <w:r>
        <w:rPr/>
        <w:t>年年度股东大会，审议通过了《公司</w:t>
      </w:r>
      <w:r>
        <w:rPr>
          <w:spacing w:val="-46"/>
        </w:rPr>
        <w:t> </w:t>
      </w:r>
      <w:r>
        <w:rPr>
          <w:rFonts w:ascii="宋体" w:hAnsi="宋体" w:cs="宋体" w:eastAsia="宋体" w:hint="default"/>
        </w:rPr>
        <w:t>2018</w:t>
      </w:r>
    </w:p>
    <w:p>
      <w:pPr>
        <w:pStyle w:val="BodyText"/>
        <w:spacing w:line="237" w:lineRule="auto" w:before="1"/>
        <w:ind w:left="138" w:right="232"/>
        <w:jc w:val="both"/>
      </w:pPr>
      <w:r>
        <w:rPr/>
        <w:t>年度利润分配方案》和《公司 </w:t>
      </w:r>
      <w:r>
        <w:rPr>
          <w:rFonts w:ascii="宋体" w:hAnsi="宋体" w:cs="宋体" w:eastAsia="宋体" w:hint="default"/>
        </w:rPr>
        <w:t>2018</w:t>
      </w:r>
      <w:r>
        <w:rPr>
          <w:rFonts w:ascii="宋体" w:hAnsi="宋体" w:cs="宋体" w:eastAsia="宋体" w:hint="default"/>
          <w:spacing w:val="-48"/>
        </w:rPr>
        <w:t> </w:t>
      </w:r>
      <w:r>
        <w:rPr/>
        <w:t>年度资本公积金转增股本方案》。公司本次利润 </w:t>
      </w:r>
      <w:r>
        <w:rPr>
          <w:spacing w:val="4"/>
        </w:rPr>
        <w:t>分配及转增股本以利润分配实施公告确定的股权登记日的总股本，扣除回购的股份</w:t>
      </w:r>
      <w:r>
        <w:rPr>
          <w:spacing w:val="-105"/>
        </w:rPr>
        <w:t> </w:t>
      </w:r>
      <w:r>
        <w:rPr>
          <w:spacing w:val="-105"/>
        </w:rPr>
      </w:r>
      <w:r>
        <w:rPr>
          <w:rFonts w:ascii="宋体" w:hAnsi="宋体" w:cs="宋体" w:eastAsia="宋体" w:hint="default"/>
        </w:rPr>
        <w:t>19,829,791</w:t>
      </w:r>
      <w:r>
        <w:rPr>
          <w:rFonts w:ascii="宋体" w:hAnsi="宋体" w:cs="宋体" w:eastAsia="宋体" w:hint="default"/>
          <w:spacing w:val="-59"/>
        </w:rPr>
        <w:t> </w:t>
      </w:r>
      <w:r>
        <w:rPr>
          <w:spacing w:val="-15"/>
        </w:rPr>
        <w:t>股，即以</w:t>
      </w:r>
      <w:r>
        <w:rPr>
          <w:spacing w:val="-58"/>
        </w:rPr>
        <w:t> </w:t>
      </w:r>
      <w:r>
        <w:rPr>
          <w:rFonts w:ascii="宋体" w:hAnsi="宋体" w:cs="宋体" w:eastAsia="宋体" w:hint="default"/>
        </w:rPr>
        <w:t>1,897,652,142</w:t>
      </w:r>
      <w:r>
        <w:rPr>
          <w:rFonts w:ascii="宋体" w:hAnsi="宋体" w:cs="宋体" w:eastAsia="宋体" w:hint="default"/>
          <w:spacing w:val="-58"/>
        </w:rPr>
        <w:t> </w:t>
      </w:r>
      <w:r>
        <w:rPr>
          <w:spacing w:val="-5"/>
        </w:rPr>
        <w:t>股为基数，每股派发现金红利</w:t>
      </w:r>
      <w:r>
        <w:rPr>
          <w:spacing w:val="-58"/>
        </w:rPr>
        <w:t> </w:t>
      </w:r>
      <w:r>
        <w:rPr>
          <w:rFonts w:ascii="宋体" w:hAnsi="宋体" w:cs="宋体" w:eastAsia="宋体" w:hint="default"/>
        </w:rPr>
        <w:t>0.25</w:t>
      </w:r>
      <w:r>
        <w:rPr>
          <w:rFonts w:ascii="宋体" w:hAnsi="宋体" w:cs="宋体" w:eastAsia="宋体" w:hint="default"/>
          <w:spacing w:val="-58"/>
        </w:rPr>
        <w:t> </w:t>
      </w:r>
      <w:r>
        <w:rPr>
          <w:spacing w:val="-20"/>
        </w:rPr>
        <w:t>元（含税），</w:t>
      </w:r>
    </w:p>
    <w:p>
      <w:pPr>
        <w:pStyle w:val="BodyText"/>
        <w:spacing w:line="312" w:lineRule="exact" w:before="29"/>
        <w:ind w:left="138" w:right="217"/>
        <w:jc w:val="left"/>
        <w:rPr>
          <w:rFonts w:ascii="宋体" w:hAnsi="宋体" w:cs="宋体" w:eastAsia="宋体" w:hint="default"/>
        </w:rPr>
      </w:pPr>
      <w:r>
        <w:rPr>
          <w:spacing w:val="-9"/>
        </w:rPr>
        <w:t>以资本公积转增股本，每股转增</w:t>
      </w:r>
      <w:r>
        <w:rPr>
          <w:spacing w:val="-55"/>
        </w:rPr>
        <w:t> </w:t>
      </w:r>
      <w:r>
        <w:rPr>
          <w:rFonts w:ascii="宋体" w:hAnsi="宋体" w:cs="宋体" w:eastAsia="宋体" w:hint="default"/>
        </w:rPr>
        <w:t>0.3</w:t>
      </w:r>
      <w:r>
        <w:rPr>
          <w:rFonts w:ascii="宋体" w:hAnsi="宋体" w:cs="宋体" w:eastAsia="宋体" w:hint="default"/>
          <w:spacing w:val="-55"/>
        </w:rPr>
        <w:t> </w:t>
      </w:r>
      <w:r>
        <w:rPr>
          <w:spacing w:val="-14"/>
        </w:rPr>
        <w:t>股。本次转增完成后，公司限售股变为</w:t>
      </w:r>
      <w:r>
        <w:rPr>
          <w:spacing w:val="-55"/>
        </w:rPr>
        <w:t> </w:t>
      </w:r>
      <w:r>
        <w:rPr>
          <w:rFonts w:ascii="宋体" w:hAnsi="宋体" w:cs="宋体" w:eastAsia="宋体" w:hint="default"/>
        </w:rPr>
        <w:t>20,292,476 </w:t>
      </w:r>
      <w:r>
        <w:rPr/>
        <w:t>股。</w:t>
      </w:r>
      <w:r>
        <w:rPr>
          <w:rFonts w:ascii="宋体" w:hAnsi="宋体" w:cs="宋体" w:eastAsia="宋体" w:hint="default"/>
        </w:rPr>
        <w:t> </w:t>
      </w:r>
    </w:p>
    <w:p>
      <w:pPr>
        <w:pStyle w:val="BodyText"/>
        <w:spacing w:line="280" w:lineRule="exact"/>
        <w:ind w:left="618" w:right="0"/>
        <w:jc w:val="left"/>
      </w:pPr>
      <w:r>
        <w:rPr/>
        <w:t>公司于</w:t>
      </w:r>
      <w:r>
        <w:rPr>
          <w:spacing w:val="-48"/>
        </w:rPr>
        <w:t> </w:t>
      </w:r>
      <w:r>
        <w:rPr>
          <w:rFonts w:ascii="宋体" w:hAnsi="宋体" w:cs="宋体" w:eastAsia="宋体" w:hint="default"/>
        </w:rPr>
        <w:t>2019</w:t>
      </w:r>
      <w:r>
        <w:rPr>
          <w:rFonts w:ascii="宋体" w:hAnsi="宋体" w:cs="宋体" w:eastAsia="宋体" w:hint="default"/>
          <w:spacing w:val="-48"/>
        </w:rPr>
        <w:t> </w:t>
      </w:r>
      <w:r>
        <w:rPr/>
        <w:t>年</w:t>
      </w:r>
      <w:r>
        <w:rPr>
          <w:spacing w:val="-48"/>
        </w:rPr>
        <w:t> </w:t>
      </w:r>
      <w:r>
        <w:rPr>
          <w:rFonts w:ascii="宋体" w:hAnsi="宋体" w:cs="宋体" w:eastAsia="宋体" w:hint="default"/>
        </w:rPr>
        <w:t>5</w:t>
      </w:r>
      <w:r>
        <w:rPr>
          <w:rFonts w:ascii="宋体" w:hAnsi="宋体" w:cs="宋体" w:eastAsia="宋体" w:hint="default"/>
          <w:spacing w:val="-48"/>
        </w:rPr>
        <w:t> </w:t>
      </w:r>
      <w:r>
        <w:rPr/>
        <w:t>月</w:t>
      </w:r>
      <w:r>
        <w:rPr>
          <w:spacing w:val="-48"/>
        </w:rPr>
        <w:t> </w:t>
      </w:r>
      <w:r>
        <w:rPr>
          <w:rFonts w:ascii="宋体" w:hAnsi="宋体" w:cs="宋体" w:eastAsia="宋体" w:hint="default"/>
        </w:rPr>
        <w:t>15</w:t>
      </w:r>
      <w:r>
        <w:rPr>
          <w:rFonts w:ascii="宋体" w:hAnsi="宋体" w:cs="宋体" w:eastAsia="宋体" w:hint="default"/>
          <w:spacing w:val="-48"/>
        </w:rPr>
        <w:t> </w:t>
      </w:r>
      <w:r>
        <w:rPr/>
        <w:t>日披露《公司关于注销已回购的股权激励股份的公告》，</w:t>
      </w:r>
    </w:p>
    <w:p>
      <w:pPr>
        <w:pStyle w:val="BodyText"/>
        <w:spacing w:line="312" w:lineRule="exact" w:before="29"/>
        <w:ind w:left="138" w:right="0"/>
        <w:jc w:val="left"/>
        <w:rPr>
          <w:rFonts w:ascii="宋体" w:hAnsi="宋体" w:cs="宋体" w:eastAsia="宋体" w:hint="default"/>
        </w:rPr>
      </w:pPr>
      <w:r>
        <w:rPr>
          <w:spacing w:val="22"/>
        </w:rPr>
        <w:t>公司合计注销了</w:t>
      </w:r>
      <w:r>
        <w:rPr>
          <w:spacing w:val="31"/>
        </w:rPr>
        <w:t> </w:t>
      </w:r>
      <w:r>
        <w:rPr>
          <w:rFonts w:ascii="宋体" w:hAnsi="宋体" w:cs="宋体" w:eastAsia="宋体" w:hint="default"/>
        </w:rPr>
        <w:t>643,000</w:t>
      </w:r>
      <w:r>
        <w:rPr>
          <w:rFonts w:ascii="宋体" w:hAnsi="宋体" w:cs="宋体" w:eastAsia="宋体" w:hint="default"/>
          <w:spacing w:val="31"/>
        </w:rPr>
        <w:t> </w:t>
      </w:r>
      <w:r>
        <w:rPr>
          <w:spacing w:val="23"/>
        </w:rPr>
        <w:t>股限制性股票。</w:t>
      </w:r>
      <w:r>
        <w:rPr>
          <w:spacing w:val="-92"/>
        </w:rPr>
        <w:t> </w:t>
      </w:r>
      <w:r>
        <w:rPr>
          <w:spacing w:val="23"/>
        </w:rPr>
        <w:t>本次注销完成后，</w:t>
      </w:r>
      <w:r>
        <w:rPr>
          <w:spacing w:val="-92"/>
        </w:rPr>
        <w:t> </w:t>
      </w:r>
      <w:r>
        <w:rPr>
          <w:spacing w:val="23"/>
        </w:rPr>
        <w:t>公司限售股变为</w:t>
      </w:r>
      <w:r>
        <w:rPr>
          <w:spacing w:val="-94"/>
        </w:rPr>
        <w:t> </w:t>
      </w:r>
      <w:r>
        <w:rPr>
          <w:rFonts w:ascii="宋体" w:hAnsi="宋体" w:cs="宋体" w:eastAsia="宋体" w:hint="default"/>
        </w:rPr>
        <w:t>19,649,476</w:t>
      </w:r>
      <w:r>
        <w:rPr>
          <w:rFonts w:ascii="宋体" w:hAnsi="宋体" w:cs="宋体" w:eastAsia="宋体" w:hint="default"/>
          <w:spacing w:val="-61"/>
        </w:rPr>
        <w:t> </w:t>
      </w:r>
      <w:r>
        <w:rPr/>
        <w:t>股。</w:t>
      </w:r>
      <w:r>
        <w:rPr>
          <w:rFonts w:ascii="宋体" w:hAnsi="宋体" w:cs="宋体" w:eastAsia="宋体" w:hint="default"/>
        </w:rPr>
        <w:t> </w:t>
      </w:r>
    </w:p>
    <w:p>
      <w:pPr>
        <w:pStyle w:val="BodyText"/>
        <w:spacing w:line="280" w:lineRule="exact"/>
        <w:ind w:left="618" w:right="0"/>
        <w:jc w:val="left"/>
      </w:pPr>
      <w:r>
        <w:rPr/>
        <w:t>公司于</w:t>
      </w:r>
      <w:r>
        <w:rPr>
          <w:spacing w:val="-68"/>
        </w:rPr>
        <w:t> </w:t>
      </w:r>
      <w:r>
        <w:rPr>
          <w:rFonts w:ascii="宋体" w:hAnsi="宋体" w:cs="宋体" w:eastAsia="宋体" w:hint="default"/>
        </w:rPr>
        <w:t>2019</w:t>
      </w:r>
      <w:r>
        <w:rPr>
          <w:rFonts w:ascii="宋体" w:hAnsi="宋体" w:cs="宋体" w:eastAsia="宋体" w:hint="default"/>
          <w:spacing w:val="-68"/>
        </w:rPr>
        <w:t> </w:t>
      </w:r>
      <w:r>
        <w:rPr/>
        <w:t>年</w:t>
      </w:r>
      <w:r>
        <w:rPr>
          <w:spacing w:val="-68"/>
        </w:rPr>
        <w:t> </w:t>
      </w:r>
      <w:r>
        <w:rPr>
          <w:rFonts w:ascii="宋体" w:hAnsi="宋体" w:cs="宋体" w:eastAsia="宋体" w:hint="default"/>
        </w:rPr>
        <w:t>7</w:t>
      </w:r>
      <w:r>
        <w:rPr>
          <w:rFonts w:ascii="宋体" w:hAnsi="宋体" w:cs="宋体" w:eastAsia="宋体" w:hint="default"/>
          <w:spacing w:val="-68"/>
        </w:rPr>
        <w:t> </w:t>
      </w:r>
      <w:r>
        <w:rPr/>
        <w:t>月</w:t>
      </w:r>
      <w:r>
        <w:rPr>
          <w:spacing w:val="-68"/>
        </w:rPr>
        <w:t> </w:t>
      </w:r>
      <w:r>
        <w:rPr>
          <w:rFonts w:ascii="宋体" w:hAnsi="宋体" w:cs="宋体" w:eastAsia="宋体" w:hint="default"/>
        </w:rPr>
        <w:t>30</w:t>
      </w:r>
      <w:r>
        <w:rPr>
          <w:rFonts w:ascii="宋体" w:hAnsi="宋体" w:cs="宋体" w:eastAsia="宋体" w:hint="default"/>
          <w:spacing w:val="-68"/>
        </w:rPr>
        <w:t> </w:t>
      </w:r>
      <w:r>
        <w:rPr/>
        <w:t>日披露了《公司关于股权激励计划限制性股票解锁暨上市</w:t>
      </w:r>
    </w:p>
    <w:p>
      <w:pPr>
        <w:pStyle w:val="BodyText"/>
        <w:spacing w:line="312" w:lineRule="exact"/>
        <w:ind w:left="138" w:right="0"/>
        <w:jc w:val="both"/>
      </w:pPr>
      <w:r>
        <w:rPr/>
        <w:t>公告》，本次解锁的限制性股票上市流通数量为</w:t>
      </w:r>
      <w:r>
        <w:rPr>
          <w:spacing w:val="-84"/>
        </w:rPr>
        <w:t> </w:t>
      </w:r>
      <w:r>
        <w:rPr>
          <w:rFonts w:ascii="宋体" w:hAnsi="宋体" w:cs="宋体" w:eastAsia="宋体" w:hint="default"/>
        </w:rPr>
        <w:t>8,930,125</w:t>
      </w:r>
      <w:r>
        <w:rPr>
          <w:rFonts w:ascii="宋体" w:hAnsi="宋体" w:cs="宋体" w:eastAsia="宋体" w:hint="default"/>
          <w:spacing w:val="-85"/>
        </w:rPr>
        <w:t> </w:t>
      </w:r>
      <w:r>
        <w:rPr/>
        <w:t>股性股票。本次解锁完成</w:t>
      </w:r>
    </w:p>
    <w:p>
      <w:pPr>
        <w:pStyle w:val="BodyText"/>
        <w:spacing w:line="311" w:lineRule="exact"/>
        <w:ind w:left="138" w:right="0"/>
        <w:jc w:val="both"/>
        <w:rPr>
          <w:rFonts w:ascii="宋体" w:hAnsi="宋体" w:cs="宋体" w:eastAsia="宋体" w:hint="default"/>
        </w:rPr>
      </w:pPr>
      <w:r>
        <w:rPr/>
        <w:t>后，公司限售股变为</w:t>
      </w:r>
      <w:r>
        <w:rPr>
          <w:spacing w:val="-61"/>
        </w:rPr>
        <w:t> </w:t>
      </w:r>
      <w:r>
        <w:rPr>
          <w:rFonts w:ascii="宋体" w:hAnsi="宋体" w:cs="宋体" w:eastAsia="宋体" w:hint="default"/>
        </w:rPr>
        <w:t>10,719,351</w:t>
      </w:r>
      <w:r>
        <w:rPr>
          <w:rFonts w:ascii="宋体" w:hAnsi="宋体" w:cs="宋体" w:eastAsia="宋体" w:hint="default"/>
          <w:spacing w:val="-61"/>
        </w:rPr>
        <w:t> </w:t>
      </w:r>
      <w:r>
        <w:rPr/>
        <w:t>股。</w:t>
      </w:r>
      <w:r>
        <w:rPr>
          <w:rFonts w:ascii="宋体" w:hAnsi="宋体" w:cs="宋体" w:eastAsia="宋体" w:hint="default"/>
        </w:rPr>
        <w:t> </w:t>
      </w:r>
    </w:p>
    <w:p>
      <w:pPr>
        <w:pStyle w:val="BodyText"/>
        <w:spacing w:line="311" w:lineRule="exact"/>
        <w:ind w:left="618" w:right="0"/>
        <w:jc w:val="left"/>
      </w:pPr>
      <w:r>
        <w:rPr/>
        <w:t>公司于</w:t>
      </w:r>
      <w:r>
        <w:rPr>
          <w:spacing w:val="-69"/>
        </w:rPr>
        <w:t> </w:t>
      </w:r>
      <w:r>
        <w:rPr>
          <w:rFonts w:ascii="宋体" w:hAnsi="宋体" w:cs="宋体" w:eastAsia="宋体" w:hint="default"/>
        </w:rPr>
        <w:t>2019</w:t>
      </w:r>
      <w:r>
        <w:rPr>
          <w:rFonts w:ascii="宋体" w:hAnsi="宋体" w:cs="宋体" w:eastAsia="宋体" w:hint="default"/>
          <w:spacing w:val="-69"/>
        </w:rPr>
        <w:t> </w:t>
      </w:r>
      <w:r>
        <w:rPr/>
        <w:t>年</w:t>
      </w:r>
      <w:r>
        <w:rPr>
          <w:spacing w:val="-69"/>
        </w:rPr>
        <w:t> </w:t>
      </w:r>
      <w:r>
        <w:rPr>
          <w:rFonts w:ascii="宋体" w:hAnsi="宋体" w:cs="宋体" w:eastAsia="宋体" w:hint="default"/>
        </w:rPr>
        <w:t>9</w:t>
      </w:r>
      <w:r>
        <w:rPr>
          <w:rFonts w:ascii="宋体" w:hAnsi="宋体" w:cs="宋体" w:eastAsia="宋体" w:hint="default"/>
          <w:spacing w:val="-69"/>
        </w:rPr>
        <w:t> </w:t>
      </w:r>
      <w:r>
        <w:rPr/>
        <w:t>月</w:t>
      </w:r>
      <w:r>
        <w:rPr>
          <w:spacing w:val="-69"/>
        </w:rPr>
        <w:t> </w:t>
      </w:r>
      <w:r>
        <w:rPr>
          <w:rFonts w:ascii="宋体" w:hAnsi="宋体" w:cs="宋体" w:eastAsia="宋体" w:hint="default"/>
        </w:rPr>
        <w:t>10</w:t>
      </w:r>
      <w:r>
        <w:rPr>
          <w:rFonts w:ascii="宋体" w:hAnsi="宋体" w:cs="宋体" w:eastAsia="宋体" w:hint="default"/>
          <w:spacing w:val="-69"/>
        </w:rPr>
        <w:t> </w:t>
      </w:r>
      <w:r>
        <w:rPr/>
        <w:t>日披露了《公司关于注销已回购股份的公告》，注销了已</w:t>
      </w:r>
    </w:p>
    <w:p>
      <w:pPr>
        <w:pStyle w:val="BodyText"/>
        <w:spacing w:line="312" w:lineRule="exact"/>
        <w:ind w:left="138" w:right="0"/>
        <w:jc w:val="both"/>
        <w:rPr>
          <w:rFonts w:ascii="宋体" w:hAnsi="宋体" w:cs="宋体" w:eastAsia="宋体" w:hint="default"/>
        </w:rPr>
      </w:pPr>
      <w:r>
        <w:rPr/>
        <w:t>回购未授予的</w:t>
      </w:r>
      <w:r>
        <w:rPr>
          <w:spacing w:val="-61"/>
        </w:rPr>
        <w:t> </w:t>
      </w:r>
      <w:r>
        <w:rPr>
          <w:rFonts w:ascii="宋体" w:hAnsi="宋体" w:cs="宋体" w:eastAsia="宋体" w:hint="default"/>
        </w:rPr>
        <w:t>70</w:t>
      </w:r>
      <w:r>
        <w:rPr>
          <w:rFonts w:ascii="宋体" w:hAnsi="宋体" w:cs="宋体" w:eastAsia="宋体" w:hint="default"/>
          <w:spacing w:val="-60"/>
        </w:rPr>
        <w:t> </w:t>
      </w:r>
      <w:r>
        <w:rPr/>
        <w:t>股限制性</w:t>
      </w:r>
      <w:r>
        <w:rPr>
          <w:spacing w:val="2"/>
        </w:rPr>
        <w:t>股票</w:t>
      </w:r>
      <w:r>
        <w:rPr>
          <w:spacing w:val="3"/>
        </w:rPr>
        <w:t>。</w:t>
      </w:r>
      <w:r>
        <w:rPr>
          <w:spacing w:val="2"/>
        </w:rPr>
        <w:t>本次注销完成后，公司限售股变</w:t>
      </w:r>
      <w:r>
        <w:rPr/>
        <w:t>为</w:t>
      </w:r>
      <w:r>
        <w:rPr>
          <w:spacing w:val="-58"/>
        </w:rPr>
        <w:t> </w:t>
      </w:r>
      <w:r>
        <w:rPr>
          <w:rFonts w:ascii="宋体" w:hAnsi="宋体" w:cs="宋体" w:eastAsia="宋体" w:hint="default"/>
          <w:spacing w:val="2"/>
        </w:rPr>
        <w:t>10,71</w:t>
      </w:r>
      <w:r>
        <w:rPr>
          <w:rFonts w:ascii="宋体" w:hAnsi="宋体" w:cs="宋体" w:eastAsia="宋体" w:hint="default"/>
          <w:spacing w:val="3"/>
        </w:rPr>
        <w:t>9</w:t>
      </w:r>
      <w:r>
        <w:rPr>
          <w:rFonts w:ascii="宋体" w:hAnsi="宋体" w:cs="宋体" w:eastAsia="宋体" w:hint="default"/>
          <w:spacing w:val="2"/>
        </w:rPr>
        <w:t>,28</w:t>
      </w:r>
      <w:r>
        <w:rPr>
          <w:rFonts w:ascii="宋体" w:hAnsi="宋体" w:cs="宋体" w:eastAsia="宋体" w:hint="default"/>
        </w:rPr>
        <w:t>1</w:t>
      </w:r>
      <w:r>
        <w:rPr>
          <w:rFonts w:ascii="宋体" w:hAnsi="宋体" w:cs="宋体" w:eastAsia="宋体" w:hint="default"/>
          <w:spacing w:val="-58"/>
        </w:rPr>
        <w:t> </w:t>
      </w:r>
      <w:r>
        <w:rPr>
          <w:spacing w:val="2"/>
        </w:rPr>
        <w:t>股</w:t>
      </w:r>
      <w:r>
        <w:rPr>
          <w:spacing w:val="-118"/>
        </w:rPr>
        <w:t>。</w:t>
      </w:r>
      <w:r>
        <w:rPr>
          <w:rFonts w:ascii="宋体" w:hAnsi="宋体" w:cs="宋体" w:eastAsia="宋体" w:hint="default"/>
        </w:rPr>
        <w:t> </w:t>
      </w:r>
    </w:p>
    <w:p>
      <w:pPr>
        <w:pStyle w:val="BodyText"/>
        <w:spacing w:line="312" w:lineRule="exact"/>
        <w:ind w:left="618" w:right="0"/>
        <w:jc w:val="left"/>
      </w:pPr>
      <w:r>
        <w:rPr/>
        <w:t>公司于</w:t>
      </w:r>
      <w:r>
        <w:rPr>
          <w:spacing w:val="-60"/>
        </w:rPr>
        <w:t> </w:t>
      </w: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23</w:t>
      </w:r>
      <w:r>
        <w:rPr>
          <w:rFonts w:ascii="宋体" w:hAnsi="宋体" w:cs="宋体" w:eastAsia="宋体" w:hint="default"/>
          <w:spacing w:val="-60"/>
        </w:rPr>
        <w:t> </w:t>
      </w:r>
      <w:r>
        <w:rPr>
          <w:spacing w:val="-6"/>
        </w:rPr>
        <w:t>日披露了《公司关于</w:t>
      </w:r>
      <w:r>
        <w:rPr>
          <w:spacing w:val="-60"/>
        </w:rPr>
        <w:t> </w:t>
      </w:r>
      <w:r>
        <w:rPr>
          <w:rFonts w:ascii="宋体" w:hAnsi="宋体" w:cs="宋体" w:eastAsia="宋体" w:hint="default"/>
        </w:rPr>
        <w:t>2019</w:t>
      </w:r>
      <w:r>
        <w:rPr>
          <w:rFonts w:ascii="宋体" w:hAnsi="宋体" w:cs="宋体" w:eastAsia="宋体" w:hint="default"/>
          <w:spacing w:val="-60"/>
        </w:rPr>
        <w:t> </w:t>
      </w:r>
      <w:r>
        <w:rPr/>
        <w:t>年限制性股票激励计划权益授</w:t>
      </w:r>
    </w:p>
    <w:p>
      <w:pPr>
        <w:pStyle w:val="BodyText"/>
        <w:spacing w:line="311" w:lineRule="exact"/>
        <w:ind w:left="138" w:right="0"/>
        <w:jc w:val="both"/>
      </w:pPr>
      <w:r>
        <w:rPr/>
        <w:t>予的进展公告》，授予</w:t>
      </w:r>
      <w:r>
        <w:rPr>
          <w:spacing w:val="-42"/>
        </w:rPr>
        <w:t> </w:t>
      </w:r>
      <w:r>
        <w:rPr>
          <w:rFonts w:ascii="宋体" w:hAnsi="宋体" w:cs="宋体" w:eastAsia="宋体" w:hint="default"/>
        </w:rPr>
        <w:t>150</w:t>
      </w:r>
      <w:r>
        <w:rPr>
          <w:rFonts w:ascii="宋体" w:hAnsi="宋体" w:cs="宋体" w:eastAsia="宋体" w:hint="default"/>
          <w:spacing w:val="-42"/>
        </w:rPr>
        <w:t> </w:t>
      </w:r>
      <w:r>
        <w:rPr/>
        <w:t>名激励对象的</w:t>
      </w:r>
      <w:r>
        <w:rPr>
          <w:spacing w:val="-42"/>
        </w:rPr>
        <w:t> </w:t>
      </w:r>
      <w:r>
        <w:rPr>
          <w:rFonts w:ascii="宋体" w:hAnsi="宋体" w:cs="宋体" w:eastAsia="宋体" w:hint="default"/>
        </w:rPr>
        <w:t>70.606</w:t>
      </w:r>
      <w:r>
        <w:rPr>
          <w:rFonts w:ascii="宋体" w:hAnsi="宋体" w:cs="宋体" w:eastAsia="宋体" w:hint="default"/>
          <w:spacing w:val="-42"/>
        </w:rPr>
        <w:t> </w:t>
      </w:r>
      <w:r>
        <w:rPr/>
        <w:t>万股限制性股票由无限售条件流通</w:t>
      </w:r>
    </w:p>
    <w:p>
      <w:pPr>
        <w:pStyle w:val="BodyText"/>
        <w:spacing w:line="311" w:lineRule="exact"/>
        <w:ind w:left="138" w:right="0"/>
        <w:jc w:val="both"/>
        <w:rPr>
          <w:rFonts w:ascii="宋体" w:hAnsi="宋体" w:cs="宋体" w:eastAsia="宋体" w:hint="default"/>
        </w:rPr>
      </w:pPr>
      <w:r>
        <w:rPr/>
        <w:t>股变更为有限售条件流通股。本次授予完成后，公司限售股变为</w:t>
      </w:r>
      <w:r>
        <w:rPr>
          <w:spacing w:val="-60"/>
        </w:rPr>
        <w:t> </w:t>
      </w:r>
      <w:r>
        <w:rPr>
          <w:rFonts w:ascii="宋体" w:hAnsi="宋体" w:cs="宋体" w:eastAsia="宋体" w:hint="default"/>
        </w:rPr>
        <w:t>11,425,341</w:t>
      </w:r>
      <w:r>
        <w:rPr>
          <w:rFonts w:ascii="宋体" w:hAnsi="宋体" w:cs="宋体" w:eastAsia="宋体" w:hint="default"/>
          <w:spacing w:val="-60"/>
        </w:rPr>
        <w:t> </w:t>
      </w:r>
      <w:r>
        <w:rPr/>
        <w:t>股。</w:t>
      </w:r>
      <w:r>
        <w:rPr>
          <w:rFonts w:ascii="宋体" w:hAnsi="宋体" w:cs="宋体" w:eastAsia="宋体" w:hint="default"/>
        </w:rPr>
        <w:t> </w:t>
      </w:r>
    </w:p>
    <w:p>
      <w:pPr>
        <w:pStyle w:val="BodyText"/>
        <w:spacing w:line="312" w:lineRule="exact"/>
        <w:ind w:left="618" w:right="0"/>
        <w:jc w:val="left"/>
      </w:pPr>
      <w:r>
        <w:rPr/>
        <w:t>公司于</w:t>
      </w:r>
      <w:r>
        <w:rPr>
          <w:spacing w:val="-68"/>
        </w:rPr>
        <w:t> </w:t>
      </w:r>
      <w:r>
        <w:rPr>
          <w:rFonts w:ascii="宋体" w:hAnsi="宋体" w:cs="宋体" w:eastAsia="宋体" w:hint="default"/>
        </w:rPr>
        <w:t>2019</w:t>
      </w:r>
      <w:r>
        <w:rPr>
          <w:rFonts w:ascii="宋体" w:hAnsi="宋体" w:cs="宋体" w:eastAsia="宋体" w:hint="default"/>
          <w:spacing w:val="-68"/>
        </w:rPr>
        <w:t> </w:t>
      </w:r>
      <w:r>
        <w:rPr/>
        <w:t>年</w:t>
      </w:r>
      <w:r>
        <w:rPr>
          <w:spacing w:val="-68"/>
        </w:rPr>
        <w:t> </w:t>
      </w:r>
      <w:r>
        <w:rPr>
          <w:rFonts w:ascii="宋体" w:hAnsi="宋体" w:cs="宋体" w:eastAsia="宋体" w:hint="default"/>
        </w:rPr>
        <w:t>11</w:t>
      </w:r>
      <w:r>
        <w:rPr>
          <w:rFonts w:ascii="宋体" w:hAnsi="宋体" w:cs="宋体" w:eastAsia="宋体" w:hint="default"/>
          <w:spacing w:val="-68"/>
        </w:rPr>
        <w:t> </w:t>
      </w:r>
      <w:r>
        <w:rPr/>
        <w:t>月</w:t>
      </w:r>
      <w:r>
        <w:rPr>
          <w:spacing w:val="-68"/>
        </w:rPr>
        <w:t> </w:t>
      </w:r>
      <w:r>
        <w:rPr>
          <w:rFonts w:ascii="宋体" w:hAnsi="宋体" w:cs="宋体" w:eastAsia="宋体" w:hint="default"/>
        </w:rPr>
        <w:t>6</w:t>
      </w:r>
      <w:r>
        <w:rPr>
          <w:rFonts w:ascii="宋体" w:hAnsi="宋体" w:cs="宋体" w:eastAsia="宋体" w:hint="default"/>
          <w:spacing w:val="-68"/>
        </w:rPr>
        <w:t> </w:t>
      </w:r>
      <w:r>
        <w:rPr/>
        <w:t>日披露了《公司关于股权激励计划限制性股票解锁暨上市</w:t>
      </w:r>
    </w:p>
    <w:p>
      <w:pPr>
        <w:pStyle w:val="BodyText"/>
        <w:spacing w:line="311" w:lineRule="exact"/>
        <w:ind w:left="138" w:right="0"/>
        <w:jc w:val="both"/>
      </w:pPr>
      <w:r>
        <w:rPr>
          <w:spacing w:val="-10"/>
        </w:rPr>
        <w:t>公告》，本次解锁的限制性股票上市流通数量为 </w:t>
      </w:r>
      <w:r>
        <w:rPr>
          <w:rFonts w:ascii="宋体" w:hAnsi="宋体" w:cs="宋体" w:eastAsia="宋体" w:hint="default"/>
        </w:rPr>
        <w:t>200,383</w:t>
      </w:r>
      <w:r>
        <w:rPr>
          <w:rFonts w:ascii="宋体" w:hAnsi="宋体" w:cs="宋体" w:eastAsia="宋体" w:hint="default"/>
          <w:spacing w:val="-84"/>
        </w:rPr>
        <w:t> </w:t>
      </w:r>
      <w:r>
        <w:rPr>
          <w:spacing w:val="-8"/>
        </w:rPr>
        <w:t>股性股票。本次解锁完成后，</w:t>
      </w:r>
    </w:p>
    <w:p>
      <w:pPr>
        <w:pStyle w:val="BodyText"/>
        <w:spacing w:line="312" w:lineRule="exact"/>
        <w:ind w:left="138" w:right="0"/>
        <w:jc w:val="both"/>
        <w:rPr>
          <w:rFonts w:ascii="宋体" w:hAnsi="宋体" w:cs="宋体" w:eastAsia="宋体" w:hint="default"/>
        </w:rPr>
      </w:pPr>
      <w:r>
        <w:rPr/>
        <w:t>公司限售股变为</w:t>
      </w:r>
      <w:r>
        <w:rPr>
          <w:spacing w:val="-61"/>
        </w:rPr>
        <w:t> </w:t>
      </w:r>
      <w:r>
        <w:rPr>
          <w:rFonts w:ascii="宋体" w:hAnsi="宋体" w:cs="宋体" w:eastAsia="宋体" w:hint="default"/>
        </w:rPr>
        <w:t>11,224,958</w:t>
      </w:r>
      <w:r>
        <w:rPr>
          <w:rFonts w:ascii="宋体" w:hAnsi="宋体" w:cs="宋体" w:eastAsia="宋体" w:hint="default"/>
          <w:spacing w:val="-61"/>
        </w:rPr>
        <w:t> </w:t>
      </w:r>
      <w:r>
        <w:rPr/>
        <w:t>股。</w:t>
      </w:r>
      <w:r>
        <w:rPr>
          <w:rFonts w:ascii="宋体" w:hAnsi="宋体" w:cs="宋体" w:eastAsia="宋体" w:hint="default"/>
        </w:rPr>
        <w:t> </w:t>
      </w:r>
    </w:p>
    <w:p>
      <w:pPr>
        <w:spacing w:after="0" w:line="312" w:lineRule="exact"/>
        <w:jc w:val="both"/>
        <w:rPr>
          <w:rFonts w:ascii="宋体" w:hAnsi="宋体" w:cs="宋体" w:eastAsia="宋体" w:hint="default"/>
        </w:rPr>
        <w:sectPr>
          <w:footerReference w:type="default" r:id="rId29"/>
          <w:pgSz w:w="11910" w:h="16840"/>
          <w:pgMar w:footer="1195" w:header="880" w:top="1120" w:bottom="1380" w:left="1660" w:right="1040"/>
          <w:pgNumType w:start="41"/>
        </w:sectPr>
      </w:pPr>
    </w:p>
    <w:p>
      <w:pPr>
        <w:spacing w:line="240" w:lineRule="auto" w:before="8"/>
        <w:rPr>
          <w:rFonts w:ascii="宋体" w:hAnsi="宋体" w:cs="宋体" w:eastAsia="宋体" w:hint="default"/>
          <w:sz w:val="25"/>
          <w:szCs w:val="25"/>
        </w:rPr>
      </w:pPr>
    </w:p>
    <w:p>
      <w:pPr>
        <w:pStyle w:val="BodyText"/>
        <w:spacing w:line="240" w:lineRule="auto" w:before="26"/>
        <w:ind w:left="218" w:right="0"/>
        <w:jc w:val="left"/>
        <w:rPr>
          <w:rFonts w:ascii="宋体" w:hAnsi="宋体" w:cs="宋体" w:eastAsia="宋体" w:hint="default"/>
        </w:rPr>
      </w:pPr>
      <w:r>
        <w:rPr>
          <w:rFonts w:ascii="宋体"/>
        </w:rPr>
        <w:t> </w:t>
      </w:r>
    </w:p>
    <w:p>
      <w:pPr>
        <w:pStyle w:val="Heading2"/>
        <w:tabs>
          <w:tab w:pos="1057" w:val="left" w:leader="none"/>
        </w:tabs>
        <w:spacing w:line="240" w:lineRule="auto" w:before="58"/>
        <w:ind w:left="218" w:right="0"/>
        <w:jc w:val="left"/>
        <w:rPr>
          <w:b w:val="0"/>
          <w:bCs w:val="0"/>
        </w:rPr>
      </w:pPr>
      <w:r>
        <w:rPr>
          <w:w w:val="95"/>
        </w:rPr>
        <w:t>二、</w:t>
      </w:r>
      <w:r>
        <w:rPr>
          <w:rFonts w:ascii="宋体" w:hAnsi="宋体" w:cs="宋体" w:eastAsia="宋体" w:hint="default"/>
          <w:w w:val="95"/>
        </w:rPr>
        <w:tab/>
      </w:r>
      <w:r>
        <w:rPr/>
        <w:t>证券发行与上市情况</w:t>
      </w:r>
      <w:r>
        <w:rPr>
          <w:b w:val="0"/>
          <w:bCs w:val="0"/>
        </w:rPr>
      </w:r>
    </w:p>
    <w:p>
      <w:pPr>
        <w:pStyle w:val="Heading2"/>
        <w:tabs>
          <w:tab w:pos="1057" w:val="left" w:leader="none"/>
        </w:tabs>
        <w:spacing w:line="240" w:lineRule="auto" w:before="58"/>
        <w:ind w:left="218" w:right="0"/>
        <w:jc w:val="left"/>
        <w:rPr>
          <w:b w:val="0"/>
          <w:bCs w:val="0"/>
        </w:rPr>
      </w:pPr>
      <w:r>
        <w:rPr>
          <w:rFonts w:ascii="宋体" w:hAnsi="宋体" w:cs="宋体" w:eastAsia="宋体" w:hint="default"/>
          <w:w w:val="95"/>
        </w:rPr>
        <w:t>(</w:t>
      </w:r>
      <w:r>
        <w:rPr>
          <w:w w:val="95"/>
        </w:rPr>
        <w:t>一</w:t>
      </w:r>
      <w:r>
        <w:rPr>
          <w:rFonts w:ascii="宋体" w:hAnsi="宋体" w:cs="宋体" w:eastAsia="宋体" w:hint="default"/>
          <w:w w:val="95"/>
        </w:rPr>
        <w:t>)</w:t>
        <w:tab/>
      </w:r>
      <w:r>
        <w:rPr/>
        <w:t>截至报告期内证券发行情况</w:t>
      </w:r>
      <w:r>
        <w:rPr>
          <w:b w:val="0"/>
          <w:bCs w:val="0"/>
        </w:rPr>
      </w:r>
    </w:p>
    <w:p>
      <w:pPr>
        <w:pStyle w:val="BodyText"/>
        <w:spacing w:line="312" w:lineRule="exact" w:before="86"/>
        <w:ind w:left="218" w:right="648"/>
        <w:jc w:val="left"/>
      </w:pPr>
      <w:r>
        <w:rPr>
          <w:rFonts w:ascii="Times New Roman" w:hAnsi="Times New Roman" w:cs="Times New Roman" w:eastAsia="Times New Roman" w:hint="default"/>
        </w:rPr>
        <w:t>□</w:t>
      </w:r>
      <w:r>
        <w:rPr/>
        <w:t>适用</w:t>
      </w:r>
      <w:r>
        <w:rPr>
          <w:spacing w:val="-1"/>
        </w:rPr>
        <w:t> </w:t>
      </w:r>
      <w:r>
        <w:rPr>
          <w:rFonts w:ascii="Times New Roman" w:hAnsi="Times New Roman" w:cs="Times New Roman" w:eastAsia="Times New Roman" w:hint="default"/>
        </w:rPr>
        <w:t>√</w:t>
      </w:r>
      <w:r>
        <w:rPr/>
        <w:t>不适用 截至报告期内证券发行情况的说明（存续期内利率不同的债券，请分别说明）：</w:t>
      </w:r>
    </w:p>
    <w:p>
      <w:pPr>
        <w:pStyle w:val="BodyText"/>
        <w:tabs>
          <w:tab w:pos="1081" w:val="left" w:leader="none"/>
        </w:tabs>
        <w:spacing w:line="302" w:lineRule="exact"/>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tabs>
          <w:tab w:pos="1057" w:val="left" w:leader="none"/>
        </w:tabs>
        <w:spacing w:line="240" w:lineRule="auto"/>
        <w:ind w:left="218" w:right="0"/>
        <w:jc w:val="left"/>
        <w:rPr>
          <w:b w:val="0"/>
          <w:bCs w:val="0"/>
        </w:rPr>
      </w:pPr>
      <w:r>
        <w:rPr>
          <w:rFonts w:ascii="宋体" w:hAnsi="宋体" w:cs="宋体" w:eastAsia="宋体" w:hint="default"/>
          <w:w w:val="95"/>
        </w:rPr>
        <w:t>(</w:t>
      </w:r>
      <w:r>
        <w:rPr>
          <w:w w:val="95"/>
        </w:rPr>
        <w:t>二</w:t>
      </w:r>
      <w:r>
        <w:rPr>
          <w:rFonts w:ascii="宋体" w:hAnsi="宋体" w:cs="宋体" w:eastAsia="宋体" w:hint="default"/>
          <w:w w:val="95"/>
        </w:rPr>
        <w:t>)</w:t>
        <w:tab/>
      </w:r>
      <w:r>
        <w:rPr/>
        <w:t>公司普通股股份总数及股东结构变动及公司资产和负债结构的变动情况</w:t>
      </w:r>
      <w:r>
        <w:rPr>
          <w:b w:val="0"/>
          <w:bCs w:val="0"/>
        </w:rPr>
      </w:r>
    </w:p>
    <w:p>
      <w:pPr>
        <w:pStyle w:val="BodyText"/>
        <w:tabs>
          <w:tab w:pos="1069" w:val="left" w:leader="none"/>
        </w:tabs>
        <w:spacing w:line="322" w:lineRule="exact" w:before="55"/>
        <w:ind w:left="21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pStyle w:val="BodyText"/>
        <w:spacing w:line="312" w:lineRule="exact" w:before="20"/>
        <w:ind w:left="218" w:right="0" w:firstLine="479"/>
        <w:jc w:val="left"/>
      </w:pPr>
      <w:r>
        <w:rPr/>
        <w:t>详见“第六节</w:t>
      </w:r>
      <w:r>
        <w:rPr>
          <w:spacing w:val="58"/>
        </w:rPr>
        <w:t> </w:t>
      </w:r>
      <w:r>
        <w:rPr/>
        <w:t>普通股股份变动及股东情况”中“一、普通股股本变动情况”中</w:t>
      </w:r>
      <w:r>
        <w:rPr/>
        <w:t> “（一）普通股股份变动情况表”。</w:t>
      </w:r>
    </w:p>
    <w:p>
      <w:pPr>
        <w:spacing w:line="240" w:lineRule="auto" w:before="3"/>
        <w:rPr>
          <w:rFonts w:ascii="宋体" w:hAnsi="宋体" w:cs="宋体" w:eastAsia="宋体" w:hint="default"/>
          <w:sz w:val="23"/>
          <w:szCs w:val="23"/>
        </w:rPr>
      </w:pPr>
    </w:p>
    <w:p>
      <w:pPr>
        <w:pStyle w:val="Heading2"/>
        <w:tabs>
          <w:tab w:pos="1057" w:val="left" w:leader="none"/>
        </w:tabs>
        <w:spacing w:line="240" w:lineRule="auto"/>
        <w:ind w:left="218" w:right="0"/>
        <w:jc w:val="left"/>
        <w:rPr>
          <w:b w:val="0"/>
          <w:bCs w:val="0"/>
        </w:rPr>
      </w:pPr>
      <w:r>
        <w:rPr>
          <w:rFonts w:ascii="宋体" w:hAnsi="宋体" w:cs="宋体" w:eastAsia="宋体" w:hint="default"/>
          <w:w w:val="95"/>
        </w:rPr>
        <w:t>(</w:t>
      </w:r>
      <w:r>
        <w:rPr>
          <w:w w:val="95"/>
        </w:rPr>
        <w:t>三</w:t>
      </w:r>
      <w:r>
        <w:rPr>
          <w:rFonts w:ascii="宋体" w:hAnsi="宋体" w:cs="宋体" w:eastAsia="宋体" w:hint="default"/>
          <w:w w:val="95"/>
        </w:rPr>
        <w:t>)</w:t>
        <w:tab/>
      </w:r>
      <w:r>
        <w:rPr/>
        <w:t>现存的内部职工股情况</w:t>
      </w:r>
      <w:r>
        <w:rPr>
          <w:b w:val="0"/>
          <w:bCs w:val="0"/>
        </w:rPr>
      </w:r>
    </w:p>
    <w:p>
      <w:pPr>
        <w:pStyle w:val="BodyText"/>
        <w:spacing w:line="240" w:lineRule="auto" w:before="58"/>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tabs>
          <w:tab w:pos="1057" w:val="left" w:leader="none"/>
        </w:tabs>
        <w:spacing w:line="240" w:lineRule="auto"/>
        <w:ind w:left="218" w:right="0"/>
        <w:jc w:val="left"/>
        <w:rPr>
          <w:b w:val="0"/>
          <w:bCs w:val="0"/>
        </w:rPr>
      </w:pPr>
      <w:r>
        <w:rPr>
          <w:w w:val="95"/>
        </w:rPr>
        <w:t>三、</w:t>
      </w:r>
      <w:r>
        <w:rPr>
          <w:rFonts w:ascii="宋体" w:hAnsi="宋体" w:cs="宋体" w:eastAsia="宋体" w:hint="default"/>
          <w:w w:val="95"/>
        </w:rPr>
        <w:tab/>
      </w:r>
      <w:r>
        <w:rPr/>
        <w:t>股东情况</w:t>
      </w:r>
      <w:r>
        <w:rPr>
          <w:b w:val="0"/>
          <w:bCs w:val="0"/>
        </w:rPr>
      </w:r>
    </w:p>
    <w:p>
      <w:pPr>
        <w:pStyle w:val="Heading2"/>
        <w:spacing w:line="240" w:lineRule="auto" w:before="55"/>
        <w:ind w:left="218"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19"/>
        </w:rPr>
        <w:t> </w:t>
      </w:r>
      <w:r>
        <w:rPr/>
        <w:t>股东总数</w:t>
      </w:r>
      <w:r>
        <w:rPr>
          <w:b w:val="0"/>
          <w:bCs w:val="0"/>
        </w:rPr>
      </w:r>
    </w:p>
    <w:p>
      <w:pPr>
        <w:spacing w:line="240" w:lineRule="auto" w:before="2"/>
        <w:rPr>
          <w:rFonts w:ascii="宋体" w:hAnsi="宋体" w:cs="宋体" w:eastAsia="宋体" w:hint="default"/>
          <w:b/>
          <w:bCs/>
          <w:sz w:val="5"/>
          <w:szCs w:val="5"/>
        </w:rPr>
      </w:pPr>
    </w:p>
    <w:tbl>
      <w:tblPr>
        <w:tblW w:w="0" w:type="auto"/>
        <w:jc w:val="left"/>
        <w:tblInd w:w="105" w:type="dxa"/>
        <w:tblLayout w:type="fixed"/>
        <w:tblCellMar>
          <w:top w:w="0" w:type="dxa"/>
          <w:left w:w="0" w:type="dxa"/>
          <w:bottom w:w="0" w:type="dxa"/>
          <w:right w:w="0" w:type="dxa"/>
        </w:tblCellMar>
        <w:tblLook w:val="01E0"/>
      </w:tblPr>
      <w:tblGrid>
        <w:gridCol w:w="4525"/>
        <w:gridCol w:w="4525"/>
      </w:tblGrid>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截止报告期末普通股股东总数</w:t>
            </w:r>
            <w:r>
              <w:rPr>
                <w:rFonts w:ascii="Times New Roman" w:hAnsi="Times New Roman" w:cs="Times New Roman" w:eastAsia="Times New Roman" w:hint="default"/>
                <w:sz w:val="24"/>
                <w:szCs w:val="24"/>
              </w:rPr>
              <w:t>(</w:t>
            </w:r>
            <w:r>
              <w:rPr>
                <w:rFonts w:ascii="宋体" w:hAnsi="宋体" w:cs="宋体" w:eastAsia="宋体" w:hint="default"/>
                <w:sz w:val="24"/>
                <w:szCs w:val="24"/>
              </w:rPr>
              <w:t>户</w:t>
            </w:r>
            <w:r>
              <w:rPr>
                <w:rFonts w:ascii="Times New Roman" w:hAnsi="Times New Roman" w:cs="Times New Roman" w:eastAsia="Times New Roman" w:hint="default"/>
                <w:sz w:val="24"/>
                <w:szCs w:val="24"/>
              </w:rPr>
              <w:t>)</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100,144 </w:t>
            </w:r>
          </w:p>
        </w:tc>
      </w:tr>
      <w:tr>
        <w:trPr>
          <w:trHeight w:val="631"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4"/>
                <w:sz w:val="24"/>
                <w:szCs w:val="24"/>
              </w:rPr>
              <w:t>年度报告披露日前上一月末的普通股股</w:t>
            </w:r>
            <w:r>
              <w:rPr>
                <w:rFonts w:ascii="宋体" w:hAnsi="宋体" w:cs="宋体" w:eastAsia="宋体" w:hint="default"/>
                <w:sz w:val="24"/>
                <w:szCs w:val="24"/>
              </w:rPr>
            </w:r>
          </w:p>
          <w:p>
            <w:pPr>
              <w:pStyle w:val="TableParagraph"/>
              <w:spacing w:line="331"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东总数</w:t>
            </w:r>
            <w:r>
              <w:rPr>
                <w:rFonts w:ascii="Times New Roman" w:hAnsi="Times New Roman" w:cs="Times New Roman" w:eastAsia="Times New Roman" w:hint="default"/>
                <w:sz w:val="24"/>
                <w:szCs w:val="24"/>
              </w:rPr>
              <w:t>(</w:t>
            </w:r>
            <w:r>
              <w:rPr>
                <w:rFonts w:ascii="宋体" w:hAnsi="宋体" w:cs="宋体" w:eastAsia="宋体" w:hint="default"/>
                <w:sz w:val="24"/>
                <w:szCs w:val="24"/>
              </w:rPr>
              <w:t>户</w:t>
            </w:r>
            <w:r>
              <w:rPr>
                <w:rFonts w:ascii="Times New Roman" w:hAnsi="Times New Roman" w:cs="Times New Roman" w:eastAsia="Times New Roman" w:hint="default"/>
                <w:sz w:val="24"/>
                <w:szCs w:val="24"/>
              </w:rPr>
              <w:t>)</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75,488 </w:t>
            </w:r>
          </w:p>
        </w:tc>
      </w:tr>
      <w:tr>
        <w:trPr>
          <w:trHeight w:val="634"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14"/>
                <w:sz w:val="24"/>
                <w:szCs w:val="24"/>
              </w:rPr>
              <w:t>截止报告期末表决权恢复的优先股股东</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总数（户）</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 </w:t>
            </w:r>
          </w:p>
        </w:tc>
      </w:tr>
      <w:tr>
        <w:trPr>
          <w:trHeight w:val="634"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4"/>
                <w:sz w:val="24"/>
                <w:szCs w:val="24"/>
              </w:rPr>
              <w:t>年度报告披露日前上一月末表决权恢复</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的优先股股东总数（户）</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r>
    </w:tbl>
    <w:p>
      <w:pPr>
        <w:spacing w:line="240" w:lineRule="auto" w:before="8"/>
        <w:rPr>
          <w:rFonts w:ascii="宋体" w:hAnsi="宋体" w:cs="宋体" w:eastAsia="宋体" w:hint="default"/>
          <w:b/>
          <w:bCs/>
          <w:sz w:val="20"/>
          <w:szCs w:val="20"/>
        </w:rPr>
      </w:pPr>
    </w:p>
    <w:p>
      <w:pPr>
        <w:pStyle w:val="Heading2"/>
        <w:spacing w:line="240" w:lineRule="auto" w:before="26"/>
        <w:ind w:left="218"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23"/>
        </w:rPr>
        <w:t> </w:t>
      </w:r>
      <w:r>
        <w:rPr/>
        <w:t>截止报告期末前十名股东、前十名流通股东（或无限售条件股东）持股情况表</w:t>
      </w:r>
      <w:r>
        <w:rPr>
          <w:b w:val="0"/>
          <w:bCs w:val="0"/>
        </w:rPr>
      </w:r>
    </w:p>
    <w:p>
      <w:pPr>
        <w:pStyle w:val="BodyText"/>
        <w:spacing w:line="240" w:lineRule="auto" w:before="25"/>
        <w:ind w:left="0" w:right="232"/>
        <w:jc w:val="right"/>
      </w:pPr>
      <w:r>
        <w:rPr/>
        <w:t>单位</w:t>
      </w:r>
      <w:r>
        <w:rPr>
          <w:rFonts w:ascii="Times New Roman" w:hAnsi="Times New Roman" w:cs="Times New Roman" w:eastAsia="Times New Roman" w:hint="default"/>
        </w:rPr>
        <w:t>:</w:t>
      </w:r>
      <w:r>
        <w:rPr/>
        <w:t>股</w:t>
      </w:r>
    </w:p>
    <w:tbl>
      <w:tblPr>
        <w:tblW w:w="0" w:type="auto"/>
        <w:jc w:val="left"/>
        <w:tblInd w:w="105" w:type="dxa"/>
        <w:tblLayout w:type="fixed"/>
        <w:tblCellMar>
          <w:top w:w="0" w:type="dxa"/>
          <w:left w:w="0" w:type="dxa"/>
          <w:bottom w:w="0" w:type="dxa"/>
          <w:right w:w="0" w:type="dxa"/>
        </w:tblCellMar>
        <w:tblLook w:val="01E0"/>
      </w:tblPr>
      <w:tblGrid>
        <w:gridCol w:w="1272"/>
        <w:gridCol w:w="1417"/>
        <w:gridCol w:w="1418"/>
        <w:gridCol w:w="850"/>
        <w:gridCol w:w="852"/>
        <w:gridCol w:w="708"/>
        <w:gridCol w:w="1277"/>
        <w:gridCol w:w="1030"/>
      </w:tblGrid>
      <w:tr>
        <w:trPr>
          <w:trHeight w:val="242" w:hRule="exact"/>
        </w:trPr>
        <w:tc>
          <w:tcPr>
            <w:tcW w:w="8824" w:type="dxa"/>
            <w:gridSpan w:val="8"/>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7" w:right="0"/>
              <w:jc w:val="center"/>
              <w:rPr>
                <w:rFonts w:ascii="宋体" w:hAnsi="宋体" w:cs="宋体" w:eastAsia="宋体" w:hint="default"/>
                <w:sz w:val="18"/>
                <w:szCs w:val="18"/>
              </w:rPr>
            </w:pPr>
            <w:r>
              <w:rPr>
                <w:rFonts w:ascii="宋体" w:hAnsi="宋体" w:cs="宋体" w:eastAsia="宋体" w:hint="default"/>
                <w:sz w:val="18"/>
                <w:szCs w:val="18"/>
              </w:rPr>
              <w:t>前十名股东持股情况</w:t>
            </w:r>
            <w:r>
              <w:rPr>
                <w:rFonts w:ascii="宋体" w:hAnsi="宋体" w:cs="宋体" w:eastAsia="宋体" w:hint="default"/>
                <w:sz w:val="18"/>
                <w:szCs w:val="18"/>
              </w:rPr>
              <w:t> </w:t>
            </w:r>
          </w:p>
        </w:tc>
      </w:tr>
      <w:tr>
        <w:trPr>
          <w:trHeight w:val="245" w:hRule="exact"/>
        </w:trPr>
        <w:tc>
          <w:tcPr>
            <w:tcW w:w="1272"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34" w:lineRule="exact"/>
              <w:ind w:left="271" w:right="0"/>
              <w:jc w:val="left"/>
              <w:rPr>
                <w:rFonts w:ascii="宋体" w:hAnsi="宋体" w:cs="宋体" w:eastAsia="宋体" w:hint="default"/>
                <w:sz w:val="18"/>
                <w:szCs w:val="18"/>
              </w:rPr>
            </w:pPr>
            <w:r>
              <w:rPr>
                <w:rFonts w:ascii="宋体" w:hAnsi="宋体" w:cs="宋体" w:eastAsia="宋体" w:hint="default"/>
                <w:sz w:val="18"/>
                <w:szCs w:val="18"/>
              </w:rPr>
              <w:t>股东名称</w:t>
            </w:r>
            <w:r>
              <w:rPr>
                <w:rFonts w:ascii="宋体" w:hAnsi="宋体" w:cs="宋体" w:eastAsia="宋体" w:hint="default"/>
                <w:sz w:val="18"/>
                <w:szCs w:val="18"/>
              </w:rPr>
              <w:t> </w:t>
            </w:r>
          </w:p>
          <w:p>
            <w:pPr>
              <w:pStyle w:val="TableParagraph"/>
              <w:spacing w:line="234" w:lineRule="exact"/>
              <w:ind w:left="271" w:right="0"/>
              <w:jc w:val="left"/>
              <w:rPr>
                <w:rFonts w:ascii="宋体" w:hAnsi="宋体" w:cs="宋体" w:eastAsia="宋体" w:hint="default"/>
                <w:sz w:val="18"/>
                <w:szCs w:val="18"/>
              </w:rPr>
            </w:pPr>
            <w:r>
              <w:rPr>
                <w:rFonts w:ascii="宋体" w:hAnsi="宋体" w:cs="宋体" w:eastAsia="宋体" w:hint="default"/>
                <w:sz w:val="18"/>
                <w:szCs w:val="18"/>
              </w:rPr>
              <w:t>（全称）</w:t>
            </w:r>
            <w:r>
              <w:rPr>
                <w:rFonts w:ascii="宋体" w:hAnsi="宋体" w:cs="宋体" w:eastAsia="宋体" w:hint="default"/>
                <w:sz w:val="18"/>
                <w:szCs w:val="18"/>
              </w:rPr>
              <w:t> </w:t>
            </w: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60" w:right="0"/>
              <w:jc w:val="left"/>
              <w:rPr>
                <w:rFonts w:ascii="宋体" w:hAnsi="宋体" w:cs="宋体" w:eastAsia="宋体" w:hint="default"/>
                <w:sz w:val="18"/>
                <w:szCs w:val="18"/>
              </w:rPr>
            </w:pPr>
            <w:r>
              <w:rPr>
                <w:rFonts w:ascii="宋体" w:hAnsi="宋体" w:cs="宋体" w:eastAsia="宋体" w:hint="default"/>
                <w:sz w:val="18"/>
                <w:szCs w:val="18"/>
              </w:rPr>
              <w:t>报告期内增减</w:t>
            </w:r>
            <w:r>
              <w:rPr>
                <w:rFonts w:ascii="宋体" w:hAnsi="宋体" w:cs="宋体" w:eastAsia="宋体" w:hint="default"/>
                <w:sz w:val="18"/>
                <w:szCs w:val="18"/>
              </w:rPr>
              <w:t> </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期末持股数量</w:t>
            </w:r>
            <w:r>
              <w:rPr>
                <w:rFonts w:ascii="宋体" w:hAnsi="宋体" w:cs="宋体" w:eastAsia="宋体" w:hint="default"/>
                <w:sz w:val="18"/>
                <w:szCs w:val="18"/>
              </w:rPr>
              <w:t> </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 </w:t>
            </w:r>
          </w:p>
        </w:tc>
        <w:tc>
          <w:tcPr>
            <w:tcW w:w="852" w:type="dxa"/>
            <w:vMerge w:val="restart"/>
            <w:tcBorders>
              <w:top w:val="single" w:sz="4" w:space="0" w:color="000000"/>
              <w:left w:val="single" w:sz="4" w:space="0" w:color="000000"/>
              <w:right w:val="single" w:sz="4" w:space="0" w:color="000000"/>
            </w:tcBorders>
          </w:tcPr>
          <w:p>
            <w:pPr>
              <w:pStyle w:val="TableParagraph"/>
              <w:spacing w:line="206" w:lineRule="exact"/>
              <w:ind w:left="148" w:right="0"/>
              <w:jc w:val="both"/>
              <w:rPr>
                <w:rFonts w:ascii="宋体" w:hAnsi="宋体" w:cs="宋体" w:eastAsia="宋体" w:hint="default"/>
                <w:sz w:val="18"/>
                <w:szCs w:val="18"/>
              </w:rPr>
            </w:pPr>
            <w:r>
              <w:rPr>
                <w:rFonts w:ascii="宋体" w:hAnsi="宋体" w:cs="宋体" w:eastAsia="宋体" w:hint="default"/>
                <w:sz w:val="18"/>
                <w:szCs w:val="18"/>
              </w:rPr>
              <w:t>持有有</w:t>
            </w:r>
          </w:p>
          <w:p>
            <w:pPr>
              <w:pStyle w:val="TableParagraph"/>
              <w:spacing w:line="232" w:lineRule="exact" w:before="23"/>
              <w:ind w:left="148" w:right="150"/>
              <w:jc w:val="both"/>
              <w:rPr>
                <w:rFonts w:ascii="宋体" w:hAnsi="宋体" w:cs="宋体" w:eastAsia="宋体" w:hint="default"/>
                <w:sz w:val="18"/>
                <w:szCs w:val="18"/>
              </w:rPr>
            </w:pPr>
            <w:r>
              <w:rPr>
                <w:rFonts w:ascii="宋体" w:hAnsi="宋体" w:cs="宋体" w:eastAsia="宋体" w:hint="default"/>
                <w:sz w:val="18"/>
                <w:szCs w:val="18"/>
              </w:rPr>
              <w:t>限售条 件股份 数量</w:t>
            </w:r>
            <w:r>
              <w:rPr>
                <w:rFonts w:ascii="宋体" w:hAnsi="宋体" w:cs="宋体" w:eastAsia="宋体" w:hint="default"/>
                <w:sz w:val="18"/>
                <w:szCs w:val="18"/>
              </w:rPr>
              <w:t> </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355" w:right="0"/>
              <w:jc w:val="left"/>
              <w:rPr>
                <w:rFonts w:ascii="宋体" w:hAnsi="宋体" w:cs="宋体" w:eastAsia="宋体" w:hint="default"/>
                <w:sz w:val="18"/>
                <w:szCs w:val="18"/>
              </w:rPr>
            </w:pPr>
            <w:r>
              <w:rPr>
                <w:rFonts w:ascii="宋体" w:hAnsi="宋体" w:cs="宋体" w:eastAsia="宋体" w:hint="default"/>
                <w:sz w:val="18"/>
                <w:szCs w:val="18"/>
              </w:rPr>
              <w:t>质押或冻结情况</w:t>
            </w:r>
            <w:r>
              <w:rPr>
                <w:rFonts w:ascii="宋体" w:hAnsi="宋体" w:cs="宋体" w:eastAsia="宋体" w:hint="default"/>
                <w:sz w:val="18"/>
                <w:szCs w:val="18"/>
              </w:rPr>
              <w:t> </w:t>
            </w:r>
          </w:p>
        </w:tc>
        <w:tc>
          <w:tcPr>
            <w:tcW w:w="1030"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32" w:lineRule="exact"/>
              <w:ind w:left="328" w:right="239"/>
              <w:jc w:val="left"/>
              <w:rPr>
                <w:rFonts w:ascii="宋体" w:hAnsi="宋体" w:cs="宋体" w:eastAsia="宋体" w:hint="default"/>
                <w:sz w:val="18"/>
                <w:szCs w:val="18"/>
              </w:rPr>
            </w:pPr>
            <w:r>
              <w:rPr>
                <w:rFonts w:ascii="宋体" w:hAnsi="宋体" w:cs="宋体" w:eastAsia="宋体" w:hint="default"/>
                <w:sz w:val="18"/>
                <w:szCs w:val="18"/>
              </w:rPr>
              <w:t>股东</w:t>
            </w:r>
            <w:r>
              <w:rPr>
                <w:rFonts w:ascii="宋体" w:hAnsi="宋体" w:cs="宋体" w:eastAsia="宋体" w:hint="default"/>
                <w:sz w:val="18"/>
                <w:szCs w:val="18"/>
              </w:rPr>
              <w:t> </w:t>
            </w:r>
            <w:r>
              <w:rPr>
                <w:rFonts w:ascii="宋体" w:hAnsi="宋体" w:cs="宋体" w:eastAsia="宋体" w:hint="default"/>
                <w:sz w:val="18"/>
                <w:szCs w:val="18"/>
              </w:rPr>
              <w:t>性质</w:t>
            </w:r>
            <w:r>
              <w:rPr>
                <w:rFonts w:ascii="宋体" w:hAnsi="宋体" w:cs="宋体" w:eastAsia="宋体" w:hint="default"/>
                <w:sz w:val="18"/>
                <w:szCs w:val="18"/>
              </w:rPr>
              <w:t> </w:t>
            </w:r>
          </w:p>
        </w:tc>
      </w:tr>
      <w:tr>
        <w:trPr>
          <w:trHeight w:val="701" w:hRule="exact"/>
        </w:trPr>
        <w:tc>
          <w:tcPr>
            <w:tcW w:w="1272" w:type="dxa"/>
            <w:vMerge/>
            <w:tcBorders>
              <w:left w:val="single" w:sz="4" w:space="0" w:color="000000"/>
              <w:bottom w:val="single" w:sz="4" w:space="0" w:color="000000"/>
              <w:right w:val="single" w:sz="4" w:space="0" w:color="000000"/>
            </w:tcBorders>
          </w:tcPr>
          <w:p>
            <w:pPr/>
          </w:p>
        </w:tc>
        <w:tc>
          <w:tcPr>
            <w:tcW w:w="1417"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07"/>
              <w:ind w:left="165" w:right="80"/>
              <w:jc w:val="left"/>
              <w:rPr>
                <w:rFonts w:ascii="宋体" w:hAnsi="宋体" w:cs="宋体" w:eastAsia="宋体" w:hint="default"/>
                <w:sz w:val="18"/>
                <w:szCs w:val="18"/>
              </w:rPr>
            </w:pPr>
            <w:r>
              <w:rPr>
                <w:rFonts w:ascii="宋体" w:hAnsi="宋体" w:cs="宋体" w:eastAsia="宋体" w:hint="default"/>
                <w:sz w:val="18"/>
                <w:szCs w:val="18"/>
              </w:rPr>
              <w:t>股份</w:t>
            </w:r>
            <w:r>
              <w:rPr>
                <w:rFonts w:ascii="宋体" w:hAnsi="宋体" w:cs="宋体" w:eastAsia="宋体" w:hint="default"/>
                <w:sz w:val="18"/>
                <w:szCs w:val="18"/>
              </w:rPr>
              <w:t> </w:t>
            </w:r>
            <w:r>
              <w:rPr>
                <w:rFonts w:ascii="宋体" w:hAnsi="宋体" w:cs="宋体" w:eastAsia="宋体" w:hint="default"/>
                <w:sz w:val="18"/>
                <w:szCs w:val="18"/>
              </w:rPr>
              <w:t>状态</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53" w:right="0"/>
              <w:jc w:val="left"/>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c>
          <w:tcPr>
            <w:tcW w:w="1030" w:type="dxa"/>
            <w:vMerge/>
            <w:tcBorders>
              <w:left w:val="single" w:sz="4" w:space="0" w:color="000000"/>
              <w:bottom w:val="single" w:sz="4" w:space="0" w:color="000000"/>
              <w:right w:val="single" w:sz="4" w:space="0" w:color="000000"/>
            </w:tcBorders>
          </w:tcPr>
          <w:p>
            <w:pPr/>
          </w:p>
        </w:tc>
      </w:tr>
      <w:tr>
        <w:trPr>
          <w:trHeight w:val="475"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北京用友科</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技有限公司</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163,519,816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708,585,869</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28.30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0" w:right="0"/>
              <w:jc w:val="left"/>
              <w:rPr>
                <w:rFonts w:ascii="宋体" w:hAnsi="宋体" w:cs="宋体" w:eastAsia="宋体" w:hint="default"/>
                <w:sz w:val="18"/>
                <w:szCs w:val="18"/>
              </w:rPr>
            </w:pPr>
            <w:r>
              <w:rPr>
                <w:rFonts w:ascii="宋体" w:hAnsi="宋体" w:cs="宋体" w:eastAsia="宋体" w:hint="default"/>
                <w:sz w:val="18"/>
                <w:szCs w:val="18"/>
              </w:rPr>
              <w:t>质押</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316,335,984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境内非国</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有法人</w:t>
            </w:r>
            <w:r>
              <w:rPr>
                <w:rFonts w:ascii="宋体" w:hAnsi="宋体" w:cs="宋体" w:eastAsia="宋体" w:hint="default"/>
                <w:sz w:val="18"/>
                <w:szCs w:val="18"/>
              </w:rPr>
              <w:t> </w:t>
            </w:r>
          </w:p>
        </w:tc>
      </w:tr>
      <w:tr>
        <w:trPr>
          <w:trHeight w:val="711"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上海用友科</w:t>
            </w:r>
          </w:p>
          <w:p>
            <w:pPr>
              <w:pStyle w:val="TableParagraph"/>
              <w:spacing w:line="232" w:lineRule="exact" w:before="23"/>
              <w:ind w:left="103" w:right="257"/>
              <w:jc w:val="left"/>
              <w:rPr>
                <w:rFonts w:ascii="宋体" w:hAnsi="宋体" w:cs="宋体" w:eastAsia="宋体" w:hint="default"/>
                <w:sz w:val="18"/>
                <w:szCs w:val="18"/>
              </w:rPr>
            </w:pPr>
            <w:r>
              <w:rPr>
                <w:rFonts w:ascii="宋体" w:hAnsi="宋体" w:cs="宋体" w:eastAsia="宋体" w:hint="default"/>
                <w:sz w:val="18"/>
                <w:szCs w:val="18"/>
              </w:rPr>
              <w:t>技咨询有限 公司</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69,598,096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301,591,750</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12.04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0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境内非国</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有法人</w:t>
            </w:r>
            <w:r>
              <w:rPr>
                <w:rFonts w:ascii="宋体" w:hAnsi="宋体" w:cs="宋体" w:eastAsia="宋体" w:hint="default"/>
                <w:sz w:val="18"/>
                <w:szCs w:val="18"/>
              </w:rPr>
              <w:t> </w:t>
            </w:r>
          </w:p>
        </w:tc>
      </w:tr>
      <w:tr>
        <w:trPr>
          <w:trHeight w:val="710"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上海益倍管</w:t>
            </w:r>
          </w:p>
          <w:p>
            <w:pPr>
              <w:pStyle w:val="TableParagraph"/>
              <w:spacing w:line="232" w:lineRule="exact" w:before="23"/>
              <w:ind w:left="103" w:right="257"/>
              <w:jc w:val="left"/>
              <w:rPr>
                <w:rFonts w:ascii="宋体" w:hAnsi="宋体" w:cs="宋体" w:eastAsia="宋体" w:hint="default"/>
                <w:sz w:val="18"/>
                <w:szCs w:val="18"/>
              </w:rPr>
            </w:pPr>
            <w:r>
              <w:rPr>
                <w:rFonts w:ascii="宋体" w:hAnsi="宋体" w:cs="宋体" w:eastAsia="宋体" w:hint="default"/>
                <w:sz w:val="18"/>
                <w:szCs w:val="18"/>
              </w:rPr>
              <w:t>理咨询有限 公司</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16,835,184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103,904,684</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4.15</w:t>
            </w:r>
            <w:r>
              <w:rPr>
                <w:rFonts w:ascii="宋体"/>
                <w:sz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0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境内非国</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有法人</w:t>
            </w:r>
            <w:r>
              <w:rPr>
                <w:rFonts w:ascii="宋体" w:hAnsi="宋体" w:cs="宋体" w:eastAsia="宋体" w:hint="default"/>
                <w:sz w:val="18"/>
                <w:szCs w:val="18"/>
              </w:rPr>
              <w:t> </w:t>
            </w:r>
          </w:p>
        </w:tc>
      </w:tr>
      <w:tr>
        <w:trPr>
          <w:trHeight w:val="710"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北京用友企</w:t>
            </w:r>
          </w:p>
          <w:p>
            <w:pPr>
              <w:pStyle w:val="TableParagraph"/>
              <w:spacing w:line="232" w:lineRule="exact" w:before="24"/>
              <w:ind w:left="103" w:right="167"/>
              <w:jc w:val="left"/>
              <w:rPr>
                <w:rFonts w:ascii="宋体" w:hAnsi="宋体" w:cs="宋体" w:eastAsia="宋体" w:hint="default"/>
                <w:sz w:val="18"/>
                <w:szCs w:val="18"/>
              </w:rPr>
            </w:pPr>
            <w:r>
              <w:rPr>
                <w:rFonts w:ascii="宋体" w:hAnsi="宋体" w:cs="宋体" w:eastAsia="宋体" w:hint="default"/>
                <w:sz w:val="18"/>
                <w:szCs w:val="18"/>
              </w:rPr>
              <w:t>业管理研究 所有限公司</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22,835,682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98,954,620</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3.95</w:t>
            </w:r>
            <w:r>
              <w:rPr>
                <w:rFonts w:ascii="宋体"/>
                <w:sz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质押</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49,100,000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境内非国</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有法人</w:t>
            </w:r>
            <w:r>
              <w:rPr>
                <w:rFonts w:ascii="宋体" w:hAnsi="宋体" w:cs="宋体" w:eastAsia="宋体" w:hint="default"/>
                <w:sz w:val="18"/>
                <w:szCs w:val="18"/>
              </w:rPr>
              <w:t> </w:t>
            </w:r>
          </w:p>
        </w:tc>
      </w:tr>
      <w:tr>
        <w:trPr>
          <w:trHeight w:val="478"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葛卫东</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21,290,000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92,690,000</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3.70</w:t>
            </w:r>
            <w:r>
              <w:rPr>
                <w:rFonts w:ascii="宋体"/>
                <w:sz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56"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境内自然</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人</w:t>
            </w:r>
            <w:r>
              <w:rPr>
                <w:rFonts w:ascii="宋体" w:hAnsi="宋体" w:cs="宋体" w:eastAsia="宋体" w:hint="default"/>
                <w:sz w:val="18"/>
                <w:szCs w:val="18"/>
              </w:rPr>
              <w:t> </w:t>
            </w:r>
          </w:p>
        </w:tc>
      </w:tr>
      <w:tr>
        <w:trPr>
          <w:trHeight w:val="478"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香港中央结</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算有限公司</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62,574,555</w:t>
            </w: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80,153,080</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3.20</w:t>
            </w:r>
            <w:r>
              <w:rPr>
                <w:rFonts w:ascii="宋体"/>
                <w:sz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56"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r>
    </w:tbl>
    <w:p>
      <w:pPr>
        <w:spacing w:after="0" w:line="205" w:lineRule="exact"/>
        <w:jc w:val="left"/>
        <w:rPr>
          <w:rFonts w:ascii="宋体" w:hAnsi="宋体" w:cs="宋体" w:eastAsia="宋体" w:hint="default"/>
          <w:sz w:val="18"/>
          <w:szCs w:val="18"/>
        </w:rPr>
        <w:sectPr>
          <w:pgSz w:w="11910" w:h="16840"/>
          <w:pgMar w:header="880" w:footer="1195" w:top="1120" w:bottom="1380" w:left="1580" w:right="10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05" w:type="dxa"/>
        <w:tblLayout w:type="fixed"/>
        <w:tblCellMar>
          <w:top w:w="0" w:type="dxa"/>
          <w:left w:w="0" w:type="dxa"/>
          <w:bottom w:w="0" w:type="dxa"/>
          <w:right w:w="0" w:type="dxa"/>
        </w:tblCellMar>
        <w:tblLook w:val="01E0"/>
      </w:tblPr>
      <w:tblGrid>
        <w:gridCol w:w="1272"/>
        <w:gridCol w:w="1417"/>
        <w:gridCol w:w="1418"/>
        <w:gridCol w:w="850"/>
        <w:gridCol w:w="852"/>
        <w:gridCol w:w="708"/>
        <w:gridCol w:w="228"/>
        <w:gridCol w:w="1049"/>
        <w:gridCol w:w="1030"/>
      </w:tblGrid>
      <w:tr>
        <w:trPr>
          <w:trHeight w:val="946"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共青城优富</w:t>
            </w:r>
          </w:p>
          <w:p>
            <w:pPr>
              <w:pStyle w:val="TableParagraph"/>
              <w:spacing w:line="232" w:lineRule="exact" w:before="23"/>
              <w:ind w:left="103" w:right="101"/>
              <w:jc w:val="left"/>
              <w:rPr>
                <w:rFonts w:ascii="宋体" w:hAnsi="宋体" w:cs="宋体" w:eastAsia="宋体" w:hint="default"/>
                <w:sz w:val="18"/>
                <w:szCs w:val="18"/>
              </w:rPr>
            </w:pPr>
            <w:r>
              <w:rPr>
                <w:rFonts w:ascii="宋体" w:hAnsi="宋体" w:cs="宋体" w:eastAsia="宋体" w:hint="default"/>
                <w:sz w:val="18"/>
                <w:szCs w:val="18"/>
              </w:rPr>
              <w:t>投资管理合 </w:t>
            </w:r>
            <w:r>
              <w:rPr>
                <w:rFonts w:ascii="宋体" w:hAnsi="宋体" w:cs="宋体" w:eastAsia="宋体" w:hint="default"/>
                <w:spacing w:val="-4"/>
                <w:sz w:val="18"/>
                <w:szCs w:val="18"/>
              </w:rPr>
              <w:t>伙企业（有限</w:t>
            </w:r>
            <w:r>
              <w:rPr>
                <w:rFonts w:ascii="宋体" w:hAnsi="宋体" w:cs="宋体" w:eastAsia="宋体" w:hint="default"/>
                <w:sz w:val="18"/>
                <w:szCs w:val="18"/>
              </w:rPr>
              <w:t> 合伙）</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9,156,362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61,816,362</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2.47</w:t>
            </w:r>
            <w:r>
              <w:rPr>
                <w:rFonts w:ascii="宋体"/>
                <w:sz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85"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0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境内非国</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有法人</w:t>
            </w:r>
            <w:r>
              <w:rPr>
                <w:rFonts w:ascii="宋体" w:hAnsi="宋体" w:cs="宋体" w:eastAsia="宋体" w:hint="default"/>
                <w:sz w:val="18"/>
                <w:szCs w:val="18"/>
              </w:rPr>
              <w:t> </w:t>
            </w:r>
          </w:p>
        </w:tc>
      </w:tr>
      <w:tr>
        <w:trPr>
          <w:trHeight w:val="710"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中国证券金</w:t>
            </w:r>
          </w:p>
          <w:p>
            <w:pPr>
              <w:pStyle w:val="TableParagraph"/>
              <w:spacing w:line="232" w:lineRule="exact" w:before="23"/>
              <w:ind w:left="103" w:right="257"/>
              <w:jc w:val="left"/>
              <w:rPr>
                <w:rFonts w:ascii="宋体" w:hAnsi="宋体" w:cs="宋体" w:eastAsia="宋体" w:hint="default"/>
                <w:sz w:val="18"/>
                <w:szCs w:val="18"/>
              </w:rPr>
            </w:pPr>
            <w:r>
              <w:rPr>
                <w:rFonts w:ascii="宋体" w:hAnsi="宋体" w:cs="宋体" w:eastAsia="宋体" w:hint="default"/>
                <w:sz w:val="18"/>
                <w:szCs w:val="18"/>
              </w:rPr>
              <w:t>融股份有限 公司</w:t>
            </w: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10,879,700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47,145,368</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1.88</w:t>
            </w:r>
            <w:r>
              <w:rPr>
                <w:rFonts w:ascii="宋体"/>
                <w:sz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85"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r>
      <w:tr>
        <w:trPr>
          <w:trHeight w:val="475"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于桂珍</w:t>
            </w: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8,901,625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29,793,145</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1.19</w:t>
            </w:r>
            <w:r>
              <w:rPr>
                <w:rFonts w:ascii="宋体"/>
                <w:sz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85"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境内自然</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人</w:t>
            </w:r>
            <w:r>
              <w:rPr>
                <w:rFonts w:ascii="宋体" w:hAnsi="宋体" w:cs="宋体" w:eastAsia="宋体" w:hint="default"/>
                <w:sz w:val="18"/>
                <w:szCs w:val="18"/>
              </w:rPr>
              <w:t> </w:t>
            </w:r>
          </w:p>
        </w:tc>
      </w:tr>
      <w:tr>
        <w:trPr>
          <w:trHeight w:val="478" w:hRule="exact"/>
        </w:trPr>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刘世运</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6,651,000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28,821,000</w:t>
            </w: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1.15</w:t>
            </w:r>
            <w:r>
              <w:rPr>
                <w:rFonts w:ascii="宋体"/>
                <w:sz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0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85"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境内自然</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人</w:t>
            </w:r>
            <w:r>
              <w:rPr>
                <w:rFonts w:ascii="宋体" w:hAnsi="宋体" w:cs="宋体" w:eastAsia="宋体" w:hint="default"/>
                <w:sz w:val="18"/>
                <w:szCs w:val="18"/>
              </w:rPr>
              <w:t> </w:t>
            </w:r>
          </w:p>
        </w:tc>
      </w:tr>
      <w:tr>
        <w:trPr>
          <w:trHeight w:val="242" w:hRule="exact"/>
        </w:trPr>
        <w:tc>
          <w:tcPr>
            <w:tcW w:w="8824" w:type="dxa"/>
            <w:gridSpan w:val="9"/>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9" w:right="0"/>
              <w:jc w:val="center"/>
              <w:rPr>
                <w:rFonts w:ascii="宋体" w:hAnsi="宋体" w:cs="宋体" w:eastAsia="宋体" w:hint="default"/>
                <w:sz w:val="18"/>
                <w:szCs w:val="18"/>
              </w:rPr>
            </w:pPr>
            <w:r>
              <w:rPr>
                <w:rFonts w:ascii="宋体" w:hAnsi="宋体" w:cs="宋体" w:eastAsia="宋体" w:hint="default"/>
                <w:sz w:val="18"/>
                <w:szCs w:val="18"/>
              </w:rPr>
              <w:t>前十名无限售条件股东持股情况</w:t>
            </w:r>
            <w:r>
              <w:rPr>
                <w:rFonts w:ascii="宋体" w:hAnsi="宋体" w:cs="宋体" w:eastAsia="宋体" w:hint="default"/>
                <w:sz w:val="18"/>
                <w:szCs w:val="18"/>
              </w:rPr>
              <w:t> </w:t>
            </w:r>
          </w:p>
        </w:tc>
      </w:tr>
      <w:tr>
        <w:trPr>
          <w:trHeight w:val="245" w:hRule="exact"/>
        </w:trPr>
        <w:tc>
          <w:tcPr>
            <w:tcW w:w="2689" w:type="dxa"/>
            <w:gridSpan w:val="2"/>
            <w:vMerge w:val="restart"/>
            <w:tcBorders>
              <w:top w:val="single" w:sz="4" w:space="0" w:color="000000"/>
              <w:left w:val="single" w:sz="4" w:space="0" w:color="000000"/>
              <w:right w:val="single" w:sz="4" w:space="0" w:color="000000"/>
            </w:tcBorders>
          </w:tcPr>
          <w:p>
            <w:pPr>
              <w:pStyle w:val="TableParagraph"/>
              <w:spacing w:line="240" w:lineRule="auto" w:before="92"/>
              <w:ind w:left="979" w:right="0"/>
              <w:jc w:val="left"/>
              <w:rPr>
                <w:rFonts w:ascii="宋体" w:hAnsi="宋体" w:cs="宋体" w:eastAsia="宋体" w:hint="default"/>
                <w:sz w:val="18"/>
                <w:szCs w:val="18"/>
              </w:rPr>
            </w:pPr>
            <w:r>
              <w:rPr>
                <w:rFonts w:ascii="宋体" w:hAnsi="宋体" w:cs="宋体" w:eastAsia="宋体" w:hint="default"/>
                <w:sz w:val="18"/>
                <w:szCs w:val="18"/>
              </w:rPr>
              <w:t>股东名称</w:t>
            </w:r>
            <w:r>
              <w:rPr>
                <w:rFonts w:ascii="宋体" w:hAnsi="宋体" w:cs="宋体" w:eastAsia="宋体" w:hint="default"/>
                <w:sz w:val="18"/>
                <w:szCs w:val="18"/>
              </w:rPr>
              <w:t> </w:t>
            </w:r>
          </w:p>
        </w:tc>
        <w:tc>
          <w:tcPr>
            <w:tcW w:w="3120" w:type="dxa"/>
            <w:gridSpan w:val="3"/>
            <w:vMerge w:val="restart"/>
            <w:tcBorders>
              <w:top w:val="single" w:sz="4" w:space="0" w:color="000000"/>
              <w:left w:val="single" w:sz="4" w:space="0" w:color="000000"/>
              <w:right w:val="single" w:sz="4" w:space="0" w:color="000000"/>
            </w:tcBorders>
          </w:tcPr>
          <w:p>
            <w:pPr>
              <w:pStyle w:val="TableParagraph"/>
              <w:spacing w:line="240" w:lineRule="auto" w:before="92"/>
              <w:ind w:left="383" w:right="0"/>
              <w:jc w:val="left"/>
              <w:rPr>
                <w:rFonts w:ascii="宋体" w:hAnsi="宋体" w:cs="宋体" w:eastAsia="宋体" w:hint="default"/>
                <w:sz w:val="18"/>
                <w:szCs w:val="18"/>
              </w:rPr>
            </w:pPr>
            <w:r>
              <w:rPr>
                <w:rFonts w:ascii="宋体" w:hAnsi="宋体" w:cs="宋体" w:eastAsia="宋体" w:hint="default"/>
                <w:sz w:val="18"/>
                <w:szCs w:val="18"/>
              </w:rPr>
              <w:t>持有无限售条件流通股的数量</w:t>
            </w:r>
            <w:r>
              <w:rPr>
                <w:rFonts w:ascii="宋体" w:hAnsi="宋体" w:cs="宋体" w:eastAsia="宋体" w:hint="default"/>
                <w:sz w:val="18"/>
                <w:szCs w:val="18"/>
              </w:rPr>
              <w:t> </w:t>
            </w:r>
          </w:p>
        </w:tc>
        <w:tc>
          <w:tcPr>
            <w:tcW w:w="3015" w:type="dxa"/>
            <w:gridSpan w:val="4"/>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71" w:right="0"/>
              <w:jc w:val="left"/>
              <w:rPr>
                <w:rFonts w:ascii="宋体" w:hAnsi="宋体" w:cs="宋体" w:eastAsia="宋体" w:hint="default"/>
                <w:sz w:val="18"/>
                <w:szCs w:val="18"/>
              </w:rPr>
            </w:pPr>
            <w:r>
              <w:rPr>
                <w:rFonts w:ascii="宋体" w:hAnsi="宋体" w:cs="宋体" w:eastAsia="宋体" w:hint="default"/>
                <w:sz w:val="18"/>
                <w:szCs w:val="18"/>
              </w:rPr>
              <w:t>股份种类及数量</w:t>
            </w:r>
            <w:r>
              <w:rPr>
                <w:rFonts w:ascii="宋体" w:hAnsi="宋体" w:cs="宋体" w:eastAsia="宋体" w:hint="default"/>
                <w:sz w:val="18"/>
                <w:szCs w:val="18"/>
              </w:rPr>
              <w:t> </w:t>
            </w:r>
          </w:p>
        </w:tc>
      </w:tr>
      <w:tr>
        <w:trPr>
          <w:trHeight w:val="242" w:hRule="exact"/>
        </w:trPr>
        <w:tc>
          <w:tcPr>
            <w:tcW w:w="2689" w:type="dxa"/>
            <w:gridSpan w:val="2"/>
            <w:vMerge/>
            <w:tcBorders>
              <w:left w:val="single" w:sz="4" w:space="0" w:color="000000"/>
              <w:bottom w:val="single" w:sz="4" w:space="0" w:color="000000"/>
              <w:right w:val="single" w:sz="4" w:space="0" w:color="000000"/>
            </w:tcBorders>
          </w:tcPr>
          <w:p>
            <w:pPr/>
          </w:p>
        </w:tc>
        <w:tc>
          <w:tcPr>
            <w:tcW w:w="3120" w:type="dxa"/>
            <w:gridSpan w:val="3"/>
            <w:vMerge/>
            <w:tcBorders>
              <w:left w:val="single" w:sz="4" w:space="0" w:color="000000"/>
              <w:bottom w:val="single" w:sz="4" w:space="0" w:color="000000"/>
              <w:right w:val="single" w:sz="4" w:space="0" w:color="000000"/>
            </w:tcBorders>
          </w:tcPr>
          <w:p>
            <w:pP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0" w:right="0"/>
              <w:jc w:val="left"/>
              <w:rPr>
                <w:rFonts w:ascii="宋体" w:hAnsi="宋体" w:cs="宋体" w:eastAsia="宋体" w:hint="default"/>
                <w:sz w:val="18"/>
                <w:szCs w:val="18"/>
              </w:rPr>
            </w:pPr>
            <w:r>
              <w:rPr>
                <w:rFonts w:ascii="宋体" w:hAnsi="宋体" w:cs="宋体" w:eastAsia="宋体" w:hint="default"/>
                <w:sz w:val="18"/>
                <w:szCs w:val="18"/>
              </w:rPr>
              <w:t>种类</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0"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r>
      <w:tr>
        <w:trPr>
          <w:trHeight w:val="478"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北京用友科技有限公司</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13" w:right="0"/>
              <w:jc w:val="left"/>
              <w:rPr>
                <w:rFonts w:ascii="宋体" w:hAnsi="宋体" w:cs="宋体" w:eastAsia="宋体" w:hint="default"/>
                <w:sz w:val="18"/>
                <w:szCs w:val="18"/>
              </w:rPr>
            </w:pPr>
            <w:r>
              <w:rPr>
                <w:rFonts w:ascii="宋体"/>
                <w:sz w:val="18"/>
              </w:rPr>
              <w:t>708,585,869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40" w:lineRule="auto"/>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74" w:right="0"/>
              <w:jc w:val="left"/>
              <w:rPr>
                <w:rFonts w:ascii="宋体" w:hAnsi="宋体" w:cs="宋体" w:eastAsia="宋体" w:hint="default"/>
                <w:sz w:val="18"/>
                <w:szCs w:val="18"/>
              </w:rPr>
            </w:pPr>
            <w:r>
              <w:rPr>
                <w:rFonts w:ascii="宋体"/>
                <w:sz w:val="18"/>
              </w:rPr>
              <w:t>708,585,869 </w:t>
            </w:r>
          </w:p>
        </w:tc>
      </w:tr>
      <w:tr>
        <w:trPr>
          <w:trHeight w:val="478"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上海用友科技咨询有限公司</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13" w:right="0"/>
              <w:jc w:val="left"/>
              <w:rPr>
                <w:rFonts w:ascii="宋体" w:hAnsi="宋体" w:cs="宋体" w:eastAsia="宋体" w:hint="default"/>
                <w:sz w:val="18"/>
                <w:szCs w:val="18"/>
              </w:rPr>
            </w:pPr>
            <w:r>
              <w:rPr>
                <w:rFonts w:ascii="宋体"/>
                <w:sz w:val="18"/>
              </w:rPr>
              <w:t>301,591,750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34" w:lineRule="exact"/>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74" w:right="0"/>
              <w:jc w:val="left"/>
              <w:rPr>
                <w:rFonts w:ascii="宋体" w:hAnsi="宋体" w:cs="宋体" w:eastAsia="宋体" w:hint="default"/>
                <w:sz w:val="18"/>
                <w:szCs w:val="18"/>
              </w:rPr>
            </w:pPr>
            <w:r>
              <w:rPr>
                <w:rFonts w:ascii="宋体"/>
                <w:sz w:val="18"/>
              </w:rPr>
              <w:t>301,591,750 </w:t>
            </w:r>
          </w:p>
        </w:tc>
      </w:tr>
      <w:tr>
        <w:trPr>
          <w:trHeight w:val="475"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上海益倍管理咨询有限公司</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13" w:right="0"/>
              <w:jc w:val="left"/>
              <w:rPr>
                <w:rFonts w:ascii="宋体" w:hAnsi="宋体" w:cs="宋体" w:eastAsia="宋体" w:hint="default"/>
                <w:sz w:val="18"/>
                <w:szCs w:val="18"/>
              </w:rPr>
            </w:pPr>
            <w:r>
              <w:rPr>
                <w:rFonts w:ascii="宋体"/>
                <w:sz w:val="18"/>
              </w:rPr>
              <w:t>103,904,684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34" w:lineRule="exact"/>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74" w:right="0"/>
              <w:jc w:val="left"/>
              <w:rPr>
                <w:rFonts w:ascii="宋体" w:hAnsi="宋体" w:cs="宋体" w:eastAsia="宋体" w:hint="default"/>
                <w:sz w:val="18"/>
                <w:szCs w:val="18"/>
              </w:rPr>
            </w:pPr>
            <w:r>
              <w:rPr>
                <w:rFonts w:ascii="宋体"/>
                <w:sz w:val="18"/>
              </w:rPr>
              <w:t>103,904,684 </w:t>
            </w:r>
          </w:p>
        </w:tc>
      </w:tr>
      <w:tr>
        <w:trPr>
          <w:trHeight w:val="478"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北京用友企业管理研究所有限</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98,954,620</w:t>
            </w:r>
            <w:r>
              <w:rPr>
                <w:rFonts w:ascii="宋体"/>
                <w:sz w:val="18"/>
              </w:rPr>
              <w:t>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34" w:lineRule="exact"/>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66" w:right="0"/>
              <w:jc w:val="left"/>
              <w:rPr>
                <w:rFonts w:ascii="宋体" w:hAnsi="宋体" w:cs="宋体" w:eastAsia="宋体" w:hint="default"/>
                <w:sz w:val="18"/>
                <w:szCs w:val="18"/>
              </w:rPr>
            </w:pPr>
            <w:r>
              <w:rPr>
                <w:rFonts w:ascii="宋体"/>
                <w:sz w:val="18"/>
              </w:rPr>
              <w:t>98,954,620 </w:t>
            </w:r>
          </w:p>
        </w:tc>
      </w:tr>
      <w:tr>
        <w:trPr>
          <w:trHeight w:val="478"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葛卫东</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92,690,000</w:t>
            </w:r>
            <w:r>
              <w:rPr>
                <w:rFonts w:ascii="宋体"/>
                <w:sz w:val="18"/>
              </w:rPr>
              <w:t>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40" w:lineRule="auto"/>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66" w:right="0"/>
              <w:jc w:val="left"/>
              <w:rPr>
                <w:rFonts w:ascii="宋体" w:hAnsi="宋体" w:cs="宋体" w:eastAsia="宋体" w:hint="default"/>
                <w:sz w:val="18"/>
                <w:szCs w:val="18"/>
              </w:rPr>
            </w:pPr>
            <w:r>
              <w:rPr>
                <w:rFonts w:ascii="宋体"/>
                <w:sz w:val="18"/>
              </w:rPr>
              <w:t>92,690,000 </w:t>
            </w:r>
          </w:p>
        </w:tc>
      </w:tr>
      <w:tr>
        <w:trPr>
          <w:trHeight w:val="475"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香港中央结算有限公司</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80,153,080</w:t>
            </w:r>
            <w:r>
              <w:rPr>
                <w:rFonts w:ascii="宋体"/>
                <w:sz w:val="18"/>
              </w:rPr>
              <w:t>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34" w:lineRule="exact"/>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66" w:right="0"/>
              <w:jc w:val="left"/>
              <w:rPr>
                <w:rFonts w:ascii="宋体" w:hAnsi="宋体" w:cs="宋体" w:eastAsia="宋体" w:hint="default"/>
                <w:sz w:val="18"/>
                <w:szCs w:val="18"/>
              </w:rPr>
            </w:pPr>
            <w:r>
              <w:rPr>
                <w:rFonts w:ascii="宋体"/>
                <w:sz w:val="18"/>
              </w:rPr>
              <w:t>80,153,080 </w:t>
            </w:r>
          </w:p>
        </w:tc>
      </w:tr>
      <w:tr>
        <w:trPr>
          <w:trHeight w:val="478"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共青城优富投资管理合伙企业</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（有限合伙）</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61,816,362</w:t>
            </w:r>
            <w:r>
              <w:rPr>
                <w:rFonts w:ascii="宋体"/>
                <w:sz w:val="18"/>
              </w:rPr>
              <w:t>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34" w:lineRule="exact"/>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66" w:right="0"/>
              <w:jc w:val="left"/>
              <w:rPr>
                <w:rFonts w:ascii="宋体" w:hAnsi="宋体" w:cs="宋体" w:eastAsia="宋体" w:hint="default"/>
                <w:sz w:val="18"/>
                <w:szCs w:val="18"/>
              </w:rPr>
            </w:pPr>
            <w:r>
              <w:rPr>
                <w:rFonts w:ascii="宋体"/>
                <w:sz w:val="18"/>
              </w:rPr>
              <w:t>61,816,362 </w:t>
            </w:r>
          </w:p>
        </w:tc>
      </w:tr>
      <w:tr>
        <w:trPr>
          <w:trHeight w:val="478"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中国证券金融股份有限公司</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47,145,368</w:t>
            </w:r>
            <w:r>
              <w:rPr>
                <w:rFonts w:ascii="宋体"/>
                <w:sz w:val="18"/>
              </w:rPr>
              <w:t>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40" w:lineRule="auto"/>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66" w:right="0"/>
              <w:jc w:val="left"/>
              <w:rPr>
                <w:rFonts w:ascii="宋体" w:hAnsi="宋体" w:cs="宋体" w:eastAsia="宋体" w:hint="default"/>
                <w:sz w:val="18"/>
                <w:szCs w:val="18"/>
              </w:rPr>
            </w:pPr>
            <w:r>
              <w:rPr>
                <w:rFonts w:ascii="宋体"/>
                <w:sz w:val="18"/>
              </w:rPr>
              <w:t>47,145,368 </w:t>
            </w:r>
          </w:p>
        </w:tc>
      </w:tr>
      <w:tr>
        <w:trPr>
          <w:trHeight w:val="478"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于桂珍</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pacing w:val="-1"/>
                <w:sz w:val="18"/>
              </w:rPr>
              <w:t>29,793,145</w:t>
            </w:r>
            <w:r>
              <w:rPr>
                <w:rFonts w:ascii="宋体"/>
                <w:sz w:val="18"/>
              </w:rPr>
              <w:t>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34" w:lineRule="exact"/>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66" w:right="0"/>
              <w:jc w:val="left"/>
              <w:rPr>
                <w:rFonts w:ascii="宋体" w:hAnsi="宋体" w:cs="宋体" w:eastAsia="宋体" w:hint="default"/>
                <w:sz w:val="18"/>
                <w:szCs w:val="18"/>
              </w:rPr>
            </w:pPr>
            <w:r>
              <w:rPr>
                <w:rFonts w:ascii="宋体"/>
                <w:sz w:val="18"/>
              </w:rPr>
              <w:t>29,793,145 </w:t>
            </w:r>
          </w:p>
        </w:tc>
      </w:tr>
      <w:tr>
        <w:trPr>
          <w:trHeight w:val="475"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刘世运</w:t>
            </w:r>
            <w:r>
              <w:rPr>
                <w:rFonts w:ascii="宋体" w:hAnsi="宋体" w:cs="宋体" w:eastAsia="宋体" w:hint="default"/>
                <w:sz w:val="18"/>
                <w:szCs w:val="18"/>
              </w:rPr>
              <w:t> </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28,821,000</w:t>
            </w:r>
            <w:r>
              <w:rPr>
                <w:rFonts w:ascii="宋体"/>
                <w:sz w:val="18"/>
              </w:rPr>
              <w:t> </w:t>
            </w:r>
          </w:p>
        </w:tc>
        <w:tc>
          <w:tcPr>
            <w:tcW w:w="9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sz w:val="18"/>
                <w:szCs w:val="18"/>
              </w:rPr>
              <w:t>人民币普</w:t>
            </w:r>
          </w:p>
          <w:p>
            <w:pPr>
              <w:pStyle w:val="TableParagraph"/>
              <w:spacing w:line="234" w:lineRule="exact"/>
              <w:ind w:left="85" w:right="0"/>
              <w:jc w:val="center"/>
              <w:rPr>
                <w:rFonts w:ascii="宋体" w:hAnsi="宋体" w:cs="宋体" w:eastAsia="宋体" w:hint="default"/>
                <w:sz w:val="18"/>
                <w:szCs w:val="18"/>
              </w:rPr>
            </w:pPr>
            <w:r>
              <w:rPr>
                <w:rFonts w:ascii="宋体" w:hAnsi="宋体" w:cs="宋体" w:eastAsia="宋体" w:hint="default"/>
                <w:sz w:val="18"/>
                <w:szCs w:val="18"/>
              </w:rPr>
              <w:t>通股</w:t>
            </w:r>
            <w:r>
              <w:rPr>
                <w:rFonts w:ascii="宋体" w:hAnsi="宋体" w:cs="宋体" w:eastAsia="宋体" w:hint="default"/>
                <w:sz w:val="18"/>
                <w:szCs w:val="18"/>
              </w:rPr>
              <w:t> </w:t>
            </w:r>
          </w:p>
        </w:tc>
        <w:tc>
          <w:tcPr>
            <w:tcW w:w="20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66" w:right="0"/>
              <w:jc w:val="left"/>
              <w:rPr>
                <w:rFonts w:ascii="宋体" w:hAnsi="宋体" w:cs="宋体" w:eastAsia="宋体" w:hint="default"/>
                <w:sz w:val="18"/>
                <w:szCs w:val="18"/>
              </w:rPr>
            </w:pPr>
            <w:r>
              <w:rPr>
                <w:rFonts w:ascii="宋体"/>
                <w:sz w:val="18"/>
              </w:rPr>
              <w:t>28,821,000 </w:t>
            </w:r>
          </w:p>
        </w:tc>
      </w:tr>
      <w:tr>
        <w:trPr>
          <w:trHeight w:val="2112"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的说明</w:t>
            </w:r>
            <w:r>
              <w:rPr>
                <w:rFonts w:ascii="宋体" w:hAnsi="宋体" w:cs="宋体" w:eastAsia="宋体" w:hint="default"/>
                <w:sz w:val="18"/>
                <w:szCs w:val="18"/>
              </w:rPr>
              <w:t> </w:t>
            </w:r>
          </w:p>
        </w:tc>
        <w:tc>
          <w:tcPr>
            <w:tcW w:w="6135" w:type="dxa"/>
            <w:gridSpan w:val="7"/>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北京用友科技有限公司</w:t>
            </w:r>
            <w:r>
              <w:rPr>
                <w:rFonts w:ascii="宋体" w:hAnsi="宋体" w:cs="宋体" w:eastAsia="宋体" w:hint="default"/>
                <w:spacing w:val="-4"/>
                <w:sz w:val="18"/>
                <w:szCs w:val="18"/>
              </w:rPr>
              <w:t>(</w:t>
            </w:r>
            <w:r>
              <w:rPr>
                <w:rFonts w:ascii="宋体" w:hAnsi="宋体" w:cs="宋体" w:eastAsia="宋体" w:hint="default"/>
                <w:spacing w:val="-4"/>
                <w:sz w:val="18"/>
                <w:szCs w:val="18"/>
              </w:rPr>
              <w:t>简称“用友科技”</w:t>
            </w:r>
            <w:r>
              <w:rPr>
                <w:rFonts w:ascii="宋体" w:hAnsi="宋体" w:cs="宋体" w:eastAsia="宋体" w:hint="default"/>
                <w:spacing w:val="-4"/>
                <w:sz w:val="18"/>
                <w:szCs w:val="18"/>
              </w:rPr>
              <w:t>)</w:t>
            </w:r>
            <w:r>
              <w:rPr>
                <w:rFonts w:ascii="宋体" w:hAnsi="宋体" w:cs="宋体" w:eastAsia="宋体" w:hint="default"/>
                <w:spacing w:val="-4"/>
                <w:sz w:val="18"/>
                <w:szCs w:val="18"/>
              </w:rPr>
              <w:t>、上海用友科技咨询有限公司</w:t>
            </w:r>
            <w:r>
              <w:rPr>
                <w:rFonts w:ascii="宋体" w:hAnsi="宋体" w:cs="宋体" w:eastAsia="宋体" w:hint="default"/>
                <w:spacing w:val="-4"/>
                <w:sz w:val="18"/>
                <w:szCs w:val="18"/>
              </w:rPr>
              <w:t>(</w:t>
            </w:r>
            <w:r>
              <w:rPr>
                <w:rFonts w:ascii="宋体" w:hAnsi="宋体" w:cs="宋体" w:eastAsia="宋体" w:hint="default"/>
                <w:spacing w:val="-4"/>
                <w:sz w:val="18"/>
                <w:szCs w:val="18"/>
              </w:rPr>
              <w:t>简</w:t>
            </w:r>
          </w:p>
          <w:p>
            <w:pPr>
              <w:pStyle w:val="TableParagraph"/>
              <w:spacing w:line="237" w:lineRule="auto" w:before="2"/>
              <w:ind w:left="103" w:right="102"/>
              <w:jc w:val="left"/>
              <w:rPr>
                <w:rFonts w:ascii="宋体" w:hAnsi="宋体" w:cs="宋体" w:eastAsia="宋体" w:hint="default"/>
                <w:sz w:val="18"/>
                <w:szCs w:val="18"/>
              </w:rPr>
            </w:pPr>
            <w:r>
              <w:rPr>
                <w:rFonts w:ascii="宋体" w:hAnsi="宋体" w:cs="宋体" w:eastAsia="宋体" w:hint="default"/>
                <w:spacing w:val="-4"/>
                <w:sz w:val="18"/>
                <w:szCs w:val="18"/>
              </w:rPr>
              <w:t>称“用友咨询”</w:t>
            </w:r>
            <w:r>
              <w:rPr>
                <w:rFonts w:ascii="宋体" w:hAnsi="宋体" w:cs="宋体" w:eastAsia="宋体" w:hint="default"/>
                <w:spacing w:val="-4"/>
                <w:sz w:val="18"/>
                <w:szCs w:val="18"/>
              </w:rPr>
              <w:t>)</w:t>
            </w:r>
            <w:r>
              <w:rPr>
                <w:rFonts w:ascii="宋体" w:hAnsi="宋体" w:cs="宋体" w:eastAsia="宋体" w:hint="default"/>
                <w:spacing w:val="-4"/>
                <w:sz w:val="18"/>
                <w:szCs w:val="18"/>
              </w:rPr>
              <w:t>和北京用友企业管理研究所有限公司</w:t>
            </w:r>
            <w:r>
              <w:rPr>
                <w:rFonts w:ascii="宋体" w:hAnsi="宋体" w:cs="宋体" w:eastAsia="宋体" w:hint="default"/>
                <w:spacing w:val="-4"/>
                <w:sz w:val="18"/>
                <w:szCs w:val="18"/>
              </w:rPr>
              <w:t>(</w:t>
            </w:r>
            <w:r>
              <w:rPr>
                <w:rFonts w:ascii="宋体" w:hAnsi="宋体" w:cs="宋体" w:eastAsia="宋体" w:hint="default"/>
                <w:spacing w:val="-4"/>
                <w:sz w:val="18"/>
                <w:szCs w:val="18"/>
              </w:rPr>
              <w:t>简称“用友研究所”</w:t>
            </w:r>
            <w:r>
              <w:rPr>
                <w:rFonts w:ascii="宋体" w:hAnsi="宋体" w:cs="宋体" w:eastAsia="宋体" w:hint="default"/>
                <w:spacing w:val="-4"/>
                <w:sz w:val="18"/>
                <w:szCs w:val="18"/>
              </w:rPr>
              <w:t>)</w:t>
            </w:r>
            <w:r>
              <w:rPr>
                <w:rFonts w:ascii="宋体" w:hAnsi="宋体" w:cs="宋体" w:eastAsia="宋体" w:hint="default"/>
                <w:spacing w:val="-64"/>
                <w:sz w:val="18"/>
                <w:szCs w:val="18"/>
              </w:rPr>
              <w:t> </w:t>
            </w:r>
            <w:r>
              <w:rPr>
                <w:rFonts w:ascii="宋体" w:hAnsi="宋体" w:cs="宋体" w:eastAsia="宋体" w:hint="default"/>
                <w:sz w:val="18"/>
                <w:szCs w:val="18"/>
              </w:rPr>
              <w:t>因受相同控股股东控制而存在关联关系，上海益倍管理咨询有限公司</w:t>
            </w:r>
            <w:r>
              <w:rPr>
                <w:rFonts w:ascii="宋体" w:hAnsi="宋体" w:cs="宋体" w:eastAsia="宋体" w:hint="default"/>
                <w:sz w:val="18"/>
                <w:szCs w:val="18"/>
              </w:rPr>
              <w:t>(</w:t>
            </w:r>
            <w:r>
              <w:rPr>
                <w:rFonts w:ascii="宋体" w:hAnsi="宋体" w:cs="宋体" w:eastAsia="宋体" w:hint="default"/>
                <w:sz w:val="18"/>
                <w:szCs w:val="18"/>
              </w:rPr>
              <w:t>简称 “上海益倍”</w:t>
            </w:r>
            <w:r>
              <w:rPr>
                <w:rFonts w:ascii="宋体" w:hAnsi="宋体" w:cs="宋体" w:eastAsia="宋体" w:hint="default"/>
                <w:sz w:val="18"/>
                <w:szCs w:val="18"/>
              </w:rPr>
              <w:t>) </w:t>
            </w:r>
            <w:r>
              <w:rPr>
                <w:rFonts w:ascii="宋体" w:hAnsi="宋体" w:cs="宋体" w:eastAsia="宋体" w:hint="default"/>
                <w:sz w:val="18"/>
                <w:szCs w:val="18"/>
              </w:rPr>
              <w:t>执行董事与共青城优富投资管理合伙企业（有限合伙）</w:t>
            </w:r>
            <w:r>
              <w:rPr>
                <w:rFonts w:ascii="宋体" w:hAnsi="宋体" w:cs="宋体" w:eastAsia="宋体" w:hint="default"/>
                <w:sz w:val="18"/>
                <w:szCs w:val="18"/>
              </w:rPr>
              <w:t>(</w:t>
            </w:r>
            <w:r>
              <w:rPr>
                <w:rFonts w:ascii="宋体" w:hAnsi="宋体" w:cs="宋体" w:eastAsia="宋体" w:hint="default"/>
                <w:sz w:val="18"/>
                <w:szCs w:val="18"/>
              </w:rPr>
              <w:t>简 </w:t>
            </w:r>
            <w:r>
              <w:rPr>
                <w:rFonts w:ascii="宋体" w:hAnsi="宋体" w:cs="宋体" w:eastAsia="宋体" w:hint="default"/>
                <w:spacing w:val="-3"/>
                <w:sz w:val="18"/>
                <w:szCs w:val="18"/>
              </w:rPr>
              <w:t>称“共青城优富”</w:t>
            </w:r>
            <w:r>
              <w:rPr>
                <w:rFonts w:ascii="宋体" w:hAnsi="宋体" w:cs="宋体" w:eastAsia="宋体" w:hint="default"/>
                <w:spacing w:val="-3"/>
                <w:sz w:val="18"/>
                <w:szCs w:val="18"/>
              </w:rPr>
              <w:t>)</w:t>
            </w:r>
            <w:r>
              <w:rPr>
                <w:rFonts w:ascii="宋体" w:hAnsi="宋体" w:cs="宋体" w:eastAsia="宋体" w:hint="default"/>
                <w:spacing w:val="3"/>
                <w:sz w:val="18"/>
                <w:szCs w:val="18"/>
              </w:rPr>
              <w:t> </w:t>
            </w:r>
            <w:r>
              <w:rPr>
                <w:rFonts w:ascii="宋体" w:hAnsi="宋体" w:cs="宋体" w:eastAsia="宋体" w:hint="default"/>
                <w:sz w:val="18"/>
                <w:szCs w:val="18"/>
              </w:rPr>
              <w:t>执行事务合伙人因同时担任用友咨询与用友研究所的董 </w:t>
            </w:r>
            <w:r>
              <w:rPr>
                <w:rFonts w:ascii="宋体" w:hAnsi="宋体" w:cs="宋体" w:eastAsia="宋体" w:hint="default"/>
                <w:spacing w:val="-1"/>
                <w:sz w:val="18"/>
                <w:szCs w:val="18"/>
              </w:rPr>
              <w:t>事而分别与用友咨询和用友研究所形成关联关系。上海益倍与共青城优富因</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1"/>
                <w:sz w:val="18"/>
                <w:szCs w:val="18"/>
              </w:rPr>
              <w:t>受不同控股股东控制而不存在关联关系，与用友科技因受不同控股股东控制</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1"/>
                <w:sz w:val="18"/>
                <w:szCs w:val="18"/>
              </w:rPr>
              <w:t>也不存在关联关系。上述五家股东与其他股东之间不存在关联关系。本公司</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不了解其他股东之间是否存在关联关系或是否是一致行动人。</w:t>
            </w:r>
            <w:r>
              <w:rPr>
                <w:rFonts w:ascii="宋体" w:hAnsi="宋体" w:cs="宋体" w:eastAsia="宋体" w:hint="default"/>
                <w:sz w:val="18"/>
                <w:szCs w:val="18"/>
              </w:rPr>
              <w:t> </w:t>
            </w:r>
          </w:p>
        </w:tc>
      </w:tr>
      <w:tr>
        <w:trPr>
          <w:trHeight w:val="478" w:hRule="exact"/>
        </w:trPr>
        <w:tc>
          <w:tcPr>
            <w:tcW w:w="26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表决权恢复的优先股股东及持</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股数量的说明</w:t>
            </w:r>
            <w:r>
              <w:rPr>
                <w:rFonts w:ascii="宋体" w:hAnsi="宋体" w:cs="宋体" w:eastAsia="宋体" w:hint="default"/>
                <w:sz w:val="18"/>
                <w:szCs w:val="18"/>
              </w:rPr>
              <w:t> </w:t>
            </w:r>
          </w:p>
        </w:tc>
        <w:tc>
          <w:tcPr>
            <w:tcW w:w="6135" w:type="dxa"/>
            <w:gridSpan w:val="7"/>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r>
    </w:tbl>
    <w:p>
      <w:pPr>
        <w:spacing w:line="240" w:lineRule="auto" w:before="1"/>
        <w:rPr>
          <w:rFonts w:ascii="宋体" w:hAnsi="宋体" w:cs="宋体" w:eastAsia="宋体" w:hint="default"/>
          <w:sz w:val="16"/>
          <w:szCs w:val="16"/>
        </w:rPr>
      </w:pPr>
    </w:p>
    <w:p>
      <w:pPr>
        <w:pStyle w:val="BodyText"/>
        <w:spacing w:line="312" w:lineRule="exact" w:before="26"/>
        <w:ind w:left="218" w:right="2450"/>
        <w:jc w:val="left"/>
      </w:pPr>
      <w:r>
        <w:rPr/>
        <w:t>前十名有限售条件股东持股数量及限售条件</w:t>
      </w:r>
    </w:p>
    <w:p>
      <w:pPr>
        <w:pStyle w:val="BodyText"/>
        <w:spacing w:line="330" w:lineRule="exact"/>
        <w:ind w:left="218" w:right="245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2450"/>
        <w:jc w:val="left"/>
        <w:rPr>
          <w:b w:val="0"/>
          <w:bCs w:val="0"/>
        </w:rPr>
      </w:pPr>
      <w:r>
        <w:rPr>
          <w:rFonts w:ascii="Calibri" w:hAnsi="Calibri" w:cs="Calibri" w:eastAsia="Calibri" w:hint="default"/>
        </w:rPr>
        <w:t>(</w:t>
      </w:r>
      <w:r>
        <w:rPr/>
        <w:t>三</w:t>
      </w:r>
      <w:r>
        <w:rPr>
          <w:rFonts w:ascii="Calibri" w:hAnsi="Calibri" w:cs="Calibri" w:eastAsia="Calibri" w:hint="default"/>
        </w:rPr>
        <w:t>)  </w:t>
      </w:r>
      <w:r>
        <w:rPr>
          <w:rFonts w:ascii="Calibri" w:hAnsi="Calibri" w:cs="Calibri" w:eastAsia="Calibri" w:hint="default"/>
          <w:spacing w:val="9"/>
        </w:rPr>
        <w:t> </w:t>
      </w:r>
      <w:r>
        <w:rPr/>
        <w:t>战略投资者或一般法人因配售新股成为前</w:t>
      </w:r>
      <w:r>
        <w:rPr>
          <w:spacing w:val="-57"/>
        </w:rPr>
        <w:t> </w:t>
      </w:r>
      <w:r>
        <w:rPr>
          <w:rFonts w:ascii="Calibri" w:hAnsi="Calibri" w:cs="Calibri" w:eastAsia="Calibri" w:hint="default"/>
        </w:rPr>
        <w:t>10</w:t>
      </w:r>
      <w:r>
        <w:rPr>
          <w:rFonts w:ascii="Calibri" w:hAnsi="Calibri" w:cs="Calibri" w:eastAsia="Calibri" w:hint="default"/>
          <w:spacing w:val="3"/>
        </w:rPr>
        <w:t> </w:t>
      </w:r>
      <w:r>
        <w:rPr/>
        <w:t>名股东</w:t>
      </w:r>
      <w:r>
        <w:rPr>
          <w:b w:val="0"/>
          <w:bCs w:val="0"/>
        </w:rPr>
      </w:r>
    </w:p>
    <w:p>
      <w:pPr>
        <w:pStyle w:val="BodyText"/>
        <w:spacing w:line="240" w:lineRule="auto" w:before="27"/>
        <w:ind w:left="218" w:right="245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after="0" w:line="240" w:lineRule="auto"/>
        <w:jc w:val="left"/>
        <w:sectPr>
          <w:pgSz w:w="11910" w:h="16840"/>
          <w:pgMar w:header="880" w:footer="1195" w:top="1120" w:bottom="1380" w:left="1580" w:right="1160"/>
        </w:sectPr>
      </w:pPr>
    </w:p>
    <w:p>
      <w:pPr>
        <w:spacing w:line="240" w:lineRule="auto" w:before="8"/>
        <w:rPr>
          <w:rFonts w:ascii="宋体" w:hAnsi="宋体" w:cs="宋体" w:eastAsia="宋体" w:hint="default"/>
          <w:sz w:val="25"/>
          <w:szCs w:val="25"/>
        </w:rPr>
      </w:pPr>
    </w:p>
    <w:p>
      <w:pPr>
        <w:pStyle w:val="Heading2"/>
        <w:tabs>
          <w:tab w:pos="1057" w:val="left" w:leader="none"/>
        </w:tabs>
        <w:spacing w:line="240" w:lineRule="auto" w:before="26"/>
        <w:ind w:left="218" w:right="0"/>
        <w:jc w:val="left"/>
        <w:rPr>
          <w:b w:val="0"/>
          <w:bCs w:val="0"/>
        </w:rPr>
      </w:pPr>
      <w:r>
        <w:rPr>
          <w:w w:val="95"/>
        </w:rPr>
        <w:t>四、</w:t>
      </w:r>
      <w:r>
        <w:rPr>
          <w:rFonts w:ascii="宋体" w:hAnsi="宋体" w:cs="宋体" w:eastAsia="宋体" w:hint="default"/>
          <w:w w:val="95"/>
        </w:rPr>
        <w:tab/>
      </w:r>
      <w:r>
        <w:rPr/>
        <w:t>控股股东及实际控制人情况</w:t>
      </w:r>
      <w:r>
        <w:rPr>
          <w:b w:val="0"/>
          <w:bCs w:val="0"/>
        </w:rPr>
      </w:r>
    </w:p>
    <w:p>
      <w:pPr>
        <w:pStyle w:val="Heading2"/>
        <w:tabs>
          <w:tab w:pos="637" w:val="left" w:leader="none"/>
        </w:tabs>
        <w:spacing w:line="259" w:lineRule="auto" w:before="58"/>
        <w:ind w:left="218" w:right="7202"/>
        <w:jc w:val="left"/>
        <w:rPr>
          <w:rFonts w:ascii="宋体" w:hAnsi="宋体" w:cs="宋体" w:eastAsia="宋体" w:hint="default"/>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28"/>
        </w:rPr>
        <w:t> </w:t>
      </w:r>
      <w:r>
        <w:rPr/>
        <w:t>控股股东情况</w:t>
      </w:r>
      <w:r>
        <w:rPr>
          <w:w w:val="99"/>
        </w:rPr>
        <w:t> </w:t>
      </w:r>
      <w:r>
        <w:rPr>
          <w:rFonts w:ascii="宋体" w:hAnsi="宋体" w:cs="宋体" w:eastAsia="宋体" w:hint="default"/>
          <w:w w:val="95"/>
        </w:rPr>
        <w:t>1</w:t>
        <w:tab/>
      </w:r>
      <w:r>
        <w:rPr/>
        <w:t>法人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36"/>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tbl>
      <w:tblPr>
        <w:tblW w:w="0" w:type="auto"/>
        <w:jc w:val="left"/>
        <w:tblInd w:w="105" w:type="dxa"/>
        <w:tblLayout w:type="fixed"/>
        <w:tblCellMar>
          <w:top w:w="0" w:type="dxa"/>
          <w:left w:w="0" w:type="dxa"/>
          <w:bottom w:w="0" w:type="dxa"/>
          <w:right w:w="0" w:type="dxa"/>
        </w:tblCellMar>
        <w:tblLook w:val="01E0"/>
      </w:tblPr>
      <w:tblGrid>
        <w:gridCol w:w="3370"/>
        <w:gridCol w:w="5679"/>
      </w:tblGrid>
      <w:tr>
        <w:trPr>
          <w:trHeight w:val="322"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名称</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北京用友科技有限公司</w:t>
            </w:r>
          </w:p>
        </w:tc>
      </w:tr>
      <w:tr>
        <w:trPr>
          <w:trHeight w:val="322"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单位负责人或法定代表人</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r>
      <w:tr>
        <w:trPr>
          <w:trHeight w:val="322"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成立日期</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1999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15</w:t>
            </w:r>
            <w:r>
              <w:rPr>
                <w:rFonts w:ascii="宋体" w:hAnsi="宋体" w:cs="宋体" w:eastAsia="宋体" w:hint="default"/>
                <w:spacing w:val="-60"/>
                <w:sz w:val="24"/>
                <w:szCs w:val="24"/>
              </w:rPr>
              <w:t> </w:t>
            </w:r>
            <w:r>
              <w:rPr>
                <w:rFonts w:ascii="宋体" w:hAnsi="宋体" w:cs="宋体" w:eastAsia="宋体" w:hint="default"/>
                <w:sz w:val="24"/>
                <w:szCs w:val="24"/>
              </w:rPr>
              <w:t>日</w:t>
            </w:r>
            <w:r>
              <w:rPr>
                <w:rFonts w:ascii="宋体" w:hAnsi="宋体" w:cs="宋体" w:eastAsia="宋体" w:hint="default"/>
                <w:sz w:val="24"/>
                <w:szCs w:val="24"/>
              </w:rPr>
              <w:t> </w:t>
            </w:r>
          </w:p>
        </w:tc>
      </w:tr>
      <w:tr>
        <w:trPr>
          <w:trHeight w:val="631"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主要经营业务</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技术开发、技术转让、技术咨询、技术服务；企业管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理咨询、经济信息咨询；项目投资；投资管理</w:t>
            </w:r>
            <w:r>
              <w:rPr>
                <w:rFonts w:ascii="宋体" w:hAnsi="宋体" w:cs="宋体" w:eastAsia="宋体" w:hint="default"/>
                <w:sz w:val="24"/>
                <w:szCs w:val="24"/>
              </w:rPr>
              <w:t> </w:t>
            </w:r>
          </w:p>
        </w:tc>
      </w:tr>
      <w:tr>
        <w:trPr>
          <w:trHeight w:val="63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2"/>
                <w:sz w:val="24"/>
                <w:szCs w:val="24"/>
              </w:rPr>
              <w:t>报告期内控股和参股的其他境</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内外上市公司的股权情况</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无</w:t>
            </w:r>
            <w:r>
              <w:rPr>
                <w:rFonts w:ascii="宋体" w:hAnsi="宋体" w:cs="宋体" w:eastAsia="宋体" w:hint="default"/>
                <w:sz w:val="24"/>
                <w:szCs w:val="24"/>
              </w:rPr>
              <w:t> </w:t>
            </w:r>
          </w:p>
        </w:tc>
      </w:tr>
      <w:tr>
        <w:trPr>
          <w:trHeight w:val="322"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其他情况说明</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无</w:t>
            </w:r>
          </w:p>
        </w:tc>
      </w:tr>
    </w:tbl>
    <w:p>
      <w:pPr>
        <w:spacing w:line="240" w:lineRule="auto" w:before="2"/>
        <w:rPr>
          <w:rFonts w:ascii="宋体" w:hAnsi="宋体" w:cs="宋体" w:eastAsia="宋体" w:hint="default"/>
          <w:sz w:val="22"/>
          <w:szCs w:val="22"/>
        </w:rPr>
      </w:pPr>
    </w:p>
    <w:p>
      <w:pPr>
        <w:pStyle w:val="Heading2"/>
        <w:tabs>
          <w:tab w:pos="637" w:val="left" w:leader="none"/>
        </w:tabs>
        <w:spacing w:line="240" w:lineRule="auto" w:before="26"/>
        <w:ind w:left="218" w:right="0"/>
        <w:jc w:val="left"/>
        <w:rPr>
          <w:rFonts w:ascii="宋体" w:hAnsi="宋体" w:cs="宋体" w:eastAsia="宋体" w:hint="default"/>
          <w:b w:val="0"/>
          <w:bCs w:val="0"/>
        </w:rPr>
      </w:pPr>
      <w:r>
        <w:rPr>
          <w:rFonts w:ascii="宋体" w:hAnsi="宋体" w:cs="宋体" w:eastAsia="宋体" w:hint="default"/>
          <w:w w:val="95"/>
        </w:rPr>
        <w:t>2</w:t>
        <w:tab/>
      </w:r>
      <w:r>
        <w:rPr/>
        <w:t>自然人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tabs>
          <w:tab w:pos="637" w:val="left" w:leader="none"/>
        </w:tabs>
        <w:spacing w:line="240" w:lineRule="auto"/>
        <w:ind w:left="218" w:right="0"/>
        <w:jc w:val="left"/>
        <w:rPr>
          <w:rFonts w:ascii="宋体" w:hAnsi="宋体" w:cs="宋体" w:eastAsia="宋体" w:hint="default"/>
          <w:b w:val="0"/>
          <w:bCs w:val="0"/>
        </w:rPr>
      </w:pPr>
      <w:r>
        <w:rPr>
          <w:rFonts w:ascii="宋体" w:hAnsi="宋体" w:cs="宋体" w:eastAsia="宋体" w:hint="default"/>
          <w:w w:val="95"/>
        </w:rPr>
        <w:t>3</w:t>
        <w:tab/>
      </w:r>
      <w:r>
        <w:rPr/>
        <w:t>公司不存在控股股东情况的特别说明</w:t>
      </w:r>
      <w:r>
        <w:rPr>
          <w:rFonts w:ascii="宋体" w:hAnsi="宋体" w:cs="宋体" w:eastAsia="宋体" w:hint="default"/>
          <w:w w:val="99"/>
        </w:rPr>
        <w:t> </w:t>
      </w:r>
      <w:r>
        <w:rPr>
          <w:rFonts w:ascii="宋体" w:hAnsi="宋体" w:cs="宋体" w:eastAsia="宋体" w:hint="default"/>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tabs>
          <w:tab w:pos="637" w:val="left" w:leader="none"/>
        </w:tabs>
        <w:spacing w:line="240" w:lineRule="auto"/>
        <w:ind w:left="218" w:right="0"/>
        <w:jc w:val="left"/>
        <w:rPr>
          <w:rFonts w:ascii="宋体" w:hAnsi="宋体" w:cs="宋体" w:eastAsia="宋体" w:hint="default"/>
          <w:b w:val="0"/>
          <w:bCs w:val="0"/>
        </w:rPr>
      </w:pPr>
      <w:r>
        <w:rPr>
          <w:rFonts w:ascii="宋体" w:hAnsi="宋体" w:cs="宋体" w:eastAsia="宋体" w:hint="default"/>
          <w:w w:val="95"/>
        </w:rPr>
        <w:t>4</w:t>
        <w:tab/>
      </w:r>
      <w:r>
        <w:rPr/>
        <w:t>报告期内控股股东变更情况索引及日期</w:t>
      </w:r>
      <w:r>
        <w:rPr>
          <w:rFonts w:ascii="宋体" w:hAnsi="宋体" w:cs="宋体" w:eastAsia="宋体" w:hint="default"/>
          <w:w w:val="99"/>
        </w:rPr>
        <w:t> </w:t>
      </w:r>
      <w:r>
        <w:rPr>
          <w:rFonts w:ascii="宋体" w:hAnsi="宋体" w:cs="宋体" w:eastAsia="宋体" w:hint="default"/>
          <w:b w:val="0"/>
          <w:bCs w:val="0"/>
        </w:rPr>
      </w:r>
    </w:p>
    <w:p>
      <w:pPr>
        <w:pStyle w:val="BodyText"/>
        <w:tabs>
          <w:tab w:pos="1081" w:val="left" w:leader="none"/>
        </w:tabs>
        <w:spacing w:line="240" w:lineRule="auto" w:before="55"/>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tabs>
          <w:tab w:pos="637" w:val="left" w:leader="none"/>
        </w:tabs>
        <w:spacing w:line="240" w:lineRule="auto"/>
        <w:ind w:left="218" w:right="0"/>
        <w:jc w:val="left"/>
        <w:rPr>
          <w:rFonts w:ascii="宋体" w:hAnsi="宋体" w:cs="宋体" w:eastAsia="宋体" w:hint="default"/>
          <w:b w:val="0"/>
          <w:bCs w:val="0"/>
        </w:rPr>
      </w:pPr>
      <w:r>
        <w:rPr>
          <w:rFonts w:ascii="宋体" w:hAnsi="宋体" w:cs="宋体" w:eastAsia="宋体" w:hint="default"/>
          <w:w w:val="95"/>
        </w:rPr>
        <w:t>5</w:t>
        <w:tab/>
      </w:r>
      <w:r>
        <w:rPr/>
        <w:t>公司与控股股东之间的产权及控制关系的方框图</w:t>
      </w:r>
      <w:r>
        <w:rPr>
          <w:rFonts w:ascii="宋体" w:hAnsi="宋体" w:cs="宋体" w:eastAsia="宋体" w:hint="default"/>
          <w:w w:val="99"/>
        </w:rPr>
        <w:t> </w:t>
      </w:r>
      <w:r>
        <w:rPr>
          <w:rFonts w:ascii="宋体" w:hAnsi="宋体" w:cs="宋体" w:eastAsia="宋体" w:hint="default"/>
          <w:b w:val="0"/>
          <w:bCs w:val="0"/>
        </w:rPr>
      </w:r>
    </w:p>
    <w:p>
      <w:pPr>
        <w:pStyle w:val="BodyText"/>
        <w:tabs>
          <w:tab w:pos="1069" w:val="left" w:leader="none"/>
        </w:tabs>
        <w:spacing w:line="240" w:lineRule="auto" w:before="58"/>
        <w:ind w:left="21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spacing w:line="3609" w:lineRule="exact"/>
        <w:ind w:left="2038" w:right="0" w:firstLine="0"/>
        <w:rPr>
          <w:rFonts w:ascii="宋体" w:hAnsi="宋体" w:cs="宋体" w:eastAsia="宋体" w:hint="default"/>
          <w:sz w:val="20"/>
          <w:szCs w:val="20"/>
        </w:rPr>
      </w:pPr>
      <w:r>
        <w:rPr>
          <w:rFonts w:ascii="宋体" w:hAnsi="宋体" w:cs="宋体" w:eastAsia="宋体" w:hint="default"/>
          <w:position w:val="-71"/>
          <w:sz w:val="20"/>
          <w:szCs w:val="20"/>
        </w:rPr>
        <w:drawing>
          <wp:inline distT="0" distB="0" distL="0" distR="0">
            <wp:extent cx="3274672" cy="2291715"/>
            <wp:effectExtent l="0" t="0" r="0" b="0"/>
            <wp:docPr id="5" name="image9.png" descr=""/>
            <wp:cNvGraphicFramePr>
              <a:graphicFrameLocks noChangeAspect="1"/>
            </wp:cNvGraphicFramePr>
            <a:graphic>
              <a:graphicData uri="http://schemas.openxmlformats.org/drawingml/2006/picture">
                <pic:pic>
                  <pic:nvPicPr>
                    <pic:cNvPr id="6" name="image9.png"/>
                    <pic:cNvPicPr/>
                  </pic:nvPicPr>
                  <pic:blipFill>
                    <a:blip r:embed="rId30" cstate="print"/>
                    <a:stretch>
                      <a:fillRect/>
                    </a:stretch>
                  </pic:blipFill>
                  <pic:spPr>
                    <a:xfrm>
                      <a:off x="0" y="0"/>
                      <a:ext cx="3274672" cy="2291715"/>
                    </a:xfrm>
                    <a:prstGeom prst="rect">
                      <a:avLst/>
                    </a:prstGeom>
                  </pic:spPr>
                </pic:pic>
              </a:graphicData>
            </a:graphic>
          </wp:inline>
        </w:drawing>
      </w:r>
      <w:r>
        <w:rPr>
          <w:rFonts w:ascii="宋体" w:hAnsi="宋体" w:cs="宋体" w:eastAsia="宋体" w:hint="default"/>
          <w:position w:val="-71"/>
          <w:sz w:val="20"/>
          <w:szCs w:val="20"/>
        </w:rPr>
      </w:r>
    </w:p>
    <w:p>
      <w:pPr>
        <w:spacing w:line="240" w:lineRule="auto" w:before="9"/>
        <w:rPr>
          <w:rFonts w:ascii="宋体" w:hAnsi="宋体" w:cs="宋体" w:eastAsia="宋体" w:hint="default"/>
          <w:sz w:val="25"/>
          <w:szCs w:val="25"/>
        </w:rPr>
      </w:pPr>
    </w:p>
    <w:p>
      <w:pPr>
        <w:pStyle w:val="Heading2"/>
        <w:tabs>
          <w:tab w:pos="642" w:val="left" w:leader="none"/>
        </w:tabs>
        <w:spacing w:line="259" w:lineRule="auto"/>
        <w:ind w:left="218" w:right="6959"/>
        <w:jc w:val="left"/>
        <w:rPr>
          <w:rFonts w:ascii="宋体" w:hAnsi="宋体" w:cs="宋体" w:eastAsia="宋体" w:hint="default"/>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27"/>
        </w:rPr>
        <w:t> </w:t>
      </w:r>
      <w:r>
        <w:rPr/>
        <w:t>实际控制人情况</w:t>
      </w:r>
      <w:r>
        <w:rPr>
          <w:w w:val="99"/>
        </w:rPr>
        <w:t> </w:t>
      </w:r>
      <w:r>
        <w:rPr>
          <w:rFonts w:ascii="宋体" w:hAnsi="宋体" w:cs="宋体" w:eastAsia="宋体" w:hint="default"/>
          <w:w w:val="95"/>
        </w:rPr>
        <w:t>1</w:t>
        <w:tab/>
      </w:r>
      <w:r>
        <w:rPr/>
        <w:t>法人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36"/>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after="0" w:line="240" w:lineRule="auto"/>
        <w:jc w:val="left"/>
        <w:sectPr>
          <w:pgSz w:w="11910" w:h="16840"/>
          <w:pgMar w:header="880" w:footer="1195" w:top="1120" w:bottom="1380" w:left="1580" w:right="1040"/>
        </w:sectPr>
      </w:pPr>
    </w:p>
    <w:p>
      <w:pPr>
        <w:spacing w:line="240" w:lineRule="auto" w:before="8"/>
        <w:rPr>
          <w:rFonts w:ascii="宋体" w:hAnsi="宋体" w:cs="宋体" w:eastAsia="宋体" w:hint="default"/>
          <w:sz w:val="25"/>
          <w:szCs w:val="25"/>
        </w:rPr>
      </w:pPr>
    </w:p>
    <w:p>
      <w:pPr>
        <w:pStyle w:val="Heading2"/>
        <w:tabs>
          <w:tab w:pos="642" w:val="left" w:leader="none"/>
        </w:tabs>
        <w:spacing w:line="240" w:lineRule="auto" w:before="26"/>
        <w:ind w:left="218" w:right="0"/>
        <w:jc w:val="left"/>
        <w:rPr>
          <w:rFonts w:ascii="宋体" w:hAnsi="宋体" w:cs="宋体" w:eastAsia="宋体" w:hint="default"/>
          <w:b w:val="0"/>
          <w:bCs w:val="0"/>
        </w:rPr>
      </w:pPr>
      <w:r>
        <w:rPr>
          <w:rFonts w:ascii="宋体" w:hAnsi="宋体" w:cs="宋体" w:eastAsia="宋体" w:hint="default"/>
          <w:w w:val="95"/>
        </w:rPr>
        <w:t>2</w:t>
        <w:tab/>
      </w:r>
      <w:r>
        <w:rPr/>
        <w:t>自然人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tbl>
      <w:tblPr>
        <w:tblW w:w="0" w:type="auto"/>
        <w:jc w:val="left"/>
        <w:tblInd w:w="105" w:type="dxa"/>
        <w:tblLayout w:type="fixed"/>
        <w:tblCellMar>
          <w:top w:w="0" w:type="dxa"/>
          <w:left w:w="0" w:type="dxa"/>
          <w:bottom w:w="0" w:type="dxa"/>
          <w:right w:w="0" w:type="dxa"/>
        </w:tblCellMar>
        <w:tblLook w:val="01E0"/>
      </w:tblPr>
      <w:tblGrid>
        <w:gridCol w:w="3392"/>
        <w:gridCol w:w="5658"/>
      </w:tblGrid>
      <w:tr>
        <w:trPr>
          <w:trHeight w:val="322"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王文京</w:t>
            </w:r>
          </w:p>
        </w:tc>
      </w:tr>
      <w:tr>
        <w:trPr>
          <w:trHeight w:val="322"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国籍</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中国</w:t>
            </w:r>
          </w:p>
        </w:tc>
      </w:tr>
      <w:tr>
        <w:trPr>
          <w:trHeight w:val="631"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是否取得其他国家或地区居留</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权</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否</w:t>
            </w:r>
          </w:p>
        </w:tc>
      </w:tr>
      <w:tr>
        <w:trPr>
          <w:trHeight w:val="1255"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主要职业及职务</w:t>
            </w:r>
            <w:r>
              <w:rPr>
                <w:rFonts w:ascii="宋体" w:hAnsi="宋体" w:cs="宋体" w:eastAsia="宋体" w:hint="default"/>
                <w:sz w:val="24"/>
                <w:szCs w:val="24"/>
              </w:rPr>
              <w:t> </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z w:val="24"/>
                <w:szCs w:val="24"/>
              </w:rPr>
              <w:t>最近</w:t>
            </w:r>
            <w:r>
              <w:rPr>
                <w:rFonts w:ascii="宋体" w:hAnsi="宋体" w:cs="宋体" w:eastAsia="宋体" w:hint="default"/>
                <w:spacing w:val="-59"/>
                <w:sz w:val="24"/>
                <w:szCs w:val="24"/>
              </w:rPr>
              <w:t> </w:t>
            </w:r>
            <w:r>
              <w:rPr>
                <w:rFonts w:ascii="宋体" w:hAnsi="宋体" w:cs="宋体" w:eastAsia="宋体" w:hint="default"/>
                <w:sz w:val="24"/>
                <w:szCs w:val="24"/>
              </w:rPr>
              <w:t>5</w:t>
            </w:r>
            <w:r>
              <w:rPr>
                <w:rFonts w:ascii="宋体" w:hAnsi="宋体" w:cs="宋体" w:eastAsia="宋体" w:hint="default"/>
                <w:spacing w:val="-59"/>
                <w:sz w:val="24"/>
                <w:szCs w:val="24"/>
              </w:rPr>
              <w:t> </w:t>
            </w:r>
            <w:r>
              <w:rPr>
                <w:rFonts w:ascii="宋体" w:hAnsi="宋体" w:cs="宋体" w:eastAsia="宋体" w:hint="default"/>
                <w:spacing w:val="-4"/>
                <w:sz w:val="24"/>
                <w:szCs w:val="24"/>
              </w:rPr>
              <w:t>年任公司董事长，还担任畅捷通信息技术股份</w:t>
            </w:r>
          </w:p>
          <w:p>
            <w:pPr>
              <w:pStyle w:val="TableParagraph"/>
              <w:spacing w:line="237" w:lineRule="auto" w:before="1"/>
              <w:ind w:left="100" w:right="102"/>
              <w:jc w:val="both"/>
              <w:rPr>
                <w:rFonts w:ascii="宋体" w:hAnsi="宋体" w:cs="宋体" w:eastAsia="宋体" w:hint="default"/>
                <w:sz w:val="24"/>
                <w:szCs w:val="24"/>
              </w:rPr>
            </w:pPr>
            <w:r>
              <w:rPr>
                <w:rFonts w:ascii="宋体" w:hAnsi="宋体" w:cs="宋体" w:eastAsia="宋体" w:hint="default"/>
                <w:spacing w:val="-4"/>
                <w:sz w:val="24"/>
                <w:szCs w:val="24"/>
              </w:rPr>
              <w:t>有限公司、北京用友政务软件有限公司、厦门用友烟</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pacing w:val="-4"/>
                <w:sz w:val="24"/>
                <w:szCs w:val="24"/>
              </w:rPr>
              <w:t>草软件有限责任公司、用友汽车信息科技（上海）股</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份有限公司董事长等职务。</w:t>
            </w:r>
            <w:r>
              <w:rPr>
                <w:rFonts w:ascii="宋体" w:hAnsi="宋体" w:cs="宋体" w:eastAsia="宋体" w:hint="default"/>
                <w:sz w:val="24"/>
                <w:szCs w:val="24"/>
              </w:rPr>
              <w:t> </w:t>
            </w:r>
          </w:p>
        </w:tc>
      </w:tr>
      <w:tr>
        <w:trPr>
          <w:trHeight w:val="634"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过去 </w:t>
            </w:r>
            <w:r>
              <w:rPr>
                <w:rFonts w:ascii="宋体" w:hAnsi="宋体" w:cs="宋体" w:eastAsia="宋体" w:hint="default"/>
                <w:sz w:val="24"/>
                <w:szCs w:val="24"/>
              </w:rPr>
              <w:t>10</w:t>
            </w:r>
            <w:r>
              <w:rPr>
                <w:rFonts w:ascii="宋体" w:hAnsi="宋体" w:cs="宋体" w:eastAsia="宋体" w:hint="default"/>
                <w:spacing w:val="11"/>
                <w:sz w:val="24"/>
                <w:szCs w:val="24"/>
              </w:rPr>
              <w:t> </w:t>
            </w:r>
            <w:r>
              <w:rPr>
                <w:rFonts w:ascii="宋体" w:hAnsi="宋体" w:cs="宋体" w:eastAsia="宋体" w:hint="default"/>
                <w:spacing w:val="4"/>
                <w:sz w:val="24"/>
                <w:szCs w:val="24"/>
              </w:rPr>
              <w:t>年曾控股的境内外上</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市公司情况</w:t>
            </w:r>
            <w:r>
              <w:rPr>
                <w:rFonts w:ascii="宋体" w:hAnsi="宋体" w:cs="宋体" w:eastAsia="宋体" w:hint="default"/>
                <w:sz w:val="24"/>
                <w:szCs w:val="24"/>
              </w:rPr>
              <w:t> </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畅捷通信息技术股份有限公司</w:t>
            </w:r>
            <w:r>
              <w:rPr>
                <w:rFonts w:ascii="宋体" w:hAnsi="宋体" w:cs="宋体" w:eastAsia="宋体" w:hint="default"/>
                <w:sz w:val="24"/>
                <w:szCs w:val="24"/>
              </w:rPr>
              <w:t> </w:t>
            </w:r>
          </w:p>
        </w:tc>
      </w:tr>
    </w:tbl>
    <w:p>
      <w:pPr>
        <w:spacing w:line="240" w:lineRule="auto" w:before="2"/>
        <w:rPr>
          <w:rFonts w:ascii="宋体" w:hAnsi="宋体" w:cs="宋体" w:eastAsia="宋体" w:hint="default"/>
          <w:sz w:val="22"/>
          <w:szCs w:val="22"/>
        </w:rPr>
      </w:pPr>
    </w:p>
    <w:p>
      <w:pPr>
        <w:pStyle w:val="Heading2"/>
        <w:tabs>
          <w:tab w:pos="642" w:val="left" w:leader="none"/>
        </w:tabs>
        <w:spacing w:line="240" w:lineRule="auto" w:before="26"/>
        <w:ind w:left="218" w:right="0"/>
        <w:jc w:val="left"/>
        <w:rPr>
          <w:rFonts w:ascii="宋体" w:hAnsi="宋体" w:cs="宋体" w:eastAsia="宋体" w:hint="default"/>
          <w:b w:val="0"/>
          <w:bCs w:val="0"/>
        </w:rPr>
      </w:pPr>
      <w:r>
        <w:rPr>
          <w:rFonts w:ascii="宋体" w:hAnsi="宋体" w:cs="宋体" w:eastAsia="宋体" w:hint="default"/>
          <w:w w:val="95"/>
        </w:rPr>
        <w:t>3</w:t>
        <w:tab/>
      </w:r>
      <w:r>
        <w:rPr/>
        <w:t>公司不存在实际控制人情况的特别说明</w:t>
      </w:r>
      <w:r>
        <w:rPr>
          <w:rFonts w:ascii="宋体" w:hAnsi="宋体" w:cs="宋体" w:eastAsia="宋体" w:hint="default"/>
          <w:w w:val="99"/>
        </w:rPr>
        <w:t> </w:t>
      </w:r>
      <w:r>
        <w:rPr>
          <w:rFonts w:ascii="宋体" w:hAnsi="宋体" w:cs="宋体" w:eastAsia="宋体" w:hint="default"/>
          <w:b w:val="0"/>
          <w:bCs w:val="0"/>
        </w:rPr>
      </w:r>
    </w:p>
    <w:p>
      <w:pPr>
        <w:pStyle w:val="BodyText"/>
        <w:tabs>
          <w:tab w:pos="1081" w:val="left" w:leader="none"/>
        </w:tabs>
        <w:spacing w:line="240" w:lineRule="auto" w:before="55"/>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tabs>
          <w:tab w:pos="642" w:val="left" w:leader="none"/>
        </w:tabs>
        <w:spacing w:line="240" w:lineRule="auto"/>
        <w:ind w:left="218" w:right="0"/>
        <w:jc w:val="left"/>
        <w:rPr>
          <w:rFonts w:ascii="宋体" w:hAnsi="宋体" w:cs="宋体" w:eastAsia="宋体" w:hint="default"/>
          <w:b w:val="0"/>
          <w:bCs w:val="0"/>
        </w:rPr>
      </w:pPr>
      <w:r>
        <w:rPr>
          <w:rFonts w:ascii="宋体" w:hAnsi="宋体" w:cs="宋体" w:eastAsia="宋体" w:hint="default"/>
          <w:w w:val="95"/>
        </w:rPr>
        <w:t>4</w:t>
        <w:tab/>
      </w:r>
      <w:r>
        <w:rPr/>
        <w:t>报告期内实际控制人变更情况索引及日期</w:t>
      </w:r>
      <w:r>
        <w:rPr>
          <w:rFonts w:ascii="宋体" w:hAnsi="宋体" w:cs="宋体" w:eastAsia="宋体" w:hint="default"/>
          <w:w w:val="99"/>
        </w:rPr>
        <w:t> </w:t>
      </w:r>
      <w:r>
        <w:rPr>
          <w:rFonts w:ascii="宋体" w:hAnsi="宋体" w:cs="宋体" w:eastAsia="宋体" w:hint="default"/>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tabs>
          <w:tab w:pos="642" w:val="left" w:leader="none"/>
        </w:tabs>
        <w:spacing w:line="240" w:lineRule="auto"/>
        <w:ind w:left="218" w:right="0"/>
        <w:jc w:val="left"/>
        <w:rPr>
          <w:rFonts w:ascii="宋体" w:hAnsi="宋体" w:cs="宋体" w:eastAsia="宋体" w:hint="default"/>
          <w:b w:val="0"/>
          <w:bCs w:val="0"/>
        </w:rPr>
      </w:pPr>
      <w:r>
        <w:rPr>
          <w:rFonts w:ascii="宋体" w:hAnsi="宋体" w:cs="宋体" w:eastAsia="宋体" w:hint="default"/>
          <w:w w:val="95"/>
        </w:rPr>
        <w:t>5</w:t>
        <w:tab/>
      </w:r>
      <w:r>
        <w:rPr/>
        <w:t>公司与实际控制人之间的产权及控制关系的方框图</w:t>
      </w:r>
      <w:r>
        <w:rPr>
          <w:rFonts w:ascii="宋体" w:hAnsi="宋体" w:cs="宋体" w:eastAsia="宋体" w:hint="default"/>
          <w:w w:val="99"/>
        </w:rPr>
        <w:t> </w:t>
      </w:r>
      <w:r>
        <w:rPr>
          <w:rFonts w:ascii="宋体" w:hAnsi="宋体" w:cs="宋体" w:eastAsia="宋体" w:hint="default"/>
          <w:b w:val="0"/>
          <w:bCs w:val="0"/>
        </w:rPr>
      </w:r>
    </w:p>
    <w:p>
      <w:pPr>
        <w:pStyle w:val="BodyText"/>
        <w:tabs>
          <w:tab w:pos="1069" w:val="left" w:leader="none"/>
        </w:tabs>
        <w:spacing w:line="240" w:lineRule="auto" w:before="58"/>
        <w:ind w:left="21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spacing w:line="3639" w:lineRule="exact"/>
        <w:ind w:left="217" w:right="0" w:firstLine="0"/>
        <w:rPr>
          <w:rFonts w:ascii="宋体" w:hAnsi="宋体" w:cs="宋体" w:eastAsia="宋体" w:hint="default"/>
          <w:sz w:val="20"/>
          <w:szCs w:val="20"/>
        </w:rPr>
      </w:pPr>
      <w:r>
        <w:rPr>
          <w:rFonts w:ascii="宋体" w:hAnsi="宋体" w:cs="宋体" w:eastAsia="宋体" w:hint="default"/>
          <w:position w:val="-72"/>
          <w:sz w:val="20"/>
          <w:szCs w:val="20"/>
        </w:rPr>
        <w:drawing>
          <wp:inline distT="0" distB="0" distL="0" distR="0">
            <wp:extent cx="5718002" cy="2311146"/>
            <wp:effectExtent l="0" t="0" r="0" b="0"/>
            <wp:docPr id="7" name="image10.jpeg" descr=""/>
            <wp:cNvGraphicFramePr>
              <a:graphicFrameLocks noChangeAspect="1"/>
            </wp:cNvGraphicFramePr>
            <a:graphic>
              <a:graphicData uri="http://schemas.openxmlformats.org/drawingml/2006/picture">
                <pic:pic>
                  <pic:nvPicPr>
                    <pic:cNvPr id="8" name="image10.jpeg"/>
                    <pic:cNvPicPr/>
                  </pic:nvPicPr>
                  <pic:blipFill>
                    <a:blip r:embed="rId31" cstate="print"/>
                    <a:stretch>
                      <a:fillRect/>
                    </a:stretch>
                  </pic:blipFill>
                  <pic:spPr>
                    <a:xfrm>
                      <a:off x="0" y="0"/>
                      <a:ext cx="5718002" cy="2311146"/>
                    </a:xfrm>
                    <a:prstGeom prst="rect">
                      <a:avLst/>
                    </a:prstGeom>
                  </pic:spPr>
                </pic:pic>
              </a:graphicData>
            </a:graphic>
          </wp:inline>
        </w:drawing>
      </w:r>
      <w:r>
        <w:rPr>
          <w:rFonts w:ascii="宋体" w:hAnsi="宋体" w:cs="宋体" w:eastAsia="宋体" w:hint="default"/>
          <w:position w:val="-72"/>
          <w:sz w:val="20"/>
          <w:szCs w:val="20"/>
        </w:rPr>
      </w:r>
    </w:p>
    <w:p>
      <w:pPr>
        <w:spacing w:line="240" w:lineRule="auto" w:before="11"/>
        <w:rPr>
          <w:rFonts w:ascii="宋体" w:hAnsi="宋体" w:cs="宋体" w:eastAsia="宋体" w:hint="default"/>
          <w:sz w:val="25"/>
          <w:szCs w:val="25"/>
        </w:rPr>
      </w:pPr>
    </w:p>
    <w:p>
      <w:pPr>
        <w:pStyle w:val="Heading2"/>
        <w:tabs>
          <w:tab w:pos="642" w:val="left" w:leader="none"/>
        </w:tabs>
        <w:spacing w:line="240" w:lineRule="auto"/>
        <w:ind w:left="218" w:right="0"/>
        <w:jc w:val="left"/>
        <w:rPr>
          <w:rFonts w:ascii="宋体" w:hAnsi="宋体" w:cs="宋体" w:eastAsia="宋体" w:hint="default"/>
          <w:b w:val="0"/>
          <w:bCs w:val="0"/>
        </w:rPr>
      </w:pPr>
      <w:r>
        <w:rPr>
          <w:rFonts w:ascii="宋体" w:hAnsi="宋体" w:cs="宋体" w:eastAsia="宋体" w:hint="default"/>
          <w:w w:val="95"/>
        </w:rPr>
        <w:t>6</w:t>
        <w:tab/>
      </w:r>
      <w:r>
        <w:rPr/>
        <w:t>实际控制人通过信托或其他资产管理方式控制公司</w:t>
      </w:r>
      <w:r>
        <w:rPr>
          <w:rFonts w:ascii="宋体" w:hAnsi="宋体" w:cs="宋体" w:eastAsia="宋体" w:hint="default"/>
          <w:w w:val="99"/>
        </w:rPr>
        <w:t> </w:t>
      </w:r>
      <w:r>
        <w:rPr>
          <w:rFonts w:ascii="宋体" w:hAnsi="宋体" w:cs="宋体" w:eastAsia="宋体" w:hint="default"/>
          <w:b w:val="0"/>
          <w:bCs w:val="0"/>
        </w:rPr>
      </w:r>
    </w:p>
    <w:p>
      <w:pPr>
        <w:pStyle w:val="BodyText"/>
        <w:tabs>
          <w:tab w:pos="1081" w:val="left" w:leader="none"/>
        </w:tabs>
        <w:spacing w:line="240" w:lineRule="auto" w:before="58"/>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3"/>
          <w:szCs w:val="23"/>
        </w:rPr>
      </w:pPr>
    </w:p>
    <w:p>
      <w:pPr>
        <w:pStyle w:val="Heading2"/>
        <w:spacing w:line="240" w:lineRule="auto"/>
        <w:ind w:left="218"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9"/>
        </w:rPr>
        <w:t> </w:t>
      </w:r>
      <w:r>
        <w:rPr/>
        <w:t>控股股东及实际控制人其他情况介绍</w:t>
      </w:r>
      <w:r>
        <w:rPr>
          <w:b w:val="0"/>
          <w:bCs w:val="0"/>
        </w:rPr>
      </w:r>
    </w:p>
    <w:p>
      <w:pPr>
        <w:pStyle w:val="BodyText"/>
        <w:tabs>
          <w:tab w:pos="1069" w:val="left" w:leader="none"/>
        </w:tabs>
        <w:spacing w:line="322" w:lineRule="exact" w:before="27"/>
        <w:ind w:left="21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pStyle w:val="BodyText"/>
        <w:spacing w:line="237" w:lineRule="auto"/>
        <w:ind w:left="218" w:right="331" w:firstLine="359"/>
        <w:jc w:val="both"/>
        <w:rPr>
          <w:rFonts w:ascii="宋体" w:hAnsi="宋体" w:cs="宋体" w:eastAsia="宋体" w:hint="default"/>
        </w:rPr>
      </w:pPr>
      <w:r>
        <w:rPr/>
        <w:t>王文京先生，</w:t>
      </w:r>
      <w:r>
        <w:rPr>
          <w:rFonts w:ascii="宋体" w:hAnsi="宋体" w:cs="宋体" w:eastAsia="宋体" w:hint="default"/>
        </w:rPr>
        <w:t>1964</w:t>
      </w:r>
      <w:r>
        <w:rPr>
          <w:rFonts w:ascii="宋体" w:hAnsi="宋体" w:cs="宋体" w:eastAsia="宋体" w:hint="default"/>
          <w:spacing w:val="-42"/>
        </w:rPr>
        <w:t> </w:t>
      </w:r>
      <w:r>
        <w:rPr/>
        <w:t>年</w:t>
      </w:r>
      <w:r>
        <w:rPr>
          <w:spacing w:val="-42"/>
        </w:rPr>
        <w:t> </w:t>
      </w:r>
      <w:r>
        <w:rPr>
          <w:rFonts w:ascii="宋体" w:hAnsi="宋体" w:cs="宋体" w:eastAsia="宋体" w:hint="default"/>
        </w:rPr>
        <w:t>12</w:t>
      </w:r>
      <w:r>
        <w:rPr>
          <w:rFonts w:ascii="宋体" w:hAnsi="宋体" w:cs="宋体" w:eastAsia="宋体" w:hint="default"/>
          <w:spacing w:val="-42"/>
        </w:rPr>
        <w:t> </w:t>
      </w:r>
      <w:r>
        <w:rPr/>
        <w:t>月出生，经济学学士，</w:t>
      </w:r>
      <w:r>
        <w:rPr>
          <w:rFonts w:ascii="宋体" w:hAnsi="宋体" w:cs="宋体" w:eastAsia="宋体" w:hint="default"/>
        </w:rPr>
        <w:t>1983</w:t>
      </w:r>
      <w:r>
        <w:rPr/>
        <w:t>～</w:t>
      </w:r>
      <w:r>
        <w:rPr>
          <w:rFonts w:ascii="宋体" w:hAnsi="宋体" w:cs="宋体" w:eastAsia="宋体" w:hint="default"/>
        </w:rPr>
        <w:t>1988</w:t>
      </w:r>
      <w:r>
        <w:rPr>
          <w:rFonts w:ascii="宋体" w:hAnsi="宋体" w:cs="宋体" w:eastAsia="宋体" w:hint="default"/>
          <w:spacing w:val="-42"/>
        </w:rPr>
        <w:t> </w:t>
      </w:r>
      <w:r>
        <w:rPr/>
        <w:t>年在国务院某直属机 </w:t>
      </w:r>
      <w:r>
        <w:rPr>
          <w:spacing w:val="-7"/>
        </w:rPr>
        <w:t>关工作。</w:t>
      </w:r>
      <w:r>
        <w:rPr>
          <w:rFonts w:ascii="宋体" w:hAnsi="宋体" w:cs="宋体" w:eastAsia="宋体" w:hint="default"/>
          <w:spacing w:val="-7"/>
        </w:rPr>
        <w:t>1988</w:t>
      </w:r>
      <w:r>
        <w:rPr>
          <w:rFonts w:ascii="宋体" w:hAnsi="宋体" w:cs="宋体" w:eastAsia="宋体" w:hint="default"/>
          <w:spacing w:val="-50"/>
        </w:rPr>
        <w:t> </w:t>
      </w:r>
      <w:r>
        <w:rPr>
          <w:spacing w:val="-2"/>
        </w:rPr>
        <w:t>年与苏启强先生共同出资创建用友软件服务社，曾任用友软件股份有限</w:t>
      </w:r>
      <w:r>
        <w:rPr/>
        <w:t> 公司董事长、总裁等职务，现任公司董事长。</w:t>
      </w:r>
      <w:r>
        <w:rPr>
          <w:rFonts w:ascii="宋体" w:hAnsi="宋体" w:cs="宋体" w:eastAsia="宋体" w:hint="default"/>
        </w:rPr>
        <w:t> </w:t>
      </w:r>
    </w:p>
    <w:p>
      <w:pPr>
        <w:spacing w:after="0" w:line="237" w:lineRule="auto"/>
        <w:jc w:val="both"/>
        <w:rPr>
          <w:rFonts w:ascii="宋体" w:hAnsi="宋体" w:cs="宋体" w:eastAsia="宋体" w:hint="default"/>
        </w:rPr>
        <w:sectPr>
          <w:pgSz w:w="11910" w:h="16840"/>
          <w:pgMar w:header="880" w:footer="1195" w:top="1120" w:bottom="1380" w:left="1580" w:right="940"/>
        </w:sectPr>
      </w:pPr>
    </w:p>
    <w:p>
      <w:pPr>
        <w:spacing w:line="240" w:lineRule="auto" w:before="8"/>
        <w:rPr>
          <w:rFonts w:ascii="宋体" w:hAnsi="宋体" w:cs="宋体" w:eastAsia="宋体" w:hint="default"/>
          <w:sz w:val="25"/>
          <w:szCs w:val="25"/>
        </w:rPr>
      </w:pPr>
    </w:p>
    <w:p>
      <w:pPr>
        <w:pStyle w:val="BodyText"/>
        <w:spacing w:line="312" w:lineRule="exact" w:before="56"/>
        <w:ind w:left="218" w:right="232" w:firstLine="479"/>
        <w:jc w:val="both"/>
      </w:pPr>
      <w:r>
        <w:rPr>
          <w:spacing w:val="-9"/>
        </w:rPr>
        <w:t>王文京先生先后荣获“中国优秀民营企业家”、“中国软件企业十大领军人物”、</w:t>
      </w:r>
      <w:r>
        <w:rPr/>
        <w:t> </w:t>
      </w:r>
      <w:r>
        <w:rPr>
          <w:spacing w:val="-5"/>
        </w:rPr>
        <w:t>“中国年度经济人物”、“十大华人经济领袖”、“中国自主创新领军人物”、“</w:t>
      </w:r>
      <w:r>
        <w:rPr>
          <w:spacing w:val="8"/>
        </w:rPr>
        <w:t> </w:t>
      </w:r>
      <w:r>
        <w:rPr>
          <w:rFonts w:ascii="宋体" w:hAnsi="宋体" w:cs="宋体" w:eastAsia="宋体" w:hint="default"/>
          <w:spacing w:val="8"/>
        </w:rPr>
      </w:r>
      <w:r>
        <w:rPr/>
        <w:t>产 业互联网领军人物”、“改革开放 </w:t>
      </w:r>
      <w:r>
        <w:rPr>
          <w:rFonts w:ascii="宋体" w:hAnsi="宋体" w:cs="宋体" w:eastAsia="宋体" w:hint="default"/>
        </w:rPr>
        <w:t>40</w:t>
      </w:r>
      <w:r>
        <w:rPr>
          <w:rFonts w:ascii="宋体" w:hAnsi="宋体" w:cs="宋体" w:eastAsia="宋体" w:hint="default"/>
          <w:spacing w:val="-48"/>
        </w:rPr>
        <w:t> </w:t>
      </w:r>
      <w:r>
        <w:rPr/>
        <w:t>年百名杰出民营企业家”、“中国杰出贡献企</w:t>
      </w:r>
    </w:p>
    <w:p>
      <w:pPr>
        <w:pStyle w:val="BodyText"/>
        <w:spacing w:line="281" w:lineRule="exact"/>
        <w:ind w:left="218" w:right="0"/>
        <w:jc w:val="left"/>
      </w:pPr>
      <w:r>
        <w:rPr/>
        <w:t>业家”、“中国最具影响力</w:t>
      </w:r>
      <w:r>
        <w:rPr>
          <w:spacing w:val="-61"/>
        </w:rPr>
        <w:t> </w:t>
      </w:r>
      <w:r>
        <w:rPr>
          <w:rFonts w:ascii="宋体" w:hAnsi="宋体" w:cs="宋体" w:eastAsia="宋体" w:hint="default"/>
        </w:rPr>
        <w:t>25</w:t>
      </w:r>
      <w:r>
        <w:rPr>
          <w:rFonts w:ascii="宋体" w:hAnsi="宋体" w:cs="宋体" w:eastAsia="宋体" w:hint="default"/>
          <w:spacing w:val="-61"/>
        </w:rPr>
        <w:t> </w:t>
      </w:r>
      <w:r>
        <w:rPr/>
        <w:t>位商业领袖”等社会荣誉。</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0" w:footer="1195" w:top="1120" w:bottom="1380" w:left="1580" w:right="1040"/>
        </w:sectPr>
      </w:pPr>
    </w:p>
    <w:p>
      <w:pPr>
        <w:pStyle w:val="Heading2"/>
        <w:tabs>
          <w:tab w:pos="1057" w:val="left" w:leader="none"/>
        </w:tabs>
        <w:spacing w:line="240" w:lineRule="auto" w:before="26"/>
        <w:ind w:left="218" w:right="0"/>
        <w:jc w:val="left"/>
        <w:rPr>
          <w:b w:val="0"/>
          <w:bCs w:val="0"/>
        </w:rPr>
      </w:pPr>
      <w:r>
        <w:rPr>
          <w:w w:val="95"/>
        </w:rPr>
        <w:t>五、</w:t>
      </w:r>
      <w:r>
        <w:rPr>
          <w:rFonts w:ascii="宋体" w:hAnsi="宋体" w:cs="宋体" w:eastAsia="宋体" w:hint="default"/>
          <w:w w:val="95"/>
        </w:rPr>
        <w:tab/>
      </w:r>
      <w:r>
        <w:rPr>
          <w:w w:val="95"/>
        </w:rPr>
        <w:t>其他持股在百分之十以上的法人股东</w:t>
      </w:r>
      <w:r>
        <w:rPr>
          <w:b w:val="0"/>
          <w:bCs w:val="0"/>
        </w:rPr>
      </w:r>
    </w:p>
    <w:p>
      <w:pPr>
        <w:pStyle w:val="BodyText"/>
        <w:spacing w:line="240" w:lineRule="auto" w:before="58"/>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8" w:val="left" w:leader="none"/>
        </w:tabs>
        <w:spacing w:line="240" w:lineRule="auto"/>
        <w:ind w:left="218" w:right="0"/>
        <w:jc w:val="left"/>
      </w:pPr>
      <w:r>
        <w:rPr/>
        <w:t>单位：元</w:t>
        <w:tab/>
        <w:t>币种：人民币</w:t>
      </w:r>
    </w:p>
    <w:p>
      <w:pPr>
        <w:spacing w:after="0" w:line="240" w:lineRule="auto"/>
        <w:jc w:val="left"/>
        <w:sectPr>
          <w:type w:val="continuous"/>
          <w:pgSz w:w="11910" w:h="16840"/>
          <w:pgMar w:top="1120" w:bottom="1380" w:left="1580" w:right="1040"/>
          <w:cols w:num="2" w:equalWidth="0">
            <w:col w:w="4911" w:space="1281"/>
            <w:col w:w="3098"/>
          </w:cols>
        </w:sectPr>
      </w:pPr>
    </w:p>
    <w:p>
      <w:pPr>
        <w:spacing w:line="240" w:lineRule="auto" w:before="10"/>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392"/>
        <w:gridCol w:w="1285"/>
        <w:gridCol w:w="1142"/>
        <w:gridCol w:w="2376"/>
        <w:gridCol w:w="1417"/>
        <w:gridCol w:w="1438"/>
      </w:tblGrid>
      <w:tr>
        <w:trPr>
          <w:trHeight w:val="943" w:hRule="exact"/>
        </w:trPr>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451" w:right="209" w:hanging="240"/>
              <w:jc w:val="left"/>
              <w:rPr>
                <w:rFonts w:ascii="宋体" w:hAnsi="宋体" w:cs="宋体" w:eastAsia="宋体" w:hint="default"/>
                <w:sz w:val="24"/>
                <w:szCs w:val="24"/>
              </w:rPr>
            </w:pPr>
            <w:r>
              <w:rPr>
                <w:rFonts w:ascii="宋体" w:hAnsi="宋体" w:cs="宋体" w:eastAsia="宋体" w:hint="default"/>
                <w:sz w:val="24"/>
                <w:szCs w:val="24"/>
              </w:rPr>
              <w:t>法人股东 名称</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55" w:right="0"/>
              <w:jc w:val="left"/>
              <w:rPr>
                <w:rFonts w:ascii="宋体" w:hAnsi="宋体" w:cs="宋体" w:eastAsia="宋体" w:hint="default"/>
                <w:sz w:val="24"/>
                <w:szCs w:val="24"/>
              </w:rPr>
            </w:pPr>
            <w:r>
              <w:rPr>
                <w:rFonts w:ascii="宋体" w:hAnsi="宋体" w:cs="宋体" w:eastAsia="宋体" w:hint="default"/>
                <w:sz w:val="24"/>
                <w:szCs w:val="24"/>
              </w:rPr>
              <w:t>单位负责</w:t>
            </w:r>
          </w:p>
          <w:p>
            <w:pPr>
              <w:pStyle w:val="TableParagraph"/>
              <w:spacing w:line="312" w:lineRule="exact" w:before="29"/>
              <w:ind w:left="275" w:right="158" w:hanging="120"/>
              <w:jc w:val="left"/>
              <w:rPr>
                <w:rFonts w:ascii="宋体" w:hAnsi="宋体" w:cs="宋体" w:eastAsia="宋体" w:hint="default"/>
                <w:sz w:val="24"/>
                <w:szCs w:val="24"/>
              </w:rPr>
            </w:pPr>
            <w:r>
              <w:rPr>
                <w:rFonts w:ascii="宋体" w:hAnsi="宋体" w:cs="宋体" w:eastAsia="宋体" w:hint="default"/>
                <w:sz w:val="24"/>
                <w:szCs w:val="24"/>
              </w:rPr>
              <w:t>人或法定 代表人</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443" w:right="206" w:hanging="240"/>
              <w:jc w:val="left"/>
              <w:rPr>
                <w:rFonts w:ascii="宋体" w:hAnsi="宋体" w:cs="宋体" w:eastAsia="宋体" w:hint="default"/>
                <w:sz w:val="24"/>
                <w:szCs w:val="24"/>
              </w:rPr>
            </w:pPr>
            <w:r>
              <w:rPr>
                <w:rFonts w:ascii="宋体" w:hAnsi="宋体" w:cs="宋体" w:eastAsia="宋体" w:hint="default"/>
                <w:sz w:val="24"/>
                <w:szCs w:val="24"/>
              </w:rPr>
              <w:t>成立日 期</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943" w:right="701" w:hanging="240"/>
              <w:jc w:val="left"/>
              <w:rPr>
                <w:rFonts w:ascii="宋体" w:hAnsi="宋体" w:cs="宋体" w:eastAsia="宋体" w:hint="default"/>
                <w:sz w:val="24"/>
                <w:szCs w:val="24"/>
              </w:rPr>
            </w:pPr>
            <w:r>
              <w:rPr>
                <w:rFonts w:ascii="宋体" w:hAnsi="宋体" w:cs="宋体" w:eastAsia="宋体" w:hint="default"/>
                <w:sz w:val="24"/>
                <w:szCs w:val="24"/>
              </w:rPr>
              <w:t>组织机构 代码</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223" w:right="0"/>
              <w:jc w:val="left"/>
              <w:rPr>
                <w:rFonts w:ascii="宋体" w:hAnsi="宋体" w:cs="宋体" w:eastAsia="宋体" w:hint="default"/>
                <w:sz w:val="24"/>
                <w:szCs w:val="24"/>
              </w:rPr>
            </w:pPr>
            <w:r>
              <w:rPr>
                <w:rFonts w:ascii="宋体" w:hAnsi="宋体" w:cs="宋体" w:eastAsia="宋体" w:hint="default"/>
                <w:sz w:val="24"/>
                <w:szCs w:val="24"/>
              </w:rPr>
              <w:t>注册资本</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15" w:right="0"/>
              <w:jc w:val="left"/>
              <w:rPr>
                <w:rFonts w:ascii="宋体" w:hAnsi="宋体" w:cs="宋体" w:eastAsia="宋体" w:hint="default"/>
                <w:sz w:val="24"/>
                <w:szCs w:val="24"/>
              </w:rPr>
            </w:pPr>
            <w:r>
              <w:rPr>
                <w:rFonts w:ascii="宋体" w:hAnsi="宋体" w:cs="宋体" w:eastAsia="宋体" w:hint="default"/>
                <w:sz w:val="24"/>
                <w:szCs w:val="24"/>
              </w:rPr>
              <w:t>主要经营业</w:t>
            </w:r>
          </w:p>
          <w:p>
            <w:pPr>
              <w:pStyle w:val="TableParagraph"/>
              <w:spacing w:line="312" w:lineRule="exact" w:before="29"/>
              <w:ind w:left="235" w:right="110" w:hanging="120"/>
              <w:jc w:val="left"/>
              <w:rPr>
                <w:rFonts w:ascii="宋体" w:hAnsi="宋体" w:cs="宋体" w:eastAsia="宋体" w:hint="default"/>
                <w:sz w:val="24"/>
                <w:szCs w:val="24"/>
              </w:rPr>
            </w:pPr>
            <w:r>
              <w:rPr>
                <w:rFonts w:ascii="宋体" w:hAnsi="宋体" w:cs="宋体" w:eastAsia="宋体" w:hint="default"/>
                <w:sz w:val="24"/>
                <w:szCs w:val="24"/>
              </w:rPr>
              <w:t>务或管理活 动等情况</w:t>
            </w:r>
          </w:p>
        </w:tc>
      </w:tr>
      <w:tr>
        <w:trPr>
          <w:trHeight w:val="3435" w:hRule="exact"/>
        </w:trPr>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pacing w:val="54"/>
                <w:sz w:val="24"/>
                <w:szCs w:val="24"/>
              </w:rPr>
              <w:t>上海用友</w:t>
            </w:r>
            <w:r>
              <w:rPr>
                <w:rFonts w:ascii="宋体" w:hAnsi="宋体" w:cs="宋体" w:eastAsia="宋体" w:hint="default"/>
                <w:spacing w:val="-48"/>
                <w:sz w:val="24"/>
                <w:szCs w:val="24"/>
              </w:rPr>
              <w:t> </w:t>
            </w:r>
            <w:r>
              <w:rPr>
                <w:rFonts w:ascii="宋体" w:hAnsi="宋体" w:cs="宋体" w:eastAsia="宋体" w:hint="default"/>
                <w:sz w:val="24"/>
                <w:szCs w:val="24"/>
              </w:rPr>
            </w:r>
          </w:p>
          <w:p>
            <w:pPr>
              <w:pStyle w:val="TableParagraph"/>
              <w:spacing w:line="312" w:lineRule="exact" w:before="28"/>
              <w:ind w:left="103" w:right="29"/>
              <w:jc w:val="left"/>
              <w:rPr>
                <w:rFonts w:ascii="宋体" w:hAnsi="宋体" w:cs="宋体" w:eastAsia="宋体" w:hint="default"/>
                <w:sz w:val="24"/>
                <w:szCs w:val="24"/>
              </w:rPr>
            </w:pPr>
            <w:r>
              <w:rPr>
                <w:rFonts w:ascii="宋体" w:hAnsi="宋体" w:cs="宋体" w:eastAsia="宋体" w:hint="default"/>
                <w:spacing w:val="54"/>
                <w:sz w:val="24"/>
                <w:szCs w:val="24"/>
              </w:rPr>
              <w:t>科技咨询</w:t>
            </w:r>
            <w:r>
              <w:rPr>
                <w:rFonts w:ascii="宋体" w:hAnsi="宋体" w:cs="宋体" w:eastAsia="宋体" w:hint="default"/>
                <w:spacing w:val="-48"/>
                <w:sz w:val="24"/>
                <w:szCs w:val="24"/>
              </w:rPr>
              <w:t> </w:t>
            </w:r>
            <w:r>
              <w:rPr>
                <w:rFonts w:ascii="宋体" w:hAnsi="宋体" w:cs="宋体" w:eastAsia="宋体" w:hint="default"/>
                <w:sz w:val="24"/>
                <w:szCs w:val="24"/>
              </w:rPr>
              <w:t>有限公司</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r>
              <w:rPr>
                <w:rFonts w:ascii="宋体" w:hAnsi="宋体" w:cs="宋体" w:eastAsia="宋体" w:hint="default"/>
                <w:sz w:val="24"/>
                <w:szCs w:val="24"/>
              </w:rPr>
              <w:t> </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tabs>
                <w:tab w:pos="787" w:val="left" w:leader="none"/>
              </w:tabs>
              <w:spacing w:line="275" w:lineRule="exact"/>
              <w:ind w:left="100" w:right="0"/>
              <w:jc w:val="left"/>
              <w:rPr>
                <w:rFonts w:ascii="宋体" w:hAnsi="宋体" w:cs="宋体" w:eastAsia="宋体" w:hint="default"/>
                <w:sz w:val="24"/>
                <w:szCs w:val="24"/>
              </w:rPr>
            </w:pPr>
            <w:r>
              <w:rPr>
                <w:rFonts w:ascii="宋体" w:hAnsi="宋体" w:cs="宋体" w:eastAsia="宋体" w:hint="default"/>
                <w:sz w:val="24"/>
                <w:szCs w:val="24"/>
              </w:rPr>
              <w:t>1994</w:t>
              <w:tab/>
            </w:r>
            <w:r>
              <w:rPr>
                <w:rFonts w:ascii="宋体" w:hAnsi="宋体" w:cs="宋体" w:eastAsia="宋体" w:hint="default"/>
                <w:sz w:val="24"/>
                <w:szCs w:val="24"/>
              </w:rPr>
              <w:t>年</w:t>
            </w:r>
          </w:p>
          <w:p>
            <w:pPr>
              <w:pStyle w:val="TableParagraph"/>
              <w:spacing w:line="311" w:lineRule="exact"/>
              <w:ind w:left="100" w:right="0"/>
              <w:jc w:val="left"/>
              <w:rPr>
                <w:rFonts w:ascii="宋体" w:hAnsi="宋体" w:cs="宋体" w:eastAsia="宋体" w:hint="default"/>
                <w:sz w:val="24"/>
                <w:szCs w:val="24"/>
              </w:rPr>
            </w:pPr>
            <w:r>
              <w:rPr>
                <w:rFonts w:ascii="宋体" w:hAnsi="宋体" w:cs="宋体" w:eastAsia="宋体" w:hint="default"/>
                <w:sz w:val="24"/>
                <w:szCs w:val="24"/>
              </w:rPr>
              <w:t>05 </w:t>
            </w:r>
            <w:r>
              <w:rPr>
                <w:rFonts w:ascii="宋体" w:hAnsi="宋体" w:cs="宋体" w:eastAsia="宋体" w:hint="default"/>
                <w:sz w:val="24"/>
                <w:szCs w:val="24"/>
              </w:rPr>
              <w:t>月</w:t>
            </w:r>
            <w:r>
              <w:rPr>
                <w:rFonts w:ascii="宋体" w:hAnsi="宋体" w:cs="宋体" w:eastAsia="宋体" w:hint="default"/>
                <w:spacing w:val="-34"/>
                <w:sz w:val="24"/>
                <w:szCs w:val="24"/>
              </w:rPr>
              <w:t> </w:t>
            </w:r>
            <w:r>
              <w:rPr>
                <w:rFonts w:ascii="宋体" w:hAnsi="宋体" w:cs="宋体" w:eastAsia="宋体" w:hint="default"/>
                <w:sz w:val="24"/>
                <w:szCs w:val="24"/>
              </w:rPr>
              <w:t>13</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日</w:t>
            </w:r>
            <w:r>
              <w:rPr>
                <w:rFonts w:ascii="宋体" w:hAnsi="宋体" w:cs="宋体" w:eastAsia="宋体" w:hint="default"/>
                <w:sz w:val="24"/>
                <w:szCs w:val="24"/>
              </w:rPr>
              <w:t> </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17"/>
              <w:jc w:val="left"/>
              <w:rPr>
                <w:rFonts w:ascii="宋体" w:hAnsi="宋体" w:cs="宋体" w:eastAsia="宋体" w:hint="default"/>
                <w:sz w:val="24"/>
                <w:szCs w:val="24"/>
              </w:rPr>
            </w:pPr>
            <w:r>
              <w:rPr>
                <w:rFonts w:ascii="宋体"/>
                <w:sz w:val="24"/>
              </w:rPr>
              <w:t>913101146077210078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17"/>
              <w:jc w:val="left"/>
              <w:rPr>
                <w:rFonts w:ascii="宋体" w:hAnsi="宋体" w:cs="宋体" w:eastAsia="宋体" w:hint="default"/>
                <w:sz w:val="24"/>
                <w:szCs w:val="24"/>
              </w:rPr>
            </w:pPr>
            <w:r>
              <w:rPr>
                <w:rFonts w:ascii="宋体"/>
                <w:sz w:val="24"/>
              </w:rPr>
              <w:t>22,932,980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从事计算机</w:t>
            </w:r>
          </w:p>
          <w:p>
            <w:pPr>
              <w:pStyle w:val="TableParagraph"/>
              <w:spacing w:line="237" w:lineRule="auto"/>
              <w:ind w:left="103" w:right="2"/>
              <w:jc w:val="left"/>
              <w:rPr>
                <w:rFonts w:ascii="宋体" w:hAnsi="宋体" w:cs="宋体" w:eastAsia="宋体" w:hint="default"/>
                <w:sz w:val="24"/>
                <w:szCs w:val="24"/>
              </w:rPr>
            </w:pPr>
            <w:r>
              <w:rPr>
                <w:rFonts w:ascii="宋体" w:hAnsi="宋体" w:cs="宋体" w:eastAsia="宋体" w:hint="default"/>
                <w:spacing w:val="3"/>
                <w:sz w:val="24"/>
                <w:szCs w:val="24"/>
              </w:rPr>
              <w:t>软硬件技术</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3"/>
                <w:sz w:val="24"/>
                <w:szCs w:val="24"/>
              </w:rPr>
              <w:t>领域内的技</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3"/>
                <w:sz w:val="24"/>
                <w:szCs w:val="24"/>
              </w:rPr>
              <w:t>术咨询，企</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66"/>
                <w:sz w:val="24"/>
                <w:szCs w:val="24"/>
              </w:rPr>
              <w:t>业管理咨</w:t>
            </w:r>
            <w:r>
              <w:rPr>
                <w:rFonts w:ascii="宋体" w:hAnsi="宋体" w:cs="宋体" w:eastAsia="宋体" w:hint="default"/>
                <w:spacing w:val="-32"/>
                <w:sz w:val="24"/>
                <w:szCs w:val="24"/>
              </w:rPr>
              <w:t> </w:t>
            </w:r>
            <w:r>
              <w:rPr>
                <w:rFonts w:ascii="宋体" w:hAnsi="宋体" w:cs="宋体" w:eastAsia="宋体" w:hint="default"/>
                <w:spacing w:val="3"/>
                <w:sz w:val="24"/>
                <w:szCs w:val="24"/>
              </w:rPr>
              <w:t>询，投资管</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3"/>
                <w:sz w:val="24"/>
                <w:szCs w:val="24"/>
              </w:rPr>
              <w:t>理，实业投</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3"/>
                <w:sz w:val="24"/>
                <w:szCs w:val="24"/>
              </w:rPr>
              <w:t>资。（企业</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3"/>
                <w:sz w:val="24"/>
                <w:szCs w:val="24"/>
              </w:rPr>
              <w:t>涉及行政许</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pacing w:val="3"/>
                <w:sz w:val="24"/>
                <w:szCs w:val="24"/>
              </w:rPr>
              <w:t>可的，凭许</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可证经营）</w:t>
            </w:r>
            <w:r>
              <w:rPr>
                <w:rFonts w:ascii="宋体" w:hAnsi="宋体" w:cs="宋体" w:eastAsia="宋体" w:hint="default"/>
                <w:sz w:val="24"/>
                <w:szCs w:val="24"/>
              </w:rPr>
              <w:t> </w:t>
            </w:r>
          </w:p>
        </w:tc>
      </w:tr>
      <w:tr>
        <w:trPr>
          <w:trHeight w:val="322" w:hRule="exact"/>
        </w:trPr>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情况说明</w:t>
            </w:r>
          </w:p>
        </w:tc>
        <w:tc>
          <w:tcPr>
            <w:tcW w:w="7658" w:type="dxa"/>
            <w:gridSpan w:val="5"/>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无</w:t>
            </w:r>
          </w:p>
        </w:tc>
      </w:tr>
    </w:tbl>
    <w:p>
      <w:pPr>
        <w:spacing w:line="240" w:lineRule="auto" w:before="8"/>
        <w:rPr>
          <w:rFonts w:ascii="宋体" w:hAnsi="宋体" w:cs="宋体" w:eastAsia="宋体" w:hint="default"/>
          <w:sz w:val="20"/>
          <w:szCs w:val="20"/>
        </w:rPr>
      </w:pPr>
    </w:p>
    <w:p>
      <w:pPr>
        <w:pStyle w:val="Heading2"/>
        <w:tabs>
          <w:tab w:pos="1057" w:val="left" w:leader="none"/>
        </w:tabs>
        <w:spacing w:line="240" w:lineRule="auto" w:before="26"/>
        <w:ind w:left="218" w:right="0"/>
        <w:jc w:val="left"/>
        <w:rPr>
          <w:b w:val="0"/>
          <w:bCs w:val="0"/>
        </w:rPr>
      </w:pPr>
      <w:r>
        <w:rPr>
          <w:w w:val="95"/>
        </w:rPr>
        <w:t>六、</w:t>
      </w:r>
      <w:r>
        <w:rPr>
          <w:rFonts w:ascii="宋体" w:hAnsi="宋体" w:cs="宋体" w:eastAsia="宋体" w:hint="default"/>
          <w:w w:val="95"/>
        </w:rPr>
        <w:tab/>
      </w:r>
      <w:r>
        <w:rPr/>
        <w:t>股份限制减持情况说明</w:t>
      </w:r>
      <w:r>
        <w:rPr>
          <w:b w:val="0"/>
          <w:bCs w:val="0"/>
        </w:rPr>
      </w:r>
    </w:p>
    <w:p>
      <w:pPr>
        <w:pStyle w:val="BodyText"/>
        <w:spacing w:line="240" w:lineRule="auto" w:before="58"/>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6"/>
        <w:rPr>
          <w:rFonts w:ascii="宋体" w:hAnsi="宋体" w:cs="宋体" w:eastAsia="宋体" w:hint="default"/>
          <w:sz w:val="23"/>
          <w:szCs w:val="23"/>
        </w:rPr>
      </w:pPr>
    </w:p>
    <w:p>
      <w:pPr>
        <w:pStyle w:val="Heading1"/>
        <w:spacing w:line="240" w:lineRule="auto" w:before="0"/>
        <w:ind w:left="3161" w:right="0"/>
        <w:jc w:val="left"/>
        <w:rPr>
          <w:b w:val="0"/>
          <w:bCs w:val="0"/>
        </w:rPr>
      </w:pPr>
      <w:bookmarkStart w:name="_bookmark6" w:id="9"/>
      <w:bookmarkEnd w:id="9"/>
      <w:r>
        <w:rPr>
          <w:b w:val="0"/>
          <w:bCs w:val="0"/>
        </w:rPr>
      </w:r>
      <w:r>
        <w:rPr/>
        <w:t>第七节</w:t>
      </w:r>
      <w:r>
        <w:rPr>
          <w:spacing w:val="133"/>
        </w:rPr>
        <w:t> </w:t>
      </w:r>
      <w:r>
        <w:rPr>
          <w:rFonts w:ascii="宋体" w:hAnsi="宋体" w:cs="宋体" w:eastAsia="宋体" w:hint="default"/>
          <w:spacing w:val="133"/>
        </w:rPr>
      </w:r>
      <w:r>
        <w:rPr/>
        <w:t>优先股相关情况</w:t>
      </w:r>
      <w:r>
        <w:rPr>
          <w:b w:val="0"/>
          <w:bCs w:val="0"/>
        </w:rPr>
      </w:r>
    </w:p>
    <w:p>
      <w:pPr>
        <w:pStyle w:val="BodyText"/>
        <w:spacing w:line="240" w:lineRule="auto" w:before="246"/>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after="0" w:line="240" w:lineRule="auto"/>
        <w:jc w:val="left"/>
        <w:sectPr>
          <w:type w:val="continuous"/>
          <w:pgSz w:w="11910" w:h="16840"/>
          <w:pgMar w:top="1120" w:bottom="1380" w:left="1580" w:right="1040"/>
        </w:sectPr>
      </w:pPr>
    </w:p>
    <w:p>
      <w:pPr>
        <w:pStyle w:val="Heading1"/>
        <w:spacing w:line="240" w:lineRule="auto" w:before="105"/>
        <w:ind w:left="4283" w:right="0"/>
        <w:jc w:val="left"/>
        <w:rPr>
          <w:b w:val="0"/>
          <w:bCs w:val="0"/>
        </w:rPr>
      </w:pPr>
      <w:bookmarkStart w:name="_bookmark7" w:id="10"/>
      <w:bookmarkEnd w:id="10"/>
      <w:r>
        <w:rPr>
          <w:b w:val="0"/>
          <w:bCs w:val="0"/>
        </w:rPr>
      </w:r>
      <w:r>
        <w:rPr/>
        <w:t>第八节</w:t>
      </w:r>
      <w:r>
        <w:rPr>
          <w:spacing w:val="132"/>
        </w:rPr>
        <w:t> </w:t>
      </w:r>
      <w:r>
        <w:rPr>
          <w:rFonts w:ascii="宋体" w:hAnsi="宋体" w:cs="宋体" w:eastAsia="宋体" w:hint="default"/>
          <w:spacing w:val="132"/>
        </w:rPr>
      </w:r>
      <w:r>
        <w:rPr/>
        <w:t>董事、监事、高级管理人员和员工情况</w:t>
      </w:r>
      <w:r>
        <w:rPr>
          <w:b w:val="0"/>
          <w:bCs w:val="0"/>
        </w:rPr>
      </w:r>
    </w:p>
    <w:p>
      <w:pPr>
        <w:spacing w:line="240" w:lineRule="auto" w:before="11"/>
        <w:rPr>
          <w:rFonts w:ascii="黑体" w:hAnsi="黑体" w:cs="黑体" w:eastAsia="黑体" w:hint="default"/>
          <w:b/>
          <w:bCs/>
          <w:sz w:val="16"/>
          <w:szCs w:val="16"/>
        </w:rPr>
      </w:pPr>
    </w:p>
    <w:p>
      <w:pPr>
        <w:spacing w:after="0" w:line="240" w:lineRule="auto"/>
        <w:rPr>
          <w:rFonts w:ascii="黑体" w:hAnsi="黑体" w:cs="黑体" w:eastAsia="黑体" w:hint="default"/>
          <w:sz w:val="16"/>
          <w:szCs w:val="16"/>
        </w:rPr>
        <w:sectPr>
          <w:headerReference w:type="default" r:id="rId32"/>
          <w:footerReference w:type="default" r:id="rId33"/>
          <w:pgSz w:w="16840" w:h="11910" w:orient="landscape"/>
          <w:pgMar w:header="880" w:footer="1195" w:top="1120" w:bottom="1380" w:left="1300" w:right="1200"/>
          <w:pgNumType w:start="47"/>
        </w:sectPr>
      </w:pPr>
    </w:p>
    <w:p>
      <w:pPr>
        <w:pStyle w:val="Heading2"/>
        <w:spacing w:line="240" w:lineRule="auto" w:before="26"/>
        <w:ind w:left="224" w:right="-14"/>
        <w:jc w:val="left"/>
        <w:rPr>
          <w:b w:val="0"/>
          <w:bCs w:val="0"/>
        </w:rPr>
      </w:pPr>
      <w:r>
        <w:rPr/>
        <w:t>一、持股变动情况及报酬情况</w:t>
      </w:r>
      <w:r>
        <w:rPr>
          <w:b w:val="0"/>
          <w:bCs w:val="0"/>
        </w:rPr>
      </w:r>
    </w:p>
    <w:p>
      <w:pPr>
        <w:pStyle w:val="Heading2"/>
        <w:spacing w:line="240" w:lineRule="auto" w:before="55"/>
        <w:ind w:left="224" w:right="-14"/>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1"/>
        </w:rPr>
        <w:t> </w:t>
      </w:r>
      <w:r>
        <w:rPr/>
        <w:t>现任及报告期内离任董事、监事和高级管理人员持股变动及报酬情况</w:t>
      </w:r>
      <w:r>
        <w:rPr>
          <w:b w:val="0"/>
          <w:bCs w:val="0"/>
        </w:rPr>
      </w:r>
    </w:p>
    <w:p>
      <w:pPr>
        <w:pStyle w:val="BodyText"/>
        <w:spacing w:line="240" w:lineRule="auto" w:before="27"/>
        <w:ind w:left="224" w:right="-14"/>
        <w:jc w:val="left"/>
      </w:pPr>
      <w:r>
        <w:rPr>
          <w:rFonts w:ascii="Times New Roman" w:hAnsi="Times New Roman" w:cs="Times New Roman" w:eastAsia="Times New Roman" w:hint="default"/>
        </w:rPr>
        <w:t>√</w:t>
      </w: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spacing w:line="240" w:lineRule="auto"/>
        <w:ind w:left="224" w:right="0"/>
        <w:jc w:val="left"/>
      </w:pPr>
      <w:r>
        <w:rPr/>
        <w:t>单位：股</w:t>
      </w:r>
    </w:p>
    <w:p>
      <w:pPr>
        <w:spacing w:after="0" w:line="240" w:lineRule="auto"/>
        <w:jc w:val="left"/>
        <w:sectPr>
          <w:type w:val="continuous"/>
          <w:pgSz w:w="16840" w:h="11910" w:orient="landscape"/>
          <w:pgMar w:top="1120" w:bottom="1380" w:left="1300" w:right="1200"/>
          <w:cols w:num="2" w:equalWidth="0">
            <w:col w:w="7873" w:space="5041"/>
            <w:col w:w="1426"/>
          </w:cols>
        </w:sectPr>
      </w:pPr>
    </w:p>
    <w:p>
      <w:pPr>
        <w:spacing w:line="240" w:lineRule="auto" w:before="10"/>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989"/>
        <w:gridCol w:w="1073"/>
        <w:gridCol w:w="778"/>
        <w:gridCol w:w="778"/>
        <w:gridCol w:w="1417"/>
        <w:gridCol w:w="1296"/>
        <w:gridCol w:w="1296"/>
        <w:gridCol w:w="1416"/>
        <w:gridCol w:w="1349"/>
        <w:gridCol w:w="1083"/>
        <w:gridCol w:w="1370"/>
        <w:gridCol w:w="1253"/>
      </w:tblGrid>
      <w:tr>
        <w:trPr>
          <w:trHeight w:val="1568"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249"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32"/>
                <w:szCs w:val="32"/>
              </w:rPr>
            </w:pPr>
          </w:p>
          <w:p>
            <w:pPr>
              <w:pStyle w:val="TableParagraph"/>
              <w:spacing w:line="313" w:lineRule="exact"/>
              <w:ind w:left="290" w:right="0"/>
              <w:jc w:val="left"/>
              <w:rPr>
                <w:rFonts w:ascii="宋体" w:hAnsi="宋体" w:cs="宋体" w:eastAsia="宋体" w:hint="default"/>
                <w:sz w:val="24"/>
                <w:szCs w:val="24"/>
              </w:rPr>
            </w:pPr>
            <w:r>
              <w:rPr>
                <w:rFonts w:ascii="宋体" w:hAnsi="宋体" w:cs="宋体" w:eastAsia="宋体" w:hint="default"/>
                <w:sz w:val="24"/>
                <w:szCs w:val="24"/>
              </w:rPr>
              <w:t>职务</w:t>
            </w:r>
          </w:p>
          <w:p>
            <w:pPr>
              <w:pStyle w:val="TableParagraph"/>
              <w:spacing w:line="331" w:lineRule="exact"/>
              <w:ind w:left="331" w:right="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Times New Roman" w:hAnsi="Times New Roman" w:cs="Times New Roman" w:eastAsia="Times New Roman" w:hint="default"/>
                <w:sz w:val="24"/>
                <w:szCs w:val="24"/>
              </w:rPr>
              <w:t>)</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44" w:right="0"/>
              <w:jc w:val="left"/>
              <w:rPr>
                <w:rFonts w:ascii="宋体" w:hAnsi="宋体" w:cs="宋体" w:eastAsia="宋体" w:hint="default"/>
                <w:sz w:val="24"/>
                <w:szCs w:val="24"/>
              </w:rPr>
            </w:pPr>
            <w:r>
              <w:rPr>
                <w:rFonts w:ascii="宋体" w:hAnsi="宋体" w:cs="宋体" w:eastAsia="宋体" w:hint="default"/>
                <w:sz w:val="24"/>
                <w:szCs w:val="24"/>
              </w:rPr>
              <w:t>性别</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44" w:right="0"/>
              <w:jc w:val="left"/>
              <w:rPr>
                <w:rFonts w:ascii="宋体" w:hAnsi="宋体" w:cs="宋体" w:eastAsia="宋体" w:hint="default"/>
                <w:sz w:val="24"/>
                <w:szCs w:val="24"/>
              </w:rPr>
            </w:pPr>
            <w:r>
              <w:rPr>
                <w:rFonts w:ascii="宋体" w:hAnsi="宋体" w:cs="宋体" w:eastAsia="宋体" w:hint="default"/>
                <w:sz w:val="24"/>
                <w:szCs w:val="24"/>
              </w:rPr>
              <w:t>年龄</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35"/>
                <w:szCs w:val="35"/>
              </w:rPr>
            </w:pPr>
          </w:p>
          <w:p>
            <w:pPr>
              <w:pStyle w:val="TableParagraph"/>
              <w:spacing w:line="312" w:lineRule="exact"/>
              <w:ind w:left="583" w:right="101" w:hanging="481"/>
              <w:jc w:val="left"/>
              <w:rPr>
                <w:rFonts w:ascii="宋体" w:hAnsi="宋体" w:cs="宋体" w:eastAsia="宋体" w:hint="default"/>
                <w:sz w:val="24"/>
                <w:szCs w:val="24"/>
              </w:rPr>
            </w:pPr>
            <w:r>
              <w:rPr>
                <w:rFonts w:ascii="宋体" w:hAnsi="宋体" w:cs="宋体" w:eastAsia="宋体" w:hint="default"/>
                <w:sz w:val="24"/>
                <w:szCs w:val="24"/>
              </w:rPr>
              <w:t>任期起始日 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35"/>
                <w:szCs w:val="35"/>
              </w:rPr>
            </w:pPr>
          </w:p>
          <w:p>
            <w:pPr>
              <w:pStyle w:val="TableParagraph"/>
              <w:spacing w:line="312" w:lineRule="exact"/>
              <w:ind w:left="403" w:right="161" w:hanging="240"/>
              <w:jc w:val="left"/>
              <w:rPr>
                <w:rFonts w:ascii="宋体" w:hAnsi="宋体" w:cs="宋体" w:eastAsia="宋体" w:hint="default"/>
                <w:sz w:val="24"/>
                <w:szCs w:val="24"/>
              </w:rPr>
            </w:pPr>
            <w:r>
              <w:rPr>
                <w:rFonts w:ascii="宋体" w:hAnsi="宋体" w:cs="宋体" w:eastAsia="宋体" w:hint="default"/>
                <w:sz w:val="24"/>
                <w:szCs w:val="24"/>
              </w:rPr>
              <w:t>任期终止 日期</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35"/>
                <w:szCs w:val="35"/>
              </w:rPr>
            </w:pPr>
          </w:p>
          <w:p>
            <w:pPr>
              <w:pStyle w:val="TableParagraph"/>
              <w:spacing w:line="312" w:lineRule="exact"/>
              <w:ind w:left="523" w:right="161" w:hanging="360"/>
              <w:jc w:val="left"/>
              <w:rPr>
                <w:rFonts w:ascii="宋体" w:hAnsi="宋体" w:cs="宋体" w:eastAsia="宋体" w:hint="default"/>
                <w:sz w:val="24"/>
                <w:szCs w:val="24"/>
              </w:rPr>
            </w:pPr>
            <w:r>
              <w:rPr>
                <w:rFonts w:ascii="宋体" w:hAnsi="宋体" w:cs="宋体" w:eastAsia="宋体" w:hint="default"/>
                <w:sz w:val="24"/>
                <w:szCs w:val="24"/>
              </w:rPr>
              <w:t>年初持股 数</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05" w:right="0"/>
              <w:jc w:val="left"/>
              <w:rPr>
                <w:rFonts w:ascii="宋体" w:hAnsi="宋体" w:cs="宋体" w:eastAsia="宋体" w:hint="default"/>
                <w:sz w:val="24"/>
                <w:szCs w:val="24"/>
              </w:rPr>
            </w:pPr>
            <w:r>
              <w:rPr>
                <w:rFonts w:ascii="宋体" w:hAnsi="宋体" w:cs="宋体" w:eastAsia="宋体" w:hint="default"/>
                <w:sz w:val="24"/>
                <w:szCs w:val="24"/>
              </w:rPr>
              <w:t>年末持股数</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37" w:lineRule="auto"/>
              <w:ind w:left="189" w:right="187"/>
              <w:jc w:val="center"/>
              <w:rPr>
                <w:rFonts w:ascii="宋体" w:hAnsi="宋体" w:cs="宋体" w:eastAsia="宋体" w:hint="default"/>
                <w:sz w:val="24"/>
                <w:szCs w:val="24"/>
              </w:rPr>
            </w:pPr>
            <w:r>
              <w:rPr>
                <w:rFonts w:ascii="宋体" w:hAnsi="宋体" w:cs="宋体" w:eastAsia="宋体" w:hint="default"/>
                <w:sz w:val="24"/>
                <w:szCs w:val="24"/>
              </w:rPr>
              <w:t>年度内股 份增减变 动量</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35"/>
                <w:szCs w:val="35"/>
              </w:rPr>
            </w:pPr>
          </w:p>
          <w:p>
            <w:pPr>
              <w:pStyle w:val="TableParagraph"/>
              <w:spacing w:line="312" w:lineRule="exact"/>
              <w:ind w:left="177" w:right="173"/>
              <w:jc w:val="left"/>
              <w:rPr>
                <w:rFonts w:ascii="宋体" w:hAnsi="宋体" w:cs="宋体" w:eastAsia="宋体" w:hint="default"/>
                <w:sz w:val="24"/>
                <w:szCs w:val="24"/>
              </w:rPr>
            </w:pPr>
            <w:r>
              <w:rPr>
                <w:rFonts w:ascii="宋体" w:hAnsi="宋体" w:cs="宋体" w:eastAsia="宋体" w:hint="default"/>
                <w:sz w:val="24"/>
                <w:szCs w:val="24"/>
              </w:rPr>
              <w:t>增减变 动原因</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01" w:right="0"/>
              <w:jc w:val="both"/>
              <w:rPr>
                <w:rFonts w:ascii="宋体" w:hAnsi="宋体" w:cs="宋体" w:eastAsia="宋体" w:hint="default"/>
                <w:sz w:val="24"/>
                <w:szCs w:val="24"/>
              </w:rPr>
            </w:pPr>
            <w:r>
              <w:rPr>
                <w:rFonts w:ascii="宋体" w:hAnsi="宋体" w:cs="宋体" w:eastAsia="宋体" w:hint="default"/>
                <w:sz w:val="24"/>
                <w:szCs w:val="24"/>
              </w:rPr>
              <w:t>报告期内</w:t>
            </w:r>
          </w:p>
          <w:p>
            <w:pPr>
              <w:pStyle w:val="TableParagraph"/>
              <w:spacing w:line="237" w:lineRule="auto"/>
              <w:ind w:left="201" w:right="197"/>
              <w:jc w:val="both"/>
              <w:rPr>
                <w:rFonts w:ascii="宋体" w:hAnsi="宋体" w:cs="宋体" w:eastAsia="宋体" w:hint="default"/>
                <w:sz w:val="24"/>
                <w:szCs w:val="24"/>
              </w:rPr>
            </w:pPr>
            <w:r>
              <w:rPr>
                <w:rFonts w:ascii="宋体" w:hAnsi="宋体" w:cs="宋体" w:eastAsia="宋体" w:hint="default"/>
                <w:sz w:val="24"/>
                <w:szCs w:val="24"/>
              </w:rPr>
              <w:t>从公司获 得的税前 报酬总额</w:t>
            </w:r>
          </w:p>
          <w:p>
            <w:pPr>
              <w:pStyle w:val="TableParagraph"/>
              <w:spacing w:line="310" w:lineRule="exact"/>
              <w:ind w:left="201" w:right="0"/>
              <w:jc w:val="both"/>
              <w:rPr>
                <w:rFonts w:ascii="宋体" w:hAnsi="宋体" w:cs="宋体" w:eastAsia="宋体" w:hint="default"/>
                <w:sz w:val="24"/>
                <w:szCs w:val="24"/>
              </w:rPr>
            </w:pPr>
            <w:r>
              <w:rPr>
                <w:rFonts w:ascii="宋体" w:hAnsi="宋体" w:cs="宋体" w:eastAsia="宋体" w:hint="default"/>
                <w:sz w:val="24"/>
                <w:szCs w:val="24"/>
              </w:rPr>
              <w:t>（万元）</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1" w:right="0"/>
              <w:jc w:val="left"/>
              <w:rPr>
                <w:rFonts w:ascii="宋体" w:hAnsi="宋体" w:cs="宋体" w:eastAsia="宋体" w:hint="default"/>
                <w:sz w:val="24"/>
                <w:szCs w:val="24"/>
              </w:rPr>
            </w:pPr>
            <w:r>
              <w:rPr>
                <w:rFonts w:ascii="宋体" w:hAnsi="宋体" w:cs="宋体" w:eastAsia="宋体" w:hint="default"/>
                <w:sz w:val="24"/>
                <w:szCs w:val="24"/>
              </w:rPr>
              <w:t>是否在公</w:t>
            </w:r>
          </w:p>
          <w:p>
            <w:pPr>
              <w:pStyle w:val="TableParagraph"/>
              <w:spacing w:line="312" w:lineRule="exact" w:before="28"/>
              <w:ind w:left="141" w:right="139"/>
              <w:jc w:val="left"/>
              <w:rPr>
                <w:rFonts w:ascii="宋体" w:hAnsi="宋体" w:cs="宋体" w:eastAsia="宋体" w:hint="default"/>
                <w:sz w:val="24"/>
                <w:szCs w:val="24"/>
              </w:rPr>
            </w:pPr>
            <w:r>
              <w:rPr>
                <w:rFonts w:ascii="宋体" w:hAnsi="宋体" w:cs="宋体" w:eastAsia="宋体" w:hint="default"/>
                <w:sz w:val="24"/>
                <w:szCs w:val="24"/>
              </w:rPr>
              <w:t>司关联方 获取报酬</w:t>
            </w:r>
          </w:p>
        </w:tc>
      </w:tr>
      <w:tr>
        <w:trPr>
          <w:trHeight w:val="634"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17"/>
              <w:jc w:val="left"/>
              <w:rPr>
                <w:rFonts w:ascii="宋体" w:hAnsi="宋体" w:cs="宋体" w:eastAsia="宋体" w:hint="default"/>
                <w:sz w:val="24"/>
                <w:szCs w:val="24"/>
              </w:rPr>
            </w:pPr>
            <w:r>
              <w:rPr>
                <w:rFonts w:ascii="宋体" w:hAnsi="宋体" w:cs="宋体" w:eastAsia="宋体" w:hint="default"/>
                <w:spacing w:val="17"/>
                <w:sz w:val="24"/>
                <w:szCs w:val="24"/>
              </w:rPr>
              <w:t>王文京</w:t>
            </w:r>
            <w:r>
              <w:rPr>
                <w:rFonts w:ascii="宋体" w:hAnsi="宋体" w:cs="宋体" w:eastAsia="宋体" w:hint="default"/>
                <w:spacing w:val="-94"/>
                <w:sz w:val="24"/>
                <w:szCs w:val="24"/>
              </w:rPr>
              <w:t> </w:t>
            </w:r>
            <w:r>
              <w:rPr>
                <w:rFonts w:ascii="宋体" w:hAnsi="宋体" w:cs="宋体" w:eastAsia="宋体" w:hint="default"/>
                <w:sz w:val="24"/>
                <w:szCs w:val="24"/>
              </w:rPr>
            </w:r>
          </w:p>
          <w:p>
            <w:pPr>
              <w:pStyle w:val="TableParagraph"/>
              <w:spacing w:line="313" w:lineRule="exact"/>
              <w:ind w:left="103" w:right="-17"/>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注</w:t>
            </w:r>
            <w:r>
              <w:rPr>
                <w:rFonts w:ascii="宋体" w:hAnsi="宋体" w:cs="宋体" w:eastAsia="宋体" w:hint="default"/>
                <w:spacing w:val="-59"/>
                <w:sz w:val="24"/>
                <w:szCs w:val="24"/>
              </w:rPr>
              <w:t> </w:t>
            </w:r>
            <w:r>
              <w:rPr>
                <w:rFonts w:ascii="宋体" w:hAnsi="宋体" w:cs="宋体" w:eastAsia="宋体" w:hint="default"/>
                <w:spacing w:val="-5"/>
                <w:sz w:val="24"/>
                <w:szCs w:val="24"/>
              </w:rPr>
              <w:t>3</w:t>
            </w:r>
            <w:r>
              <w:rPr>
                <w:rFonts w:ascii="宋体" w:hAnsi="宋体" w:cs="宋体" w:eastAsia="宋体" w:hint="default"/>
                <w:spacing w:val="-5"/>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56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17"/>
              <w:jc w:val="left"/>
              <w:rPr>
                <w:rFonts w:ascii="宋体" w:hAnsi="宋体" w:cs="宋体" w:eastAsia="宋体" w:hint="default"/>
                <w:sz w:val="24"/>
                <w:szCs w:val="24"/>
              </w:rPr>
            </w:pPr>
            <w:r>
              <w:rPr>
                <w:rFonts w:ascii="宋体"/>
                <w:sz w:val="24"/>
              </w:rPr>
              <w:t>1999/11/28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231.67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631"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副董事</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长</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57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2002/1/1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217.57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944"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56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17"/>
              <w:jc w:val="left"/>
              <w:rPr>
                <w:rFonts w:ascii="宋体" w:hAnsi="宋体" w:cs="宋体" w:eastAsia="宋体" w:hint="default"/>
                <w:sz w:val="24"/>
                <w:szCs w:val="24"/>
              </w:rPr>
            </w:pPr>
            <w:r>
              <w:rPr>
                <w:rFonts w:ascii="宋体"/>
                <w:sz w:val="24"/>
              </w:rPr>
              <w:t>1999/11/28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1,105,000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1,436,500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331,500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312" w:lineRule="exact" w:before="30"/>
              <w:ind w:left="103" w:right="26"/>
              <w:jc w:val="left"/>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z w:val="24"/>
                <w:szCs w:val="24"/>
              </w:rPr>
              <w:t>股本</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220.05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567"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7"/>
                <w:sz w:val="24"/>
                <w:szCs w:val="24"/>
              </w:rPr>
              <w:t>陈强兵</w:t>
            </w:r>
            <w:r>
              <w:rPr>
                <w:rFonts w:ascii="宋体" w:hAnsi="宋体" w:cs="宋体" w:eastAsia="宋体" w:hint="default"/>
                <w:spacing w:val="-94"/>
                <w:sz w:val="24"/>
                <w:szCs w:val="24"/>
              </w:rPr>
              <w:t> </w:t>
            </w:r>
            <w:r>
              <w:rPr>
                <w:rFonts w:ascii="宋体" w:hAnsi="宋体" w:cs="宋体" w:eastAsia="宋体" w:hint="default"/>
                <w:sz w:val="24"/>
                <w:szCs w:val="24"/>
              </w:rPr>
            </w:r>
          </w:p>
          <w:p>
            <w:pPr>
              <w:pStyle w:val="TableParagraph"/>
              <w:spacing w:line="313" w:lineRule="exact"/>
              <w:ind w:left="103" w:right="-17"/>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7"/>
                <w:sz w:val="24"/>
                <w:szCs w:val="24"/>
              </w:rPr>
              <w:t> </w:t>
            </w:r>
            <w:r>
              <w:rPr>
                <w:rFonts w:ascii="宋体" w:hAnsi="宋体" w:cs="宋体" w:eastAsia="宋体" w:hint="default"/>
                <w:sz w:val="24"/>
                <w:szCs w:val="24"/>
              </w:rPr>
              <w:t>4</w:t>
            </w:r>
            <w:r>
              <w:rPr>
                <w:rFonts w:ascii="宋体" w:hAnsi="宋体" w:cs="宋体" w:eastAsia="宋体" w:hint="default"/>
                <w:spacing w:val="-120"/>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pacing w:val="-104"/>
                <w:sz w:val="24"/>
                <w:szCs w:val="24"/>
              </w:rPr>
              <w:t>、</w:t>
            </w:r>
            <w:r>
              <w:rPr>
                <w:rFonts w:ascii="宋体" w:hAnsi="宋体" w:cs="宋体" w:eastAsia="宋体" w:hint="default"/>
                <w:sz w:val="24"/>
                <w:szCs w:val="24"/>
              </w:rPr>
              <w:t>总</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44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2019/4/8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17"/>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780,466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1,352,608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572,142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股本、股</w:t>
            </w:r>
            <w:r>
              <w:rPr>
                <w:rFonts w:ascii="宋体" w:hAnsi="宋体" w:cs="宋体" w:eastAsia="宋体" w:hint="default"/>
                <w:sz w:val="24"/>
                <w:szCs w:val="24"/>
              </w:rPr>
              <w:t> </w:t>
            </w: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561.79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632"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黄锦辉</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独立董</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事</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56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2014/4/8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12.00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634"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于扬</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独立董</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事</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52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2014/4/8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12.00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bl>
    <w:p>
      <w:pPr>
        <w:spacing w:after="0" w:line="276" w:lineRule="exact"/>
        <w:jc w:val="left"/>
        <w:rPr>
          <w:rFonts w:ascii="宋体" w:hAnsi="宋体" w:cs="宋体" w:eastAsia="宋体" w:hint="default"/>
          <w:sz w:val="24"/>
          <w:szCs w:val="24"/>
        </w:rPr>
        <w:sectPr>
          <w:type w:val="continuous"/>
          <w:pgSz w:w="16840" w:h="11910" w:orient="landscape"/>
          <w:pgMar w:top="1120" w:bottom="1380" w:left="1300" w:right="1200"/>
        </w:sectPr>
      </w:pPr>
    </w:p>
    <w:p>
      <w:pPr>
        <w:spacing w:line="240" w:lineRule="auto" w:before="4"/>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989"/>
        <w:gridCol w:w="1073"/>
        <w:gridCol w:w="778"/>
        <w:gridCol w:w="778"/>
        <w:gridCol w:w="1417"/>
        <w:gridCol w:w="1296"/>
        <w:gridCol w:w="1296"/>
        <w:gridCol w:w="1416"/>
        <w:gridCol w:w="1349"/>
        <w:gridCol w:w="1083"/>
        <w:gridCol w:w="1370"/>
        <w:gridCol w:w="1253"/>
      </w:tblGrid>
      <w:tr>
        <w:trPr>
          <w:trHeight w:val="632"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7"/>
                <w:sz w:val="24"/>
                <w:szCs w:val="24"/>
              </w:rPr>
              <w:t>王贵亚</w:t>
            </w:r>
            <w:r>
              <w:rPr>
                <w:rFonts w:ascii="宋体" w:hAnsi="宋体" w:cs="宋体" w:eastAsia="宋体" w:hint="default"/>
                <w:spacing w:val="-94"/>
                <w:sz w:val="24"/>
                <w:szCs w:val="24"/>
              </w:rPr>
              <w:t> </w:t>
            </w:r>
            <w:r>
              <w:rPr>
                <w:rFonts w:ascii="宋体" w:hAnsi="宋体" w:cs="宋体" w:eastAsia="宋体" w:hint="default"/>
                <w:sz w:val="24"/>
                <w:szCs w:val="24"/>
              </w:rPr>
            </w:r>
          </w:p>
          <w:p>
            <w:pPr>
              <w:pStyle w:val="TableParagraph"/>
              <w:spacing w:line="313" w:lineRule="exact"/>
              <w:ind w:left="103" w:right="-17"/>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7"/>
                <w:sz w:val="24"/>
                <w:szCs w:val="24"/>
              </w:rPr>
              <w:t> </w:t>
            </w:r>
            <w:r>
              <w:rPr>
                <w:rFonts w:ascii="宋体" w:hAnsi="宋体" w:cs="宋体" w:eastAsia="宋体" w:hint="default"/>
                <w:sz w:val="24"/>
                <w:szCs w:val="24"/>
              </w:rPr>
              <w:t>5</w:t>
            </w:r>
            <w:r>
              <w:rPr>
                <w:rFonts w:ascii="宋体" w:hAnsi="宋体" w:cs="宋体" w:eastAsia="宋体" w:hint="default"/>
                <w:spacing w:val="-120"/>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独立董</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事</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54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2016/9/13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2019/4/3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0.00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634"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张为国</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独立董</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事</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63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2018/7/20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12.00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943"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许建钢</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监事会</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主席</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60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2004/4/26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287,698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374,007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86,309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310" w:lineRule="exact" w:before="31"/>
              <w:ind w:left="103" w:right="26"/>
              <w:jc w:val="left"/>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z w:val="24"/>
                <w:szCs w:val="24"/>
              </w:rPr>
              <w:t>股本</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204.85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322"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章珂</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监事</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55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2011/4/26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0.00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322"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高志勇</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监事</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57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2011/4/26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0.00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565"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章培林</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财务总</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监</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56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2016/1/15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1,176,179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1,169,032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-7,147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股本、二</w:t>
            </w:r>
            <w:r>
              <w:rPr>
                <w:rFonts w:ascii="宋体" w:hAnsi="宋体" w:cs="宋体" w:eastAsia="宋体" w:hint="default"/>
                <w:sz w:val="24"/>
                <w:szCs w:val="24"/>
              </w:rPr>
              <w:t> </w:t>
            </w:r>
            <w:r>
              <w:rPr>
                <w:rFonts w:ascii="宋体" w:hAnsi="宋体" w:cs="宋体" w:eastAsia="宋体" w:hint="default"/>
                <w:spacing w:val="49"/>
                <w:sz w:val="24"/>
                <w:szCs w:val="24"/>
              </w:rPr>
              <w:t>级市场</w:t>
            </w:r>
            <w:r>
              <w:rPr>
                <w:rFonts w:ascii="宋体" w:hAnsi="宋体" w:cs="宋体" w:eastAsia="宋体" w:hint="default"/>
                <w:spacing w:val="-46"/>
                <w:sz w:val="24"/>
                <w:szCs w:val="24"/>
              </w:rPr>
              <w:t> </w:t>
            </w:r>
            <w:r>
              <w:rPr>
                <w:rFonts w:ascii="宋体" w:hAnsi="宋体" w:cs="宋体" w:eastAsia="宋体" w:hint="default"/>
                <w:sz w:val="24"/>
                <w:szCs w:val="24"/>
              </w:rPr>
              <w:t>买卖</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243.49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568"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谢志华</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执行副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44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2016/1/15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652,290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1,016,975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364,685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股本、股</w:t>
            </w:r>
            <w:r>
              <w:rPr>
                <w:rFonts w:ascii="宋体" w:hAnsi="宋体" w:cs="宋体" w:eastAsia="宋体" w:hint="default"/>
                <w:sz w:val="24"/>
                <w:szCs w:val="24"/>
              </w:rPr>
              <w:t> </w:t>
            </w: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454.71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567"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欧阳青</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237" w:lineRule="auto" w:before="1"/>
              <w:ind w:left="103" w:right="36"/>
              <w:jc w:val="both"/>
              <w:rPr>
                <w:rFonts w:ascii="宋体" w:hAnsi="宋体" w:cs="宋体" w:eastAsia="宋体" w:hint="default"/>
                <w:sz w:val="24"/>
                <w:szCs w:val="24"/>
              </w:rPr>
            </w:pPr>
            <w:r>
              <w:rPr>
                <w:rFonts w:ascii="宋体" w:hAnsi="宋体" w:cs="宋体" w:eastAsia="宋体" w:hint="default"/>
                <w:spacing w:val="44"/>
                <w:sz w:val="24"/>
                <w:szCs w:val="24"/>
              </w:rPr>
              <w:t>总裁兼</w:t>
            </w:r>
            <w:r>
              <w:rPr>
                <w:rFonts w:ascii="宋体" w:hAnsi="宋体" w:cs="宋体" w:eastAsia="宋体" w:hint="default"/>
                <w:spacing w:val="-53"/>
                <w:sz w:val="24"/>
                <w:szCs w:val="24"/>
              </w:rPr>
              <w:t> </w:t>
            </w:r>
            <w:r>
              <w:rPr>
                <w:rFonts w:ascii="宋体" w:hAnsi="宋体" w:cs="宋体" w:eastAsia="宋体" w:hint="default"/>
                <w:spacing w:val="44"/>
                <w:sz w:val="24"/>
                <w:szCs w:val="24"/>
              </w:rPr>
              <w:t>董事会</w:t>
            </w:r>
            <w:r>
              <w:rPr>
                <w:rFonts w:ascii="宋体" w:hAnsi="宋体" w:cs="宋体" w:eastAsia="宋体" w:hint="default"/>
                <w:spacing w:val="-53"/>
                <w:sz w:val="24"/>
                <w:szCs w:val="24"/>
              </w:rPr>
              <w:t> </w:t>
            </w:r>
            <w:r>
              <w:rPr>
                <w:rFonts w:ascii="宋体" w:hAnsi="宋体" w:cs="宋体" w:eastAsia="宋体" w:hint="default"/>
                <w:sz w:val="24"/>
                <w:szCs w:val="24"/>
              </w:rPr>
              <w:t>秘书</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55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2010/1/28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1,105,533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1,147,194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41,661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股本、二</w:t>
            </w:r>
            <w:r>
              <w:rPr>
                <w:rFonts w:ascii="宋体" w:hAnsi="宋体" w:cs="宋体" w:eastAsia="宋体" w:hint="default"/>
                <w:sz w:val="24"/>
                <w:szCs w:val="24"/>
              </w:rPr>
              <w:t> </w:t>
            </w:r>
            <w:r>
              <w:rPr>
                <w:rFonts w:ascii="宋体" w:hAnsi="宋体" w:cs="宋体" w:eastAsia="宋体" w:hint="default"/>
                <w:spacing w:val="49"/>
                <w:sz w:val="24"/>
                <w:szCs w:val="24"/>
              </w:rPr>
              <w:t>级市场</w:t>
            </w:r>
            <w:r>
              <w:rPr>
                <w:rFonts w:ascii="宋体" w:hAnsi="宋体" w:cs="宋体" w:eastAsia="宋体" w:hint="default"/>
                <w:spacing w:val="-46"/>
                <w:sz w:val="24"/>
                <w:szCs w:val="24"/>
              </w:rPr>
              <w:t> </w:t>
            </w:r>
            <w:r>
              <w:rPr>
                <w:rFonts w:ascii="宋体" w:hAnsi="宋体" w:cs="宋体" w:eastAsia="宋体" w:hint="default"/>
                <w:sz w:val="24"/>
                <w:szCs w:val="24"/>
              </w:rPr>
              <w:t>买卖</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218.60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256"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王健</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54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2015/1/30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280,285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482,669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202,384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312" w:lineRule="exact" w:before="28"/>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股本、股</w:t>
            </w:r>
            <w:r>
              <w:rPr>
                <w:rFonts w:ascii="宋体" w:hAnsi="宋体" w:cs="宋体" w:eastAsia="宋体" w:hint="default"/>
                <w:sz w:val="24"/>
                <w:szCs w:val="24"/>
              </w:rPr>
              <w:t> </w:t>
            </w: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378.87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bl>
    <w:p>
      <w:pPr>
        <w:spacing w:after="0" w:line="274" w:lineRule="exact"/>
        <w:jc w:val="left"/>
        <w:rPr>
          <w:rFonts w:ascii="宋体" w:hAnsi="宋体" w:cs="宋体" w:eastAsia="宋体" w:hint="default"/>
          <w:sz w:val="24"/>
          <w:szCs w:val="24"/>
        </w:rPr>
        <w:sectPr>
          <w:pgSz w:w="16840" w:h="11910" w:orient="landscape"/>
          <w:pgMar w:header="880" w:footer="1195" w:top="1120" w:bottom="1380" w:left="1300" w:right="1200"/>
        </w:sectPr>
      </w:pPr>
    </w:p>
    <w:p>
      <w:pPr>
        <w:spacing w:line="240" w:lineRule="auto" w:before="4"/>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989"/>
        <w:gridCol w:w="1073"/>
        <w:gridCol w:w="778"/>
        <w:gridCol w:w="778"/>
        <w:gridCol w:w="1417"/>
        <w:gridCol w:w="1296"/>
        <w:gridCol w:w="1296"/>
        <w:gridCol w:w="1416"/>
        <w:gridCol w:w="1349"/>
        <w:gridCol w:w="1083"/>
        <w:gridCol w:w="1370"/>
        <w:gridCol w:w="1253"/>
      </w:tblGrid>
      <w:tr>
        <w:trPr>
          <w:trHeight w:val="322" w:hRule="exact"/>
        </w:trPr>
        <w:tc>
          <w:tcPr>
            <w:tcW w:w="98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r>
      <w:tr>
        <w:trPr>
          <w:trHeight w:val="1565"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徐洋</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44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2017/1/19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273,002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473,201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200,199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股本、股</w:t>
            </w:r>
            <w:r>
              <w:rPr>
                <w:rFonts w:ascii="宋体" w:hAnsi="宋体" w:cs="宋体" w:eastAsia="宋体" w:hint="default"/>
                <w:sz w:val="24"/>
                <w:szCs w:val="24"/>
              </w:rPr>
              <w:t> </w:t>
            </w: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345.20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568"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任志刚</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49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2014/3/17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375,693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606,699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231,006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股本、股</w:t>
            </w:r>
            <w:r>
              <w:rPr>
                <w:rFonts w:ascii="宋体" w:hAnsi="宋体" w:cs="宋体" w:eastAsia="宋体" w:hint="default"/>
                <w:sz w:val="24"/>
                <w:szCs w:val="24"/>
              </w:rPr>
              <w:t> </w:t>
            </w: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169.23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565"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左骏</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42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2016/1/16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305,762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298,190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-7,572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股本、二</w:t>
            </w:r>
            <w:r>
              <w:rPr>
                <w:rFonts w:ascii="宋体" w:hAnsi="宋体" w:cs="宋体" w:eastAsia="宋体" w:hint="default"/>
                <w:sz w:val="24"/>
                <w:szCs w:val="24"/>
              </w:rPr>
              <w:t> </w:t>
            </w:r>
            <w:r>
              <w:rPr>
                <w:rFonts w:ascii="宋体" w:hAnsi="宋体" w:cs="宋体" w:eastAsia="宋体" w:hint="default"/>
                <w:spacing w:val="49"/>
                <w:sz w:val="24"/>
                <w:szCs w:val="24"/>
              </w:rPr>
              <w:t>级市场</w:t>
            </w:r>
            <w:r>
              <w:rPr>
                <w:rFonts w:ascii="宋体" w:hAnsi="宋体" w:cs="宋体" w:eastAsia="宋体" w:hint="default"/>
                <w:spacing w:val="-46"/>
                <w:sz w:val="24"/>
                <w:szCs w:val="24"/>
              </w:rPr>
              <w:t> </w:t>
            </w:r>
            <w:r>
              <w:rPr>
                <w:rFonts w:ascii="宋体" w:hAnsi="宋体" w:cs="宋体" w:eastAsia="宋体" w:hint="default"/>
                <w:sz w:val="24"/>
                <w:szCs w:val="24"/>
              </w:rPr>
              <w:t>买卖</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259.12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634"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17"/>
              <w:jc w:val="left"/>
              <w:rPr>
                <w:rFonts w:ascii="宋体" w:hAnsi="宋体" w:cs="宋体" w:eastAsia="宋体" w:hint="default"/>
                <w:sz w:val="24"/>
                <w:szCs w:val="24"/>
              </w:rPr>
            </w:pPr>
            <w:r>
              <w:rPr>
                <w:rFonts w:ascii="宋体" w:hAnsi="宋体" w:cs="宋体" w:eastAsia="宋体" w:hint="default"/>
                <w:spacing w:val="17"/>
                <w:sz w:val="24"/>
                <w:szCs w:val="24"/>
              </w:rPr>
              <w:t>牛立伟</w:t>
            </w:r>
            <w:r>
              <w:rPr>
                <w:rFonts w:ascii="宋体" w:hAnsi="宋体" w:cs="宋体" w:eastAsia="宋体" w:hint="default"/>
                <w:spacing w:val="-94"/>
                <w:sz w:val="24"/>
                <w:szCs w:val="24"/>
              </w:rPr>
              <w:t> </w:t>
            </w:r>
            <w:r>
              <w:rPr>
                <w:rFonts w:ascii="宋体" w:hAnsi="宋体" w:cs="宋体" w:eastAsia="宋体" w:hint="default"/>
                <w:sz w:val="24"/>
                <w:szCs w:val="24"/>
              </w:rPr>
            </w:r>
          </w:p>
          <w:p>
            <w:pPr>
              <w:pStyle w:val="TableParagraph"/>
              <w:spacing w:line="312" w:lineRule="exact"/>
              <w:ind w:left="103" w:right="-17"/>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注</w:t>
            </w:r>
            <w:r>
              <w:rPr>
                <w:rFonts w:ascii="宋体" w:hAnsi="宋体" w:cs="宋体" w:eastAsia="宋体" w:hint="default"/>
                <w:spacing w:val="-59"/>
                <w:sz w:val="24"/>
                <w:szCs w:val="24"/>
              </w:rPr>
              <w:t> </w:t>
            </w:r>
            <w:r>
              <w:rPr>
                <w:rFonts w:ascii="宋体" w:hAnsi="宋体" w:cs="宋体" w:eastAsia="宋体" w:hint="default"/>
                <w:spacing w:val="-5"/>
                <w:sz w:val="24"/>
                <w:szCs w:val="24"/>
              </w:rPr>
              <w:t>6</w:t>
            </w:r>
            <w:r>
              <w:rPr>
                <w:rFonts w:ascii="宋体" w:hAnsi="宋体" w:cs="宋体" w:eastAsia="宋体" w:hint="default"/>
                <w:spacing w:val="-5"/>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sz w:val="24"/>
              </w:rPr>
              <w:t>47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sz w:val="24"/>
              </w:rPr>
              <w:t>2019/1/23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217.21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565"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杜宇</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44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2018/4/1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210,600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205,380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-5,220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股本、二</w:t>
            </w:r>
            <w:r>
              <w:rPr>
                <w:rFonts w:ascii="宋体" w:hAnsi="宋体" w:cs="宋体" w:eastAsia="宋体" w:hint="default"/>
                <w:sz w:val="24"/>
                <w:szCs w:val="24"/>
              </w:rPr>
              <w:t> </w:t>
            </w:r>
            <w:r>
              <w:rPr>
                <w:rFonts w:ascii="宋体" w:hAnsi="宋体" w:cs="宋体" w:eastAsia="宋体" w:hint="default"/>
                <w:spacing w:val="49"/>
                <w:sz w:val="24"/>
                <w:szCs w:val="24"/>
              </w:rPr>
              <w:t>级市场</w:t>
            </w:r>
            <w:r>
              <w:rPr>
                <w:rFonts w:ascii="宋体" w:hAnsi="宋体" w:cs="宋体" w:eastAsia="宋体" w:hint="default"/>
                <w:spacing w:val="-46"/>
                <w:sz w:val="24"/>
                <w:szCs w:val="24"/>
              </w:rPr>
              <w:t> </w:t>
            </w:r>
            <w:r>
              <w:rPr>
                <w:rFonts w:ascii="宋体" w:hAnsi="宋体" w:cs="宋体" w:eastAsia="宋体" w:hint="default"/>
                <w:sz w:val="24"/>
                <w:szCs w:val="24"/>
              </w:rPr>
              <w:t>买卖</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219.43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568"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17"/>
                <w:sz w:val="24"/>
                <w:szCs w:val="24"/>
              </w:rPr>
              <w:t>孙淑嫔</w:t>
            </w:r>
            <w:r>
              <w:rPr>
                <w:rFonts w:ascii="宋体" w:hAnsi="宋体" w:cs="宋体" w:eastAsia="宋体" w:hint="default"/>
                <w:spacing w:val="-94"/>
                <w:sz w:val="24"/>
                <w:szCs w:val="24"/>
              </w:rPr>
              <w:t> </w:t>
            </w:r>
            <w:r>
              <w:rPr>
                <w:rFonts w:ascii="宋体" w:hAnsi="宋体" w:cs="宋体" w:eastAsia="宋体" w:hint="default"/>
                <w:sz w:val="24"/>
                <w:szCs w:val="24"/>
              </w:rPr>
            </w:r>
          </w:p>
          <w:p>
            <w:pPr>
              <w:pStyle w:val="TableParagraph"/>
              <w:spacing w:line="312" w:lineRule="exact"/>
              <w:ind w:left="103" w:right="-17"/>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7"/>
                <w:sz w:val="24"/>
                <w:szCs w:val="24"/>
              </w:rPr>
              <w:t> </w:t>
            </w:r>
            <w:r>
              <w:rPr>
                <w:rFonts w:ascii="宋体" w:hAnsi="宋体" w:cs="宋体" w:eastAsia="宋体" w:hint="default"/>
                <w:sz w:val="24"/>
                <w:szCs w:val="24"/>
              </w:rPr>
              <w:t>6</w:t>
            </w:r>
            <w:r>
              <w:rPr>
                <w:rFonts w:ascii="宋体" w:hAnsi="宋体" w:cs="宋体" w:eastAsia="宋体" w:hint="default"/>
                <w:spacing w:val="-120"/>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女</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45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2019/1/23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60,261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193,908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133,647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股本、二</w:t>
            </w:r>
            <w:r>
              <w:rPr>
                <w:rFonts w:ascii="宋体" w:hAnsi="宋体" w:cs="宋体" w:eastAsia="宋体" w:hint="default"/>
                <w:sz w:val="24"/>
                <w:szCs w:val="24"/>
              </w:rPr>
              <w:t> </w:t>
            </w:r>
            <w:r>
              <w:rPr>
                <w:rFonts w:ascii="宋体" w:hAnsi="宋体" w:cs="宋体" w:eastAsia="宋体" w:hint="default"/>
                <w:spacing w:val="49"/>
                <w:sz w:val="24"/>
                <w:szCs w:val="24"/>
              </w:rPr>
              <w:t>级市场</w:t>
            </w:r>
            <w:r>
              <w:rPr>
                <w:rFonts w:ascii="宋体" w:hAnsi="宋体" w:cs="宋体" w:eastAsia="宋体" w:hint="default"/>
                <w:spacing w:val="-46"/>
                <w:sz w:val="24"/>
                <w:szCs w:val="24"/>
              </w:rPr>
              <w:t> </w:t>
            </w:r>
            <w:r>
              <w:rPr>
                <w:rFonts w:ascii="宋体" w:hAnsi="宋体" w:cs="宋体" w:eastAsia="宋体" w:hint="default"/>
                <w:spacing w:val="-23"/>
                <w:sz w:val="24"/>
                <w:szCs w:val="24"/>
              </w:rPr>
              <w:t>买卖、股</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213.02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bl>
    <w:p>
      <w:pPr>
        <w:spacing w:after="0" w:line="276" w:lineRule="exact"/>
        <w:jc w:val="left"/>
        <w:rPr>
          <w:rFonts w:ascii="宋体" w:hAnsi="宋体" w:cs="宋体" w:eastAsia="宋体" w:hint="default"/>
          <w:sz w:val="24"/>
          <w:szCs w:val="24"/>
        </w:rPr>
        <w:sectPr>
          <w:pgSz w:w="16840" w:h="11910" w:orient="landscape"/>
          <w:pgMar w:header="880" w:footer="1195" w:top="1120" w:bottom="1380" w:left="1300" w:right="1200"/>
        </w:sectPr>
      </w:pPr>
    </w:p>
    <w:p>
      <w:pPr>
        <w:spacing w:line="240" w:lineRule="auto" w:before="4"/>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989"/>
        <w:gridCol w:w="1073"/>
        <w:gridCol w:w="778"/>
        <w:gridCol w:w="778"/>
        <w:gridCol w:w="1417"/>
        <w:gridCol w:w="1296"/>
        <w:gridCol w:w="1296"/>
        <w:gridCol w:w="1416"/>
        <w:gridCol w:w="1349"/>
        <w:gridCol w:w="1083"/>
        <w:gridCol w:w="1370"/>
        <w:gridCol w:w="1253"/>
      </w:tblGrid>
      <w:tr>
        <w:trPr>
          <w:trHeight w:val="632" w:hRule="exact"/>
        </w:trPr>
        <w:tc>
          <w:tcPr>
            <w:tcW w:w="98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r>
      <w:tr>
        <w:trPr>
          <w:trHeight w:val="2189"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7"/>
                <w:sz w:val="24"/>
                <w:szCs w:val="24"/>
              </w:rPr>
              <w:t>严绍业</w:t>
            </w:r>
            <w:r>
              <w:rPr>
                <w:rFonts w:ascii="宋体" w:hAnsi="宋体" w:cs="宋体" w:eastAsia="宋体" w:hint="default"/>
                <w:spacing w:val="-94"/>
                <w:sz w:val="24"/>
                <w:szCs w:val="24"/>
              </w:rPr>
              <w:t> </w:t>
            </w:r>
            <w:r>
              <w:rPr>
                <w:rFonts w:ascii="宋体" w:hAnsi="宋体" w:cs="宋体" w:eastAsia="宋体" w:hint="default"/>
                <w:sz w:val="24"/>
                <w:szCs w:val="24"/>
              </w:rPr>
            </w:r>
          </w:p>
          <w:p>
            <w:pPr>
              <w:pStyle w:val="TableParagraph"/>
              <w:spacing w:line="313" w:lineRule="exact"/>
              <w:ind w:left="103" w:right="-17"/>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7"/>
                <w:sz w:val="24"/>
                <w:szCs w:val="24"/>
              </w:rPr>
              <w:t> </w:t>
            </w:r>
            <w:r>
              <w:rPr>
                <w:rFonts w:ascii="宋体" w:hAnsi="宋体" w:cs="宋体" w:eastAsia="宋体" w:hint="default"/>
                <w:sz w:val="24"/>
                <w:szCs w:val="24"/>
              </w:rPr>
              <w:t>6</w:t>
            </w:r>
            <w:r>
              <w:rPr>
                <w:rFonts w:ascii="宋体" w:hAnsi="宋体" w:cs="宋体" w:eastAsia="宋体" w:hint="default"/>
                <w:spacing w:val="-120"/>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57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2013/3/18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2019/1/23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375,143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555,984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180,841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股本、二</w:t>
            </w:r>
            <w:r>
              <w:rPr>
                <w:rFonts w:ascii="宋体" w:hAnsi="宋体" w:cs="宋体" w:eastAsia="宋体" w:hint="default"/>
                <w:sz w:val="24"/>
                <w:szCs w:val="24"/>
              </w:rPr>
              <w:t> </w:t>
            </w:r>
            <w:r>
              <w:rPr>
                <w:rFonts w:ascii="宋体" w:hAnsi="宋体" w:cs="宋体" w:eastAsia="宋体" w:hint="default"/>
                <w:spacing w:val="49"/>
                <w:sz w:val="24"/>
                <w:szCs w:val="24"/>
              </w:rPr>
              <w:t>级市场</w:t>
            </w:r>
            <w:r>
              <w:rPr>
                <w:rFonts w:ascii="宋体" w:hAnsi="宋体" w:cs="宋体" w:eastAsia="宋体" w:hint="default"/>
                <w:spacing w:val="-46"/>
                <w:sz w:val="24"/>
                <w:szCs w:val="24"/>
              </w:rPr>
              <w:t> </w:t>
            </w:r>
            <w:r>
              <w:rPr>
                <w:rFonts w:ascii="宋体" w:hAnsi="宋体" w:cs="宋体" w:eastAsia="宋体" w:hint="default"/>
                <w:spacing w:val="-23"/>
                <w:sz w:val="24"/>
                <w:szCs w:val="24"/>
              </w:rPr>
              <w:t>买卖、股</w:t>
            </w:r>
            <w:r>
              <w:rPr>
                <w:rFonts w:ascii="宋体" w:hAnsi="宋体" w:cs="宋体" w:eastAsia="宋体" w:hint="default"/>
                <w:sz w:val="24"/>
                <w:szCs w:val="24"/>
              </w:rPr>
              <w:t> </w:t>
            </w: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181.25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2189"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7"/>
                <w:sz w:val="24"/>
                <w:szCs w:val="24"/>
              </w:rPr>
              <w:t>张纪雄</w:t>
            </w:r>
            <w:r>
              <w:rPr>
                <w:rFonts w:ascii="宋体" w:hAnsi="宋体" w:cs="宋体" w:eastAsia="宋体" w:hint="default"/>
                <w:spacing w:val="-94"/>
                <w:sz w:val="24"/>
                <w:szCs w:val="24"/>
              </w:rPr>
              <w:t> </w:t>
            </w:r>
            <w:r>
              <w:rPr>
                <w:rFonts w:ascii="宋体" w:hAnsi="宋体" w:cs="宋体" w:eastAsia="宋体" w:hint="default"/>
                <w:sz w:val="24"/>
                <w:szCs w:val="24"/>
              </w:rPr>
            </w:r>
          </w:p>
          <w:p>
            <w:pPr>
              <w:pStyle w:val="TableParagraph"/>
              <w:spacing w:line="313" w:lineRule="exact"/>
              <w:ind w:left="103" w:right="-17"/>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7"/>
                <w:sz w:val="24"/>
                <w:szCs w:val="24"/>
              </w:rPr>
              <w:t> </w:t>
            </w:r>
            <w:r>
              <w:rPr>
                <w:rFonts w:ascii="宋体" w:hAnsi="宋体" w:cs="宋体" w:eastAsia="宋体" w:hint="default"/>
                <w:sz w:val="24"/>
                <w:szCs w:val="24"/>
              </w:rPr>
              <w:t>6</w:t>
            </w:r>
            <w:r>
              <w:rPr>
                <w:rFonts w:ascii="宋体" w:hAnsi="宋体" w:cs="宋体" w:eastAsia="宋体" w:hint="default"/>
                <w:spacing w:val="-120"/>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48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2017/4/7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2019/1/23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77,998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118,300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40,302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股本、二</w:t>
            </w:r>
            <w:r>
              <w:rPr>
                <w:rFonts w:ascii="宋体" w:hAnsi="宋体" w:cs="宋体" w:eastAsia="宋体" w:hint="default"/>
                <w:sz w:val="24"/>
                <w:szCs w:val="24"/>
              </w:rPr>
              <w:t> </w:t>
            </w:r>
            <w:r>
              <w:rPr>
                <w:rFonts w:ascii="宋体" w:hAnsi="宋体" w:cs="宋体" w:eastAsia="宋体" w:hint="default"/>
                <w:spacing w:val="49"/>
                <w:sz w:val="24"/>
                <w:szCs w:val="24"/>
              </w:rPr>
              <w:t>级市场</w:t>
            </w:r>
            <w:r>
              <w:rPr>
                <w:rFonts w:ascii="宋体" w:hAnsi="宋体" w:cs="宋体" w:eastAsia="宋体" w:hint="default"/>
                <w:spacing w:val="-46"/>
                <w:sz w:val="24"/>
                <w:szCs w:val="24"/>
              </w:rPr>
              <w:t> </w:t>
            </w:r>
            <w:r>
              <w:rPr>
                <w:rFonts w:ascii="宋体" w:hAnsi="宋体" w:cs="宋体" w:eastAsia="宋体" w:hint="default"/>
                <w:spacing w:val="-23"/>
                <w:sz w:val="24"/>
                <w:szCs w:val="24"/>
              </w:rPr>
              <w:t>买卖、股</w:t>
            </w:r>
            <w:r>
              <w:rPr>
                <w:rFonts w:ascii="宋体" w:hAnsi="宋体" w:cs="宋体" w:eastAsia="宋体" w:hint="default"/>
                <w:sz w:val="24"/>
                <w:szCs w:val="24"/>
              </w:rPr>
              <w:t> </w:t>
            </w: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4"/>
              <w:jc w:val="right"/>
              <w:rPr>
                <w:rFonts w:ascii="宋体" w:hAnsi="宋体" w:cs="宋体" w:eastAsia="宋体" w:hint="default"/>
                <w:sz w:val="24"/>
                <w:szCs w:val="24"/>
              </w:rPr>
            </w:pPr>
            <w:r>
              <w:rPr>
                <w:rFonts w:ascii="宋体"/>
                <w:sz w:val="24"/>
              </w:rPr>
              <w:t>169.49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2189"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tabs>
                <w:tab w:pos="635" w:val="left" w:leader="none"/>
              </w:tabs>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胡</w:t>
              <w:tab/>
              <w:t>彬</w:t>
            </w:r>
          </w:p>
          <w:p>
            <w:pPr>
              <w:pStyle w:val="TableParagraph"/>
              <w:spacing w:line="313" w:lineRule="exact"/>
              <w:ind w:left="103" w:right="-17"/>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7"/>
                <w:sz w:val="24"/>
                <w:szCs w:val="24"/>
              </w:rPr>
              <w:t> </w:t>
            </w:r>
            <w:r>
              <w:rPr>
                <w:rFonts w:ascii="宋体" w:hAnsi="宋体" w:cs="宋体" w:eastAsia="宋体" w:hint="default"/>
                <w:sz w:val="24"/>
                <w:szCs w:val="24"/>
              </w:rPr>
              <w:t>6</w:t>
            </w:r>
            <w:r>
              <w:rPr>
                <w:rFonts w:ascii="宋体" w:hAnsi="宋体" w:cs="宋体" w:eastAsia="宋体" w:hint="default"/>
                <w:spacing w:val="-120"/>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57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2012/3/8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2019/1/23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380,590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533,065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152,475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股本、二</w:t>
            </w:r>
            <w:r>
              <w:rPr>
                <w:rFonts w:ascii="宋体" w:hAnsi="宋体" w:cs="宋体" w:eastAsia="宋体" w:hint="default"/>
                <w:sz w:val="24"/>
                <w:szCs w:val="24"/>
              </w:rPr>
              <w:t> </w:t>
            </w:r>
            <w:r>
              <w:rPr>
                <w:rFonts w:ascii="宋体" w:hAnsi="宋体" w:cs="宋体" w:eastAsia="宋体" w:hint="default"/>
                <w:spacing w:val="49"/>
                <w:sz w:val="24"/>
                <w:szCs w:val="24"/>
              </w:rPr>
              <w:t>级市场</w:t>
            </w:r>
            <w:r>
              <w:rPr>
                <w:rFonts w:ascii="宋体" w:hAnsi="宋体" w:cs="宋体" w:eastAsia="宋体" w:hint="default"/>
                <w:spacing w:val="-46"/>
                <w:sz w:val="24"/>
                <w:szCs w:val="24"/>
              </w:rPr>
              <w:t> </w:t>
            </w:r>
            <w:r>
              <w:rPr>
                <w:rFonts w:ascii="宋体" w:hAnsi="宋体" w:cs="宋体" w:eastAsia="宋体" w:hint="default"/>
                <w:spacing w:val="-23"/>
                <w:sz w:val="24"/>
                <w:szCs w:val="24"/>
              </w:rPr>
              <w:t>买卖、股</w:t>
            </w:r>
            <w:r>
              <w:rPr>
                <w:rFonts w:ascii="宋体" w:hAnsi="宋体" w:cs="宋体" w:eastAsia="宋体" w:hint="default"/>
                <w:sz w:val="24"/>
                <w:szCs w:val="24"/>
              </w:rPr>
              <w:t> </w:t>
            </w: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4"/>
              <w:jc w:val="right"/>
              <w:rPr>
                <w:rFonts w:ascii="宋体" w:hAnsi="宋体" w:cs="宋体" w:eastAsia="宋体" w:hint="default"/>
                <w:sz w:val="24"/>
                <w:szCs w:val="24"/>
              </w:rPr>
            </w:pPr>
            <w:r>
              <w:rPr>
                <w:rFonts w:ascii="宋体"/>
                <w:sz w:val="24"/>
              </w:rPr>
              <w:t>274.70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1568"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7"/>
                <w:sz w:val="24"/>
                <w:szCs w:val="24"/>
              </w:rPr>
              <w:t>徐宝东</w:t>
            </w:r>
            <w:r>
              <w:rPr>
                <w:rFonts w:ascii="宋体" w:hAnsi="宋体" w:cs="宋体" w:eastAsia="宋体" w:hint="default"/>
                <w:spacing w:val="-94"/>
                <w:sz w:val="24"/>
                <w:szCs w:val="24"/>
              </w:rPr>
              <w:t> </w:t>
            </w:r>
            <w:r>
              <w:rPr>
                <w:rFonts w:ascii="宋体" w:hAnsi="宋体" w:cs="宋体" w:eastAsia="宋体" w:hint="default"/>
                <w:sz w:val="24"/>
                <w:szCs w:val="24"/>
              </w:rPr>
            </w:r>
          </w:p>
          <w:p>
            <w:pPr>
              <w:pStyle w:val="TableParagraph"/>
              <w:spacing w:line="313" w:lineRule="exact"/>
              <w:ind w:left="103" w:right="-17"/>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7"/>
                <w:sz w:val="24"/>
                <w:szCs w:val="24"/>
              </w:rPr>
              <w:t> </w:t>
            </w:r>
            <w:r>
              <w:rPr>
                <w:rFonts w:ascii="宋体" w:hAnsi="宋体" w:cs="宋体" w:eastAsia="宋体" w:hint="default"/>
                <w:sz w:val="24"/>
                <w:szCs w:val="24"/>
              </w:rPr>
              <w:t>6</w:t>
            </w:r>
            <w:r>
              <w:rPr>
                <w:rFonts w:ascii="宋体" w:hAnsi="宋体" w:cs="宋体" w:eastAsia="宋体" w:hint="default"/>
                <w:spacing w:val="-120"/>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57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2012/3/8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2019/1/23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546,153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650,897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104,744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股本、二</w:t>
            </w:r>
            <w:r>
              <w:rPr>
                <w:rFonts w:ascii="宋体" w:hAnsi="宋体" w:cs="宋体" w:eastAsia="宋体" w:hint="default"/>
                <w:sz w:val="24"/>
                <w:szCs w:val="24"/>
              </w:rPr>
              <w:t> </w:t>
            </w:r>
            <w:r>
              <w:rPr>
                <w:rFonts w:ascii="宋体" w:hAnsi="宋体" w:cs="宋体" w:eastAsia="宋体" w:hint="default"/>
                <w:spacing w:val="49"/>
                <w:sz w:val="24"/>
                <w:szCs w:val="24"/>
              </w:rPr>
              <w:t>级市场</w:t>
            </w:r>
            <w:r>
              <w:rPr>
                <w:rFonts w:ascii="宋体" w:hAnsi="宋体" w:cs="宋体" w:eastAsia="宋体" w:hint="default"/>
                <w:spacing w:val="-46"/>
                <w:sz w:val="24"/>
                <w:szCs w:val="24"/>
              </w:rPr>
              <w:t> </w:t>
            </w:r>
            <w:r>
              <w:rPr>
                <w:rFonts w:ascii="宋体" w:hAnsi="宋体" w:cs="宋体" w:eastAsia="宋体" w:hint="default"/>
                <w:spacing w:val="-23"/>
                <w:sz w:val="24"/>
                <w:szCs w:val="24"/>
              </w:rPr>
              <w:t>买卖、股</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4"/>
              <w:jc w:val="right"/>
              <w:rPr>
                <w:rFonts w:ascii="宋体" w:hAnsi="宋体" w:cs="宋体" w:eastAsia="宋体" w:hint="default"/>
                <w:sz w:val="24"/>
                <w:szCs w:val="24"/>
              </w:rPr>
            </w:pPr>
            <w:r>
              <w:rPr>
                <w:rFonts w:ascii="宋体"/>
                <w:sz w:val="24"/>
              </w:rPr>
              <w:t>115.47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bl>
    <w:p>
      <w:pPr>
        <w:spacing w:after="0" w:line="274" w:lineRule="exact"/>
        <w:jc w:val="left"/>
        <w:rPr>
          <w:rFonts w:ascii="宋体" w:hAnsi="宋体" w:cs="宋体" w:eastAsia="宋体" w:hint="default"/>
          <w:sz w:val="24"/>
          <w:szCs w:val="24"/>
        </w:rPr>
        <w:sectPr>
          <w:footerReference w:type="default" r:id="rId34"/>
          <w:pgSz w:w="16840" w:h="11910" w:orient="landscape"/>
          <w:pgMar w:footer="1195" w:header="880" w:top="1120" w:bottom="1380" w:left="1300" w:right="1200"/>
        </w:sectPr>
      </w:pPr>
    </w:p>
    <w:p>
      <w:pPr>
        <w:spacing w:line="240" w:lineRule="auto" w:before="4"/>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989"/>
        <w:gridCol w:w="1073"/>
        <w:gridCol w:w="778"/>
        <w:gridCol w:w="778"/>
        <w:gridCol w:w="1417"/>
        <w:gridCol w:w="1296"/>
        <w:gridCol w:w="1296"/>
        <w:gridCol w:w="1416"/>
        <w:gridCol w:w="1349"/>
        <w:gridCol w:w="1083"/>
        <w:gridCol w:w="1370"/>
        <w:gridCol w:w="1253"/>
      </w:tblGrid>
      <w:tr>
        <w:trPr>
          <w:trHeight w:val="632" w:hRule="exact"/>
        </w:trPr>
        <w:tc>
          <w:tcPr>
            <w:tcW w:w="98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r>
      <w:tr>
        <w:trPr>
          <w:trHeight w:val="1567"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7"/>
                <w:sz w:val="24"/>
                <w:szCs w:val="24"/>
              </w:rPr>
              <w:t>杨晓柏</w:t>
            </w:r>
            <w:r>
              <w:rPr>
                <w:rFonts w:ascii="宋体" w:hAnsi="宋体" w:cs="宋体" w:eastAsia="宋体" w:hint="default"/>
                <w:spacing w:val="-94"/>
                <w:sz w:val="24"/>
                <w:szCs w:val="24"/>
              </w:rPr>
              <w:t> </w:t>
            </w:r>
            <w:r>
              <w:rPr>
                <w:rFonts w:ascii="宋体" w:hAnsi="宋体" w:cs="宋体" w:eastAsia="宋体" w:hint="default"/>
                <w:sz w:val="24"/>
                <w:szCs w:val="24"/>
              </w:rPr>
            </w:r>
          </w:p>
          <w:p>
            <w:pPr>
              <w:pStyle w:val="TableParagraph"/>
              <w:spacing w:line="313" w:lineRule="exact"/>
              <w:ind w:left="103" w:right="-17"/>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7"/>
                <w:sz w:val="24"/>
                <w:szCs w:val="24"/>
              </w:rPr>
              <w:t> </w:t>
            </w:r>
            <w:r>
              <w:rPr>
                <w:rFonts w:ascii="宋体" w:hAnsi="宋体" w:cs="宋体" w:eastAsia="宋体" w:hint="default"/>
                <w:sz w:val="24"/>
                <w:szCs w:val="24"/>
              </w:rPr>
              <w:t>6</w:t>
            </w:r>
            <w:r>
              <w:rPr>
                <w:rFonts w:ascii="宋体" w:hAnsi="宋体" w:cs="宋体" w:eastAsia="宋体" w:hint="default"/>
                <w:spacing w:val="-120"/>
                <w:sz w:val="24"/>
                <w:szCs w:val="24"/>
              </w:rPr>
              <w:t>）</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44"/>
                <w:sz w:val="24"/>
                <w:szCs w:val="24"/>
              </w:rPr>
              <w:t>高级副</w:t>
            </w:r>
            <w:r>
              <w:rPr>
                <w:rFonts w:ascii="宋体" w:hAnsi="宋体" w:cs="宋体" w:eastAsia="宋体" w:hint="default"/>
                <w:spacing w:val="-53"/>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男</w:t>
            </w:r>
            <w:r>
              <w:rPr>
                <w:rFonts w:ascii="宋体" w:hAnsi="宋体" w:cs="宋体" w:eastAsia="宋体" w:hint="default"/>
                <w:sz w:val="24"/>
                <w:szCs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50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2016/1/16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17"/>
              <w:jc w:val="center"/>
              <w:rPr>
                <w:rFonts w:ascii="宋体" w:hAnsi="宋体" w:cs="宋体" w:eastAsia="宋体" w:hint="default"/>
                <w:sz w:val="24"/>
                <w:szCs w:val="24"/>
              </w:rPr>
            </w:pPr>
            <w:r>
              <w:rPr>
                <w:rFonts w:ascii="宋体"/>
                <w:sz w:val="24"/>
              </w:rPr>
              <w:t>2019/1/23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296,190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503,345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207,155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pacing w:val="49"/>
                <w:sz w:val="24"/>
                <w:szCs w:val="24"/>
              </w:rPr>
              <w:t>资本公</w:t>
            </w:r>
            <w:r>
              <w:rPr>
                <w:rFonts w:ascii="宋体" w:hAnsi="宋体" w:cs="宋体" w:eastAsia="宋体" w:hint="default"/>
                <w:spacing w:val="-46"/>
                <w:sz w:val="24"/>
                <w:szCs w:val="24"/>
              </w:rPr>
              <w:t> </w:t>
            </w:r>
            <w:r>
              <w:rPr>
                <w:rFonts w:ascii="宋体" w:hAnsi="宋体" w:cs="宋体" w:eastAsia="宋体" w:hint="default"/>
                <w:sz w:val="24"/>
                <w:szCs w:val="24"/>
              </w:rPr>
            </w:r>
          </w:p>
          <w:p>
            <w:pPr>
              <w:pStyle w:val="TableParagraph"/>
              <w:spacing w:line="237" w:lineRule="auto" w:before="1"/>
              <w:ind w:left="103" w:right="26"/>
              <w:jc w:val="both"/>
              <w:rPr>
                <w:rFonts w:ascii="宋体" w:hAnsi="宋体" w:cs="宋体" w:eastAsia="宋体" w:hint="default"/>
                <w:sz w:val="24"/>
                <w:szCs w:val="24"/>
              </w:rPr>
            </w:pPr>
            <w:r>
              <w:rPr>
                <w:rFonts w:ascii="宋体" w:hAnsi="宋体" w:cs="宋体" w:eastAsia="宋体" w:hint="default"/>
                <w:spacing w:val="49"/>
                <w:sz w:val="24"/>
                <w:szCs w:val="24"/>
              </w:rPr>
              <w:t>积转增</w:t>
            </w:r>
            <w:r>
              <w:rPr>
                <w:rFonts w:ascii="宋体" w:hAnsi="宋体" w:cs="宋体" w:eastAsia="宋体" w:hint="default"/>
                <w:spacing w:val="-46"/>
                <w:sz w:val="24"/>
                <w:szCs w:val="24"/>
              </w:rPr>
              <w:t> </w:t>
            </w:r>
            <w:r>
              <w:rPr>
                <w:rFonts w:ascii="宋体" w:hAnsi="宋体" w:cs="宋体" w:eastAsia="宋体" w:hint="default"/>
                <w:spacing w:val="-23"/>
                <w:sz w:val="24"/>
                <w:szCs w:val="24"/>
              </w:rPr>
              <w:t>股本、股</w:t>
            </w:r>
            <w:r>
              <w:rPr>
                <w:rFonts w:ascii="宋体" w:hAnsi="宋体" w:cs="宋体" w:eastAsia="宋体" w:hint="default"/>
                <w:sz w:val="24"/>
                <w:szCs w:val="24"/>
              </w:rPr>
              <w:t> </w:t>
            </w:r>
            <w:r>
              <w:rPr>
                <w:rFonts w:ascii="宋体" w:hAnsi="宋体" w:cs="宋体" w:eastAsia="宋体" w:hint="default"/>
                <w:spacing w:val="49"/>
                <w:sz w:val="24"/>
                <w:szCs w:val="24"/>
              </w:rPr>
              <w:t>权激励</w:t>
            </w:r>
            <w:r>
              <w:rPr>
                <w:rFonts w:ascii="宋体" w:hAnsi="宋体" w:cs="宋体" w:eastAsia="宋体" w:hint="default"/>
                <w:spacing w:val="-46"/>
                <w:sz w:val="24"/>
                <w:szCs w:val="24"/>
              </w:rPr>
              <w:t> </w:t>
            </w:r>
            <w:r>
              <w:rPr>
                <w:rFonts w:ascii="宋体" w:hAnsi="宋体" w:cs="宋体" w:eastAsia="宋体" w:hint="default"/>
                <w:sz w:val="24"/>
                <w:szCs w:val="24"/>
              </w:rPr>
              <w:t>行权</w:t>
            </w:r>
            <w:r>
              <w:rPr>
                <w:rFonts w:ascii="宋体" w:hAnsi="宋体" w:cs="宋体" w:eastAsia="宋体" w:hint="default"/>
                <w:sz w:val="24"/>
                <w:szCs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402.91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r>
      <w:tr>
        <w:trPr>
          <w:trHeight w:val="322" w:hRule="exact"/>
        </w:trPr>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9" w:right="0"/>
              <w:jc w:val="left"/>
              <w:rPr>
                <w:rFonts w:ascii="宋体" w:hAnsi="宋体" w:cs="宋体" w:eastAsia="宋体" w:hint="default"/>
                <w:sz w:val="24"/>
                <w:szCs w:val="24"/>
              </w:rPr>
            </w:pPr>
            <w:r>
              <w:rPr>
                <w:rFonts w:ascii="宋体" w:hAnsi="宋体" w:cs="宋体" w:eastAsia="宋体" w:hint="default"/>
                <w:sz w:val="24"/>
                <w:szCs w:val="24"/>
              </w:rPr>
              <w:t>合计</w:t>
            </w:r>
            <w:r>
              <w:rPr>
                <w:rFonts w:ascii="宋体" w:hAnsi="宋体" w:cs="宋体" w:eastAsia="宋体" w:hint="default"/>
                <w:sz w:val="24"/>
                <w:szCs w:val="24"/>
              </w:rPr>
              <w:t> </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70" w:right="0"/>
              <w:jc w:val="left"/>
              <w:rPr>
                <w:rFonts w:ascii="宋体" w:hAnsi="宋体" w:cs="宋体" w:eastAsia="宋体" w:hint="default"/>
                <w:sz w:val="24"/>
                <w:szCs w:val="24"/>
              </w:rPr>
            </w:pPr>
            <w:r>
              <w:rPr>
                <w:rFonts w:ascii="宋体"/>
                <w:sz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24" w:right="0"/>
              <w:jc w:val="left"/>
              <w:rPr>
                <w:rFonts w:ascii="宋体" w:hAnsi="宋体" w:cs="宋体" w:eastAsia="宋体" w:hint="default"/>
                <w:sz w:val="24"/>
                <w:szCs w:val="24"/>
              </w:rPr>
            </w:pPr>
            <w:r>
              <w:rPr>
                <w:rFonts w:ascii="宋体"/>
                <w:sz w:val="24"/>
              </w:rPr>
              <w:t>/ </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24" w:right="0"/>
              <w:jc w:val="left"/>
              <w:rPr>
                <w:rFonts w:ascii="宋体" w:hAnsi="宋体" w:cs="宋体" w:eastAsia="宋体" w:hint="default"/>
                <w:sz w:val="24"/>
                <w:szCs w:val="24"/>
              </w:rPr>
            </w:pPr>
            <w:r>
              <w:rPr>
                <w:rFonts w:ascii="宋体"/>
                <w:sz w:val="24"/>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20" w:right="0"/>
              <w:jc w:val="center"/>
              <w:rPr>
                <w:rFonts w:ascii="宋体" w:hAnsi="宋体" w:cs="宋体" w:eastAsia="宋体" w:hint="default"/>
                <w:sz w:val="24"/>
                <w:szCs w:val="24"/>
              </w:rPr>
            </w:pPr>
            <w:r>
              <w:rPr>
                <w:rFonts w:ascii="宋体"/>
                <w:sz w:val="24"/>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20" w:right="0"/>
              <w:jc w:val="center"/>
              <w:rPr>
                <w:rFonts w:ascii="宋体" w:hAnsi="宋体" w:cs="宋体" w:eastAsia="宋体" w:hint="default"/>
                <w:sz w:val="24"/>
                <w:szCs w:val="24"/>
              </w:rPr>
            </w:pPr>
            <w:r>
              <w:rPr>
                <w:rFonts w:ascii="宋体"/>
                <w:sz w:val="24"/>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8,288,843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11,117,954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2,829,111 </w:t>
            </w:r>
          </w:p>
        </w:tc>
        <w:tc>
          <w:tcPr>
            <w:tcW w:w="10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78" w:right="0"/>
              <w:jc w:val="left"/>
              <w:rPr>
                <w:rFonts w:ascii="宋体" w:hAnsi="宋体" w:cs="宋体" w:eastAsia="宋体" w:hint="default"/>
                <w:sz w:val="24"/>
                <w:szCs w:val="24"/>
              </w:rPr>
            </w:pPr>
            <w:r>
              <w:rPr>
                <w:rFonts w:ascii="宋体"/>
                <w:sz w:val="24"/>
              </w:rPr>
              <w:t>/ </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5,334.63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20" w:right="0"/>
              <w:jc w:val="center"/>
              <w:rPr>
                <w:rFonts w:ascii="宋体" w:hAnsi="宋体" w:cs="宋体" w:eastAsia="宋体" w:hint="default"/>
                <w:sz w:val="24"/>
                <w:szCs w:val="24"/>
              </w:rPr>
            </w:pPr>
            <w:r>
              <w:rPr>
                <w:rFonts w:ascii="宋体"/>
                <w:sz w:val="24"/>
              </w:rPr>
              <w:t>/ </w:t>
            </w:r>
          </w:p>
        </w:tc>
      </w:tr>
    </w:tbl>
    <w:p>
      <w:pPr>
        <w:spacing w:line="240" w:lineRule="auto" w:before="3"/>
        <w:rPr>
          <w:rFonts w:ascii="Times New Roman" w:hAnsi="Times New Roman" w:cs="Times New Roman" w:eastAsia="Times New Roman" w:hint="default"/>
          <w:sz w:val="18"/>
          <w:szCs w:val="18"/>
        </w:rPr>
      </w:pPr>
    </w:p>
    <w:p>
      <w:pPr>
        <w:pStyle w:val="BodyText"/>
        <w:spacing w:line="313" w:lineRule="exact" w:before="26"/>
        <w:ind w:left="224" w:right="0"/>
        <w:jc w:val="both"/>
        <w:rPr>
          <w:rFonts w:ascii="宋体" w:hAnsi="宋体" w:cs="宋体" w:eastAsia="宋体" w:hint="default"/>
        </w:rPr>
      </w:pPr>
      <w:r>
        <w:rPr/>
        <w:t>注</w:t>
      </w:r>
      <w:r>
        <w:rPr>
          <w:spacing w:val="-60"/>
        </w:rPr>
        <w:t> </w:t>
      </w:r>
      <w:r>
        <w:rPr>
          <w:rFonts w:ascii="宋体" w:hAnsi="宋体" w:cs="宋体" w:eastAsia="宋体" w:hint="default"/>
        </w:rPr>
        <w:t>1</w:t>
      </w:r>
      <w:r>
        <w:rPr/>
        <w:t>：任期至公司</w:t>
      </w:r>
      <w:r>
        <w:rPr>
          <w:spacing w:val="-61"/>
        </w:rPr>
        <w:t> </w:t>
      </w:r>
      <w:r>
        <w:rPr>
          <w:rFonts w:ascii="宋体" w:hAnsi="宋体" w:cs="宋体" w:eastAsia="宋体" w:hint="default"/>
        </w:rPr>
        <w:t>2019</w:t>
      </w:r>
      <w:r>
        <w:rPr>
          <w:rFonts w:ascii="宋体" w:hAnsi="宋体" w:cs="宋体" w:eastAsia="宋体" w:hint="default"/>
          <w:spacing w:val="-60"/>
        </w:rPr>
        <w:t> </w:t>
      </w:r>
      <w:r>
        <w:rPr/>
        <w:t>年年度股东大会选举出新一届董事会、监事会之日止。</w:t>
      </w:r>
      <w:r>
        <w:rPr>
          <w:rFonts w:ascii="宋体" w:hAnsi="宋体" w:cs="宋体" w:eastAsia="宋体" w:hint="default"/>
        </w:rPr>
        <w:t> </w:t>
      </w:r>
    </w:p>
    <w:p>
      <w:pPr>
        <w:pStyle w:val="BodyText"/>
        <w:spacing w:line="311" w:lineRule="exact"/>
        <w:ind w:left="224" w:right="0"/>
        <w:jc w:val="both"/>
        <w:rPr>
          <w:rFonts w:ascii="宋体" w:hAnsi="宋体" w:cs="宋体" w:eastAsia="宋体" w:hint="default"/>
        </w:rPr>
      </w:pPr>
      <w:r>
        <w:rPr/>
        <w:t>注</w:t>
      </w:r>
      <w:r>
        <w:rPr>
          <w:spacing w:val="-60"/>
        </w:rPr>
        <w:t> </w:t>
      </w:r>
      <w:r>
        <w:rPr>
          <w:rFonts w:ascii="宋体" w:hAnsi="宋体" w:cs="宋体" w:eastAsia="宋体" w:hint="default"/>
        </w:rPr>
        <w:t>2</w:t>
      </w:r>
      <w:r>
        <w:rPr/>
        <w:t>：任期至公司</w:t>
      </w:r>
      <w:r>
        <w:rPr>
          <w:spacing w:val="-61"/>
        </w:rPr>
        <w:t> </w:t>
      </w:r>
      <w:r>
        <w:rPr>
          <w:rFonts w:ascii="宋体" w:hAnsi="宋体" w:cs="宋体" w:eastAsia="宋体" w:hint="default"/>
        </w:rPr>
        <w:t>2019</w:t>
      </w:r>
      <w:r>
        <w:rPr>
          <w:rFonts w:ascii="宋体" w:hAnsi="宋体" w:cs="宋体" w:eastAsia="宋体" w:hint="default"/>
          <w:spacing w:val="-60"/>
        </w:rPr>
        <w:t> </w:t>
      </w:r>
      <w:r>
        <w:rPr/>
        <w:t>年年度股东大会选举出的新一届董事会聘任公司高级管理人员之日止。</w:t>
      </w:r>
      <w:r>
        <w:rPr>
          <w:rFonts w:ascii="宋体" w:hAnsi="宋体" w:cs="宋体" w:eastAsia="宋体" w:hint="default"/>
        </w:rPr>
        <w:t> </w:t>
      </w:r>
    </w:p>
    <w:p>
      <w:pPr>
        <w:pStyle w:val="BodyText"/>
        <w:spacing w:line="312" w:lineRule="exact" w:before="28"/>
        <w:ind w:left="224" w:right="240"/>
        <w:jc w:val="both"/>
        <w:rPr>
          <w:rFonts w:ascii="宋体" w:hAnsi="宋体" w:cs="宋体" w:eastAsia="宋体" w:hint="default"/>
        </w:rPr>
      </w:pPr>
      <w:r>
        <w:rPr/>
        <w:t>注</w:t>
      </w:r>
      <w:r>
        <w:rPr>
          <w:spacing w:val="-60"/>
        </w:rPr>
        <w:t> </w:t>
      </w:r>
      <w:r>
        <w:rPr>
          <w:rFonts w:ascii="宋体" w:hAnsi="宋体" w:cs="宋体" w:eastAsia="宋体" w:hint="default"/>
        </w:rPr>
        <w:t>3</w:t>
      </w:r>
      <w:r>
        <w:rPr/>
        <w:t>：公司董事会于</w:t>
      </w:r>
      <w:r>
        <w:rPr>
          <w:spacing w:val="-61"/>
        </w:rPr>
        <w:t> </w:t>
      </w: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2</w:t>
      </w:r>
      <w:r>
        <w:rPr>
          <w:rFonts w:ascii="宋体" w:hAnsi="宋体" w:cs="宋体" w:eastAsia="宋体" w:hint="default"/>
          <w:spacing w:val="-60"/>
        </w:rPr>
        <w:t> </w:t>
      </w:r>
      <w:r>
        <w:rPr/>
        <w:t>日收到公司董事长、总裁王文京先生提交的书面辞职函</w:t>
      </w:r>
      <w:r>
        <w:rPr>
          <w:rFonts w:ascii="宋体" w:hAnsi="宋体" w:cs="宋体" w:eastAsia="宋体" w:hint="default"/>
        </w:rPr>
        <w:t>,</w:t>
      </w:r>
      <w:r>
        <w:rPr/>
        <w:t>申请辞去所担任的公司总裁职务，其辞职 </w:t>
      </w:r>
      <w:r>
        <w:rPr>
          <w:spacing w:val="-1"/>
        </w:rPr>
        <w:t>申请自辞职函送达公司董事会之日起生效。王文京先生辞去公司总裁职务后，仍继续担任公司董事长及董事会下设的相关专门委员会</w:t>
      </w:r>
      <w:r>
        <w:rPr>
          <w:spacing w:val="-110"/>
        </w:rPr>
        <w:t> </w:t>
      </w:r>
      <w:r>
        <w:rPr>
          <w:spacing w:val="-110"/>
        </w:rPr>
      </w:r>
      <w:r>
        <w:rPr/>
        <w:t>委员。</w:t>
      </w:r>
      <w:r>
        <w:rPr>
          <w:rFonts w:ascii="宋体" w:hAnsi="宋体" w:cs="宋体" w:eastAsia="宋体" w:hint="default"/>
        </w:rPr>
        <w:t> </w:t>
      </w:r>
    </w:p>
    <w:p>
      <w:pPr>
        <w:pStyle w:val="BodyText"/>
        <w:spacing w:line="280" w:lineRule="exact"/>
        <w:ind w:left="224" w:right="0"/>
        <w:jc w:val="both"/>
      </w:pPr>
      <w:r>
        <w:rPr/>
        <w:t>注</w:t>
      </w:r>
      <w:r>
        <w:rPr>
          <w:spacing w:val="-70"/>
        </w:rPr>
        <w:t> </w:t>
      </w:r>
      <w:r>
        <w:rPr>
          <w:rFonts w:ascii="宋体" w:hAnsi="宋体" w:cs="宋体" w:eastAsia="宋体" w:hint="default"/>
          <w:spacing w:val="-8"/>
        </w:rPr>
        <w:t>4</w:t>
      </w:r>
      <w:r>
        <w:rPr>
          <w:spacing w:val="-8"/>
        </w:rPr>
        <w:t>：公司于</w:t>
      </w:r>
      <w:r>
        <w:rPr>
          <w:spacing w:val="-71"/>
        </w:rPr>
        <w:t> </w:t>
      </w:r>
      <w:r>
        <w:rPr>
          <w:rFonts w:ascii="宋体" w:hAnsi="宋体" w:cs="宋体" w:eastAsia="宋体" w:hint="default"/>
        </w:rPr>
        <w:t>2019</w:t>
      </w:r>
      <w:r>
        <w:rPr>
          <w:rFonts w:ascii="宋体" w:hAnsi="宋体" w:cs="宋体" w:eastAsia="宋体" w:hint="default"/>
          <w:spacing w:val="-70"/>
        </w:rPr>
        <w:t> </w:t>
      </w:r>
      <w:r>
        <w:rPr/>
        <w:t>年</w:t>
      </w:r>
      <w:r>
        <w:rPr>
          <w:spacing w:val="-70"/>
        </w:rPr>
        <w:t> </w:t>
      </w:r>
      <w:r>
        <w:rPr>
          <w:rFonts w:ascii="宋体" w:hAnsi="宋体" w:cs="宋体" w:eastAsia="宋体" w:hint="default"/>
        </w:rPr>
        <w:t>1</w:t>
      </w:r>
      <w:r>
        <w:rPr>
          <w:rFonts w:ascii="宋体" w:hAnsi="宋体" w:cs="宋体" w:eastAsia="宋体" w:hint="default"/>
          <w:spacing w:val="-70"/>
        </w:rPr>
        <w:t> </w:t>
      </w:r>
      <w:r>
        <w:rPr/>
        <w:t>月</w:t>
      </w:r>
      <w:r>
        <w:rPr>
          <w:spacing w:val="-70"/>
        </w:rPr>
        <w:t> </w:t>
      </w:r>
      <w:r>
        <w:rPr>
          <w:rFonts w:ascii="宋体" w:hAnsi="宋体" w:cs="宋体" w:eastAsia="宋体" w:hint="default"/>
        </w:rPr>
        <w:t>2</w:t>
      </w:r>
      <w:r>
        <w:rPr>
          <w:rFonts w:ascii="宋体" w:hAnsi="宋体" w:cs="宋体" w:eastAsia="宋体" w:hint="default"/>
          <w:spacing w:val="-70"/>
        </w:rPr>
        <w:t> </w:t>
      </w:r>
      <w:r>
        <w:rPr/>
        <w:t>日召开了第七届董事会第三十次会议，聘任陈强兵先生为公司总裁，任期自本次董事会审议通过之日起至</w:t>
      </w:r>
    </w:p>
    <w:p>
      <w:pPr>
        <w:pStyle w:val="BodyText"/>
        <w:spacing w:line="312" w:lineRule="exact"/>
        <w:ind w:left="224" w:right="0"/>
        <w:jc w:val="both"/>
        <w:rPr>
          <w:rFonts w:ascii="宋体" w:hAnsi="宋体" w:cs="宋体" w:eastAsia="宋体" w:hint="default"/>
        </w:rPr>
      </w:pPr>
      <w:r>
        <w:rPr/>
        <w:t>公司</w:t>
      </w:r>
      <w:r>
        <w:rPr>
          <w:spacing w:val="-56"/>
        </w:rPr>
        <w:t> </w:t>
      </w:r>
      <w:r>
        <w:rPr>
          <w:rFonts w:ascii="宋体" w:hAnsi="宋体" w:cs="宋体" w:eastAsia="宋体" w:hint="default"/>
        </w:rPr>
        <w:t>2019</w:t>
      </w:r>
      <w:r>
        <w:rPr>
          <w:rFonts w:ascii="宋体" w:hAnsi="宋体" w:cs="宋体" w:eastAsia="宋体" w:hint="default"/>
          <w:spacing w:val="-56"/>
        </w:rPr>
        <w:t> </w:t>
      </w:r>
      <w:r>
        <w:rPr>
          <w:spacing w:val="-5"/>
        </w:rPr>
        <w:t>年年度股东大会选举出新一届董事会之日止；提名陈强兵先生为公司第七届董事会董事候选人。</w:t>
      </w:r>
      <w:r>
        <w:rPr>
          <w:rFonts w:ascii="宋体" w:hAnsi="宋体" w:cs="宋体" w:eastAsia="宋体" w:hint="default"/>
          <w:spacing w:val="-5"/>
        </w:rPr>
        <w:t>2019</w:t>
      </w:r>
      <w:r>
        <w:rPr>
          <w:rFonts w:ascii="宋体" w:hAnsi="宋体" w:cs="宋体" w:eastAsia="宋体" w:hint="default"/>
          <w:spacing w:val="-56"/>
        </w:rPr>
        <w:t> </w:t>
      </w:r>
      <w:r>
        <w:rPr/>
        <w:t>年</w:t>
      </w:r>
      <w:r>
        <w:rPr>
          <w:spacing w:val="-56"/>
        </w:rPr>
        <w:t> </w:t>
      </w:r>
      <w:r>
        <w:rPr>
          <w:rFonts w:ascii="宋体" w:hAnsi="宋体" w:cs="宋体" w:eastAsia="宋体" w:hint="default"/>
        </w:rPr>
        <w:t>4</w:t>
      </w:r>
      <w:r>
        <w:rPr>
          <w:rFonts w:ascii="宋体" w:hAnsi="宋体" w:cs="宋体" w:eastAsia="宋体" w:hint="default"/>
          <w:spacing w:val="-56"/>
        </w:rPr>
        <w:t> </w:t>
      </w:r>
      <w:r>
        <w:rPr/>
        <w:t>月</w:t>
      </w:r>
      <w:r>
        <w:rPr>
          <w:spacing w:val="-56"/>
        </w:rPr>
        <w:t> </w:t>
      </w:r>
      <w:r>
        <w:rPr>
          <w:rFonts w:ascii="宋体" w:hAnsi="宋体" w:cs="宋体" w:eastAsia="宋体" w:hint="default"/>
        </w:rPr>
        <w:t>8</w:t>
      </w:r>
      <w:r>
        <w:rPr>
          <w:rFonts w:ascii="宋体" w:hAnsi="宋体" w:cs="宋体" w:eastAsia="宋体" w:hint="default"/>
          <w:spacing w:val="-56"/>
        </w:rPr>
        <w:t> </w:t>
      </w:r>
      <w:r>
        <w:rPr>
          <w:spacing w:val="-24"/>
        </w:rPr>
        <w:t>日，公司</w:t>
      </w:r>
      <w:r>
        <w:rPr>
          <w:spacing w:val="-56"/>
        </w:rPr>
        <w:t> </w:t>
      </w:r>
      <w:r>
        <w:rPr>
          <w:rFonts w:ascii="宋体" w:hAnsi="宋体" w:cs="宋体" w:eastAsia="宋体" w:hint="default"/>
        </w:rPr>
        <w:t>2018</w:t>
      </w:r>
    </w:p>
    <w:p>
      <w:pPr>
        <w:pStyle w:val="BodyText"/>
        <w:spacing w:line="310" w:lineRule="exact" w:before="31"/>
        <w:ind w:left="224" w:right="240"/>
        <w:jc w:val="both"/>
        <w:rPr>
          <w:rFonts w:ascii="宋体" w:hAnsi="宋体" w:cs="宋体" w:eastAsia="宋体" w:hint="default"/>
        </w:rPr>
      </w:pPr>
      <w:r>
        <w:rPr/>
        <w:t>年年度股东大会选举陈强兵先生为公司第七届董事会董事。任期自</w:t>
      </w:r>
      <w:r>
        <w:rPr>
          <w:spacing w:val="-66"/>
        </w:rPr>
        <w:t> </w:t>
      </w:r>
      <w:r>
        <w:rPr>
          <w:rFonts w:ascii="宋体" w:hAnsi="宋体" w:cs="宋体" w:eastAsia="宋体" w:hint="default"/>
        </w:rPr>
        <w:t>2019</w:t>
      </w:r>
      <w:r>
        <w:rPr>
          <w:rFonts w:ascii="宋体" w:hAnsi="宋体" w:cs="宋体" w:eastAsia="宋体" w:hint="default"/>
          <w:spacing w:val="-66"/>
        </w:rPr>
        <w:t> </w:t>
      </w:r>
      <w:r>
        <w:rPr/>
        <w:t>年</w:t>
      </w:r>
      <w:r>
        <w:rPr>
          <w:spacing w:val="-66"/>
        </w:rPr>
        <w:t> </w:t>
      </w:r>
      <w:r>
        <w:rPr>
          <w:rFonts w:ascii="宋体" w:hAnsi="宋体" w:cs="宋体" w:eastAsia="宋体" w:hint="default"/>
        </w:rPr>
        <w:t>4</w:t>
      </w:r>
      <w:r>
        <w:rPr>
          <w:rFonts w:ascii="宋体" w:hAnsi="宋体" w:cs="宋体" w:eastAsia="宋体" w:hint="default"/>
          <w:spacing w:val="-66"/>
        </w:rPr>
        <w:t> </w:t>
      </w:r>
      <w:r>
        <w:rPr/>
        <w:t>月</w:t>
      </w:r>
      <w:r>
        <w:rPr>
          <w:spacing w:val="-66"/>
        </w:rPr>
        <w:t> </w:t>
      </w:r>
      <w:r>
        <w:rPr>
          <w:rFonts w:ascii="宋体" w:hAnsi="宋体" w:cs="宋体" w:eastAsia="宋体" w:hint="default"/>
        </w:rPr>
        <w:t>8</w:t>
      </w:r>
      <w:r>
        <w:rPr>
          <w:rFonts w:ascii="宋体" w:hAnsi="宋体" w:cs="宋体" w:eastAsia="宋体" w:hint="default"/>
          <w:spacing w:val="-66"/>
        </w:rPr>
        <w:t> </w:t>
      </w:r>
      <w:r>
        <w:rPr/>
        <w:t>日起至公司</w:t>
      </w:r>
      <w:r>
        <w:rPr>
          <w:spacing w:val="-66"/>
        </w:rPr>
        <w:t> </w:t>
      </w:r>
      <w:r>
        <w:rPr>
          <w:rFonts w:ascii="宋体" w:hAnsi="宋体" w:cs="宋体" w:eastAsia="宋体" w:hint="default"/>
        </w:rPr>
        <w:t>2019</w:t>
      </w:r>
      <w:r>
        <w:rPr>
          <w:rFonts w:ascii="宋体" w:hAnsi="宋体" w:cs="宋体" w:eastAsia="宋体" w:hint="default"/>
          <w:spacing w:val="-66"/>
        </w:rPr>
        <w:t> </w:t>
      </w:r>
      <w:r>
        <w:rPr/>
        <w:t>年年度股东大会选举出新一届董事 会之日止。</w:t>
      </w:r>
      <w:r>
        <w:rPr>
          <w:rFonts w:ascii="宋体" w:hAnsi="宋体" w:cs="宋体" w:eastAsia="宋体" w:hint="default"/>
        </w:rPr>
        <w:t> </w:t>
      </w:r>
    </w:p>
    <w:p>
      <w:pPr>
        <w:pStyle w:val="BodyText"/>
        <w:spacing w:line="312" w:lineRule="exact"/>
        <w:ind w:left="224" w:right="313"/>
        <w:jc w:val="both"/>
        <w:rPr>
          <w:rFonts w:ascii="宋体" w:hAnsi="宋体" w:cs="宋体" w:eastAsia="宋体" w:hint="default"/>
        </w:rPr>
      </w:pPr>
      <w:r>
        <w:rPr/>
        <w:t>注</w:t>
      </w:r>
      <w:r>
        <w:rPr>
          <w:spacing w:val="-61"/>
        </w:rPr>
        <w:t> </w:t>
      </w:r>
      <w:r>
        <w:rPr>
          <w:rFonts w:ascii="宋体" w:hAnsi="宋体" w:cs="宋体" w:eastAsia="宋体" w:hint="default"/>
        </w:rPr>
        <w:t>5</w:t>
      </w:r>
      <w:r>
        <w:rPr/>
        <w:t>：公司董事会于</w:t>
      </w:r>
      <w:r>
        <w:rPr>
          <w:spacing w:val="-1"/>
        </w:rPr>
        <w:t> </w:t>
      </w:r>
      <w:r>
        <w:rPr>
          <w:rFonts w:ascii="宋体" w:hAnsi="宋体" w:cs="宋体" w:eastAsia="宋体" w:hint="default"/>
          <w:spacing w:val="-1"/>
        </w:rPr>
      </w:r>
      <w:r>
        <w:rPr>
          <w:rFonts w:ascii="宋体" w:hAnsi="宋体" w:cs="宋体" w:eastAsia="宋体" w:hint="default"/>
        </w:rPr>
        <w:t>2019</w:t>
      </w:r>
      <w:r>
        <w:rPr>
          <w:rFonts w:ascii="宋体" w:hAnsi="宋体" w:cs="宋体" w:eastAsia="宋体" w:hint="default"/>
          <w:spacing w:val="-61"/>
        </w:rPr>
        <w:t> </w:t>
      </w:r>
      <w:r>
        <w:rPr/>
        <w:t>年</w:t>
      </w:r>
      <w:r>
        <w:rPr>
          <w:spacing w:val="-61"/>
        </w:rPr>
        <w:t> </w:t>
      </w:r>
      <w:r>
        <w:rPr>
          <w:rFonts w:ascii="宋体" w:hAnsi="宋体" w:cs="宋体" w:eastAsia="宋体" w:hint="default"/>
        </w:rPr>
        <w:t>4</w:t>
      </w:r>
      <w:r>
        <w:rPr>
          <w:rFonts w:ascii="宋体" w:hAnsi="宋体" w:cs="宋体" w:eastAsia="宋体" w:hint="default"/>
          <w:spacing w:val="-61"/>
        </w:rPr>
        <w:t> </w:t>
      </w:r>
      <w:r>
        <w:rPr/>
        <w:t>月</w:t>
      </w:r>
      <w:r>
        <w:rPr>
          <w:spacing w:val="-61"/>
        </w:rPr>
        <w:t> </w:t>
      </w:r>
      <w:r>
        <w:rPr>
          <w:rFonts w:ascii="宋体" w:hAnsi="宋体" w:cs="宋体" w:eastAsia="宋体" w:hint="default"/>
        </w:rPr>
        <w:t>3</w:t>
      </w:r>
      <w:r>
        <w:rPr>
          <w:rFonts w:ascii="宋体" w:hAnsi="宋体" w:cs="宋体" w:eastAsia="宋体" w:hint="default"/>
          <w:spacing w:val="-61"/>
        </w:rPr>
        <w:t> </w:t>
      </w:r>
      <w:r>
        <w:rPr/>
        <w:t>日收到公司独立董事王贵亚先生的辞职报告，王贵亚先生因个人原因辞去公司第七届董事会独立 董事职务及董事会下设的相关专门委员会委员，其辞职报告自</w:t>
      </w:r>
      <w:r>
        <w:rPr>
          <w:spacing w:val="-60"/>
        </w:rPr>
        <w:t> </w:t>
      </w: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3</w:t>
      </w:r>
      <w:r>
        <w:rPr>
          <w:rFonts w:ascii="宋体" w:hAnsi="宋体" w:cs="宋体" w:eastAsia="宋体" w:hint="default"/>
          <w:spacing w:val="-60"/>
        </w:rPr>
        <w:t> </w:t>
      </w:r>
      <w:r>
        <w:rPr/>
        <w:t>日起生效。</w:t>
      </w:r>
      <w:r>
        <w:rPr>
          <w:rFonts w:ascii="宋体" w:hAnsi="宋体" w:cs="宋体" w:eastAsia="宋体" w:hint="default"/>
        </w:rPr>
        <w:t> </w:t>
      </w:r>
    </w:p>
    <w:p>
      <w:pPr>
        <w:pStyle w:val="BodyText"/>
        <w:spacing w:line="280" w:lineRule="exact"/>
        <w:ind w:left="224" w:right="0"/>
        <w:jc w:val="both"/>
      </w:pPr>
      <w:r>
        <w:rPr/>
        <w:t>注</w:t>
      </w:r>
      <w:r>
        <w:rPr>
          <w:spacing w:val="-60"/>
        </w:rPr>
        <w:t> </w:t>
      </w:r>
      <w:r>
        <w:rPr>
          <w:rFonts w:ascii="宋体" w:hAnsi="宋体" w:cs="宋体" w:eastAsia="宋体" w:hint="default"/>
        </w:rPr>
        <w:t>6</w:t>
      </w:r>
      <w:r>
        <w:rPr/>
        <w:t>：公司于</w:t>
      </w:r>
      <w:r>
        <w:rPr>
          <w:spacing w:val="-61"/>
        </w:rPr>
        <w:t> </w:t>
      </w: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23</w:t>
      </w:r>
      <w:r>
        <w:rPr>
          <w:rFonts w:ascii="宋体" w:hAnsi="宋体" w:cs="宋体" w:eastAsia="宋体" w:hint="default"/>
          <w:spacing w:val="-60"/>
        </w:rPr>
        <w:t> </w:t>
      </w:r>
      <w:r>
        <w:rPr/>
        <w:t>日召开了第七届董事会第三十一次会议，聘任牛立伟先生为公司高级副总裁，聘任孙淑嫔女士为公司高</w:t>
      </w:r>
    </w:p>
    <w:p>
      <w:pPr>
        <w:pStyle w:val="BodyText"/>
        <w:spacing w:line="312" w:lineRule="exact" w:before="29"/>
        <w:ind w:left="224" w:right="311"/>
        <w:jc w:val="both"/>
        <w:rPr>
          <w:rFonts w:ascii="宋体" w:hAnsi="宋体" w:cs="宋体" w:eastAsia="宋体" w:hint="default"/>
        </w:rPr>
      </w:pPr>
      <w:r>
        <w:rPr/>
        <w:t>级副总裁。上述被聘任人员的任期至公司</w:t>
      </w:r>
      <w:r>
        <w:rPr>
          <w:spacing w:val="-59"/>
        </w:rPr>
        <w:t> </w:t>
      </w:r>
      <w:r>
        <w:rPr>
          <w:rFonts w:ascii="宋体" w:hAnsi="宋体" w:cs="宋体" w:eastAsia="宋体" w:hint="default"/>
        </w:rPr>
        <w:t>2019</w:t>
      </w:r>
      <w:r>
        <w:rPr>
          <w:rFonts w:ascii="宋体" w:hAnsi="宋体" w:cs="宋体" w:eastAsia="宋体" w:hint="default"/>
          <w:spacing w:val="-60"/>
        </w:rPr>
        <w:t> </w:t>
      </w:r>
      <w:r>
        <w:rPr/>
        <w:t>年年度股东大会选举出新一届董事会聘任公司高级管理人员之日止。严绍业先生、张 纪雄先生、胡彬先生、徐宝东先生、杨晓柏先生不再担任公司高级副总裁，其工作另有安排。</w:t>
      </w:r>
      <w:r>
        <w:rPr>
          <w:rFonts w:ascii="宋体" w:hAnsi="宋体" w:cs="宋体" w:eastAsia="宋体" w:hint="default"/>
        </w:rPr>
        <w:t> </w:t>
      </w:r>
    </w:p>
    <w:p>
      <w:pPr>
        <w:spacing w:line="240" w:lineRule="auto" w:before="8"/>
        <w:rPr>
          <w:rFonts w:ascii="宋体" w:hAnsi="宋体" w:cs="宋体" w:eastAsia="宋体" w:hint="default"/>
          <w:sz w:val="21"/>
          <w:szCs w:val="21"/>
        </w:rPr>
      </w:pPr>
    </w:p>
    <w:tbl>
      <w:tblPr>
        <w:tblW w:w="0" w:type="auto"/>
        <w:jc w:val="left"/>
        <w:tblInd w:w="111" w:type="dxa"/>
        <w:tblLayout w:type="fixed"/>
        <w:tblCellMar>
          <w:top w:w="0" w:type="dxa"/>
          <w:left w:w="0" w:type="dxa"/>
          <w:bottom w:w="0" w:type="dxa"/>
          <w:right w:w="0" w:type="dxa"/>
        </w:tblCellMar>
        <w:tblLook w:val="01E0"/>
      </w:tblPr>
      <w:tblGrid>
        <w:gridCol w:w="1371"/>
        <w:gridCol w:w="12494"/>
      </w:tblGrid>
      <w:tr>
        <w:trPr>
          <w:trHeight w:val="322"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439"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 w:right="0"/>
              <w:jc w:val="center"/>
              <w:rPr>
                <w:rFonts w:ascii="宋体" w:hAnsi="宋体" w:cs="宋体" w:eastAsia="宋体" w:hint="default"/>
                <w:sz w:val="24"/>
                <w:szCs w:val="24"/>
              </w:rPr>
            </w:pPr>
            <w:r>
              <w:rPr>
                <w:rFonts w:ascii="宋体" w:hAnsi="宋体" w:cs="宋体" w:eastAsia="宋体" w:hint="default"/>
                <w:sz w:val="24"/>
                <w:szCs w:val="24"/>
              </w:rPr>
              <w:t>主要工作经历</w:t>
            </w:r>
          </w:p>
        </w:tc>
      </w:tr>
      <w:tr>
        <w:trPr>
          <w:trHeight w:val="94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left"/>
              <w:rPr>
                <w:rFonts w:ascii="宋体" w:hAnsi="宋体" w:cs="宋体" w:eastAsia="宋体" w:hint="default"/>
                <w:sz w:val="24"/>
                <w:szCs w:val="24"/>
              </w:rPr>
            </w:pPr>
            <w:r>
              <w:rPr>
                <w:rFonts w:ascii="宋体" w:hAnsi="宋体" w:cs="宋体" w:eastAsia="宋体" w:hint="default"/>
                <w:sz w:val="24"/>
                <w:szCs w:val="24"/>
              </w:rPr>
              <w:t>董事长王文京先生，</w:t>
            </w:r>
            <w:r>
              <w:rPr>
                <w:rFonts w:ascii="Times New Roman" w:hAnsi="Times New Roman" w:cs="Times New Roman" w:eastAsia="Times New Roman" w:hint="default"/>
                <w:sz w:val="24"/>
                <w:szCs w:val="24"/>
              </w:rPr>
              <w:t>1988</w:t>
            </w:r>
            <w:r>
              <w:rPr>
                <w:rFonts w:ascii="Times New Roman" w:hAnsi="Times New Roman" w:cs="Times New Roman" w:eastAsia="Times New Roman" w:hint="default"/>
                <w:spacing w:val="-24"/>
                <w:sz w:val="24"/>
                <w:szCs w:val="24"/>
              </w:rPr>
              <w:t> </w:t>
            </w:r>
            <w:r>
              <w:rPr>
                <w:rFonts w:ascii="宋体" w:hAnsi="宋体" w:cs="宋体" w:eastAsia="宋体" w:hint="default"/>
                <w:sz w:val="24"/>
                <w:szCs w:val="24"/>
              </w:rPr>
              <w:t>年创建用友公司，曾任公司董事长兼总裁等职务，目前还担任畅捷通信息技术股份有限公司</w:t>
            </w:r>
          </w:p>
          <w:p>
            <w:pPr>
              <w:pStyle w:val="TableParagraph"/>
              <w:spacing w:line="312" w:lineRule="exact" w:before="20"/>
              <w:ind w:left="105" w:right="105"/>
              <w:jc w:val="left"/>
              <w:rPr>
                <w:rFonts w:ascii="宋体" w:hAnsi="宋体" w:cs="宋体" w:eastAsia="宋体" w:hint="default"/>
                <w:sz w:val="24"/>
                <w:szCs w:val="24"/>
              </w:rPr>
            </w:pPr>
            <w:r>
              <w:rPr>
                <w:rFonts w:ascii="宋体" w:hAnsi="宋体" w:cs="宋体" w:eastAsia="宋体" w:hint="default"/>
                <w:sz w:val="24"/>
                <w:szCs w:val="24"/>
              </w:rPr>
              <w:t>董事长、北京用友政务软件有限公司董事长、厦门用友烟草软件有限责任公司董事长、用友汽车信息科技（上海）股</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份有限公司董事长、新道科技股份有限公司董事长等职务。</w:t>
            </w:r>
          </w:p>
        </w:tc>
      </w:tr>
    </w:tbl>
    <w:p>
      <w:pPr>
        <w:spacing w:after="0" w:line="312" w:lineRule="exact"/>
        <w:jc w:val="left"/>
        <w:rPr>
          <w:rFonts w:ascii="宋体" w:hAnsi="宋体" w:cs="宋体" w:eastAsia="宋体" w:hint="default"/>
          <w:sz w:val="24"/>
          <w:szCs w:val="24"/>
        </w:rPr>
        <w:sectPr>
          <w:footerReference w:type="default" r:id="rId35"/>
          <w:pgSz w:w="16840" w:h="11910" w:orient="landscape"/>
          <w:pgMar w:footer="1195" w:header="880" w:top="1120" w:bottom="1380" w:left="1300" w:right="1200"/>
          <w:pgNumType w:start="51"/>
        </w:sectPr>
      </w:pPr>
    </w:p>
    <w:p>
      <w:pPr>
        <w:spacing w:line="240" w:lineRule="auto" w:before="4"/>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1371"/>
        <w:gridCol w:w="12494"/>
      </w:tblGrid>
      <w:tr>
        <w:trPr>
          <w:trHeight w:val="94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left"/>
              <w:rPr>
                <w:rFonts w:ascii="宋体" w:hAnsi="宋体" w:cs="宋体" w:eastAsia="宋体" w:hint="default"/>
                <w:sz w:val="24"/>
                <w:szCs w:val="24"/>
              </w:rPr>
            </w:pPr>
            <w:r>
              <w:rPr>
                <w:rFonts w:ascii="宋体" w:hAnsi="宋体" w:cs="宋体" w:eastAsia="宋体" w:hint="default"/>
                <w:sz w:val="24"/>
                <w:szCs w:val="24"/>
              </w:rPr>
              <w:t>副董事长郭新平先生，民建十一届中央委员，</w:t>
            </w:r>
            <w:r>
              <w:rPr>
                <w:rFonts w:ascii="Times New Roman" w:hAnsi="Times New Roman" w:cs="Times New Roman" w:eastAsia="Times New Roman" w:hint="default"/>
                <w:sz w:val="24"/>
                <w:szCs w:val="24"/>
              </w:rPr>
              <w:t>1989</w:t>
            </w:r>
            <w:r>
              <w:rPr>
                <w:rFonts w:ascii="Times New Roman" w:hAnsi="Times New Roman" w:cs="Times New Roman" w:eastAsia="Times New Roman" w:hint="default"/>
                <w:spacing w:val="-28"/>
                <w:sz w:val="24"/>
                <w:szCs w:val="24"/>
              </w:rPr>
              <w:t> </w:t>
            </w:r>
            <w:r>
              <w:rPr>
                <w:rFonts w:ascii="宋体" w:hAnsi="宋体" w:cs="宋体" w:eastAsia="宋体" w:hint="default"/>
                <w:sz w:val="24"/>
                <w:szCs w:val="24"/>
              </w:rPr>
              <w:t>年加入用友，曾任公司副董事长、总裁、财务总监等职务，目前还</w:t>
            </w:r>
          </w:p>
          <w:p>
            <w:pPr>
              <w:pStyle w:val="TableParagraph"/>
              <w:spacing w:line="310" w:lineRule="exact" w:before="22"/>
              <w:ind w:left="105" w:right="105"/>
              <w:jc w:val="left"/>
              <w:rPr>
                <w:rFonts w:ascii="宋体" w:hAnsi="宋体" w:cs="宋体" w:eastAsia="宋体" w:hint="default"/>
                <w:sz w:val="24"/>
                <w:szCs w:val="24"/>
              </w:rPr>
            </w:pPr>
            <w:r>
              <w:rPr>
                <w:rFonts w:ascii="宋体" w:hAnsi="宋体" w:cs="宋体" w:eastAsia="宋体" w:hint="default"/>
                <w:sz w:val="24"/>
                <w:szCs w:val="24"/>
              </w:rPr>
              <w:t>担任畅捷通信息技术股份有限公司监事会主席、用友汽车信息科技（上海）股份有限公司监事会主席、北京用友政务</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软件有限公司董事、厦门用友烟草软件有限责任公司董事、北京用友幸福投资管理有限公司监事等职务。</w:t>
            </w:r>
          </w:p>
        </w:tc>
      </w:tr>
      <w:tr>
        <w:trPr>
          <w:trHeight w:val="94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20"/>
              <w:jc w:val="left"/>
              <w:rPr>
                <w:rFonts w:ascii="宋体" w:hAnsi="宋体" w:cs="宋体" w:eastAsia="宋体" w:hint="default"/>
                <w:sz w:val="24"/>
                <w:szCs w:val="24"/>
              </w:rPr>
            </w:pPr>
            <w:r>
              <w:rPr>
                <w:rFonts w:ascii="宋体" w:hAnsi="宋体" w:cs="宋体" w:eastAsia="宋体" w:hint="default"/>
                <w:sz w:val="24"/>
                <w:szCs w:val="24"/>
              </w:rPr>
              <w:t>董事吴政平先生，</w:t>
            </w:r>
            <w:r>
              <w:rPr>
                <w:rFonts w:ascii="Times New Roman" w:hAnsi="Times New Roman" w:cs="Times New Roman" w:eastAsia="Times New Roman" w:hint="default"/>
                <w:sz w:val="24"/>
                <w:szCs w:val="24"/>
              </w:rPr>
              <w:t>1992</w:t>
            </w:r>
            <w:r>
              <w:rPr>
                <w:rFonts w:ascii="Times New Roman" w:hAnsi="Times New Roman" w:cs="Times New Roman" w:eastAsia="Times New Roman" w:hint="default"/>
                <w:spacing w:val="-28"/>
                <w:sz w:val="24"/>
                <w:szCs w:val="24"/>
              </w:rPr>
              <w:t> </w:t>
            </w:r>
            <w:r>
              <w:rPr>
                <w:rFonts w:ascii="宋体" w:hAnsi="宋体" w:cs="宋体" w:eastAsia="宋体" w:hint="default"/>
                <w:sz w:val="24"/>
                <w:szCs w:val="24"/>
              </w:rPr>
              <w:t>年加入用友，曾任公司董事、执行副总裁、高级副总裁、财务总监和行政总监等职务，目前还</w:t>
            </w:r>
          </w:p>
          <w:p>
            <w:pPr>
              <w:pStyle w:val="TableParagraph"/>
              <w:spacing w:line="310" w:lineRule="exact" w:before="22"/>
              <w:ind w:left="105" w:right="-20"/>
              <w:jc w:val="left"/>
              <w:rPr>
                <w:rFonts w:ascii="宋体" w:hAnsi="宋体" w:cs="宋体" w:eastAsia="宋体" w:hint="default"/>
                <w:sz w:val="24"/>
                <w:szCs w:val="24"/>
              </w:rPr>
            </w:pPr>
            <w:r>
              <w:rPr>
                <w:rFonts w:ascii="宋体" w:hAnsi="宋体" w:cs="宋体" w:eastAsia="宋体" w:hint="default"/>
                <w:spacing w:val="-2"/>
                <w:sz w:val="24"/>
                <w:szCs w:val="24"/>
              </w:rPr>
              <w:t>担任北京用友幸福投资管理有限公司执行董事、畅捷通信息技术股份有限公司董事、北京用友政务软件有限公司董事、</w:t>
            </w:r>
            <w:r>
              <w:rPr>
                <w:rFonts w:ascii="宋体" w:hAnsi="宋体" w:cs="宋体" w:eastAsia="宋体" w:hint="default"/>
                <w:spacing w:val="-100"/>
                <w:sz w:val="24"/>
                <w:szCs w:val="24"/>
              </w:rPr>
              <w:t> </w:t>
            </w:r>
            <w:r>
              <w:rPr>
                <w:rFonts w:ascii="宋体" w:hAnsi="宋体" w:cs="宋体" w:eastAsia="宋体" w:hint="default"/>
                <w:spacing w:val="-100"/>
                <w:sz w:val="24"/>
                <w:szCs w:val="24"/>
              </w:rPr>
            </w:r>
            <w:r>
              <w:rPr>
                <w:rFonts w:ascii="宋体" w:hAnsi="宋体" w:cs="宋体" w:eastAsia="宋体" w:hint="default"/>
                <w:sz w:val="24"/>
                <w:szCs w:val="24"/>
              </w:rPr>
              <w:t>厦门用友烟草软件有限责任公司董事、用友汽车信息科技（上海）股份有限公司董事等职务。</w:t>
            </w:r>
          </w:p>
        </w:tc>
      </w:tr>
      <w:tr>
        <w:trPr>
          <w:trHeight w:val="94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21"/>
              <w:jc w:val="left"/>
              <w:rPr>
                <w:rFonts w:ascii="宋体" w:hAnsi="宋体" w:cs="宋体" w:eastAsia="宋体" w:hint="default"/>
                <w:sz w:val="24"/>
                <w:szCs w:val="24"/>
              </w:rPr>
            </w:pPr>
            <w:r>
              <w:rPr>
                <w:rFonts w:ascii="宋体" w:hAnsi="宋体" w:cs="宋体" w:eastAsia="宋体" w:hint="default"/>
                <w:spacing w:val="-5"/>
                <w:sz w:val="24"/>
                <w:szCs w:val="24"/>
              </w:rPr>
              <w:t>董事、总裁陈强兵先生，</w:t>
            </w:r>
            <w:r>
              <w:rPr>
                <w:rFonts w:ascii="Times New Roman" w:hAnsi="Times New Roman" w:cs="Times New Roman" w:eastAsia="Times New Roman" w:hint="default"/>
                <w:spacing w:val="-5"/>
                <w:sz w:val="24"/>
                <w:szCs w:val="24"/>
              </w:rPr>
              <w:t>1976 </w:t>
            </w:r>
            <w:r>
              <w:rPr>
                <w:rFonts w:ascii="宋体" w:hAnsi="宋体" w:cs="宋体" w:eastAsia="宋体" w:hint="default"/>
                <w:sz w:val="24"/>
                <w:szCs w:val="24"/>
              </w:rPr>
              <w:t>年 </w:t>
            </w:r>
            <w:r>
              <w:rPr>
                <w:rFonts w:ascii="Times New Roman" w:hAnsi="Times New Roman" w:cs="Times New Roman" w:eastAsia="Times New Roman" w:hint="default"/>
                <w:sz w:val="24"/>
                <w:szCs w:val="24"/>
              </w:rPr>
              <w:t>9 </w:t>
            </w:r>
            <w:r>
              <w:rPr>
                <w:rFonts w:ascii="宋体" w:hAnsi="宋体" w:cs="宋体" w:eastAsia="宋体" w:hint="default"/>
                <w:spacing w:val="-7"/>
                <w:sz w:val="24"/>
                <w:szCs w:val="24"/>
              </w:rPr>
              <w:t>月出生，学士。</w:t>
            </w:r>
            <w:r>
              <w:rPr>
                <w:rFonts w:ascii="Times New Roman" w:hAnsi="Times New Roman" w:cs="Times New Roman" w:eastAsia="Times New Roman" w:hint="default"/>
                <w:spacing w:val="-7"/>
                <w:sz w:val="24"/>
                <w:szCs w:val="24"/>
              </w:rPr>
              <w:t>2000</w:t>
            </w:r>
            <w:r>
              <w:rPr>
                <w:rFonts w:ascii="Times New Roman" w:hAnsi="Times New Roman" w:cs="Times New Roman" w:eastAsia="Times New Roman" w:hint="default"/>
                <w:spacing w:val="-22"/>
                <w:sz w:val="24"/>
                <w:szCs w:val="24"/>
              </w:rPr>
              <w:t> </w:t>
            </w:r>
            <w:r>
              <w:rPr>
                <w:rFonts w:ascii="宋体" w:hAnsi="宋体" w:cs="宋体" w:eastAsia="宋体" w:hint="default"/>
                <w:spacing w:val="-3"/>
                <w:sz w:val="24"/>
                <w:szCs w:val="24"/>
              </w:rPr>
              <w:t>年加入用友，曾任分公司销售经理、分支机构管理总部负责人、</w:t>
            </w:r>
          </w:p>
          <w:p>
            <w:pPr>
              <w:pStyle w:val="TableParagraph"/>
              <w:spacing w:line="312" w:lineRule="exact" w:before="20"/>
              <w:ind w:left="105" w:right="99"/>
              <w:jc w:val="left"/>
              <w:rPr>
                <w:rFonts w:ascii="宋体" w:hAnsi="宋体" w:cs="宋体" w:eastAsia="宋体" w:hint="default"/>
                <w:sz w:val="24"/>
                <w:szCs w:val="24"/>
              </w:rPr>
            </w:pPr>
            <w:r>
              <w:rPr>
                <w:rFonts w:ascii="宋体" w:hAnsi="宋体" w:cs="宋体" w:eastAsia="宋体" w:hint="default"/>
                <w:sz w:val="24"/>
                <w:szCs w:val="24"/>
              </w:rPr>
              <w:t>分公司总经理、助理总裁、副总裁、高级副总裁、执行总裁、董事等职务</w:t>
            </w:r>
            <w:r>
              <w:rPr>
                <w:rFonts w:ascii="Times New Roman" w:hAnsi="Times New Roman" w:cs="Times New Roman" w:eastAsia="Times New Roman" w:hint="default"/>
                <w:sz w:val="24"/>
                <w:szCs w:val="24"/>
              </w:rPr>
              <w:t>, </w:t>
            </w:r>
            <w:r>
              <w:rPr>
                <w:rFonts w:ascii="宋体" w:hAnsi="宋体" w:cs="宋体" w:eastAsia="宋体" w:hint="default"/>
                <w:sz w:val="24"/>
                <w:szCs w:val="24"/>
              </w:rPr>
              <w:t>目前还担任用友（上海）工业互联网科技</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宋体" w:hAnsi="宋体" w:cs="宋体" w:eastAsia="宋体" w:hint="default"/>
                <w:sz w:val="24"/>
                <w:szCs w:val="24"/>
              </w:rPr>
              <w:t>发展有限公司执行董事、新道科技股份有限公司董事等职务。</w:t>
            </w:r>
          </w:p>
        </w:tc>
      </w:tr>
      <w:tr>
        <w:trPr>
          <w:trHeight w:val="1879"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黄锦辉</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5" w:right="0"/>
              <w:jc w:val="both"/>
              <w:rPr>
                <w:rFonts w:ascii="宋体" w:hAnsi="宋体" w:cs="宋体" w:eastAsia="宋体" w:hint="default"/>
                <w:sz w:val="24"/>
                <w:szCs w:val="24"/>
              </w:rPr>
            </w:pPr>
            <w:r>
              <w:rPr>
                <w:rFonts w:ascii="宋体" w:hAnsi="宋体" w:cs="宋体" w:eastAsia="宋体" w:hint="default"/>
                <w:sz w:val="24"/>
                <w:szCs w:val="24"/>
              </w:rPr>
              <w:t>独立董事黄锦辉先生，</w:t>
            </w:r>
            <w:r>
              <w:rPr>
                <w:rFonts w:ascii="Times New Roman" w:hAnsi="Times New Roman" w:cs="Times New Roman" w:eastAsia="Times New Roman" w:hint="default"/>
                <w:sz w:val="24"/>
                <w:szCs w:val="24"/>
              </w:rPr>
              <w:t>1964  </w:t>
            </w:r>
            <w:r>
              <w:rPr>
                <w:rFonts w:ascii="宋体" w:hAnsi="宋体" w:cs="宋体" w:eastAsia="宋体" w:hint="default"/>
                <w:sz w:val="24"/>
                <w:szCs w:val="24"/>
              </w:rPr>
              <w:t>年 </w:t>
            </w:r>
            <w:r>
              <w:rPr>
                <w:rFonts w:ascii="Times New Roman" w:hAnsi="Times New Roman" w:cs="Times New Roman" w:eastAsia="Times New Roman" w:hint="default"/>
                <w:sz w:val="24"/>
                <w:szCs w:val="24"/>
              </w:rPr>
              <w:t>10</w:t>
            </w:r>
            <w:r>
              <w:rPr>
                <w:rFonts w:ascii="Times New Roman" w:hAnsi="Times New Roman" w:cs="Times New Roman" w:eastAsia="Times New Roman" w:hint="default"/>
                <w:spacing w:val="-25"/>
                <w:sz w:val="24"/>
                <w:szCs w:val="24"/>
              </w:rPr>
              <w:t> </w:t>
            </w:r>
            <w:r>
              <w:rPr>
                <w:rFonts w:ascii="宋体" w:hAnsi="宋体" w:cs="宋体" w:eastAsia="宋体" w:hint="default"/>
                <w:sz w:val="24"/>
                <w:szCs w:val="24"/>
              </w:rPr>
              <w:t>月出生，工商管理博士学位，澳大利亚资深注册会计师、国际注册管理咨询师、中</w:t>
            </w:r>
          </w:p>
          <w:p>
            <w:pPr>
              <w:pStyle w:val="TableParagraph"/>
              <w:spacing w:line="230" w:lineRule="auto"/>
              <w:ind w:left="105" w:right="98"/>
              <w:jc w:val="both"/>
              <w:rPr>
                <w:rFonts w:ascii="宋体" w:hAnsi="宋体" w:cs="宋体" w:eastAsia="宋体" w:hint="default"/>
                <w:sz w:val="24"/>
                <w:szCs w:val="24"/>
              </w:rPr>
            </w:pPr>
            <w:r>
              <w:rPr>
                <w:rFonts w:ascii="宋体" w:hAnsi="宋体" w:cs="宋体" w:eastAsia="宋体" w:hint="default"/>
                <w:sz w:val="24"/>
                <w:szCs w:val="24"/>
              </w:rPr>
              <w:t>国注册会计师、中国注册资产评估师、中国注册税务师、高级会计师，同时具有司法鉴定资格。</w:t>
            </w:r>
            <w:r>
              <w:rPr>
                <w:rFonts w:ascii="Times New Roman" w:hAnsi="Times New Roman" w:cs="Times New Roman" w:eastAsia="Times New Roman" w:hint="default"/>
                <w:sz w:val="24"/>
                <w:szCs w:val="24"/>
              </w:rPr>
              <w:t>1983 </w:t>
            </w:r>
            <w:r>
              <w:rPr>
                <w:rFonts w:ascii="宋体" w:hAnsi="宋体" w:cs="宋体" w:eastAsia="宋体" w:hint="default"/>
                <w:sz w:val="24"/>
                <w:szCs w:val="24"/>
              </w:rPr>
              <w:t>年 </w:t>
            </w:r>
            <w:r>
              <w:rPr>
                <w:rFonts w:ascii="Times New Roman" w:hAnsi="Times New Roman" w:cs="Times New Roman" w:eastAsia="Times New Roman" w:hint="default"/>
                <w:sz w:val="24"/>
                <w:szCs w:val="24"/>
              </w:rPr>
              <w:t>9 </w:t>
            </w:r>
            <w:r>
              <w:rPr>
                <w:rFonts w:ascii="宋体" w:hAnsi="宋体" w:cs="宋体" w:eastAsia="宋体" w:hint="default"/>
                <w:sz w:val="24"/>
                <w:szCs w:val="24"/>
              </w:rPr>
              <w:t>月</w:t>
            </w:r>
            <w:r>
              <w:rPr>
                <w:rFonts w:ascii="Times New Roman" w:hAnsi="Times New Roman" w:cs="Times New Roman" w:eastAsia="Times New Roman" w:hint="default"/>
                <w:sz w:val="24"/>
                <w:szCs w:val="24"/>
              </w:rPr>
              <w:t>-1993</w:t>
            </w:r>
            <w:r>
              <w:rPr>
                <w:rFonts w:ascii="Times New Roman" w:hAnsi="Times New Roman" w:cs="Times New Roman" w:eastAsia="Times New Roman" w:hint="default"/>
                <w:spacing w:val="15"/>
                <w:sz w:val="24"/>
                <w:szCs w:val="24"/>
              </w:rPr>
              <w:t> </w:t>
            </w:r>
            <w:r>
              <w:rPr>
                <w:rFonts w:ascii="宋体" w:hAnsi="宋体" w:cs="宋体" w:eastAsia="宋体" w:hint="default"/>
                <w:sz w:val="24"/>
                <w:szCs w:val="24"/>
              </w:rPr>
              <w:t>年 </w:t>
            </w:r>
            <w:r>
              <w:rPr>
                <w:rFonts w:ascii="Times New Roman" w:hAnsi="Times New Roman" w:cs="Times New Roman" w:eastAsia="Times New Roman" w:hint="default"/>
                <w:sz w:val="24"/>
                <w:szCs w:val="24"/>
              </w:rPr>
              <w:t>12</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月先后在外经贸部、中国成套设备进出口</w:t>
            </w:r>
            <w:r>
              <w:rPr>
                <w:rFonts w:ascii="Times New Roman" w:hAnsi="Times New Roman" w:cs="Times New Roman" w:eastAsia="Times New Roman" w:hint="default"/>
                <w:sz w:val="24"/>
                <w:szCs w:val="24"/>
              </w:rPr>
              <w:t>(</w:t>
            </w:r>
            <w:r>
              <w:rPr>
                <w:rFonts w:ascii="宋体" w:hAnsi="宋体" w:cs="宋体" w:eastAsia="宋体" w:hint="default"/>
                <w:sz w:val="24"/>
                <w:szCs w:val="24"/>
              </w:rPr>
              <w:t>集团</w:t>
            </w:r>
            <w:r>
              <w:rPr>
                <w:rFonts w:ascii="Times New Roman" w:hAnsi="Times New Roman" w:cs="Times New Roman" w:eastAsia="Times New Roman" w:hint="default"/>
                <w:sz w:val="24"/>
                <w:szCs w:val="24"/>
              </w:rPr>
              <w:t>)</w:t>
            </w:r>
            <w:r>
              <w:rPr>
                <w:rFonts w:ascii="宋体" w:hAnsi="宋体" w:cs="宋体" w:eastAsia="宋体" w:hint="default"/>
                <w:sz w:val="24"/>
                <w:szCs w:val="24"/>
              </w:rPr>
              <w:t>总公司及其海外机构任职，</w:t>
            </w:r>
            <w:r>
              <w:rPr>
                <w:rFonts w:ascii="Times New Roman" w:hAnsi="Times New Roman" w:cs="Times New Roman" w:eastAsia="Times New Roman" w:hint="default"/>
                <w:sz w:val="24"/>
                <w:szCs w:val="24"/>
              </w:rPr>
              <w:t>1994</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年</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月加盟利安达会计师事务所有 限责任公司，历任部门经理、副主任会计师、董事长兼主任会计师，现任利安达会计师事务所（特殊普通合伙）首席</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合伙人兼主任会计师，利安达国际董事局主席、董事长。现担任中华全国工商业联合会执委、中华民营企业联合会副</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会长、中国注册会计师协会理事等十多项社会职务。</w:t>
            </w:r>
          </w:p>
        </w:tc>
      </w:tr>
      <w:tr>
        <w:trPr>
          <w:trHeight w:val="125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于扬</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both"/>
              <w:rPr>
                <w:rFonts w:ascii="宋体" w:hAnsi="宋体" w:cs="宋体" w:eastAsia="宋体" w:hint="default"/>
                <w:sz w:val="24"/>
                <w:szCs w:val="24"/>
              </w:rPr>
            </w:pPr>
            <w:r>
              <w:rPr>
                <w:rFonts w:ascii="宋体" w:hAnsi="宋体" w:cs="宋体" w:eastAsia="宋体" w:hint="default"/>
                <w:sz w:val="24"/>
                <w:szCs w:val="24"/>
              </w:rPr>
              <w:t>独立董事于扬先生，</w:t>
            </w:r>
            <w:r>
              <w:rPr>
                <w:rFonts w:ascii="Times New Roman" w:hAnsi="Times New Roman" w:cs="Times New Roman" w:eastAsia="Times New Roman" w:hint="default"/>
                <w:sz w:val="24"/>
                <w:szCs w:val="24"/>
              </w:rPr>
              <w:t>1968</w:t>
            </w:r>
            <w:r>
              <w:rPr>
                <w:rFonts w:ascii="Times New Roman" w:hAnsi="Times New Roman" w:cs="Times New Roman" w:eastAsia="Times New Roman" w:hint="default"/>
                <w:spacing w:val="-24"/>
                <w:sz w:val="24"/>
                <w:szCs w:val="24"/>
              </w:rPr>
              <w:t> </w:t>
            </w:r>
            <w:r>
              <w:rPr>
                <w:rFonts w:ascii="宋体" w:hAnsi="宋体" w:cs="宋体" w:eastAsia="宋体" w:hint="default"/>
                <w:sz w:val="24"/>
                <w:szCs w:val="24"/>
              </w:rPr>
              <w:t>年出生，学士学位，现任北京易观网络信息咨询有限公司的董事长兼首席执行官，还任浙江</w:t>
            </w:r>
          </w:p>
          <w:p>
            <w:pPr>
              <w:pStyle w:val="TableParagraph"/>
              <w:spacing w:line="237" w:lineRule="auto"/>
              <w:ind w:left="105" w:right="105"/>
              <w:jc w:val="both"/>
              <w:rPr>
                <w:rFonts w:ascii="宋体" w:hAnsi="宋体" w:cs="宋体" w:eastAsia="宋体" w:hint="default"/>
                <w:sz w:val="24"/>
                <w:szCs w:val="24"/>
              </w:rPr>
            </w:pPr>
            <w:r>
              <w:rPr>
                <w:rFonts w:ascii="宋体" w:hAnsi="宋体" w:cs="宋体" w:eastAsia="宋体" w:hint="default"/>
                <w:sz w:val="24"/>
                <w:szCs w:val="24"/>
              </w:rPr>
              <w:t>日报报业集团学术委员会委员，爱心衣橱理事，中国科学院研究生青年发展关怀计划名誉导师，上海信息化企业协会</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发起人，亚杰商会创业导师，中关村金种子蒲公英孵化器创业导师，北京航空航天大学软件学院移动计算机专业指导</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专家等。</w:t>
            </w:r>
          </w:p>
        </w:tc>
      </w:tr>
      <w:tr>
        <w:trPr>
          <w:trHeight w:val="94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王贵亚</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05" w:right="0"/>
              <w:jc w:val="left"/>
              <w:rPr>
                <w:rFonts w:ascii="宋体" w:hAnsi="宋体" w:cs="宋体" w:eastAsia="宋体" w:hint="default"/>
                <w:sz w:val="24"/>
                <w:szCs w:val="24"/>
              </w:rPr>
            </w:pPr>
            <w:r>
              <w:rPr>
                <w:rFonts w:ascii="宋体" w:hAnsi="宋体" w:cs="宋体" w:eastAsia="宋体" w:hint="default"/>
                <w:sz w:val="24"/>
                <w:szCs w:val="24"/>
              </w:rPr>
              <w:t>独立董事王贵亚先生，</w:t>
            </w:r>
            <w:r>
              <w:rPr>
                <w:rFonts w:ascii="Times New Roman" w:hAnsi="Times New Roman" w:cs="Times New Roman" w:eastAsia="Times New Roman" w:hint="default"/>
                <w:sz w:val="24"/>
                <w:szCs w:val="24"/>
              </w:rPr>
              <w:t>1964</w:t>
            </w:r>
            <w:r>
              <w:rPr>
                <w:rFonts w:ascii="Times New Roman" w:hAnsi="Times New Roman" w:cs="Times New Roman" w:eastAsia="Times New Roman" w:hint="default"/>
                <w:spacing w:val="-25"/>
                <w:sz w:val="24"/>
                <w:szCs w:val="24"/>
              </w:rPr>
              <w:t> </w:t>
            </w:r>
            <w:r>
              <w:rPr>
                <w:rFonts w:ascii="宋体" w:hAnsi="宋体" w:cs="宋体" w:eastAsia="宋体" w:hint="default"/>
                <w:sz w:val="24"/>
                <w:szCs w:val="24"/>
              </w:rPr>
              <w:t>年出生，硕士学位，现任北京昊翔资本管理有限公司董事长，还任中国财富管理五十人论</w:t>
            </w:r>
          </w:p>
          <w:p>
            <w:pPr>
              <w:pStyle w:val="TableParagraph"/>
              <w:spacing w:line="312" w:lineRule="exact" w:before="19"/>
              <w:ind w:left="105" w:right="105"/>
              <w:jc w:val="left"/>
              <w:rPr>
                <w:rFonts w:ascii="宋体" w:hAnsi="宋体" w:cs="宋体" w:eastAsia="宋体" w:hint="default"/>
                <w:sz w:val="24"/>
                <w:szCs w:val="24"/>
              </w:rPr>
            </w:pPr>
            <w:r>
              <w:rPr>
                <w:rFonts w:ascii="宋体" w:hAnsi="宋体" w:cs="宋体" w:eastAsia="宋体" w:hint="default"/>
                <w:sz w:val="24"/>
                <w:szCs w:val="24"/>
              </w:rPr>
              <w:t>坛副主席及中国法学会证券法学研究会副会长等。曾任中国建设银行股份有限公司投资理财总监，大连万达集团高级</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副总裁。</w:t>
            </w:r>
          </w:p>
        </w:tc>
      </w:tr>
      <w:tr>
        <w:trPr>
          <w:trHeight w:val="1877"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张为国</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left"/>
              <w:rPr>
                <w:rFonts w:ascii="宋体" w:hAnsi="宋体" w:cs="宋体" w:eastAsia="宋体" w:hint="default"/>
                <w:sz w:val="24"/>
                <w:szCs w:val="24"/>
              </w:rPr>
            </w:pPr>
            <w:r>
              <w:rPr>
                <w:rFonts w:ascii="宋体" w:hAnsi="宋体" w:cs="宋体" w:eastAsia="宋体" w:hint="default"/>
                <w:sz w:val="24"/>
                <w:szCs w:val="24"/>
              </w:rPr>
              <w:t>独立董事张为国先生，</w:t>
            </w:r>
            <w:r>
              <w:rPr>
                <w:rFonts w:ascii="Times New Roman" w:hAnsi="Times New Roman" w:cs="Times New Roman" w:eastAsia="Times New Roman" w:hint="default"/>
                <w:sz w:val="24"/>
                <w:szCs w:val="24"/>
              </w:rPr>
              <w:t>1957</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月生，经济学（会计学专业）博士学位。</w:t>
            </w:r>
            <w:r>
              <w:rPr>
                <w:rFonts w:ascii="Times New Roman" w:hAnsi="Times New Roman" w:cs="Times New Roman" w:eastAsia="Times New Roman" w:hint="default"/>
                <w:sz w:val="24"/>
                <w:szCs w:val="24"/>
              </w:rPr>
              <w:t>1985</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Times New Roman" w:hAnsi="Times New Roman" w:cs="Times New Roman" w:eastAsia="Times New Roman" w:hint="default"/>
                <w:sz w:val="24"/>
                <w:szCs w:val="24"/>
              </w:rPr>
              <w:t>7</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月至</w:t>
            </w:r>
            <w:r>
              <w:rPr>
                <w:rFonts w:ascii="宋体" w:hAnsi="宋体" w:cs="宋体" w:eastAsia="宋体" w:hint="default"/>
                <w:spacing w:val="-58"/>
                <w:sz w:val="24"/>
                <w:szCs w:val="24"/>
              </w:rPr>
              <w:t> </w:t>
            </w:r>
            <w:r>
              <w:rPr>
                <w:rFonts w:ascii="Times New Roman" w:hAnsi="Times New Roman" w:cs="Times New Roman" w:eastAsia="Times New Roman" w:hint="default"/>
                <w:sz w:val="24"/>
                <w:szCs w:val="24"/>
              </w:rPr>
              <w:t>1997</w:t>
            </w:r>
            <w:r>
              <w:rPr>
                <w:rFonts w:ascii="Times New Roman" w:hAnsi="Times New Roman" w:cs="Times New Roman" w:eastAsia="Times New Roman" w:hint="default"/>
                <w:spacing w:val="3"/>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月，上海财经大学</w:t>
            </w:r>
          </w:p>
          <w:p>
            <w:pPr>
              <w:pStyle w:val="TableParagraph"/>
              <w:spacing w:line="311" w:lineRule="exact"/>
              <w:ind w:left="105" w:right="0"/>
              <w:jc w:val="left"/>
              <w:rPr>
                <w:rFonts w:ascii="宋体" w:hAnsi="宋体" w:cs="宋体" w:eastAsia="宋体" w:hint="default"/>
                <w:sz w:val="24"/>
                <w:szCs w:val="24"/>
              </w:rPr>
            </w:pPr>
            <w:r>
              <w:rPr>
                <w:rFonts w:ascii="宋体" w:hAnsi="宋体" w:cs="宋体" w:eastAsia="宋体" w:hint="default"/>
                <w:sz w:val="24"/>
                <w:szCs w:val="24"/>
              </w:rPr>
              <w:t>会计学系讲师、副教授、教授、博士生导师、会计学系副系主任、主任。</w:t>
            </w:r>
            <w:r>
              <w:rPr>
                <w:rFonts w:ascii="Times New Roman" w:hAnsi="Times New Roman" w:cs="Times New Roman" w:eastAsia="Times New Roman" w:hint="default"/>
                <w:sz w:val="24"/>
                <w:szCs w:val="24"/>
              </w:rPr>
              <w:t>1997</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年</w:t>
            </w:r>
            <w:r>
              <w:rPr>
                <w:rFonts w:ascii="宋体" w:hAnsi="宋体" w:cs="宋体" w:eastAsia="宋体" w:hint="default"/>
                <w:spacing w:val="-47"/>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月至</w:t>
            </w:r>
            <w:r>
              <w:rPr>
                <w:rFonts w:ascii="宋体" w:hAnsi="宋体" w:cs="宋体" w:eastAsia="宋体" w:hint="default"/>
                <w:spacing w:val="-47"/>
                <w:sz w:val="24"/>
                <w:szCs w:val="24"/>
              </w:rPr>
              <w:t> </w:t>
            </w:r>
            <w:r>
              <w:rPr>
                <w:rFonts w:ascii="Times New Roman" w:hAnsi="Times New Roman" w:cs="Times New Roman" w:eastAsia="Times New Roman" w:hint="default"/>
                <w:sz w:val="24"/>
                <w:szCs w:val="24"/>
              </w:rPr>
              <w:t>2007</w:t>
            </w:r>
            <w:r>
              <w:rPr>
                <w:rFonts w:ascii="Times New Roman" w:hAnsi="Times New Roman" w:cs="Times New Roman" w:eastAsia="Times New Roman" w:hint="default"/>
                <w:spacing w:val="14"/>
                <w:sz w:val="24"/>
                <w:szCs w:val="24"/>
              </w:rPr>
              <w:t> </w:t>
            </w:r>
            <w:r>
              <w:rPr>
                <w:rFonts w:ascii="宋体" w:hAnsi="宋体" w:cs="宋体" w:eastAsia="宋体" w:hint="default"/>
                <w:sz w:val="24"/>
                <w:szCs w:val="24"/>
              </w:rPr>
              <w:t>年</w:t>
            </w:r>
            <w:r>
              <w:rPr>
                <w:rFonts w:ascii="宋体" w:hAnsi="宋体" w:cs="宋体" w:eastAsia="宋体" w:hint="default"/>
                <w:spacing w:val="-47"/>
                <w:sz w:val="24"/>
                <w:szCs w:val="24"/>
              </w:rPr>
              <w:t> </w:t>
            </w:r>
            <w:r>
              <w:rPr>
                <w:rFonts w:ascii="Times New Roman" w:hAnsi="Times New Roman" w:cs="Times New Roman" w:eastAsia="Times New Roman" w:hint="default"/>
                <w:sz w:val="24"/>
                <w:szCs w:val="24"/>
              </w:rPr>
              <w:t>6</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月，中国证监会首</w:t>
            </w:r>
          </w:p>
          <w:p>
            <w:pPr>
              <w:pStyle w:val="TableParagraph"/>
              <w:spacing w:line="228" w:lineRule="auto" w:before="3"/>
              <w:ind w:left="105" w:right="-22"/>
              <w:jc w:val="left"/>
              <w:rPr>
                <w:rFonts w:ascii="宋体" w:hAnsi="宋体" w:cs="宋体" w:eastAsia="宋体" w:hint="default"/>
                <w:sz w:val="24"/>
                <w:szCs w:val="24"/>
              </w:rPr>
            </w:pPr>
            <w:r>
              <w:rPr>
                <w:rFonts w:ascii="宋体" w:hAnsi="宋体" w:cs="宋体" w:eastAsia="宋体" w:hint="default"/>
                <w:sz w:val="24"/>
                <w:szCs w:val="24"/>
              </w:rPr>
              <w:t>席会计师、会计部主任、国际部主任，同时仍兼任上海财经大学会计学系博士生导师。从</w:t>
            </w:r>
            <w:r>
              <w:rPr>
                <w:rFonts w:ascii="宋体" w:hAnsi="宋体" w:cs="宋体" w:eastAsia="宋体" w:hint="default"/>
                <w:spacing w:val="-53"/>
                <w:sz w:val="24"/>
                <w:szCs w:val="24"/>
              </w:rPr>
              <w:t> </w:t>
            </w:r>
            <w:r>
              <w:rPr>
                <w:rFonts w:ascii="Times New Roman" w:hAnsi="Times New Roman" w:cs="Times New Roman" w:eastAsia="Times New Roman" w:hint="default"/>
                <w:sz w:val="24"/>
                <w:szCs w:val="24"/>
              </w:rPr>
              <w:t>2000</w:t>
            </w:r>
            <w:r>
              <w:rPr>
                <w:rFonts w:ascii="Times New Roman" w:hAnsi="Times New Roman" w:cs="Times New Roman" w:eastAsia="Times New Roman" w:hint="default"/>
                <w:spacing w:val="7"/>
                <w:sz w:val="24"/>
                <w:szCs w:val="24"/>
              </w:rPr>
              <w:t> </w:t>
            </w:r>
            <w:r>
              <w:rPr>
                <w:rFonts w:ascii="宋体" w:hAnsi="宋体" w:cs="宋体" w:eastAsia="宋体" w:hint="default"/>
                <w:sz w:val="24"/>
                <w:szCs w:val="24"/>
              </w:rPr>
              <w:t>年起至</w:t>
            </w:r>
            <w:r>
              <w:rPr>
                <w:rFonts w:ascii="宋体" w:hAnsi="宋体" w:cs="宋体" w:eastAsia="宋体" w:hint="default"/>
                <w:spacing w:val="-53"/>
                <w:sz w:val="24"/>
                <w:szCs w:val="24"/>
              </w:rPr>
              <w:t> </w:t>
            </w:r>
            <w:r>
              <w:rPr>
                <w:rFonts w:ascii="Times New Roman" w:hAnsi="Times New Roman" w:cs="Times New Roman" w:eastAsia="Times New Roman" w:hint="default"/>
                <w:sz w:val="24"/>
                <w:szCs w:val="24"/>
              </w:rPr>
              <w:t>2007</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年</w:t>
            </w:r>
            <w:r>
              <w:rPr>
                <w:rFonts w:ascii="宋体" w:hAnsi="宋体" w:cs="宋体" w:eastAsia="宋体" w:hint="default"/>
                <w:spacing w:val="-53"/>
                <w:sz w:val="24"/>
                <w:szCs w:val="24"/>
              </w:rPr>
              <w:t> </w:t>
            </w:r>
            <w:r>
              <w:rPr>
                <w:rFonts w:ascii="Times New Roman" w:hAnsi="Times New Roman" w:cs="Times New Roman" w:eastAsia="Times New Roman" w:hint="default"/>
                <w:sz w:val="24"/>
                <w:szCs w:val="24"/>
              </w:rPr>
              <w:t>6</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月还 兼任清华大学经济管理学院博士生导师。此间，还曾兼任财政部会计准则委员会委员、审计准则委员会委员、中国注</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册会计师协会常务理事、中国资产评估师协会常务理事等。</w:t>
            </w:r>
            <w:r>
              <w:rPr>
                <w:rFonts w:ascii="Times New Roman" w:hAnsi="Times New Roman" w:cs="Times New Roman" w:eastAsia="Times New Roman" w:hint="default"/>
                <w:sz w:val="24"/>
                <w:szCs w:val="24"/>
              </w:rPr>
              <w:t>2007</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年</w:t>
            </w:r>
            <w:r>
              <w:rPr>
                <w:rFonts w:ascii="宋体" w:hAnsi="宋体" w:cs="宋体" w:eastAsia="宋体" w:hint="default"/>
                <w:spacing w:val="-64"/>
                <w:sz w:val="24"/>
                <w:szCs w:val="24"/>
              </w:rPr>
              <w:t> </w:t>
            </w:r>
            <w:r>
              <w:rPr>
                <w:rFonts w:ascii="Times New Roman" w:hAnsi="Times New Roman" w:cs="Times New Roman" w:eastAsia="Times New Roman" w:hint="default"/>
                <w:sz w:val="24"/>
                <w:szCs w:val="24"/>
              </w:rPr>
              <w:t>7</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月至</w:t>
            </w:r>
            <w:r>
              <w:rPr>
                <w:rFonts w:ascii="宋体" w:hAnsi="宋体" w:cs="宋体" w:eastAsia="宋体" w:hint="default"/>
                <w:spacing w:val="-64"/>
                <w:sz w:val="24"/>
                <w:szCs w:val="24"/>
              </w:rPr>
              <w:t> </w:t>
            </w:r>
            <w:r>
              <w:rPr>
                <w:rFonts w:ascii="Times New Roman" w:hAnsi="Times New Roman" w:cs="Times New Roman" w:eastAsia="Times New Roman" w:hint="default"/>
                <w:sz w:val="24"/>
                <w:szCs w:val="24"/>
              </w:rPr>
              <w:t>2017</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年</w:t>
            </w:r>
            <w:r>
              <w:rPr>
                <w:rFonts w:ascii="宋体" w:hAnsi="宋体" w:cs="宋体" w:eastAsia="宋体" w:hint="default"/>
                <w:spacing w:val="-64"/>
                <w:sz w:val="24"/>
                <w:szCs w:val="24"/>
              </w:rPr>
              <w:t> </w:t>
            </w:r>
            <w:r>
              <w:rPr>
                <w:rFonts w:ascii="Times New Roman" w:hAnsi="Times New Roman" w:cs="Times New Roman" w:eastAsia="Times New Roman" w:hint="default"/>
                <w:sz w:val="24"/>
                <w:szCs w:val="24"/>
              </w:rPr>
              <w:t>6</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月，任国际会计准则理事会理事。 现任上海财经大学特聘教授、清华大学经济管理学院访问教授。</w:t>
            </w:r>
          </w:p>
        </w:tc>
      </w:tr>
    </w:tbl>
    <w:p>
      <w:pPr>
        <w:spacing w:after="0" w:line="228" w:lineRule="auto"/>
        <w:jc w:val="left"/>
        <w:rPr>
          <w:rFonts w:ascii="宋体" w:hAnsi="宋体" w:cs="宋体" w:eastAsia="宋体" w:hint="default"/>
          <w:sz w:val="24"/>
          <w:szCs w:val="24"/>
        </w:rPr>
        <w:sectPr>
          <w:pgSz w:w="16840" w:h="11910" w:orient="landscape"/>
          <w:pgMar w:header="880" w:footer="1195" w:top="1120" w:bottom="1380" w:left="1300" w:right="1320"/>
        </w:sectPr>
      </w:pPr>
    </w:p>
    <w:p>
      <w:pPr>
        <w:spacing w:line="240" w:lineRule="auto" w:before="4"/>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1371"/>
        <w:gridCol w:w="12494"/>
      </w:tblGrid>
      <w:tr>
        <w:trPr>
          <w:trHeight w:val="322"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许建钢</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5" w:right="0"/>
              <w:jc w:val="left"/>
              <w:rPr>
                <w:rFonts w:ascii="宋体" w:hAnsi="宋体" w:cs="宋体" w:eastAsia="宋体" w:hint="default"/>
                <w:sz w:val="24"/>
                <w:szCs w:val="24"/>
              </w:rPr>
            </w:pPr>
            <w:r>
              <w:rPr>
                <w:rFonts w:ascii="宋体" w:hAnsi="宋体" w:cs="宋体" w:eastAsia="宋体" w:hint="default"/>
                <w:sz w:val="24"/>
                <w:szCs w:val="24"/>
              </w:rPr>
              <w:t>监事会主席许建钢先生，</w:t>
            </w:r>
            <w:r>
              <w:rPr>
                <w:rFonts w:ascii="Times New Roman" w:hAnsi="Times New Roman" w:cs="Times New Roman" w:eastAsia="Times New Roman" w:hint="default"/>
                <w:sz w:val="24"/>
                <w:szCs w:val="24"/>
              </w:rPr>
              <w:t>2001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 </w:t>
            </w:r>
            <w:r>
              <w:rPr>
                <w:rFonts w:ascii="宋体" w:hAnsi="宋体" w:cs="宋体" w:eastAsia="宋体" w:hint="default"/>
                <w:sz w:val="24"/>
                <w:szCs w:val="24"/>
              </w:rPr>
              <w:t>月加入用友，曾任公司业务发展总监、产业发展总监、副总裁等职务。</w:t>
            </w:r>
          </w:p>
        </w:tc>
      </w:tr>
      <w:tr>
        <w:trPr>
          <w:trHeight w:val="63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章珂</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5" w:right="0"/>
              <w:jc w:val="left"/>
              <w:rPr>
                <w:rFonts w:ascii="宋体" w:hAnsi="宋体" w:cs="宋体" w:eastAsia="宋体" w:hint="default"/>
                <w:sz w:val="24"/>
                <w:szCs w:val="24"/>
              </w:rPr>
            </w:pPr>
            <w:r>
              <w:rPr>
                <w:rFonts w:ascii="宋体" w:hAnsi="宋体" w:cs="宋体" w:eastAsia="宋体" w:hint="default"/>
                <w:sz w:val="24"/>
                <w:szCs w:val="24"/>
              </w:rPr>
              <w:t>监事章珂先生，管理学博士，曾任公司副总裁、董事会秘书等职务，现任北京蓝投资管理有限责任公司董事长、上海</w:t>
            </w:r>
          </w:p>
          <w:p>
            <w:pPr>
              <w:pStyle w:val="TableParagraph"/>
              <w:spacing w:line="312" w:lineRule="exact"/>
              <w:ind w:left="105" w:right="0"/>
              <w:jc w:val="left"/>
              <w:rPr>
                <w:rFonts w:ascii="宋体" w:hAnsi="宋体" w:cs="宋体" w:eastAsia="宋体" w:hint="default"/>
                <w:sz w:val="24"/>
                <w:szCs w:val="24"/>
              </w:rPr>
            </w:pPr>
            <w:r>
              <w:rPr>
                <w:rFonts w:ascii="宋体" w:hAnsi="宋体" w:cs="宋体" w:eastAsia="宋体" w:hint="default"/>
                <w:sz w:val="24"/>
                <w:szCs w:val="24"/>
              </w:rPr>
              <w:t>如临其境科技创意有限公司董事长、上海兰基斯软件有限公司执行董事等职务。</w:t>
            </w:r>
            <w:r>
              <w:rPr>
                <w:rFonts w:ascii="宋体" w:hAnsi="宋体" w:cs="宋体" w:eastAsia="宋体" w:hint="default"/>
                <w:sz w:val="24"/>
                <w:szCs w:val="24"/>
              </w:rPr>
              <w:t> </w:t>
            </w:r>
          </w:p>
        </w:tc>
      </w:tr>
      <w:tr>
        <w:trPr>
          <w:trHeight w:val="125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高志勇</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18"/>
              <w:jc w:val="left"/>
              <w:rPr>
                <w:rFonts w:ascii="宋体" w:hAnsi="宋体" w:cs="宋体" w:eastAsia="宋体" w:hint="default"/>
                <w:sz w:val="24"/>
                <w:szCs w:val="24"/>
              </w:rPr>
            </w:pPr>
            <w:r>
              <w:rPr>
                <w:rFonts w:ascii="宋体" w:hAnsi="宋体" w:cs="宋体" w:eastAsia="宋体" w:hint="default"/>
                <w:spacing w:val="-2"/>
                <w:sz w:val="24"/>
                <w:szCs w:val="24"/>
              </w:rPr>
              <w:t>监事高志勇先生，经济学学士，注册会计师、注册税务师、高级会计师，曾任信诚会计师事务所董事长兼主任会计师、</w:t>
            </w:r>
          </w:p>
          <w:p>
            <w:pPr>
              <w:pStyle w:val="TableParagraph"/>
              <w:spacing w:line="237" w:lineRule="auto" w:before="1"/>
              <w:ind w:left="105" w:right="-18"/>
              <w:jc w:val="left"/>
              <w:rPr>
                <w:rFonts w:ascii="宋体" w:hAnsi="宋体" w:cs="宋体" w:eastAsia="宋体" w:hint="default"/>
                <w:sz w:val="24"/>
                <w:szCs w:val="24"/>
              </w:rPr>
            </w:pPr>
            <w:r>
              <w:rPr>
                <w:rFonts w:ascii="宋体" w:hAnsi="宋体" w:cs="宋体" w:eastAsia="宋体" w:hint="default"/>
                <w:spacing w:val="-2"/>
                <w:sz w:val="24"/>
                <w:szCs w:val="24"/>
              </w:rPr>
              <w:t>岳华（现瑞华）会计师事务所税务合伙人、北青传媒股份有限公司独立监事，现任北京用友科技有限公司董事长助理、</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财政部内部控制准则委员会专家、北京师范大学特聘教授、对外经济贸易大学硕士生导师、北京合康新能科技股份有</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限公司独立董事、欣龙控股</w:t>
            </w:r>
            <w:r>
              <w:rPr>
                <w:rFonts w:ascii="Times New Roman" w:hAnsi="Times New Roman" w:cs="Times New Roman" w:eastAsia="Times New Roman" w:hint="default"/>
                <w:sz w:val="24"/>
                <w:szCs w:val="24"/>
              </w:rPr>
              <w:t>(</w:t>
            </w:r>
            <w:r>
              <w:rPr>
                <w:rFonts w:ascii="宋体" w:hAnsi="宋体" w:cs="宋体" w:eastAsia="宋体" w:hint="default"/>
                <w:sz w:val="24"/>
                <w:szCs w:val="24"/>
              </w:rPr>
              <w:t>集团</w:t>
            </w:r>
            <w:r>
              <w:rPr>
                <w:rFonts w:ascii="Times New Roman" w:hAnsi="Times New Roman" w:cs="Times New Roman" w:eastAsia="Times New Roman" w:hint="default"/>
                <w:sz w:val="24"/>
                <w:szCs w:val="24"/>
              </w:rPr>
              <w:t>)</w:t>
            </w:r>
            <w:r>
              <w:rPr>
                <w:rFonts w:ascii="宋体" w:hAnsi="宋体" w:cs="宋体" w:eastAsia="宋体" w:hint="default"/>
                <w:sz w:val="24"/>
                <w:szCs w:val="24"/>
              </w:rPr>
              <w:t>股份有限公司独立董事、恒拓开源信息科技股份有限公司独立董事等职务。</w:t>
            </w:r>
          </w:p>
        </w:tc>
      </w:tr>
      <w:tr>
        <w:trPr>
          <w:trHeight w:val="63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章培林</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left"/>
              <w:rPr>
                <w:rFonts w:ascii="宋体" w:hAnsi="宋体" w:cs="宋体" w:eastAsia="宋体" w:hint="default"/>
                <w:sz w:val="24"/>
                <w:szCs w:val="24"/>
              </w:rPr>
            </w:pPr>
            <w:r>
              <w:rPr>
                <w:rFonts w:ascii="宋体" w:hAnsi="宋体" w:cs="宋体" w:eastAsia="宋体" w:hint="default"/>
                <w:sz w:val="24"/>
                <w:szCs w:val="24"/>
              </w:rPr>
              <w:t>财务总监章培林先生，</w:t>
            </w:r>
            <w:r>
              <w:rPr>
                <w:rFonts w:ascii="宋体" w:hAnsi="宋体" w:cs="宋体" w:eastAsia="宋体" w:hint="default"/>
                <w:spacing w:val="-104"/>
                <w:sz w:val="24"/>
                <w:szCs w:val="24"/>
              </w:rPr>
              <w:t> </w:t>
            </w:r>
            <w:r>
              <w:rPr>
                <w:rFonts w:ascii="Times New Roman" w:hAnsi="Times New Roman" w:cs="Times New Roman" w:eastAsia="Times New Roman" w:hint="default"/>
                <w:sz w:val="24"/>
                <w:szCs w:val="24"/>
              </w:rPr>
              <w:t>2001</w:t>
            </w:r>
            <w:r>
              <w:rPr>
                <w:rFonts w:ascii="Times New Roman" w:hAnsi="Times New Roman" w:cs="Times New Roman" w:eastAsia="Times New Roman" w:hint="default"/>
                <w:spacing w:val="-40"/>
                <w:sz w:val="24"/>
                <w:szCs w:val="24"/>
              </w:rPr>
              <w:t> </w:t>
            </w:r>
            <w:r>
              <w:rPr>
                <w:rFonts w:ascii="宋体" w:hAnsi="宋体" w:cs="宋体" w:eastAsia="宋体" w:hint="default"/>
                <w:sz w:val="24"/>
                <w:szCs w:val="24"/>
              </w:rPr>
              <w:t>年加入用友，曾任公司副总经理、副总裁、高级副总裁、执行副总裁、财务总监、执行总</w:t>
            </w:r>
          </w:p>
          <w:p>
            <w:pPr>
              <w:pStyle w:val="TableParagraph"/>
              <w:spacing w:line="304" w:lineRule="exact"/>
              <w:ind w:left="105" w:right="0"/>
              <w:jc w:val="left"/>
              <w:rPr>
                <w:rFonts w:ascii="宋体" w:hAnsi="宋体" w:cs="宋体" w:eastAsia="宋体" w:hint="default"/>
                <w:sz w:val="24"/>
                <w:szCs w:val="24"/>
              </w:rPr>
            </w:pPr>
            <w:r>
              <w:rPr>
                <w:rFonts w:ascii="宋体" w:hAnsi="宋体" w:cs="宋体" w:eastAsia="宋体" w:hint="default"/>
                <w:sz w:val="24"/>
                <w:szCs w:val="24"/>
              </w:rPr>
              <w:t>裁等职务。</w:t>
            </w:r>
          </w:p>
        </w:tc>
      </w:tr>
      <w:tr>
        <w:trPr>
          <w:trHeight w:val="63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谢志华</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05" w:right="0"/>
              <w:jc w:val="left"/>
              <w:rPr>
                <w:rFonts w:ascii="宋体" w:hAnsi="宋体" w:cs="宋体" w:eastAsia="宋体" w:hint="default"/>
                <w:sz w:val="24"/>
                <w:szCs w:val="24"/>
              </w:rPr>
            </w:pPr>
            <w:r>
              <w:rPr>
                <w:rFonts w:ascii="宋体" w:hAnsi="宋体" w:cs="宋体" w:eastAsia="宋体" w:hint="default"/>
                <w:sz w:val="24"/>
                <w:szCs w:val="24"/>
              </w:rPr>
              <w:t>执行副总裁谢志华先生，</w:t>
            </w:r>
            <w:r>
              <w:rPr>
                <w:rFonts w:ascii="Times New Roman" w:hAnsi="Times New Roman" w:cs="Times New Roman" w:eastAsia="Times New Roman" w:hint="default"/>
                <w:sz w:val="24"/>
                <w:szCs w:val="24"/>
              </w:rPr>
              <w:t>1998 </w:t>
            </w:r>
            <w:r>
              <w:rPr>
                <w:rFonts w:ascii="宋体" w:hAnsi="宋体" w:cs="宋体" w:eastAsia="宋体" w:hint="default"/>
                <w:spacing w:val="-3"/>
                <w:sz w:val="24"/>
                <w:szCs w:val="24"/>
              </w:rPr>
              <w:t>年加入用友，曾任公司研发工程师、开发部经理、</w:t>
            </w:r>
            <w:r>
              <w:rPr>
                <w:rFonts w:ascii="Times New Roman" w:hAnsi="Times New Roman" w:cs="Times New Roman" w:eastAsia="Times New Roman" w:hint="default"/>
                <w:spacing w:val="-3"/>
                <w:sz w:val="24"/>
                <w:szCs w:val="24"/>
              </w:rPr>
              <w:t>NC </w:t>
            </w:r>
            <w:r>
              <w:rPr>
                <w:rFonts w:ascii="宋体" w:hAnsi="宋体" w:cs="宋体" w:eastAsia="宋体" w:hint="default"/>
                <w:sz w:val="24"/>
                <w:szCs w:val="24"/>
              </w:rPr>
              <w:t>事业部副总经理、</w:t>
            </w:r>
            <w:r>
              <w:rPr>
                <w:rFonts w:ascii="Times New Roman" w:hAnsi="Times New Roman" w:cs="Times New Roman" w:eastAsia="Times New Roman" w:hint="default"/>
                <w:sz w:val="24"/>
                <w:szCs w:val="24"/>
              </w:rPr>
              <w:t>NC</w:t>
            </w:r>
            <w:r>
              <w:rPr>
                <w:rFonts w:ascii="Times New Roman" w:hAnsi="Times New Roman" w:cs="Times New Roman" w:eastAsia="Times New Roman" w:hint="default"/>
                <w:spacing w:val="-21"/>
                <w:sz w:val="24"/>
                <w:szCs w:val="24"/>
              </w:rPr>
              <w:t> </w:t>
            </w:r>
            <w:r>
              <w:rPr>
                <w:rFonts w:ascii="宋体" w:hAnsi="宋体" w:cs="宋体" w:eastAsia="宋体" w:hint="default"/>
                <w:sz w:val="24"/>
                <w:szCs w:val="24"/>
              </w:rPr>
              <w:t>产品本部总</w:t>
            </w:r>
          </w:p>
          <w:p>
            <w:pPr>
              <w:pStyle w:val="TableParagraph"/>
              <w:spacing w:line="303" w:lineRule="exact"/>
              <w:ind w:left="105" w:right="0"/>
              <w:jc w:val="left"/>
              <w:rPr>
                <w:rFonts w:ascii="宋体" w:hAnsi="宋体" w:cs="宋体" w:eastAsia="宋体" w:hint="default"/>
                <w:sz w:val="24"/>
                <w:szCs w:val="24"/>
              </w:rPr>
            </w:pPr>
            <w:r>
              <w:rPr>
                <w:rFonts w:ascii="宋体" w:hAnsi="宋体" w:cs="宋体" w:eastAsia="宋体" w:hint="default"/>
                <w:sz w:val="24"/>
                <w:szCs w:val="24"/>
              </w:rPr>
              <w:t>经理、助理总裁、副总裁、高级副总裁、执行副总裁等职务。</w:t>
            </w:r>
          </w:p>
        </w:tc>
      </w:tr>
      <w:tr>
        <w:trPr>
          <w:trHeight w:val="322"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欧阳青</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5" w:right="0"/>
              <w:jc w:val="left"/>
              <w:rPr>
                <w:rFonts w:ascii="宋体" w:hAnsi="宋体" w:cs="宋体" w:eastAsia="宋体" w:hint="default"/>
                <w:sz w:val="24"/>
                <w:szCs w:val="24"/>
              </w:rPr>
            </w:pPr>
            <w:r>
              <w:rPr>
                <w:rFonts w:ascii="宋体" w:hAnsi="宋体" w:cs="宋体" w:eastAsia="宋体" w:hint="default"/>
                <w:sz w:val="24"/>
                <w:szCs w:val="24"/>
              </w:rPr>
              <w:t>高级副总裁兼董事会秘书欧阳青先生，</w:t>
            </w:r>
            <w:r>
              <w:rPr>
                <w:rFonts w:ascii="Times New Roman" w:hAnsi="Times New Roman" w:cs="Times New Roman" w:eastAsia="Times New Roman" w:hint="default"/>
                <w:sz w:val="24"/>
                <w:szCs w:val="24"/>
              </w:rPr>
              <w:t>2003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 </w:t>
            </w:r>
            <w:r>
              <w:rPr>
                <w:rFonts w:ascii="宋体" w:hAnsi="宋体" w:cs="宋体" w:eastAsia="宋体" w:hint="default"/>
                <w:sz w:val="24"/>
                <w:szCs w:val="24"/>
              </w:rPr>
              <w:t>月加入用友，曾任公司副总裁、高级副总裁、董事会秘书。</w:t>
            </w:r>
          </w:p>
        </w:tc>
      </w:tr>
      <w:tr>
        <w:trPr>
          <w:trHeight w:val="63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王健</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left"/>
              <w:rPr>
                <w:rFonts w:ascii="宋体" w:hAnsi="宋体" w:cs="宋体" w:eastAsia="宋体" w:hint="default"/>
                <w:sz w:val="24"/>
                <w:szCs w:val="24"/>
              </w:rPr>
            </w:pPr>
            <w:r>
              <w:rPr>
                <w:rFonts w:ascii="宋体" w:hAnsi="宋体" w:cs="宋体" w:eastAsia="宋体" w:hint="default"/>
                <w:sz w:val="24"/>
                <w:szCs w:val="24"/>
              </w:rPr>
              <w:t>高级副总裁王健先生，</w:t>
            </w:r>
            <w:r>
              <w:rPr>
                <w:rFonts w:ascii="Times New Roman" w:hAnsi="Times New Roman" w:cs="Times New Roman" w:eastAsia="Times New Roman" w:hint="default"/>
                <w:sz w:val="24"/>
                <w:szCs w:val="24"/>
              </w:rPr>
              <w:t>1966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 </w:t>
            </w:r>
            <w:r>
              <w:rPr>
                <w:rFonts w:ascii="宋体" w:hAnsi="宋体" w:cs="宋体" w:eastAsia="宋体" w:hint="default"/>
                <w:sz w:val="24"/>
                <w:szCs w:val="24"/>
              </w:rPr>
              <w:t>月出生，硕士。</w:t>
            </w:r>
            <w:r>
              <w:rPr>
                <w:rFonts w:ascii="Times New Roman" w:hAnsi="Times New Roman" w:cs="Times New Roman" w:eastAsia="Times New Roman" w:hint="default"/>
                <w:sz w:val="24"/>
                <w:szCs w:val="24"/>
              </w:rPr>
              <w:t>2001 </w:t>
            </w:r>
            <w:r>
              <w:rPr>
                <w:rFonts w:ascii="宋体" w:hAnsi="宋体" w:cs="宋体" w:eastAsia="宋体" w:hint="default"/>
                <w:sz w:val="24"/>
                <w:szCs w:val="24"/>
              </w:rPr>
              <w:t>年加入用友，曾任公司制造产品经理、制造行业事业部总经理、</w:t>
            </w:r>
          </w:p>
          <w:p>
            <w:pPr>
              <w:pStyle w:val="TableParagraph"/>
              <w:spacing w:line="304" w:lineRule="exact"/>
              <w:ind w:left="105" w:right="0"/>
              <w:jc w:val="left"/>
              <w:rPr>
                <w:rFonts w:ascii="宋体" w:hAnsi="宋体" w:cs="宋体" w:eastAsia="宋体" w:hint="default"/>
                <w:sz w:val="24"/>
                <w:szCs w:val="24"/>
              </w:rPr>
            </w:pPr>
            <w:r>
              <w:rPr>
                <w:rFonts w:ascii="宋体" w:hAnsi="宋体" w:cs="宋体" w:eastAsia="宋体" w:hint="default"/>
                <w:sz w:val="24"/>
                <w:szCs w:val="24"/>
              </w:rPr>
              <w:t>大型企业解决方案业务本部总经理，助理总裁、副总裁、高级副总裁等职务。</w:t>
            </w:r>
          </w:p>
        </w:tc>
      </w:tr>
      <w:tr>
        <w:trPr>
          <w:trHeight w:val="63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徐洋</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5" w:right="0"/>
              <w:jc w:val="left"/>
              <w:rPr>
                <w:rFonts w:ascii="宋体" w:hAnsi="宋体" w:cs="宋体" w:eastAsia="宋体" w:hint="default"/>
                <w:sz w:val="24"/>
                <w:szCs w:val="24"/>
              </w:rPr>
            </w:pPr>
            <w:r>
              <w:rPr>
                <w:rFonts w:ascii="宋体" w:hAnsi="宋体" w:cs="宋体" w:eastAsia="宋体" w:hint="default"/>
                <w:sz w:val="24"/>
                <w:szCs w:val="24"/>
              </w:rPr>
              <w:t>高级副总裁徐洋先生，</w:t>
            </w:r>
            <w:r>
              <w:rPr>
                <w:rFonts w:ascii="Times New Roman" w:hAnsi="Times New Roman" w:cs="Times New Roman" w:eastAsia="Times New Roman" w:hint="default"/>
                <w:sz w:val="24"/>
                <w:szCs w:val="24"/>
              </w:rPr>
              <w:t>2004 </w:t>
            </w:r>
            <w:r>
              <w:rPr>
                <w:rFonts w:ascii="宋体" w:hAnsi="宋体" w:cs="宋体" w:eastAsia="宋体" w:hint="default"/>
                <w:sz w:val="24"/>
                <w:szCs w:val="24"/>
              </w:rPr>
              <w:t>年加入用友，曾任公司 </w:t>
            </w:r>
            <w:r>
              <w:rPr>
                <w:rFonts w:ascii="Times New Roman" w:hAnsi="Times New Roman" w:cs="Times New Roman" w:eastAsia="Times New Roman" w:hint="default"/>
                <w:sz w:val="24"/>
                <w:szCs w:val="24"/>
              </w:rPr>
              <w:t>U8</w:t>
            </w:r>
            <w:r>
              <w:rPr>
                <w:rFonts w:ascii="Times New Roman" w:hAnsi="Times New Roman" w:cs="Times New Roman" w:eastAsia="Times New Roman" w:hint="default"/>
                <w:spacing w:val="-20"/>
                <w:sz w:val="24"/>
                <w:szCs w:val="24"/>
              </w:rPr>
              <w:t> </w:t>
            </w:r>
            <w:r>
              <w:rPr>
                <w:rFonts w:ascii="宋体" w:hAnsi="宋体" w:cs="宋体" w:eastAsia="宋体" w:hint="default"/>
                <w:sz w:val="24"/>
                <w:szCs w:val="24"/>
              </w:rPr>
              <w:t>业务部经理、湖南分公司总经理、商业伙伴部总经理、用友优</w:t>
            </w:r>
          </w:p>
          <w:p>
            <w:pPr>
              <w:pStyle w:val="TableParagraph"/>
              <w:spacing w:line="303" w:lineRule="exact"/>
              <w:ind w:left="105" w:right="0"/>
              <w:jc w:val="left"/>
              <w:rPr>
                <w:rFonts w:ascii="宋体" w:hAnsi="宋体" w:cs="宋体" w:eastAsia="宋体" w:hint="default"/>
                <w:sz w:val="24"/>
                <w:szCs w:val="24"/>
              </w:rPr>
            </w:pPr>
            <w:r>
              <w:rPr>
                <w:rFonts w:ascii="宋体" w:hAnsi="宋体" w:cs="宋体" w:eastAsia="宋体" w:hint="default"/>
                <w:sz w:val="24"/>
                <w:szCs w:val="24"/>
              </w:rPr>
              <w:t>普信息技术有限公司执行总裁等职务。</w:t>
            </w:r>
          </w:p>
        </w:tc>
      </w:tr>
      <w:tr>
        <w:trPr>
          <w:trHeight w:val="63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任志刚</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left"/>
              <w:rPr>
                <w:rFonts w:ascii="宋体" w:hAnsi="宋体" w:cs="宋体" w:eastAsia="宋体" w:hint="default"/>
                <w:sz w:val="24"/>
                <w:szCs w:val="24"/>
              </w:rPr>
            </w:pPr>
            <w:r>
              <w:rPr>
                <w:rFonts w:ascii="宋体" w:hAnsi="宋体" w:cs="宋体" w:eastAsia="宋体" w:hint="default"/>
                <w:sz w:val="24"/>
                <w:szCs w:val="24"/>
              </w:rPr>
              <w:t>高级副总裁任志刚先生，</w:t>
            </w:r>
            <w:r>
              <w:rPr>
                <w:rFonts w:ascii="Times New Roman" w:hAnsi="Times New Roman" w:cs="Times New Roman" w:eastAsia="Times New Roman" w:hint="default"/>
                <w:sz w:val="24"/>
                <w:szCs w:val="24"/>
              </w:rPr>
              <w:t>1996</w:t>
            </w:r>
            <w:r>
              <w:rPr>
                <w:rFonts w:ascii="Times New Roman" w:hAnsi="Times New Roman" w:cs="Times New Roman" w:eastAsia="Times New Roman" w:hint="default"/>
                <w:spacing w:val="-26"/>
                <w:sz w:val="24"/>
                <w:szCs w:val="24"/>
              </w:rPr>
              <w:t> </w:t>
            </w:r>
            <w:r>
              <w:rPr>
                <w:rFonts w:ascii="宋体" w:hAnsi="宋体" w:cs="宋体" w:eastAsia="宋体" w:hint="default"/>
                <w:sz w:val="24"/>
                <w:szCs w:val="24"/>
              </w:rPr>
              <w:t>年加入用友，曾任公司地区市场代表、子公司总经理、山东区总经理、公司副总裁、高</w:t>
            </w:r>
          </w:p>
          <w:p>
            <w:pPr>
              <w:pStyle w:val="TableParagraph"/>
              <w:spacing w:line="304" w:lineRule="exact"/>
              <w:ind w:left="105" w:right="0"/>
              <w:jc w:val="left"/>
              <w:rPr>
                <w:rFonts w:ascii="宋体" w:hAnsi="宋体" w:cs="宋体" w:eastAsia="宋体" w:hint="default"/>
                <w:sz w:val="24"/>
                <w:szCs w:val="24"/>
              </w:rPr>
            </w:pPr>
            <w:r>
              <w:rPr>
                <w:rFonts w:ascii="宋体" w:hAnsi="宋体" w:cs="宋体" w:eastAsia="宋体" w:hint="default"/>
                <w:sz w:val="24"/>
                <w:szCs w:val="24"/>
              </w:rPr>
              <w:t>级副总裁等职务。</w:t>
            </w:r>
          </w:p>
        </w:tc>
      </w:tr>
      <w:tr>
        <w:trPr>
          <w:trHeight w:val="63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左骏</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05" w:right="0"/>
              <w:jc w:val="left"/>
              <w:rPr>
                <w:rFonts w:ascii="宋体" w:hAnsi="宋体" w:cs="宋体" w:eastAsia="宋体" w:hint="default"/>
                <w:sz w:val="24"/>
                <w:szCs w:val="24"/>
              </w:rPr>
            </w:pPr>
            <w:r>
              <w:rPr>
                <w:rFonts w:ascii="宋体" w:hAnsi="宋体" w:cs="宋体" w:eastAsia="宋体" w:hint="default"/>
                <w:sz w:val="24"/>
                <w:szCs w:val="24"/>
              </w:rPr>
              <w:t>高级副总裁左骏先生，</w:t>
            </w:r>
            <w:r>
              <w:rPr>
                <w:rFonts w:ascii="Times New Roman" w:hAnsi="Times New Roman" w:cs="Times New Roman" w:eastAsia="Times New Roman" w:hint="default"/>
                <w:sz w:val="24"/>
                <w:szCs w:val="24"/>
              </w:rPr>
              <w:t>1978 </w:t>
            </w:r>
            <w:r>
              <w:rPr>
                <w:rFonts w:ascii="宋体" w:hAnsi="宋体" w:cs="宋体" w:eastAsia="宋体" w:hint="default"/>
                <w:sz w:val="24"/>
                <w:szCs w:val="24"/>
              </w:rPr>
              <w:t>年 </w:t>
            </w:r>
            <w:r>
              <w:rPr>
                <w:rFonts w:ascii="Times New Roman" w:hAnsi="Times New Roman" w:cs="Times New Roman" w:eastAsia="Times New Roman" w:hint="default"/>
                <w:sz w:val="24"/>
                <w:szCs w:val="24"/>
              </w:rPr>
              <w:t>12 </w:t>
            </w:r>
            <w:r>
              <w:rPr>
                <w:rFonts w:ascii="宋体" w:hAnsi="宋体" w:cs="宋体" w:eastAsia="宋体" w:hint="default"/>
                <w:sz w:val="24"/>
                <w:szCs w:val="24"/>
              </w:rPr>
              <w:t>月出生，学士。</w:t>
            </w:r>
            <w:r>
              <w:rPr>
                <w:rFonts w:ascii="Times New Roman" w:hAnsi="Times New Roman" w:cs="Times New Roman" w:eastAsia="Times New Roman" w:hint="default"/>
                <w:sz w:val="24"/>
                <w:szCs w:val="24"/>
              </w:rPr>
              <w:t>2006</w:t>
            </w:r>
            <w:r>
              <w:rPr>
                <w:rFonts w:ascii="Times New Roman" w:hAnsi="Times New Roman" w:cs="Times New Roman" w:eastAsia="Times New Roman" w:hint="default"/>
                <w:spacing w:val="-28"/>
                <w:sz w:val="24"/>
                <w:szCs w:val="24"/>
              </w:rPr>
              <w:t> </w:t>
            </w:r>
            <w:r>
              <w:rPr>
                <w:rFonts w:ascii="宋体" w:hAnsi="宋体" w:cs="宋体" w:eastAsia="宋体" w:hint="default"/>
                <w:sz w:val="24"/>
                <w:szCs w:val="24"/>
              </w:rPr>
              <w:t>年加入用友，曾任分公司总经理、助理总裁、副总裁、高级副</w:t>
            </w:r>
          </w:p>
          <w:p>
            <w:pPr>
              <w:pStyle w:val="TableParagraph"/>
              <w:spacing w:line="303" w:lineRule="exact"/>
              <w:ind w:left="105" w:right="0"/>
              <w:jc w:val="left"/>
              <w:rPr>
                <w:rFonts w:ascii="宋体" w:hAnsi="宋体" w:cs="宋体" w:eastAsia="宋体" w:hint="default"/>
                <w:sz w:val="24"/>
                <w:szCs w:val="24"/>
              </w:rPr>
            </w:pPr>
            <w:r>
              <w:rPr>
                <w:rFonts w:ascii="宋体" w:hAnsi="宋体" w:cs="宋体" w:eastAsia="宋体" w:hint="default"/>
                <w:sz w:val="24"/>
                <w:szCs w:val="24"/>
              </w:rPr>
              <w:t>总裁等职务。</w:t>
            </w:r>
          </w:p>
        </w:tc>
      </w:tr>
      <w:tr>
        <w:trPr>
          <w:trHeight w:val="94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牛立伟</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19"/>
              <w:jc w:val="left"/>
              <w:rPr>
                <w:rFonts w:ascii="宋体" w:hAnsi="宋体" w:cs="宋体" w:eastAsia="宋体" w:hint="default"/>
                <w:sz w:val="24"/>
                <w:szCs w:val="24"/>
              </w:rPr>
            </w:pPr>
            <w:r>
              <w:rPr>
                <w:rFonts w:ascii="宋体" w:hAnsi="宋体" w:cs="宋体" w:eastAsia="宋体" w:hint="default"/>
                <w:sz w:val="24"/>
                <w:szCs w:val="24"/>
              </w:rPr>
              <w:t>高级副总裁牛立伟先生，</w:t>
            </w:r>
            <w:r>
              <w:rPr>
                <w:rFonts w:ascii="Times New Roman" w:hAnsi="Times New Roman" w:cs="Times New Roman" w:eastAsia="Times New Roman" w:hint="default"/>
                <w:sz w:val="24"/>
                <w:szCs w:val="24"/>
              </w:rPr>
              <w:t>1973</w:t>
            </w:r>
            <w:r>
              <w:rPr>
                <w:rFonts w:ascii="Times New Roman" w:hAnsi="Times New Roman" w:cs="Times New Roman" w:eastAsia="Times New Roman" w:hint="default"/>
                <w:spacing w:val="-10"/>
                <w:sz w:val="24"/>
                <w:szCs w:val="24"/>
              </w:rPr>
              <w:t> </w:t>
            </w:r>
            <w:r>
              <w:rPr>
                <w:rFonts w:ascii="宋体" w:hAnsi="宋体" w:cs="宋体" w:eastAsia="宋体" w:hint="default"/>
                <w:sz w:val="24"/>
                <w:szCs w:val="24"/>
              </w:rPr>
              <w:t>年</w:t>
            </w:r>
            <w:r>
              <w:rPr>
                <w:rFonts w:ascii="宋体" w:hAnsi="宋体" w:cs="宋体" w:eastAsia="宋体" w:hint="default"/>
                <w:spacing w:val="-70"/>
                <w:sz w:val="24"/>
                <w:szCs w:val="24"/>
              </w:rPr>
              <w:t> </w:t>
            </w:r>
            <w:r>
              <w:rPr>
                <w:rFonts w:ascii="Times New Roman" w:hAnsi="Times New Roman" w:cs="Times New Roman" w:eastAsia="Times New Roman" w:hint="default"/>
                <w:sz w:val="24"/>
                <w:szCs w:val="24"/>
              </w:rPr>
              <w:t>12</w:t>
            </w:r>
            <w:r>
              <w:rPr>
                <w:rFonts w:ascii="Times New Roman" w:hAnsi="Times New Roman" w:cs="Times New Roman" w:eastAsia="Times New Roman" w:hint="default"/>
                <w:spacing w:val="-10"/>
                <w:sz w:val="24"/>
                <w:szCs w:val="24"/>
              </w:rPr>
              <w:t> </w:t>
            </w:r>
            <w:r>
              <w:rPr>
                <w:rFonts w:ascii="宋体" w:hAnsi="宋体" w:cs="宋体" w:eastAsia="宋体" w:hint="default"/>
                <w:sz w:val="24"/>
                <w:szCs w:val="24"/>
              </w:rPr>
              <w:t>月出生，本科。</w:t>
            </w:r>
            <w:r>
              <w:rPr>
                <w:rFonts w:ascii="Times New Roman" w:hAnsi="Times New Roman" w:cs="Times New Roman" w:eastAsia="Times New Roman" w:hint="default"/>
                <w:sz w:val="24"/>
                <w:szCs w:val="24"/>
              </w:rPr>
              <w:t>1997</w:t>
            </w:r>
            <w:r>
              <w:rPr>
                <w:rFonts w:ascii="Times New Roman" w:hAnsi="Times New Roman" w:cs="Times New Roman" w:eastAsia="Times New Roman" w:hint="default"/>
                <w:spacing w:val="-10"/>
                <w:sz w:val="24"/>
                <w:szCs w:val="24"/>
              </w:rPr>
              <w:t> </w:t>
            </w:r>
            <w:r>
              <w:rPr>
                <w:rFonts w:ascii="宋体" w:hAnsi="宋体" w:cs="宋体" w:eastAsia="宋体" w:hint="default"/>
                <w:sz w:val="24"/>
                <w:szCs w:val="24"/>
              </w:rPr>
              <w:t>年加入用友，曾任</w:t>
            </w:r>
            <w:r>
              <w:rPr>
                <w:rFonts w:ascii="宋体" w:hAnsi="宋体" w:cs="宋体" w:eastAsia="宋体" w:hint="default"/>
                <w:spacing w:val="-70"/>
                <w:sz w:val="24"/>
                <w:szCs w:val="24"/>
              </w:rPr>
              <w:t> </w:t>
            </w:r>
            <w:r>
              <w:rPr>
                <w:rFonts w:ascii="Times New Roman" w:hAnsi="Times New Roman" w:cs="Times New Roman" w:eastAsia="Times New Roman" w:hint="default"/>
                <w:sz w:val="24"/>
                <w:szCs w:val="24"/>
              </w:rPr>
              <w:t>NC</w:t>
            </w:r>
            <w:r>
              <w:rPr>
                <w:rFonts w:ascii="Times New Roman" w:hAnsi="Times New Roman" w:cs="Times New Roman" w:eastAsia="Times New Roman" w:hint="default"/>
                <w:spacing w:val="-10"/>
                <w:sz w:val="24"/>
                <w:szCs w:val="24"/>
              </w:rPr>
              <w:t> </w:t>
            </w:r>
            <w:r>
              <w:rPr>
                <w:rFonts w:ascii="宋体" w:hAnsi="宋体" w:cs="宋体" w:eastAsia="宋体" w:hint="default"/>
                <w:sz w:val="24"/>
                <w:szCs w:val="24"/>
              </w:rPr>
              <w:t>研发部门需求分析师、产品市场经理、</w:t>
            </w:r>
          </w:p>
          <w:p>
            <w:pPr>
              <w:pStyle w:val="TableParagraph"/>
              <w:spacing w:line="312" w:lineRule="exact" w:before="20"/>
              <w:ind w:left="105" w:right="105"/>
              <w:jc w:val="left"/>
              <w:rPr>
                <w:rFonts w:ascii="宋体" w:hAnsi="宋体" w:cs="宋体" w:eastAsia="宋体" w:hint="default"/>
                <w:sz w:val="24"/>
                <w:szCs w:val="24"/>
              </w:rPr>
            </w:pPr>
            <w:r>
              <w:rPr>
                <w:rFonts w:ascii="宋体" w:hAnsi="宋体" w:cs="宋体" w:eastAsia="宋体" w:hint="default"/>
                <w:sz w:val="24"/>
                <w:szCs w:val="24"/>
              </w:rPr>
              <w:t>公司咨询部经理、北方区客户总监、北京分公司副总经理、公司副总裁兼中央大客户事业部总经理、公司高级副总裁</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兼中央本部总经理、用友能源科技有限公司总裁等职务。</w:t>
            </w:r>
          </w:p>
        </w:tc>
      </w:tr>
      <w:tr>
        <w:trPr>
          <w:trHeight w:val="63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杜宇</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left"/>
              <w:rPr>
                <w:rFonts w:ascii="宋体" w:hAnsi="宋体" w:cs="宋体" w:eastAsia="宋体" w:hint="default"/>
                <w:sz w:val="24"/>
                <w:szCs w:val="24"/>
              </w:rPr>
            </w:pPr>
            <w:r>
              <w:rPr>
                <w:rFonts w:ascii="宋体" w:hAnsi="宋体" w:cs="宋体" w:eastAsia="宋体" w:hint="default"/>
                <w:sz w:val="24"/>
                <w:szCs w:val="24"/>
              </w:rPr>
              <w:t>高级副总裁杜宇先生，</w:t>
            </w:r>
            <w:r>
              <w:rPr>
                <w:rFonts w:ascii="Times New Roman" w:hAnsi="Times New Roman" w:cs="Times New Roman" w:eastAsia="Times New Roman" w:hint="default"/>
                <w:sz w:val="24"/>
                <w:szCs w:val="24"/>
              </w:rPr>
              <w:t>1976</w:t>
            </w:r>
            <w:r>
              <w:rPr>
                <w:rFonts w:ascii="Times New Roman" w:hAnsi="Times New Roman" w:cs="Times New Roman" w:eastAsia="Times New Roman" w:hint="default"/>
                <w:spacing w:val="-11"/>
                <w:sz w:val="24"/>
                <w:szCs w:val="24"/>
              </w:rPr>
              <w:t> </w:t>
            </w:r>
            <w:r>
              <w:rPr>
                <w:rFonts w:ascii="宋体" w:hAnsi="宋体" w:cs="宋体" w:eastAsia="宋体" w:hint="default"/>
                <w:sz w:val="24"/>
                <w:szCs w:val="24"/>
              </w:rPr>
              <w:t>年</w:t>
            </w:r>
            <w:r>
              <w:rPr>
                <w:rFonts w:ascii="宋体" w:hAnsi="宋体" w:cs="宋体" w:eastAsia="宋体" w:hint="default"/>
                <w:spacing w:val="-71"/>
                <w:sz w:val="24"/>
                <w:szCs w:val="24"/>
              </w:rPr>
              <w:t> </w:t>
            </w:r>
            <w:r>
              <w:rPr>
                <w:rFonts w:ascii="Times New Roman" w:hAnsi="Times New Roman" w:cs="Times New Roman" w:eastAsia="Times New Roman" w:hint="default"/>
                <w:sz w:val="24"/>
                <w:szCs w:val="24"/>
              </w:rPr>
              <w:t>6</w:t>
            </w:r>
            <w:r>
              <w:rPr>
                <w:rFonts w:ascii="Times New Roman" w:hAnsi="Times New Roman" w:cs="Times New Roman" w:eastAsia="Times New Roman" w:hint="default"/>
                <w:spacing w:val="-11"/>
                <w:sz w:val="24"/>
                <w:szCs w:val="24"/>
              </w:rPr>
              <w:t> </w:t>
            </w:r>
            <w:r>
              <w:rPr>
                <w:rFonts w:ascii="宋体" w:hAnsi="宋体" w:cs="宋体" w:eastAsia="宋体" w:hint="default"/>
                <w:spacing w:val="-4"/>
                <w:sz w:val="24"/>
                <w:szCs w:val="24"/>
              </w:rPr>
              <w:t>月出生，本科。</w:t>
            </w:r>
            <w:r>
              <w:rPr>
                <w:rFonts w:ascii="Times New Roman" w:hAnsi="Times New Roman" w:cs="Times New Roman" w:eastAsia="Times New Roman" w:hint="default"/>
                <w:spacing w:val="-4"/>
                <w:sz w:val="24"/>
                <w:szCs w:val="24"/>
              </w:rPr>
              <w:t>1997</w:t>
            </w:r>
            <w:r>
              <w:rPr>
                <w:rFonts w:ascii="Times New Roman" w:hAnsi="Times New Roman" w:cs="Times New Roman" w:eastAsia="Times New Roman" w:hint="default"/>
                <w:spacing w:val="-11"/>
                <w:sz w:val="24"/>
                <w:szCs w:val="24"/>
              </w:rPr>
              <w:t> </w:t>
            </w:r>
            <w:r>
              <w:rPr>
                <w:rFonts w:ascii="宋体" w:hAnsi="宋体" w:cs="宋体" w:eastAsia="宋体" w:hint="default"/>
                <w:sz w:val="24"/>
                <w:szCs w:val="24"/>
              </w:rPr>
              <w:t>年加入用友，曾任公司电子商务解决方案事业部总经理、消费品</w:t>
            </w:r>
          </w:p>
          <w:p>
            <w:pPr>
              <w:pStyle w:val="TableParagraph"/>
              <w:spacing w:line="304" w:lineRule="exact"/>
              <w:ind w:left="105" w:right="0"/>
              <w:jc w:val="left"/>
              <w:rPr>
                <w:rFonts w:ascii="宋体" w:hAnsi="宋体" w:cs="宋体" w:eastAsia="宋体" w:hint="default"/>
                <w:sz w:val="24"/>
                <w:szCs w:val="24"/>
              </w:rPr>
            </w:pPr>
            <w:r>
              <w:rPr>
                <w:rFonts w:ascii="宋体" w:hAnsi="宋体" w:cs="宋体" w:eastAsia="宋体" w:hint="default"/>
                <w:sz w:val="24"/>
                <w:szCs w:val="24"/>
              </w:rPr>
              <w:t>行业事业部总经理、数字营销事业部总经理、云业务本部总经理、公司副总裁等职务。</w:t>
            </w:r>
          </w:p>
        </w:tc>
      </w:tr>
      <w:tr>
        <w:trPr>
          <w:trHeight w:val="63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孙淑嫔</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left"/>
              <w:rPr>
                <w:rFonts w:ascii="宋体" w:hAnsi="宋体" w:cs="宋体" w:eastAsia="宋体" w:hint="default"/>
                <w:sz w:val="24"/>
                <w:szCs w:val="24"/>
              </w:rPr>
            </w:pPr>
            <w:r>
              <w:rPr>
                <w:rFonts w:ascii="宋体" w:hAnsi="宋体" w:cs="宋体" w:eastAsia="宋体" w:hint="default"/>
                <w:sz w:val="24"/>
                <w:szCs w:val="24"/>
              </w:rPr>
              <w:t>高级副总裁孙淑嫔女士，硕士，注册会计师，通过国际特许金融分析师（</w:t>
            </w:r>
            <w:r>
              <w:rPr>
                <w:rFonts w:ascii="Times New Roman" w:hAnsi="Times New Roman" w:cs="Times New Roman" w:eastAsia="Times New Roman" w:hint="default"/>
                <w:sz w:val="24"/>
                <w:szCs w:val="24"/>
              </w:rPr>
              <w:t>CFA</w:t>
            </w:r>
            <w:r>
              <w:rPr>
                <w:rFonts w:ascii="宋体" w:hAnsi="宋体" w:cs="宋体" w:eastAsia="宋体" w:hint="default"/>
                <w:sz w:val="24"/>
                <w:szCs w:val="24"/>
              </w:rPr>
              <w:t>）考试、国家司法考试。</w:t>
            </w:r>
            <w:r>
              <w:rPr>
                <w:rFonts w:ascii="Times New Roman" w:hAnsi="Times New Roman" w:cs="Times New Roman" w:eastAsia="Times New Roman" w:hint="default"/>
                <w:sz w:val="24"/>
                <w:szCs w:val="24"/>
              </w:rPr>
              <w:t>2004</w:t>
            </w:r>
            <w:r>
              <w:rPr>
                <w:rFonts w:ascii="Times New Roman" w:hAnsi="Times New Roman" w:cs="Times New Roman" w:eastAsia="Times New Roman" w:hint="default"/>
                <w:spacing w:val="-16"/>
                <w:sz w:val="24"/>
                <w:szCs w:val="24"/>
              </w:rPr>
              <w:t> </w:t>
            </w:r>
            <w:r>
              <w:rPr>
                <w:rFonts w:ascii="宋体" w:hAnsi="宋体" w:cs="宋体" w:eastAsia="宋体" w:hint="default"/>
                <w:sz w:val="24"/>
                <w:szCs w:val="24"/>
              </w:rPr>
              <w:t>年加入用</w:t>
            </w:r>
          </w:p>
          <w:p>
            <w:pPr>
              <w:pStyle w:val="TableParagraph"/>
              <w:spacing w:line="304" w:lineRule="exact"/>
              <w:ind w:left="105" w:right="0"/>
              <w:jc w:val="left"/>
              <w:rPr>
                <w:rFonts w:ascii="宋体" w:hAnsi="宋体" w:cs="宋体" w:eastAsia="宋体" w:hint="default"/>
                <w:sz w:val="24"/>
                <w:szCs w:val="24"/>
              </w:rPr>
            </w:pPr>
            <w:r>
              <w:rPr>
                <w:rFonts w:ascii="宋体" w:hAnsi="宋体" w:cs="宋体" w:eastAsia="宋体" w:hint="default"/>
                <w:sz w:val="24"/>
                <w:szCs w:val="24"/>
              </w:rPr>
              <w:t>友，曾任公司合并报表经理、财务管理部总经理、财务共享中心总经理、高端业务财务总监、副总裁等职务。</w:t>
            </w:r>
          </w:p>
        </w:tc>
      </w:tr>
    </w:tbl>
    <w:p>
      <w:pPr>
        <w:spacing w:after="0" w:line="304" w:lineRule="exact"/>
        <w:jc w:val="left"/>
        <w:rPr>
          <w:rFonts w:ascii="宋体" w:hAnsi="宋体" w:cs="宋体" w:eastAsia="宋体" w:hint="default"/>
          <w:sz w:val="24"/>
          <w:szCs w:val="24"/>
        </w:rPr>
        <w:sectPr>
          <w:pgSz w:w="16840" w:h="11910" w:orient="landscape"/>
          <w:pgMar w:header="880" w:footer="1195" w:top="1120" w:bottom="1380" w:left="1300" w:right="1320"/>
        </w:sectPr>
      </w:pPr>
    </w:p>
    <w:p>
      <w:pPr>
        <w:spacing w:line="240" w:lineRule="auto" w:before="4"/>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1371"/>
        <w:gridCol w:w="12494"/>
      </w:tblGrid>
      <w:tr>
        <w:trPr>
          <w:trHeight w:val="632"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严绍业</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0"/>
              <w:jc w:val="left"/>
              <w:rPr>
                <w:rFonts w:ascii="宋体" w:hAnsi="宋体" w:cs="宋体" w:eastAsia="宋体" w:hint="default"/>
                <w:sz w:val="24"/>
                <w:szCs w:val="24"/>
              </w:rPr>
            </w:pPr>
            <w:r>
              <w:rPr>
                <w:rFonts w:ascii="宋体" w:hAnsi="宋体" w:cs="宋体" w:eastAsia="宋体" w:hint="default"/>
                <w:sz w:val="24"/>
                <w:szCs w:val="24"/>
              </w:rPr>
              <w:t>严绍业先生，</w:t>
            </w:r>
            <w:r>
              <w:rPr>
                <w:rFonts w:ascii="Times New Roman" w:hAnsi="Times New Roman" w:cs="Times New Roman" w:eastAsia="Times New Roman" w:hint="default"/>
                <w:sz w:val="24"/>
                <w:szCs w:val="24"/>
              </w:rPr>
              <w:t>1963</w:t>
            </w:r>
            <w:r>
              <w:rPr>
                <w:rFonts w:ascii="Times New Roman" w:hAnsi="Times New Roman" w:cs="Times New Roman" w:eastAsia="Times New Roman" w:hint="default"/>
                <w:spacing w:val="-8"/>
                <w:sz w:val="24"/>
                <w:szCs w:val="24"/>
              </w:rPr>
              <w:t> </w:t>
            </w:r>
            <w:r>
              <w:rPr>
                <w:rFonts w:ascii="宋体" w:hAnsi="宋体" w:cs="宋体" w:eastAsia="宋体" w:hint="default"/>
                <w:sz w:val="24"/>
                <w:szCs w:val="24"/>
              </w:rPr>
              <w:t>年</w:t>
            </w:r>
            <w:r>
              <w:rPr>
                <w:rFonts w:ascii="宋体" w:hAnsi="宋体" w:cs="宋体" w:eastAsia="宋体" w:hint="default"/>
                <w:spacing w:val="-68"/>
                <w:sz w:val="24"/>
                <w:szCs w:val="24"/>
              </w:rPr>
              <w:t> </w:t>
            </w:r>
            <w:r>
              <w:rPr>
                <w:rFonts w:ascii="Times New Roman" w:hAnsi="Times New Roman" w:cs="Times New Roman" w:eastAsia="Times New Roman" w:hint="default"/>
                <w:sz w:val="24"/>
                <w:szCs w:val="24"/>
              </w:rPr>
              <w:t>8</w:t>
            </w:r>
            <w:r>
              <w:rPr>
                <w:rFonts w:ascii="Times New Roman" w:hAnsi="Times New Roman" w:cs="Times New Roman" w:eastAsia="Times New Roman" w:hint="default"/>
                <w:spacing w:val="-8"/>
                <w:sz w:val="24"/>
                <w:szCs w:val="24"/>
              </w:rPr>
              <w:t> </w:t>
            </w:r>
            <w:r>
              <w:rPr>
                <w:rFonts w:ascii="宋体" w:hAnsi="宋体" w:cs="宋体" w:eastAsia="宋体" w:hint="default"/>
                <w:spacing w:val="-3"/>
                <w:sz w:val="24"/>
                <w:szCs w:val="24"/>
              </w:rPr>
              <w:t>月出生，经济学硕士。</w:t>
            </w:r>
            <w:r>
              <w:rPr>
                <w:rFonts w:ascii="Times New Roman" w:hAnsi="Times New Roman" w:cs="Times New Roman" w:eastAsia="Times New Roman" w:hint="default"/>
                <w:spacing w:val="-3"/>
                <w:sz w:val="24"/>
                <w:szCs w:val="24"/>
              </w:rPr>
              <w:t>2003</w:t>
            </w:r>
            <w:r>
              <w:rPr>
                <w:rFonts w:ascii="Times New Roman" w:hAnsi="Times New Roman" w:cs="Times New Roman" w:eastAsia="Times New Roman" w:hint="default"/>
                <w:spacing w:val="-8"/>
                <w:sz w:val="24"/>
                <w:szCs w:val="24"/>
              </w:rPr>
              <w:t> </w:t>
            </w:r>
            <w:r>
              <w:rPr>
                <w:rFonts w:ascii="宋体" w:hAnsi="宋体" w:cs="宋体" w:eastAsia="宋体" w:hint="default"/>
                <w:sz w:val="24"/>
                <w:szCs w:val="24"/>
              </w:rPr>
              <w:t>年</w:t>
            </w:r>
            <w:r>
              <w:rPr>
                <w:rFonts w:ascii="宋体" w:hAnsi="宋体" w:cs="宋体" w:eastAsia="宋体" w:hint="default"/>
                <w:spacing w:val="-68"/>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8"/>
                <w:sz w:val="24"/>
                <w:szCs w:val="24"/>
              </w:rPr>
              <w:t> </w:t>
            </w:r>
            <w:r>
              <w:rPr>
                <w:rFonts w:ascii="宋体" w:hAnsi="宋体" w:cs="宋体" w:eastAsia="宋体" w:hint="default"/>
                <w:sz w:val="24"/>
                <w:szCs w:val="24"/>
              </w:rPr>
              <w:t>月加入用友，曾任北京用友政务软件有限公司总经理、公司品</w:t>
            </w:r>
          </w:p>
          <w:p>
            <w:pPr>
              <w:pStyle w:val="TableParagraph"/>
              <w:spacing w:line="304" w:lineRule="exact"/>
              <w:ind w:left="105" w:right="0"/>
              <w:jc w:val="left"/>
              <w:rPr>
                <w:rFonts w:ascii="宋体" w:hAnsi="宋体" w:cs="宋体" w:eastAsia="宋体" w:hint="default"/>
                <w:sz w:val="24"/>
                <w:szCs w:val="24"/>
              </w:rPr>
            </w:pPr>
            <w:r>
              <w:rPr>
                <w:rFonts w:ascii="宋体" w:hAnsi="宋体" w:cs="宋体" w:eastAsia="宋体" w:hint="default"/>
                <w:sz w:val="24"/>
                <w:szCs w:val="24"/>
              </w:rPr>
              <w:t>牌总监、公司监事、副总裁、高级副总裁等职务。</w:t>
            </w:r>
          </w:p>
        </w:tc>
      </w:tr>
      <w:tr>
        <w:trPr>
          <w:trHeight w:val="322"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张纪雄</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5" w:right="0"/>
              <w:jc w:val="left"/>
              <w:rPr>
                <w:rFonts w:ascii="宋体" w:hAnsi="宋体" w:cs="宋体" w:eastAsia="宋体" w:hint="default"/>
                <w:sz w:val="24"/>
                <w:szCs w:val="24"/>
              </w:rPr>
            </w:pPr>
            <w:r>
              <w:rPr>
                <w:rFonts w:ascii="宋体" w:hAnsi="宋体" w:cs="宋体" w:eastAsia="宋体" w:hint="default"/>
                <w:sz w:val="24"/>
                <w:szCs w:val="24"/>
              </w:rPr>
              <w:t>张纪雄先生，</w:t>
            </w:r>
            <w:r>
              <w:rPr>
                <w:rFonts w:ascii="Times New Roman" w:hAnsi="Times New Roman" w:cs="Times New Roman" w:eastAsia="Times New Roman" w:hint="default"/>
                <w:sz w:val="24"/>
                <w:szCs w:val="24"/>
              </w:rPr>
              <w:t>2003</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年加入用友，曾任北京用友政务软件有限公司技术总监、副总裁、总裁、公司高级副总裁等职务。</w:t>
            </w:r>
          </w:p>
        </w:tc>
      </w:tr>
      <w:tr>
        <w:trPr>
          <w:trHeight w:val="322"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胡彬</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5" w:right="0"/>
              <w:jc w:val="left"/>
              <w:rPr>
                <w:rFonts w:ascii="宋体" w:hAnsi="宋体" w:cs="宋体" w:eastAsia="宋体" w:hint="default"/>
                <w:sz w:val="24"/>
                <w:szCs w:val="24"/>
              </w:rPr>
            </w:pPr>
            <w:r>
              <w:rPr>
                <w:rFonts w:ascii="宋体" w:hAnsi="宋体" w:cs="宋体" w:eastAsia="宋体" w:hint="default"/>
                <w:sz w:val="24"/>
                <w:szCs w:val="24"/>
              </w:rPr>
              <w:t>胡彬先生，</w:t>
            </w:r>
            <w:r>
              <w:rPr>
                <w:rFonts w:ascii="Times New Roman" w:hAnsi="Times New Roman" w:cs="Times New Roman" w:eastAsia="Times New Roman" w:hint="default"/>
                <w:sz w:val="24"/>
                <w:szCs w:val="24"/>
              </w:rPr>
              <w:t>2009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 </w:t>
            </w:r>
            <w:r>
              <w:rPr>
                <w:rFonts w:ascii="宋体" w:hAnsi="宋体" w:cs="宋体" w:eastAsia="宋体" w:hint="default"/>
                <w:sz w:val="24"/>
                <w:szCs w:val="24"/>
              </w:rPr>
              <w:t>月加入用友，曾任公司副总裁、高级副总裁等职务。</w:t>
            </w:r>
          </w:p>
        </w:tc>
      </w:tr>
      <w:tr>
        <w:trPr>
          <w:trHeight w:val="322"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徐宝东</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5" w:right="0"/>
              <w:jc w:val="left"/>
              <w:rPr>
                <w:rFonts w:ascii="宋体" w:hAnsi="宋体" w:cs="宋体" w:eastAsia="宋体" w:hint="default"/>
                <w:sz w:val="24"/>
                <w:szCs w:val="24"/>
              </w:rPr>
            </w:pPr>
            <w:r>
              <w:rPr>
                <w:rFonts w:ascii="宋体" w:hAnsi="宋体" w:cs="宋体" w:eastAsia="宋体" w:hint="default"/>
                <w:sz w:val="24"/>
                <w:szCs w:val="24"/>
              </w:rPr>
              <w:t>徐宝东先生，</w:t>
            </w:r>
            <w:r>
              <w:rPr>
                <w:rFonts w:ascii="Times New Roman" w:hAnsi="Times New Roman" w:cs="Times New Roman" w:eastAsia="Times New Roman" w:hint="default"/>
                <w:sz w:val="24"/>
                <w:szCs w:val="24"/>
              </w:rPr>
              <w:t>2007 </w:t>
            </w:r>
            <w:r>
              <w:rPr>
                <w:rFonts w:ascii="宋体" w:hAnsi="宋体" w:cs="宋体" w:eastAsia="宋体" w:hint="default"/>
                <w:sz w:val="24"/>
                <w:szCs w:val="24"/>
              </w:rPr>
              <w:t>年加入用友，曾任公司助理总裁、山东区总经理、公司副总裁、高级副总裁等职务。</w:t>
            </w:r>
          </w:p>
        </w:tc>
      </w:tr>
      <w:tr>
        <w:trPr>
          <w:trHeight w:val="63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杨晓柏</w:t>
            </w:r>
          </w:p>
        </w:tc>
        <w:tc>
          <w:tcPr>
            <w:tcW w:w="1249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5" w:right="-22"/>
              <w:jc w:val="left"/>
              <w:rPr>
                <w:rFonts w:ascii="宋体" w:hAnsi="宋体" w:cs="宋体" w:eastAsia="宋体" w:hint="default"/>
                <w:sz w:val="24"/>
                <w:szCs w:val="24"/>
              </w:rPr>
            </w:pPr>
            <w:r>
              <w:rPr>
                <w:rFonts w:ascii="宋体" w:hAnsi="宋体" w:cs="宋体" w:eastAsia="宋体" w:hint="default"/>
                <w:spacing w:val="-3"/>
                <w:sz w:val="24"/>
                <w:szCs w:val="24"/>
              </w:rPr>
              <w:t>杨晓柏先生，</w:t>
            </w:r>
            <w:r>
              <w:rPr>
                <w:rFonts w:ascii="Times New Roman" w:hAnsi="Times New Roman" w:cs="Times New Roman" w:eastAsia="Times New Roman" w:hint="default"/>
                <w:spacing w:val="-3"/>
                <w:sz w:val="24"/>
                <w:szCs w:val="24"/>
              </w:rPr>
              <w:t>1970 </w:t>
            </w:r>
            <w:r>
              <w:rPr>
                <w:rFonts w:ascii="宋体" w:hAnsi="宋体" w:cs="宋体" w:eastAsia="宋体" w:hint="default"/>
                <w:sz w:val="24"/>
                <w:szCs w:val="24"/>
              </w:rPr>
              <w:t>年 </w:t>
            </w:r>
            <w:r>
              <w:rPr>
                <w:rFonts w:ascii="Times New Roman" w:hAnsi="Times New Roman" w:cs="Times New Roman" w:eastAsia="Times New Roman" w:hint="default"/>
                <w:sz w:val="24"/>
                <w:szCs w:val="24"/>
              </w:rPr>
              <w:t>9 </w:t>
            </w:r>
            <w:r>
              <w:rPr>
                <w:rFonts w:ascii="宋体" w:hAnsi="宋体" w:cs="宋体" w:eastAsia="宋体" w:hint="default"/>
                <w:spacing w:val="-6"/>
                <w:sz w:val="24"/>
                <w:szCs w:val="24"/>
              </w:rPr>
              <w:t>月出生，硕士。</w:t>
            </w:r>
            <w:r>
              <w:rPr>
                <w:rFonts w:ascii="Times New Roman" w:hAnsi="Times New Roman" w:cs="Times New Roman" w:eastAsia="Times New Roman" w:hint="default"/>
                <w:spacing w:val="-6"/>
                <w:sz w:val="24"/>
                <w:szCs w:val="24"/>
              </w:rPr>
              <w:t>1999</w:t>
            </w:r>
            <w:r>
              <w:rPr>
                <w:rFonts w:ascii="Times New Roman" w:hAnsi="Times New Roman" w:cs="Times New Roman" w:eastAsia="Times New Roman" w:hint="default"/>
                <w:spacing w:val="-31"/>
                <w:sz w:val="24"/>
                <w:szCs w:val="24"/>
              </w:rPr>
              <w:t> </w:t>
            </w:r>
            <w:r>
              <w:rPr>
                <w:rFonts w:ascii="宋体" w:hAnsi="宋体" w:cs="宋体" w:eastAsia="宋体" w:hint="default"/>
                <w:spacing w:val="-4"/>
                <w:sz w:val="24"/>
                <w:szCs w:val="24"/>
              </w:rPr>
              <w:t>年加入用友，曾任分公司总经理、助理总裁、副总裁、高级副总裁等职务，</w:t>
            </w:r>
          </w:p>
          <w:p>
            <w:pPr>
              <w:pStyle w:val="TableParagraph"/>
              <w:spacing w:line="304" w:lineRule="exact"/>
              <w:ind w:left="105" w:right="0"/>
              <w:jc w:val="left"/>
              <w:rPr>
                <w:rFonts w:ascii="宋体" w:hAnsi="宋体" w:cs="宋体" w:eastAsia="宋体" w:hint="default"/>
                <w:sz w:val="24"/>
                <w:szCs w:val="24"/>
              </w:rPr>
            </w:pPr>
            <w:r>
              <w:rPr>
                <w:rFonts w:ascii="宋体" w:hAnsi="宋体" w:cs="宋体" w:eastAsia="宋体" w:hint="default"/>
                <w:sz w:val="24"/>
                <w:szCs w:val="24"/>
              </w:rPr>
              <w:t>现任新道科技股份有限公司总裁。</w:t>
            </w:r>
          </w:p>
        </w:tc>
      </w:tr>
    </w:tbl>
    <w:p>
      <w:pPr>
        <w:spacing w:line="240" w:lineRule="auto" w:before="3"/>
        <w:rPr>
          <w:rFonts w:ascii="Times New Roman" w:hAnsi="Times New Roman" w:cs="Times New Roman" w:eastAsia="Times New Roman" w:hint="default"/>
          <w:sz w:val="18"/>
          <w:szCs w:val="18"/>
        </w:rPr>
      </w:pPr>
    </w:p>
    <w:p>
      <w:pPr>
        <w:pStyle w:val="BodyText"/>
        <w:spacing w:line="313" w:lineRule="exact" w:before="26"/>
        <w:ind w:left="224" w:right="0"/>
        <w:jc w:val="left"/>
      </w:pPr>
      <w:r>
        <w:rPr/>
        <w:t>其它情况说明</w:t>
      </w:r>
    </w:p>
    <w:p>
      <w:pPr>
        <w:pStyle w:val="BodyText"/>
        <w:spacing w:line="331" w:lineRule="exact"/>
        <w:ind w:left="224" w:right="0"/>
        <w:jc w:val="left"/>
      </w:pPr>
      <w:r>
        <w:rPr>
          <w:rFonts w:ascii="Times New Roman" w:hAnsi="Times New Roman" w:cs="Times New Roman" w:eastAsia="Times New Roman" w:hint="default"/>
        </w:rPr>
        <w:t>□</w:t>
      </w:r>
      <w:r>
        <w:rPr/>
        <w:t>适用</w:t>
      </w:r>
      <w:r>
        <w:rPr>
          <w:spacing w:val="-1"/>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6840" w:h="11910" w:orient="landscape"/>
          <w:pgMar w:header="880" w:footer="1195" w:top="1120" w:bottom="1380" w:left="1300" w:right="1220"/>
        </w:sectPr>
      </w:pPr>
    </w:p>
    <w:p>
      <w:pPr>
        <w:pStyle w:val="Heading2"/>
        <w:spacing w:line="240" w:lineRule="auto" w:before="26"/>
        <w:ind w:left="224" w:right="-17"/>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0"/>
        </w:rPr>
        <w:t> </w:t>
      </w:r>
      <w:r>
        <w:rPr/>
        <w:t>董事、高级管理人员报告期内被授予的股权激励情况</w:t>
      </w:r>
      <w:r>
        <w:rPr>
          <w:b w:val="0"/>
          <w:bCs w:val="0"/>
        </w:rPr>
      </w:r>
    </w:p>
    <w:p>
      <w:pPr>
        <w:pStyle w:val="BodyText"/>
        <w:spacing w:line="240" w:lineRule="auto" w:before="27"/>
        <w:ind w:left="224" w:right="-17"/>
        <w:jc w:val="left"/>
      </w:pPr>
      <w:r>
        <w:rPr>
          <w:rFonts w:ascii="Times New Roman" w:hAnsi="Times New Roman" w:cs="Times New Roman" w:eastAsia="Times New Roman" w:hint="default"/>
        </w:rPr>
        <w:t>√</w:t>
      </w: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spacing w:line="240" w:lineRule="auto"/>
        <w:ind w:left="224" w:right="0"/>
        <w:jc w:val="left"/>
      </w:pPr>
      <w:r>
        <w:rPr/>
        <w:t>单位</w:t>
      </w:r>
      <w:r>
        <w:rPr>
          <w:rFonts w:ascii="Times New Roman" w:hAnsi="Times New Roman" w:cs="Times New Roman" w:eastAsia="Times New Roman" w:hint="default"/>
        </w:rPr>
        <w:t>:</w:t>
      </w:r>
      <w:r>
        <w:rPr/>
        <w:t>股</w:t>
      </w:r>
    </w:p>
    <w:p>
      <w:pPr>
        <w:spacing w:after="0" w:line="240" w:lineRule="auto"/>
        <w:jc w:val="left"/>
        <w:sectPr>
          <w:type w:val="continuous"/>
          <w:pgSz w:w="16840" w:h="11910" w:orient="landscape"/>
          <w:pgMar w:top="1120" w:bottom="1380" w:left="1300" w:right="1220"/>
          <w:cols w:num="2" w:equalWidth="0">
            <w:col w:w="6184" w:space="6902"/>
            <w:col w:w="1234"/>
          </w:cols>
        </w:sectPr>
      </w:pPr>
    </w:p>
    <w:tbl>
      <w:tblPr>
        <w:tblW w:w="0" w:type="auto"/>
        <w:jc w:val="left"/>
        <w:tblInd w:w="111" w:type="dxa"/>
        <w:tblLayout w:type="fixed"/>
        <w:tblCellMar>
          <w:top w:w="0" w:type="dxa"/>
          <w:left w:w="0" w:type="dxa"/>
          <w:bottom w:w="0" w:type="dxa"/>
          <w:right w:w="0" w:type="dxa"/>
        </w:tblCellMar>
        <w:tblLook w:val="01E0"/>
      </w:tblPr>
      <w:tblGrid>
        <w:gridCol w:w="1244"/>
        <w:gridCol w:w="1421"/>
        <w:gridCol w:w="1695"/>
        <w:gridCol w:w="1702"/>
        <w:gridCol w:w="1704"/>
        <w:gridCol w:w="1699"/>
        <w:gridCol w:w="1561"/>
        <w:gridCol w:w="1558"/>
        <w:gridCol w:w="1507"/>
      </w:tblGrid>
      <w:tr>
        <w:trPr>
          <w:trHeight w:val="631"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377" w:right="0"/>
              <w:jc w:val="left"/>
              <w:rPr>
                <w:rFonts w:ascii="宋体" w:hAnsi="宋体" w:cs="宋体" w:eastAsia="宋体" w:hint="default"/>
                <w:sz w:val="24"/>
                <w:szCs w:val="24"/>
              </w:rPr>
            </w:pPr>
            <w:r>
              <w:rPr>
                <w:rFonts w:ascii="宋体" w:hAnsi="宋体" w:cs="宋体" w:eastAsia="宋体" w:hint="default"/>
                <w:sz w:val="24"/>
                <w:szCs w:val="24"/>
              </w:rPr>
              <w:t>姓名</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65" w:right="0"/>
              <w:jc w:val="left"/>
              <w:rPr>
                <w:rFonts w:ascii="宋体" w:hAnsi="宋体" w:cs="宋体" w:eastAsia="宋体" w:hint="default"/>
                <w:sz w:val="24"/>
                <w:szCs w:val="24"/>
              </w:rPr>
            </w:pPr>
            <w:r>
              <w:rPr>
                <w:rFonts w:ascii="宋体" w:hAnsi="宋体" w:cs="宋体" w:eastAsia="宋体" w:hint="default"/>
                <w:sz w:val="24"/>
                <w:szCs w:val="24"/>
              </w:rPr>
              <w:t>职务</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年初持有股票</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期权数量</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27" w:right="0"/>
              <w:jc w:val="left"/>
              <w:rPr>
                <w:rFonts w:ascii="宋体" w:hAnsi="宋体" w:cs="宋体" w:eastAsia="宋体" w:hint="default"/>
                <w:sz w:val="24"/>
                <w:szCs w:val="24"/>
              </w:rPr>
            </w:pPr>
            <w:r>
              <w:rPr>
                <w:rFonts w:ascii="宋体" w:hAnsi="宋体" w:cs="宋体" w:eastAsia="宋体" w:hint="default"/>
                <w:sz w:val="24"/>
                <w:szCs w:val="24"/>
              </w:rPr>
              <w:t>报告期新授予</w:t>
            </w:r>
          </w:p>
          <w:p>
            <w:pPr>
              <w:pStyle w:val="TableParagraph"/>
              <w:spacing w:line="313" w:lineRule="exact"/>
              <w:ind w:left="127" w:right="0"/>
              <w:jc w:val="left"/>
              <w:rPr>
                <w:rFonts w:ascii="宋体" w:hAnsi="宋体" w:cs="宋体" w:eastAsia="宋体" w:hint="default"/>
                <w:sz w:val="24"/>
                <w:szCs w:val="24"/>
              </w:rPr>
            </w:pPr>
            <w:r>
              <w:rPr>
                <w:rFonts w:ascii="宋体" w:hAnsi="宋体" w:cs="宋体" w:eastAsia="宋体" w:hint="default"/>
                <w:sz w:val="24"/>
                <w:szCs w:val="24"/>
              </w:rPr>
              <w:t>股票期权数量</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报告期内可行</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权股份</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报告期股票期</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权行权股份</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13" w:right="0" w:hanging="39"/>
              <w:jc w:val="left"/>
              <w:rPr>
                <w:rFonts w:ascii="宋体" w:hAnsi="宋体" w:cs="宋体" w:eastAsia="宋体" w:hint="default"/>
                <w:sz w:val="24"/>
                <w:szCs w:val="24"/>
              </w:rPr>
            </w:pPr>
            <w:r>
              <w:rPr>
                <w:rFonts w:ascii="宋体" w:hAnsi="宋体" w:cs="宋体" w:eastAsia="宋体" w:hint="default"/>
                <w:sz w:val="24"/>
                <w:szCs w:val="24"/>
              </w:rPr>
              <w:t>股票期权行</w:t>
            </w:r>
          </w:p>
          <w:p>
            <w:pPr>
              <w:pStyle w:val="TableParagraph"/>
              <w:spacing w:line="331" w:lineRule="exact"/>
              <w:ind w:left="21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权价格</w:t>
            </w:r>
            <w:r>
              <w:rPr>
                <w:rFonts w:ascii="Times New Roman" w:hAnsi="Times New Roman" w:cs="Times New Roman" w:eastAsia="Times New Roman" w:hint="default"/>
                <w:sz w:val="24"/>
                <w:szCs w:val="24"/>
              </w:rPr>
              <w:t>(</w:t>
            </w:r>
            <w:r>
              <w:rPr>
                <w:rFonts w:ascii="宋体" w:hAnsi="宋体" w:cs="宋体" w:eastAsia="宋体" w:hint="default"/>
                <w:sz w:val="24"/>
                <w:szCs w:val="24"/>
              </w:rPr>
              <w:t>元</w:t>
            </w:r>
            <w:r>
              <w:rPr>
                <w:rFonts w:ascii="Times New Roman" w:hAnsi="Times New Roman" w:cs="Times New Roman" w:eastAsia="Times New Roman" w:hint="default"/>
                <w:sz w:val="24"/>
                <w:szCs w:val="24"/>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72" w:right="0"/>
              <w:jc w:val="left"/>
              <w:rPr>
                <w:rFonts w:ascii="宋体" w:hAnsi="宋体" w:cs="宋体" w:eastAsia="宋体" w:hint="default"/>
                <w:sz w:val="24"/>
                <w:szCs w:val="24"/>
              </w:rPr>
            </w:pPr>
            <w:r>
              <w:rPr>
                <w:rFonts w:ascii="宋体" w:hAnsi="宋体" w:cs="宋体" w:eastAsia="宋体" w:hint="default"/>
                <w:sz w:val="24"/>
                <w:szCs w:val="24"/>
              </w:rPr>
              <w:t>期末持有股</w:t>
            </w:r>
          </w:p>
          <w:p>
            <w:pPr>
              <w:pStyle w:val="TableParagraph"/>
              <w:spacing w:line="313" w:lineRule="exact"/>
              <w:ind w:left="172" w:right="0"/>
              <w:jc w:val="left"/>
              <w:rPr>
                <w:rFonts w:ascii="宋体" w:hAnsi="宋体" w:cs="宋体" w:eastAsia="宋体" w:hint="default"/>
                <w:sz w:val="24"/>
                <w:szCs w:val="24"/>
              </w:rPr>
            </w:pPr>
            <w:r>
              <w:rPr>
                <w:rFonts w:ascii="宋体" w:hAnsi="宋体" w:cs="宋体" w:eastAsia="宋体" w:hint="default"/>
                <w:sz w:val="24"/>
                <w:szCs w:val="24"/>
              </w:rPr>
              <w:t>票期权数量</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报告期末市</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价（元）</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pacing w:val="-5"/>
                <w:sz w:val="24"/>
                <w:szCs w:val="24"/>
              </w:rPr>
              <w:t>董事、总裁</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5"/>
              <w:jc w:val="right"/>
              <w:rPr>
                <w:rFonts w:ascii="宋体" w:hAnsi="宋体" w:cs="宋体" w:eastAsia="宋体" w:hint="default"/>
                <w:sz w:val="24"/>
                <w:szCs w:val="24"/>
              </w:rPr>
            </w:pPr>
            <w:r>
              <w:rPr>
                <w:rFonts w:ascii="宋体"/>
                <w:sz w:val="24"/>
              </w:rPr>
              <w:t>676,002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7"/>
              <w:jc w:val="right"/>
              <w:rPr>
                <w:rFonts w:ascii="宋体" w:hAnsi="宋体" w:cs="宋体" w:eastAsia="宋体" w:hint="default"/>
                <w:sz w:val="24"/>
                <w:szCs w:val="24"/>
              </w:rPr>
            </w:pPr>
            <w:r>
              <w:rPr>
                <w:rFonts w:ascii="宋体"/>
                <w:sz w:val="24"/>
              </w:rPr>
              <w:t>338,001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7"/>
              <w:jc w:val="right"/>
              <w:rPr>
                <w:rFonts w:ascii="宋体" w:hAnsi="宋体" w:cs="宋体" w:eastAsia="宋体" w:hint="default"/>
                <w:sz w:val="24"/>
                <w:szCs w:val="24"/>
              </w:rPr>
            </w:pPr>
            <w:r>
              <w:rPr>
                <w:rFonts w:ascii="宋体"/>
                <w:sz w:val="24"/>
              </w:rPr>
              <w:t>338,001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5"/>
              <w:jc w:val="right"/>
              <w:rPr>
                <w:rFonts w:ascii="宋体" w:hAnsi="宋体" w:cs="宋体" w:eastAsia="宋体" w:hint="default"/>
                <w:sz w:val="24"/>
                <w:szCs w:val="24"/>
              </w:rPr>
            </w:pPr>
            <w:r>
              <w:rPr>
                <w:rFonts w:ascii="宋体"/>
                <w:sz w:val="24"/>
              </w:rPr>
              <w:t>9.12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7"/>
              <w:jc w:val="right"/>
              <w:rPr>
                <w:rFonts w:ascii="宋体" w:hAnsi="宋体" w:cs="宋体" w:eastAsia="宋体" w:hint="default"/>
                <w:sz w:val="24"/>
                <w:szCs w:val="24"/>
              </w:rPr>
            </w:pPr>
            <w:r>
              <w:rPr>
                <w:rFonts w:ascii="宋体"/>
                <w:sz w:val="24"/>
              </w:rPr>
              <w:t>338,001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5"/>
              <w:jc w:val="right"/>
              <w:rPr>
                <w:rFonts w:ascii="宋体" w:hAnsi="宋体" w:cs="宋体" w:eastAsia="宋体" w:hint="default"/>
                <w:sz w:val="24"/>
                <w:szCs w:val="24"/>
              </w:rPr>
            </w:pPr>
            <w:r>
              <w:rPr>
                <w:rFonts w:ascii="宋体"/>
                <w:sz w:val="24"/>
              </w:rPr>
              <w:t>28.4 </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章培林</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财务总监</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337,998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168,999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337,998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28.4 </w:t>
            </w:r>
          </w:p>
        </w:tc>
      </w:tr>
      <w:tr>
        <w:trPr>
          <w:trHeight w:val="634"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谢志华</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执行副总</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裁</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337,998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168,999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168,999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9.12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168,999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28.4 </w:t>
            </w:r>
          </w:p>
        </w:tc>
      </w:tr>
      <w:tr>
        <w:trPr>
          <w:trHeight w:val="943"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欧阳青</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w:t>
            </w:r>
          </w:p>
          <w:p>
            <w:pPr>
              <w:pStyle w:val="TableParagraph"/>
              <w:spacing w:line="310" w:lineRule="exact" w:before="31"/>
              <w:ind w:left="103" w:right="347"/>
              <w:jc w:val="left"/>
              <w:rPr>
                <w:rFonts w:ascii="宋体" w:hAnsi="宋体" w:cs="宋体" w:eastAsia="宋体" w:hint="default"/>
                <w:sz w:val="24"/>
                <w:szCs w:val="24"/>
              </w:rPr>
            </w:pPr>
            <w:r>
              <w:rPr>
                <w:rFonts w:ascii="宋体" w:hAnsi="宋体" w:cs="宋体" w:eastAsia="宋体" w:hint="default"/>
                <w:sz w:val="24"/>
                <w:szCs w:val="24"/>
              </w:rPr>
              <w:t>裁兼董事 会秘书</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270,402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135,201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270,402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28.4 </w:t>
            </w:r>
          </w:p>
        </w:tc>
      </w:tr>
      <w:tr>
        <w:trPr>
          <w:trHeight w:val="63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王健</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裁</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236,598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118,299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118,299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9.12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118,299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28.4 </w:t>
            </w:r>
          </w:p>
        </w:tc>
      </w:tr>
      <w:tr>
        <w:trPr>
          <w:trHeight w:val="634"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徐洋</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裁</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5"/>
              <w:jc w:val="right"/>
              <w:rPr>
                <w:rFonts w:ascii="宋体" w:hAnsi="宋体" w:cs="宋体" w:eastAsia="宋体" w:hint="default"/>
                <w:sz w:val="24"/>
                <w:szCs w:val="24"/>
              </w:rPr>
            </w:pPr>
            <w:r>
              <w:rPr>
                <w:rFonts w:ascii="宋体"/>
                <w:sz w:val="24"/>
              </w:rPr>
              <w:t>236,598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7"/>
              <w:jc w:val="right"/>
              <w:rPr>
                <w:rFonts w:ascii="宋体" w:hAnsi="宋体" w:cs="宋体" w:eastAsia="宋体" w:hint="default"/>
                <w:sz w:val="24"/>
                <w:szCs w:val="24"/>
              </w:rPr>
            </w:pPr>
            <w:r>
              <w:rPr>
                <w:rFonts w:ascii="宋体"/>
                <w:sz w:val="24"/>
              </w:rPr>
              <w:t>118,299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7"/>
              <w:jc w:val="right"/>
              <w:rPr>
                <w:rFonts w:ascii="宋体" w:hAnsi="宋体" w:cs="宋体" w:eastAsia="宋体" w:hint="default"/>
                <w:sz w:val="24"/>
                <w:szCs w:val="24"/>
              </w:rPr>
            </w:pPr>
            <w:r>
              <w:rPr>
                <w:rFonts w:ascii="宋体"/>
                <w:sz w:val="24"/>
              </w:rPr>
              <w:t>118,299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5"/>
              <w:jc w:val="right"/>
              <w:rPr>
                <w:rFonts w:ascii="宋体" w:hAnsi="宋体" w:cs="宋体" w:eastAsia="宋体" w:hint="default"/>
                <w:sz w:val="24"/>
                <w:szCs w:val="24"/>
              </w:rPr>
            </w:pPr>
            <w:r>
              <w:rPr>
                <w:rFonts w:ascii="宋体"/>
                <w:sz w:val="24"/>
              </w:rPr>
              <w:t>9.12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7"/>
              <w:jc w:val="right"/>
              <w:rPr>
                <w:rFonts w:ascii="宋体" w:hAnsi="宋体" w:cs="宋体" w:eastAsia="宋体" w:hint="default"/>
                <w:sz w:val="24"/>
                <w:szCs w:val="24"/>
              </w:rPr>
            </w:pPr>
            <w:r>
              <w:rPr>
                <w:rFonts w:ascii="宋体"/>
                <w:sz w:val="24"/>
              </w:rPr>
              <w:t>118,299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5"/>
              <w:jc w:val="right"/>
              <w:rPr>
                <w:rFonts w:ascii="宋体" w:hAnsi="宋体" w:cs="宋体" w:eastAsia="宋体" w:hint="default"/>
                <w:sz w:val="24"/>
                <w:szCs w:val="24"/>
              </w:rPr>
            </w:pPr>
            <w:r>
              <w:rPr>
                <w:rFonts w:ascii="宋体"/>
                <w:sz w:val="24"/>
              </w:rPr>
              <w:t>28.4 </w:t>
            </w:r>
          </w:p>
        </w:tc>
      </w:tr>
    </w:tbl>
    <w:p>
      <w:pPr>
        <w:spacing w:after="0" w:line="276" w:lineRule="exact"/>
        <w:jc w:val="right"/>
        <w:rPr>
          <w:rFonts w:ascii="宋体" w:hAnsi="宋体" w:cs="宋体" w:eastAsia="宋体" w:hint="default"/>
          <w:sz w:val="24"/>
          <w:szCs w:val="24"/>
        </w:rPr>
        <w:sectPr>
          <w:type w:val="continuous"/>
          <w:pgSz w:w="16840" w:h="11910" w:orient="landscape"/>
          <w:pgMar w:top="1120" w:bottom="1380" w:left="1300" w:right="1220"/>
        </w:sectPr>
      </w:pPr>
    </w:p>
    <w:p>
      <w:pPr>
        <w:spacing w:line="240" w:lineRule="auto" w:before="10"/>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1244"/>
        <w:gridCol w:w="1421"/>
        <w:gridCol w:w="1695"/>
        <w:gridCol w:w="1702"/>
        <w:gridCol w:w="1704"/>
        <w:gridCol w:w="1699"/>
        <w:gridCol w:w="1561"/>
        <w:gridCol w:w="1558"/>
        <w:gridCol w:w="1507"/>
      </w:tblGrid>
      <w:tr>
        <w:trPr>
          <w:trHeight w:val="63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任志刚</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裁</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236,598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118,299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118,299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9.12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118,299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28.4 </w:t>
            </w:r>
          </w:p>
        </w:tc>
      </w:tr>
      <w:tr>
        <w:trPr>
          <w:trHeight w:val="634"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左骏</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裁</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236,598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118,299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236,598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28.4 </w:t>
            </w:r>
          </w:p>
        </w:tc>
      </w:tr>
      <w:tr>
        <w:trPr>
          <w:trHeight w:val="631"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杜宇</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裁</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182,520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91,260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182,520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28.4 </w:t>
            </w:r>
          </w:p>
        </w:tc>
      </w:tr>
      <w:tr>
        <w:trPr>
          <w:trHeight w:val="634"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孙淑嫔</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裁</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169,002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84,501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84,501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9.12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84,501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28.4 </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62"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421" w:type="dxa"/>
            <w:tcBorders>
              <w:top w:val="single" w:sz="4" w:space="0" w:color="000000"/>
              <w:left w:val="single" w:sz="4" w:space="0" w:color="000000"/>
              <w:bottom w:val="single" w:sz="4" w:space="0" w:color="000000"/>
              <w:right w:val="single" w:sz="4" w:space="0" w:color="000000"/>
            </w:tcBorders>
          </w:tcPr>
          <w:p>
            <w:pP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2,920,314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1,460,157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946,398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5" w:right="0"/>
              <w:jc w:val="center"/>
              <w:rPr>
                <w:rFonts w:ascii="宋体" w:hAnsi="宋体" w:cs="宋体" w:eastAsia="宋体" w:hint="default"/>
                <w:sz w:val="24"/>
                <w:szCs w:val="24"/>
              </w:rPr>
            </w:pPr>
            <w:r>
              <w:rPr>
                <w:rFonts w:ascii="宋体"/>
                <w:sz w:val="24"/>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
              <w:jc w:val="right"/>
              <w:rPr>
                <w:rFonts w:ascii="宋体" w:hAnsi="宋体" w:cs="宋体" w:eastAsia="宋体" w:hint="default"/>
                <w:sz w:val="24"/>
                <w:szCs w:val="24"/>
              </w:rPr>
            </w:pPr>
            <w:r>
              <w:rPr>
                <w:rFonts w:ascii="宋体"/>
                <w:sz w:val="24"/>
              </w:rPr>
              <w:t>1,973,916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5" w:right="0"/>
              <w:jc w:val="center"/>
              <w:rPr>
                <w:rFonts w:ascii="宋体" w:hAnsi="宋体" w:cs="宋体" w:eastAsia="宋体" w:hint="default"/>
                <w:sz w:val="24"/>
                <w:szCs w:val="24"/>
              </w:rPr>
            </w:pPr>
            <w:r>
              <w:rPr>
                <w:rFonts w:ascii="宋体"/>
                <w:sz w:val="24"/>
              </w:rPr>
              <w:t> </w:t>
            </w:r>
          </w:p>
        </w:tc>
      </w:tr>
    </w:tbl>
    <w:p>
      <w:pPr>
        <w:spacing w:line="240" w:lineRule="auto" w:before="0"/>
        <w:rPr>
          <w:rFonts w:ascii="宋体" w:hAnsi="宋体" w:cs="宋体" w:eastAsia="宋体" w:hint="default"/>
          <w:sz w:val="16"/>
          <w:szCs w:val="16"/>
        </w:rPr>
      </w:pPr>
    </w:p>
    <w:p>
      <w:pPr>
        <w:pStyle w:val="BodyText"/>
        <w:spacing w:line="240" w:lineRule="auto" w:before="26"/>
        <w:ind w:left="0" w:right="218"/>
        <w:jc w:val="right"/>
      </w:pPr>
      <w:r>
        <w:rPr/>
        <w:t>单位</w:t>
      </w:r>
      <w:r>
        <w:rPr>
          <w:rFonts w:ascii="Times New Roman" w:hAnsi="Times New Roman" w:cs="Times New Roman" w:eastAsia="Times New Roman" w:hint="default"/>
        </w:rPr>
        <w:t>:</w:t>
      </w:r>
      <w:r>
        <w:rPr/>
        <w:t>股</w:t>
      </w:r>
    </w:p>
    <w:tbl>
      <w:tblPr>
        <w:tblW w:w="0" w:type="auto"/>
        <w:jc w:val="left"/>
        <w:tblInd w:w="111" w:type="dxa"/>
        <w:tblLayout w:type="fixed"/>
        <w:tblCellMar>
          <w:top w:w="0" w:type="dxa"/>
          <w:left w:w="0" w:type="dxa"/>
          <w:bottom w:w="0" w:type="dxa"/>
          <w:right w:w="0" w:type="dxa"/>
        </w:tblCellMar>
        <w:tblLook w:val="01E0"/>
      </w:tblPr>
      <w:tblGrid>
        <w:gridCol w:w="1244"/>
        <w:gridCol w:w="1416"/>
        <w:gridCol w:w="1705"/>
        <w:gridCol w:w="1697"/>
        <w:gridCol w:w="1560"/>
        <w:gridCol w:w="1702"/>
        <w:gridCol w:w="1702"/>
        <w:gridCol w:w="1558"/>
        <w:gridCol w:w="1507"/>
      </w:tblGrid>
      <w:tr>
        <w:trPr>
          <w:trHeight w:val="943"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374"/>
              <w:jc w:val="right"/>
              <w:rPr>
                <w:rFonts w:ascii="宋体" w:hAnsi="宋体" w:cs="宋体" w:eastAsia="宋体" w:hint="default"/>
                <w:sz w:val="24"/>
                <w:szCs w:val="24"/>
              </w:rPr>
            </w:pPr>
            <w:r>
              <w:rPr>
                <w:rFonts w:ascii="宋体" w:hAnsi="宋体" w:cs="宋体" w:eastAsia="宋体" w:hint="default"/>
                <w:sz w:val="24"/>
                <w:szCs w:val="24"/>
              </w:rPr>
              <w:t>姓名</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463" w:right="0"/>
              <w:jc w:val="left"/>
              <w:rPr>
                <w:rFonts w:ascii="宋体" w:hAnsi="宋体" w:cs="宋体" w:eastAsia="宋体" w:hint="default"/>
                <w:sz w:val="24"/>
                <w:szCs w:val="24"/>
              </w:rPr>
            </w:pPr>
            <w:r>
              <w:rPr>
                <w:rFonts w:ascii="宋体" w:hAnsi="宋体" w:cs="宋体" w:eastAsia="宋体" w:hint="default"/>
                <w:sz w:val="24"/>
                <w:szCs w:val="24"/>
              </w:rPr>
              <w:t>职务</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before="148"/>
              <w:ind w:left="247" w:right="125" w:hanging="120"/>
              <w:jc w:val="left"/>
              <w:rPr>
                <w:rFonts w:ascii="宋体" w:hAnsi="宋体" w:cs="宋体" w:eastAsia="宋体" w:hint="default"/>
                <w:sz w:val="24"/>
                <w:szCs w:val="24"/>
              </w:rPr>
            </w:pPr>
            <w:r>
              <w:rPr>
                <w:rFonts w:ascii="宋体" w:hAnsi="宋体" w:cs="宋体" w:eastAsia="宋体" w:hint="default"/>
                <w:sz w:val="24"/>
                <w:szCs w:val="24"/>
              </w:rPr>
              <w:t>年初持有限制 性股票数量</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24" w:right="0"/>
              <w:jc w:val="left"/>
              <w:rPr>
                <w:rFonts w:ascii="宋体" w:hAnsi="宋体" w:cs="宋体" w:eastAsia="宋体" w:hint="default"/>
                <w:sz w:val="24"/>
                <w:szCs w:val="24"/>
              </w:rPr>
            </w:pPr>
            <w:r>
              <w:rPr>
                <w:rFonts w:ascii="宋体" w:hAnsi="宋体" w:cs="宋体" w:eastAsia="宋体" w:hint="default"/>
                <w:sz w:val="24"/>
                <w:szCs w:val="24"/>
              </w:rPr>
              <w:t>报告期新授予</w:t>
            </w:r>
          </w:p>
          <w:p>
            <w:pPr>
              <w:pStyle w:val="TableParagraph"/>
              <w:spacing w:line="312" w:lineRule="exact" w:before="28"/>
              <w:ind w:left="724" w:right="120" w:hanging="600"/>
              <w:jc w:val="left"/>
              <w:rPr>
                <w:rFonts w:ascii="宋体" w:hAnsi="宋体" w:cs="宋体" w:eastAsia="宋体" w:hint="default"/>
                <w:sz w:val="24"/>
                <w:szCs w:val="24"/>
              </w:rPr>
            </w:pPr>
            <w:r>
              <w:rPr>
                <w:rFonts w:ascii="宋体" w:hAnsi="宋体" w:cs="宋体" w:eastAsia="宋体" w:hint="default"/>
                <w:sz w:val="24"/>
                <w:szCs w:val="24"/>
              </w:rPr>
              <w:t>限制性股票数 量</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4"/>
                <w:szCs w:val="24"/>
              </w:rPr>
            </w:pPr>
            <w:r>
              <w:rPr>
                <w:rFonts w:ascii="宋体" w:hAnsi="宋体" w:cs="宋体" w:eastAsia="宋体" w:hint="default"/>
                <w:sz w:val="24"/>
                <w:szCs w:val="24"/>
              </w:rPr>
              <w:t>限制性股票</w:t>
            </w:r>
          </w:p>
          <w:p>
            <w:pPr>
              <w:pStyle w:val="TableParagraph"/>
              <w:spacing w:line="311" w:lineRule="exact"/>
              <w:ind w:right="0"/>
              <w:jc w:val="center"/>
              <w:rPr>
                <w:rFonts w:ascii="宋体" w:hAnsi="宋体" w:cs="宋体" w:eastAsia="宋体" w:hint="default"/>
                <w:sz w:val="24"/>
                <w:szCs w:val="24"/>
              </w:rPr>
            </w:pPr>
            <w:r>
              <w:rPr>
                <w:rFonts w:ascii="宋体" w:hAnsi="宋体" w:cs="宋体" w:eastAsia="宋体" w:hint="default"/>
                <w:sz w:val="24"/>
                <w:szCs w:val="24"/>
              </w:rPr>
              <w:t>的授予价格</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（元）</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244" w:right="0"/>
              <w:jc w:val="left"/>
              <w:rPr>
                <w:rFonts w:ascii="宋体" w:hAnsi="宋体" w:cs="宋体" w:eastAsia="宋体" w:hint="default"/>
                <w:sz w:val="24"/>
                <w:szCs w:val="24"/>
              </w:rPr>
            </w:pPr>
            <w:r>
              <w:rPr>
                <w:rFonts w:ascii="宋体" w:hAnsi="宋体" w:cs="宋体" w:eastAsia="宋体" w:hint="default"/>
                <w:sz w:val="24"/>
                <w:szCs w:val="24"/>
              </w:rPr>
              <w:t>已解锁股份</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244" w:right="0"/>
              <w:jc w:val="left"/>
              <w:rPr>
                <w:rFonts w:ascii="宋体" w:hAnsi="宋体" w:cs="宋体" w:eastAsia="宋体" w:hint="default"/>
                <w:sz w:val="24"/>
                <w:szCs w:val="24"/>
              </w:rPr>
            </w:pPr>
            <w:r>
              <w:rPr>
                <w:rFonts w:ascii="宋体" w:hAnsi="宋体" w:cs="宋体" w:eastAsia="宋体" w:hint="default"/>
                <w:sz w:val="24"/>
                <w:szCs w:val="24"/>
              </w:rPr>
              <w:t>未解锁股份</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72" w:right="0"/>
              <w:jc w:val="left"/>
              <w:rPr>
                <w:rFonts w:ascii="宋体" w:hAnsi="宋体" w:cs="宋体" w:eastAsia="宋体" w:hint="default"/>
                <w:sz w:val="24"/>
                <w:szCs w:val="24"/>
              </w:rPr>
            </w:pPr>
            <w:r>
              <w:rPr>
                <w:rFonts w:ascii="宋体" w:hAnsi="宋体" w:cs="宋体" w:eastAsia="宋体" w:hint="default"/>
                <w:sz w:val="24"/>
                <w:szCs w:val="24"/>
              </w:rPr>
              <w:t>期末持有限</w:t>
            </w:r>
          </w:p>
          <w:p>
            <w:pPr>
              <w:pStyle w:val="TableParagraph"/>
              <w:spacing w:line="312" w:lineRule="exact" w:before="28"/>
              <w:ind w:left="652" w:right="173" w:hanging="480"/>
              <w:jc w:val="left"/>
              <w:rPr>
                <w:rFonts w:ascii="宋体" w:hAnsi="宋体" w:cs="宋体" w:eastAsia="宋体" w:hint="default"/>
                <w:sz w:val="24"/>
                <w:szCs w:val="24"/>
              </w:rPr>
            </w:pPr>
            <w:r>
              <w:rPr>
                <w:rFonts w:ascii="宋体" w:hAnsi="宋体" w:cs="宋体" w:eastAsia="宋体" w:hint="default"/>
                <w:sz w:val="24"/>
                <w:szCs w:val="24"/>
              </w:rPr>
              <w:t>制性股票数 量</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before="148"/>
              <w:ind w:left="268" w:right="146" w:hanging="120"/>
              <w:jc w:val="left"/>
              <w:rPr>
                <w:rFonts w:ascii="宋体" w:hAnsi="宋体" w:cs="宋体" w:eastAsia="宋体" w:hint="default"/>
                <w:sz w:val="24"/>
                <w:szCs w:val="24"/>
              </w:rPr>
            </w:pPr>
            <w:r>
              <w:rPr>
                <w:rFonts w:ascii="宋体" w:hAnsi="宋体" w:cs="宋体" w:eastAsia="宋体" w:hint="default"/>
                <w:sz w:val="24"/>
                <w:szCs w:val="24"/>
              </w:rPr>
              <w:t>报告期末市 价（元）</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董事、总裁</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337,998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168,999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168,999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168,999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28.4 </w:t>
            </w:r>
          </w:p>
        </w:tc>
      </w:tr>
      <w:tr>
        <w:trPr>
          <w:trHeight w:val="319"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谢志华</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执行副总裁</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169,002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84,501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84,501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84,501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28.4 </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章培林</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财务总监</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169,002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84,501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84,501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84,501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28.4 </w:t>
            </w:r>
          </w:p>
        </w:tc>
      </w:tr>
      <w:tr>
        <w:trPr>
          <w:trHeight w:val="946"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欧阳青</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p>
            <w:pPr>
              <w:pStyle w:val="TableParagraph"/>
              <w:spacing w:line="312" w:lineRule="exact" w:before="29"/>
              <w:ind w:left="103" w:right="101"/>
              <w:jc w:val="left"/>
              <w:rPr>
                <w:rFonts w:ascii="宋体" w:hAnsi="宋体" w:cs="宋体" w:eastAsia="宋体" w:hint="default"/>
                <w:sz w:val="24"/>
                <w:szCs w:val="24"/>
              </w:rPr>
            </w:pPr>
            <w:r>
              <w:rPr>
                <w:rFonts w:ascii="宋体" w:hAnsi="宋体" w:cs="宋体" w:eastAsia="宋体" w:hint="default"/>
                <w:sz w:val="24"/>
                <w:szCs w:val="24"/>
              </w:rPr>
              <w:t>兼董事会秘 书</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135,198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67,599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67,599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67,599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28.4 </w:t>
            </w:r>
          </w:p>
        </w:tc>
      </w:tr>
      <w:tr>
        <w:trPr>
          <w:trHeight w:val="319"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王健</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118,302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59,151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59,151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59,151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28.4 </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徐洋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118,302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59,151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59,151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59,151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28.4 </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左骏</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118,302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59,151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59,151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59,151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28.4 </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任志刚</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118,302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59,151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59,151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59,151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28.4 </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杜宇</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91,260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45,630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45,630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45,630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28.4 </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孙淑嫔</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84,498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42,249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42,249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42,249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28.4 </w:t>
            </w:r>
          </w:p>
        </w:tc>
      </w:tr>
      <w:tr>
        <w:trPr>
          <w:trHeight w:val="322" w:hRule="exact"/>
        </w:trPr>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74"/>
              <w:jc w:val="right"/>
              <w:rPr>
                <w:rFonts w:ascii="宋体" w:hAnsi="宋体" w:cs="宋体" w:eastAsia="宋体" w:hint="default"/>
                <w:sz w:val="24"/>
                <w:szCs w:val="24"/>
              </w:rPr>
            </w:pPr>
            <w:r>
              <w:rPr>
                <w:rFonts w:ascii="宋体" w:hAnsi="宋体" w:cs="宋体" w:eastAsia="宋体" w:hint="default"/>
                <w:sz w:val="24"/>
                <w:szCs w:val="24"/>
              </w:rPr>
              <w:t>合计</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1,460,166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sz w:val="24"/>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730,083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730,083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730,083 </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sz w:val="24"/>
              </w:rPr>
              <w:t>/ </w:t>
            </w:r>
          </w:p>
        </w:tc>
      </w:tr>
    </w:tbl>
    <w:p>
      <w:pPr>
        <w:spacing w:after="0" w:line="274" w:lineRule="exact"/>
        <w:jc w:val="center"/>
        <w:rPr>
          <w:rFonts w:ascii="宋体" w:hAnsi="宋体" w:cs="宋体" w:eastAsia="宋体" w:hint="default"/>
          <w:sz w:val="24"/>
          <w:szCs w:val="24"/>
        </w:rPr>
        <w:sectPr>
          <w:pgSz w:w="16840" w:h="11910" w:orient="landscape"/>
          <w:pgMar w:header="880" w:footer="1195" w:top="1120" w:bottom="1380" w:left="1300" w:right="1220"/>
        </w:sectPr>
      </w:pPr>
    </w:p>
    <w:p>
      <w:pPr>
        <w:spacing w:line="240" w:lineRule="auto" w:before="0"/>
        <w:rPr>
          <w:rFonts w:ascii="宋体" w:hAnsi="宋体" w:cs="宋体" w:eastAsia="宋体" w:hint="default"/>
          <w:sz w:val="20"/>
          <w:szCs w:val="20"/>
        </w:rPr>
      </w:pPr>
    </w:p>
    <w:p>
      <w:pPr>
        <w:pStyle w:val="Heading2"/>
        <w:spacing w:line="240" w:lineRule="auto" w:before="188"/>
        <w:ind w:left="224" w:right="0"/>
        <w:jc w:val="left"/>
        <w:rPr>
          <w:b w:val="0"/>
          <w:bCs w:val="0"/>
        </w:rPr>
      </w:pPr>
      <w:r>
        <w:rPr/>
        <w:t>二、现任及报告期内离任董事、监事和高级管理人员的任职情况</w:t>
      </w:r>
      <w:r>
        <w:rPr>
          <w:b w:val="0"/>
          <w:bCs w:val="0"/>
        </w:rPr>
      </w:r>
    </w:p>
    <w:p>
      <w:pPr>
        <w:pStyle w:val="Heading2"/>
        <w:spacing w:line="240" w:lineRule="auto" w:before="55"/>
        <w:ind w:left="224"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23"/>
        </w:rPr>
        <w:t> </w:t>
      </w:r>
      <w:r>
        <w:rPr/>
        <w:t>在股东单位任职情况</w:t>
      </w:r>
      <w:r>
        <w:rPr>
          <w:b w:val="0"/>
          <w:bCs w:val="0"/>
        </w:rPr>
      </w:r>
    </w:p>
    <w:p>
      <w:pPr>
        <w:pStyle w:val="BodyText"/>
        <w:spacing w:line="240" w:lineRule="auto" w:before="27"/>
        <w:ind w:left="224" w:right="0"/>
        <w:jc w:val="left"/>
      </w:pPr>
      <w:r>
        <w:rPr>
          <w:rFonts w:ascii="Times New Roman" w:hAnsi="Times New Roman" w:cs="Times New Roman" w:eastAsia="Times New Roman" w:hint="default"/>
        </w:rPr>
        <w:t>√</w:t>
      </w:r>
      <w:r>
        <w:rPr/>
        <w:t>适用</w:t>
      </w:r>
      <w:r>
        <w:rPr>
          <w:spacing w:val="-1"/>
        </w:rPr>
        <w:t> </w:t>
      </w:r>
      <w:r>
        <w:rPr>
          <w:rFonts w:ascii="Times New Roman" w:hAnsi="Times New Roman" w:cs="Times New Roman" w:eastAsia="Times New Roman" w:hint="default"/>
        </w:rPr>
        <w:t>□</w:t>
      </w:r>
      <w:r>
        <w:rPr/>
        <w:t>不适用</w:t>
      </w:r>
    </w:p>
    <w:tbl>
      <w:tblPr>
        <w:tblW w:w="0" w:type="auto"/>
        <w:jc w:val="left"/>
        <w:tblInd w:w="111" w:type="dxa"/>
        <w:tblLayout w:type="fixed"/>
        <w:tblCellMar>
          <w:top w:w="0" w:type="dxa"/>
          <w:left w:w="0" w:type="dxa"/>
          <w:bottom w:w="0" w:type="dxa"/>
          <w:right w:w="0" w:type="dxa"/>
        </w:tblCellMar>
        <w:tblLook w:val="01E0"/>
      </w:tblPr>
      <w:tblGrid>
        <w:gridCol w:w="2756"/>
        <w:gridCol w:w="3622"/>
        <w:gridCol w:w="2787"/>
        <w:gridCol w:w="2357"/>
        <w:gridCol w:w="2342"/>
      </w:tblGrid>
      <w:tr>
        <w:trPr>
          <w:trHeight w:val="322"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50" w:right="0"/>
              <w:jc w:val="left"/>
              <w:rPr>
                <w:rFonts w:ascii="宋体" w:hAnsi="宋体" w:cs="宋体" w:eastAsia="宋体" w:hint="default"/>
                <w:sz w:val="24"/>
                <w:szCs w:val="24"/>
              </w:rPr>
            </w:pPr>
            <w:r>
              <w:rPr>
                <w:rFonts w:ascii="宋体" w:hAnsi="宋体" w:cs="宋体" w:eastAsia="宋体" w:hint="default"/>
                <w:sz w:val="24"/>
                <w:szCs w:val="24"/>
              </w:rPr>
              <w:t>任职人员姓名</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7" w:right="0"/>
              <w:jc w:val="left"/>
              <w:rPr>
                <w:rFonts w:ascii="宋体" w:hAnsi="宋体" w:cs="宋体" w:eastAsia="宋体" w:hint="default"/>
                <w:sz w:val="24"/>
                <w:szCs w:val="24"/>
              </w:rPr>
            </w:pPr>
            <w:r>
              <w:rPr>
                <w:rFonts w:ascii="宋体" w:hAnsi="宋体" w:cs="宋体" w:eastAsia="宋体" w:hint="default"/>
                <w:sz w:val="24"/>
                <w:szCs w:val="24"/>
              </w:rPr>
              <w:t>股东单位名称</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87" w:right="0"/>
              <w:jc w:val="left"/>
              <w:rPr>
                <w:rFonts w:ascii="宋体" w:hAnsi="宋体" w:cs="宋体" w:eastAsia="宋体" w:hint="default"/>
                <w:sz w:val="24"/>
                <w:szCs w:val="24"/>
              </w:rPr>
            </w:pPr>
            <w:r>
              <w:rPr>
                <w:rFonts w:ascii="宋体" w:hAnsi="宋体" w:cs="宋体" w:eastAsia="宋体" w:hint="default"/>
                <w:sz w:val="24"/>
                <w:szCs w:val="24"/>
              </w:rPr>
              <w:t>在股东单位担任的职务</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53" w:right="0"/>
              <w:jc w:val="left"/>
              <w:rPr>
                <w:rFonts w:ascii="宋体" w:hAnsi="宋体" w:cs="宋体" w:eastAsia="宋体" w:hint="default"/>
                <w:sz w:val="24"/>
                <w:szCs w:val="24"/>
              </w:rPr>
            </w:pPr>
            <w:r>
              <w:rPr>
                <w:rFonts w:ascii="宋体" w:hAnsi="宋体" w:cs="宋体" w:eastAsia="宋体" w:hint="default"/>
                <w:sz w:val="24"/>
                <w:szCs w:val="24"/>
              </w:rPr>
              <w:t>任期起始日期</w:t>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46" w:right="0"/>
              <w:jc w:val="left"/>
              <w:rPr>
                <w:rFonts w:ascii="宋体" w:hAnsi="宋体" w:cs="宋体" w:eastAsia="宋体" w:hint="default"/>
                <w:sz w:val="24"/>
                <w:szCs w:val="24"/>
              </w:rPr>
            </w:pPr>
            <w:r>
              <w:rPr>
                <w:rFonts w:ascii="宋体" w:hAnsi="宋体" w:cs="宋体" w:eastAsia="宋体" w:hint="default"/>
                <w:sz w:val="24"/>
                <w:szCs w:val="24"/>
              </w:rPr>
              <w:t>任期终止日期</w:t>
            </w:r>
          </w:p>
        </w:tc>
      </w:tr>
      <w:tr>
        <w:trPr>
          <w:trHeight w:val="319"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北京用友科技有限公司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2018-6-15 </w:t>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2021-6-14 </w:t>
            </w:r>
          </w:p>
        </w:tc>
      </w:tr>
      <w:tr>
        <w:trPr>
          <w:trHeight w:val="634"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北京用友企业管理研究所有限公</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2018-6-15 </w:t>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2021-6-14 </w:t>
            </w:r>
          </w:p>
        </w:tc>
      </w:tr>
      <w:tr>
        <w:trPr>
          <w:trHeight w:val="322"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上海用友科技咨询有限公司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2018-6-15 </w:t>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2021-6-14 </w:t>
            </w:r>
          </w:p>
        </w:tc>
      </w:tr>
      <w:tr>
        <w:trPr>
          <w:trHeight w:val="322"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上海益倍管理咨询有限公司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2018-6-15 </w:t>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2021-6-14 </w:t>
            </w:r>
          </w:p>
        </w:tc>
      </w:tr>
      <w:tr>
        <w:trPr>
          <w:trHeight w:val="631"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北京用友企业管理研究所有限公</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2018-6-15 </w:t>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2021-6-14 </w:t>
            </w:r>
          </w:p>
        </w:tc>
      </w:tr>
      <w:tr>
        <w:trPr>
          <w:trHeight w:val="634"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22"/>
                <w:sz w:val="24"/>
                <w:szCs w:val="24"/>
              </w:rPr>
              <w:t>共青城优富投资管理合伙企业</w:t>
            </w:r>
            <w:r>
              <w:rPr>
                <w:rFonts w:ascii="宋体" w:hAnsi="宋体" w:cs="宋体" w:eastAsia="宋体" w:hint="default"/>
                <w:spacing w:val="-96"/>
                <w:sz w:val="24"/>
                <w:szCs w:val="24"/>
              </w:rPr>
              <w:t> </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（有限合伙）</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执行事务合伙人</w:t>
            </w:r>
            <w:r>
              <w:rPr>
                <w:rFonts w:ascii="宋体" w:hAnsi="宋体" w:cs="宋体" w:eastAsia="宋体" w:hint="default"/>
                <w:sz w:val="24"/>
                <w:szCs w:val="24"/>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2018-6-15 </w:t>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2021-6-14 </w:t>
            </w:r>
          </w:p>
        </w:tc>
      </w:tr>
      <w:tr>
        <w:trPr>
          <w:trHeight w:val="632"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北京用友企业管理研究所有限公</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司</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2018-6-15 </w:t>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2021-6-14 </w:t>
            </w:r>
          </w:p>
        </w:tc>
      </w:tr>
      <w:tr>
        <w:trPr>
          <w:trHeight w:val="634" w:hRule="exact"/>
        </w:trPr>
        <w:tc>
          <w:tcPr>
            <w:tcW w:w="275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13"/>
                <w:sz w:val="24"/>
                <w:szCs w:val="24"/>
              </w:rPr>
              <w:t>在股东单位任职情况的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说明</w:t>
            </w:r>
          </w:p>
        </w:tc>
        <w:tc>
          <w:tcPr>
            <w:tcW w:w="11109"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无</w:t>
            </w:r>
          </w:p>
        </w:tc>
      </w:tr>
    </w:tbl>
    <w:p>
      <w:pPr>
        <w:spacing w:line="240" w:lineRule="auto" w:before="2"/>
        <w:rPr>
          <w:rFonts w:ascii="宋体" w:hAnsi="宋体" w:cs="宋体" w:eastAsia="宋体" w:hint="default"/>
          <w:sz w:val="22"/>
          <w:szCs w:val="22"/>
        </w:rPr>
      </w:pPr>
    </w:p>
    <w:p>
      <w:pPr>
        <w:pStyle w:val="Heading2"/>
        <w:spacing w:line="240" w:lineRule="auto" w:before="26"/>
        <w:ind w:left="224"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23"/>
        </w:rPr>
        <w:t> </w:t>
      </w:r>
      <w:r>
        <w:rPr/>
        <w:t>在其他单位任职情况</w:t>
      </w:r>
      <w:r>
        <w:rPr>
          <w:b w:val="0"/>
          <w:bCs w:val="0"/>
        </w:rPr>
      </w:r>
    </w:p>
    <w:p>
      <w:pPr>
        <w:pStyle w:val="BodyText"/>
        <w:spacing w:line="240" w:lineRule="auto" w:before="27"/>
        <w:ind w:left="224" w:right="0"/>
        <w:jc w:val="left"/>
      </w:pPr>
      <w:r>
        <w:rPr>
          <w:rFonts w:ascii="Times New Roman" w:hAnsi="Times New Roman" w:cs="Times New Roman" w:eastAsia="Times New Roman" w:hint="default"/>
        </w:rPr>
        <w:t>√</w:t>
      </w:r>
      <w:r>
        <w:rPr/>
        <w:t>适用</w:t>
      </w:r>
      <w:r>
        <w:rPr>
          <w:spacing w:val="-1"/>
        </w:rPr>
        <w:t> </w:t>
      </w:r>
      <w:r>
        <w:rPr>
          <w:rFonts w:ascii="Times New Roman" w:hAnsi="Times New Roman" w:cs="Times New Roman" w:eastAsia="Times New Roman" w:hint="default"/>
        </w:rPr>
        <w:t>□</w:t>
      </w:r>
      <w:r>
        <w:rPr/>
        <w:t>不适用</w:t>
      </w:r>
    </w:p>
    <w:tbl>
      <w:tblPr>
        <w:tblW w:w="0" w:type="auto"/>
        <w:jc w:val="left"/>
        <w:tblInd w:w="111" w:type="dxa"/>
        <w:tblLayout w:type="fixed"/>
        <w:tblCellMar>
          <w:top w:w="0" w:type="dxa"/>
          <w:left w:w="0" w:type="dxa"/>
          <w:bottom w:w="0" w:type="dxa"/>
          <w:right w:w="0" w:type="dxa"/>
        </w:tblCellMar>
        <w:tblLook w:val="01E0"/>
      </w:tblPr>
      <w:tblGrid>
        <w:gridCol w:w="2688"/>
        <w:gridCol w:w="3687"/>
        <w:gridCol w:w="2777"/>
        <w:gridCol w:w="2350"/>
        <w:gridCol w:w="2362"/>
      </w:tblGrid>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619" w:right="0"/>
              <w:jc w:val="left"/>
              <w:rPr>
                <w:rFonts w:ascii="宋体" w:hAnsi="宋体" w:cs="宋体" w:eastAsia="宋体" w:hint="default"/>
                <w:sz w:val="24"/>
                <w:szCs w:val="24"/>
              </w:rPr>
            </w:pPr>
            <w:r>
              <w:rPr>
                <w:rFonts w:ascii="宋体" w:hAnsi="宋体" w:cs="宋体" w:eastAsia="宋体" w:hint="default"/>
                <w:sz w:val="24"/>
                <w:szCs w:val="24"/>
              </w:rPr>
              <w:t>任职人员姓名</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118" w:right="0"/>
              <w:jc w:val="left"/>
              <w:rPr>
                <w:rFonts w:ascii="宋体" w:hAnsi="宋体" w:cs="宋体" w:eastAsia="宋体" w:hint="default"/>
                <w:sz w:val="24"/>
                <w:szCs w:val="24"/>
              </w:rPr>
            </w:pPr>
            <w:r>
              <w:rPr>
                <w:rFonts w:ascii="宋体" w:hAnsi="宋体" w:cs="宋体" w:eastAsia="宋体" w:hint="default"/>
                <w:sz w:val="24"/>
                <w:szCs w:val="24"/>
              </w:rPr>
              <w:t>其他单位名称</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82" w:right="0"/>
              <w:jc w:val="left"/>
              <w:rPr>
                <w:rFonts w:ascii="宋体" w:hAnsi="宋体" w:cs="宋体" w:eastAsia="宋体" w:hint="default"/>
                <w:sz w:val="24"/>
                <w:szCs w:val="24"/>
              </w:rPr>
            </w:pPr>
            <w:r>
              <w:rPr>
                <w:rFonts w:ascii="宋体" w:hAnsi="宋体" w:cs="宋体" w:eastAsia="宋体" w:hint="default"/>
                <w:sz w:val="24"/>
                <w:szCs w:val="24"/>
              </w:rPr>
              <w:t>在其他单位担任的职务</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448" w:right="0"/>
              <w:jc w:val="left"/>
              <w:rPr>
                <w:rFonts w:ascii="宋体" w:hAnsi="宋体" w:cs="宋体" w:eastAsia="宋体" w:hint="default"/>
                <w:sz w:val="24"/>
                <w:szCs w:val="24"/>
              </w:rPr>
            </w:pPr>
            <w:r>
              <w:rPr>
                <w:rFonts w:ascii="宋体" w:hAnsi="宋体" w:cs="宋体" w:eastAsia="宋体" w:hint="default"/>
                <w:sz w:val="24"/>
                <w:szCs w:val="24"/>
              </w:rPr>
              <w:t>任期起始日期</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455" w:right="0"/>
              <w:jc w:val="left"/>
              <w:rPr>
                <w:rFonts w:ascii="宋体" w:hAnsi="宋体" w:cs="宋体" w:eastAsia="宋体" w:hint="default"/>
                <w:sz w:val="24"/>
                <w:szCs w:val="24"/>
              </w:rPr>
            </w:pPr>
            <w:r>
              <w:rPr>
                <w:rFonts w:ascii="宋体" w:hAnsi="宋体" w:cs="宋体" w:eastAsia="宋体" w:hint="default"/>
                <w:sz w:val="24"/>
                <w:szCs w:val="24"/>
              </w:rPr>
              <w:t>任期终止日期</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畅捷通信息技术股份有限公司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2017/9/8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2020/9/7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北京用友政务软件股份有限公司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2018/7/21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2021/7/20 </w:t>
            </w:r>
          </w:p>
        </w:tc>
      </w:tr>
      <w:tr>
        <w:trPr>
          <w:trHeight w:val="631"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宋体" w:hAnsi="宋体" w:cs="宋体" w:eastAsia="宋体" w:hint="default"/>
                <w:sz w:val="24"/>
                <w:szCs w:val="24"/>
              </w:rPr>
            </w:pPr>
            <w:r>
              <w:rPr>
                <w:rFonts w:ascii="宋体" w:hAnsi="宋体" w:cs="宋体" w:eastAsia="宋体" w:hint="default"/>
                <w:spacing w:val="6"/>
                <w:sz w:val="24"/>
                <w:szCs w:val="24"/>
              </w:rPr>
              <w:t>用友汽车信息科技（上海）股份</w:t>
            </w:r>
          </w:p>
          <w:p>
            <w:pPr>
              <w:pStyle w:val="TableParagraph"/>
              <w:spacing w:line="313" w:lineRule="exact"/>
              <w:ind w:left="105" w:right="0"/>
              <w:jc w:val="left"/>
              <w:rPr>
                <w:rFonts w:ascii="宋体" w:hAnsi="宋体" w:cs="宋体" w:eastAsia="宋体" w:hint="default"/>
                <w:sz w:val="24"/>
                <w:szCs w:val="24"/>
              </w:rPr>
            </w:pPr>
            <w:r>
              <w:rPr>
                <w:rFonts w:ascii="宋体" w:hAnsi="宋体" w:cs="宋体" w:eastAsia="宋体" w:hint="default"/>
                <w:sz w:val="24"/>
                <w:szCs w:val="24"/>
              </w:rPr>
              <w:t>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2018/6/29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2021/8/26 </w:t>
            </w:r>
          </w:p>
        </w:tc>
      </w:tr>
      <w:tr>
        <w:trPr>
          <w:trHeight w:val="324"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厦门用友烟草软件有限责任公司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2017/8/22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2020/8/21 </w:t>
            </w:r>
          </w:p>
        </w:tc>
      </w:tr>
    </w:tbl>
    <w:p>
      <w:pPr>
        <w:spacing w:after="0" w:line="276" w:lineRule="exact"/>
        <w:jc w:val="left"/>
        <w:rPr>
          <w:rFonts w:ascii="宋体" w:hAnsi="宋体" w:cs="宋体" w:eastAsia="宋体" w:hint="default"/>
          <w:sz w:val="24"/>
          <w:szCs w:val="24"/>
        </w:rPr>
        <w:sectPr>
          <w:pgSz w:w="16840" w:h="11910" w:orient="landscape"/>
          <w:pgMar w:header="880" w:footer="1195" w:top="1120" w:bottom="1380" w:left="1300" w:right="1320"/>
        </w:sectPr>
      </w:pPr>
    </w:p>
    <w:p>
      <w:pPr>
        <w:spacing w:line="240" w:lineRule="auto" w:before="4"/>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2688"/>
        <w:gridCol w:w="3687"/>
        <w:gridCol w:w="2777"/>
        <w:gridCol w:w="2350"/>
        <w:gridCol w:w="2362"/>
      </w:tblGrid>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用友金融信息技术股份有限公司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2019/5/9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2022/5/26 </w:t>
            </w:r>
          </w:p>
        </w:tc>
      </w:tr>
      <w:tr>
        <w:trPr>
          <w:trHeight w:val="319"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新道科技股份有限公司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2019/10/18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2021/7/11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用友移动通信技术服务有限公司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2020/3/4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2023/3/3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用友薪福社云科技有限公司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2019/10/11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2022/10/10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用友广信网络科技有限公司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2018/5/14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2021/5/13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红火台网络科技有限公司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2020/3/10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2023/3/9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三亚用友软件科技有限公司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2019/3/11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2022/3/10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友太安保险经纪有限公司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2018/1/9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2021/1/8 </w:t>
            </w:r>
          </w:p>
        </w:tc>
      </w:tr>
      <w:tr>
        <w:trPr>
          <w:trHeight w:val="63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tabs>
                <w:tab w:pos="2013" w:val="left" w:leader="none"/>
              </w:tabs>
              <w:spacing w:line="272" w:lineRule="exact"/>
              <w:ind w:left="105" w:right="-16"/>
              <w:jc w:val="left"/>
              <w:rPr>
                <w:rFonts w:ascii="宋体" w:hAnsi="宋体" w:cs="宋体" w:eastAsia="宋体" w:hint="default"/>
                <w:sz w:val="24"/>
                <w:szCs w:val="24"/>
              </w:rPr>
            </w:pPr>
            <w:r>
              <w:rPr>
                <w:rFonts w:ascii="宋体"/>
                <w:sz w:val="24"/>
              </w:rPr>
              <w:t>YONYOU</w:t>
              <w:tab/>
              <w:t>INTERNATIONAL </w:t>
            </w:r>
          </w:p>
          <w:p>
            <w:pPr>
              <w:pStyle w:val="TableParagraph"/>
              <w:spacing w:line="312" w:lineRule="exact"/>
              <w:ind w:left="105" w:right="0"/>
              <w:jc w:val="left"/>
              <w:rPr>
                <w:rFonts w:ascii="宋体" w:hAnsi="宋体" w:cs="宋体" w:eastAsia="宋体" w:hint="default"/>
                <w:sz w:val="24"/>
                <w:szCs w:val="24"/>
              </w:rPr>
            </w:pPr>
            <w:r>
              <w:rPr>
                <w:rFonts w:ascii="宋体"/>
                <w:sz w:val="24"/>
              </w:rPr>
              <w:t>HOLDINGS., LTD. </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2019/4/3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2022/4/2 </w:t>
            </w:r>
          </w:p>
        </w:tc>
      </w:tr>
      <w:tr>
        <w:trPr>
          <w:trHeight w:val="634"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宋体" w:hAnsi="宋体" w:cs="宋体" w:eastAsia="宋体" w:hint="default"/>
                <w:sz w:val="24"/>
                <w:szCs w:val="24"/>
              </w:rPr>
            </w:pPr>
            <w:r>
              <w:rPr>
                <w:rFonts w:ascii="宋体" w:hAnsi="宋体" w:cs="宋体" w:eastAsia="宋体" w:hint="default"/>
                <w:spacing w:val="6"/>
                <w:sz w:val="24"/>
                <w:szCs w:val="24"/>
              </w:rPr>
              <w:t>用友（南昌）产业基地发展有限</w:t>
            </w:r>
          </w:p>
          <w:p>
            <w:pPr>
              <w:pStyle w:val="TableParagraph"/>
              <w:spacing w:line="313" w:lineRule="exact"/>
              <w:ind w:left="105" w:right="0"/>
              <w:jc w:val="left"/>
              <w:rPr>
                <w:rFonts w:ascii="宋体" w:hAnsi="宋体" w:cs="宋体" w:eastAsia="宋体" w:hint="default"/>
                <w:sz w:val="24"/>
                <w:szCs w:val="24"/>
              </w:rPr>
            </w:pPr>
            <w:r>
              <w:rPr>
                <w:rFonts w:ascii="宋体" w:hAnsi="宋体" w:cs="宋体" w:eastAsia="宋体" w:hint="default"/>
                <w:sz w:val="24"/>
                <w:szCs w:val="24"/>
              </w:rPr>
              <w:t>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2018/9/7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2021/9/6 </w:t>
            </w:r>
          </w:p>
        </w:tc>
      </w:tr>
      <w:tr>
        <w:trPr>
          <w:trHeight w:val="319"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畅捷通信息技术股份有限公司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监事会主席</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2017/9/8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2020/9/7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北京用友政务软件股份有限公司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2018/7/21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2021/7/20 </w:t>
            </w:r>
          </w:p>
        </w:tc>
      </w:tr>
      <w:tr>
        <w:trPr>
          <w:trHeight w:val="634"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宋体" w:hAnsi="宋体" w:cs="宋体" w:eastAsia="宋体" w:hint="default"/>
                <w:sz w:val="24"/>
                <w:szCs w:val="24"/>
              </w:rPr>
            </w:pPr>
            <w:r>
              <w:rPr>
                <w:rFonts w:ascii="宋体" w:hAnsi="宋体" w:cs="宋体" w:eastAsia="宋体" w:hint="default"/>
                <w:spacing w:val="6"/>
                <w:sz w:val="24"/>
                <w:szCs w:val="24"/>
              </w:rPr>
              <w:t>用友汽车信息科技（上海）股份</w:t>
            </w:r>
          </w:p>
          <w:p>
            <w:pPr>
              <w:pStyle w:val="TableParagraph"/>
              <w:spacing w:line="313" w:lineRule="exact"/>
              <w:ind w:left="105" w:right="0"/>
              <w:jc w:val="left"/>
              <w:rPr>
                <w:rFonts w:ascii="宋体" w:hAnsi="宋体" w:cs="宋体" w:eastAsia="宋体" w:hint="default"/>
                <w:sz w:val="24"/>
                <w:szCs w:val="24"/>
              </w:rPr>
            </w:pPr>
            <w:r>
              <w:rPr>
                <w:rFonts w:ascii="宋体" w:hAnsi="宋体" w:cs="宋体" w:eastAsia="宋体" w:hint="default"/>
                <w:sz w:val="24"/>
                <w:szCs w:val="24"/>
              </w:rPr>
              <w:t>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监事会主席</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2018/6/29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2021/8/26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厦门用友烟草软件有限责任公司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2017/8/22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2020/8/21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用友金融信息技术股份有限公司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2019/5/9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2022/5/26 </w:t>
            </w:r>
          </w:p>
        </w:tc>
      </w:tr>
      <w:tr>
        <w:trPr>
          <w:trHeight w:val="319"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用友移动通信技术服务有限公司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2020/3/4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2023/3/3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三亚用友软件科技有限公司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董事长</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2019/2/11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2022/2/10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北京用友幸福投资管理有限公司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监事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2019/5/12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2022/5/11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北京用友幸福投资管理有限公司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2019/5/12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2022/5/11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畅捷通信息技术股份有限公司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2017/9/8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2020/9/7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北京用友政务软件股份有限公司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2018/7/21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2021/7/20 </w:t>
            </w:r>
          </w:p>
        </w:tc>
      </w:tr>
      <w:tr>
        <w:trPr>
          <w:trHeight w:val="63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宋体" w:hAnsi="宋体" w:cs="宋体" w:eastAsia="宋体" w:hint="default"/>
                <w:sz w:val="24"/>
                <w:szCs w:val="24"/>
              </w:rPr>
            </w:pPr>
            <w:r>
              <w:rPr>
                <w:rFonts w:ascii="宋体" w:hAnsi="宋体" w:cs="宋体" w:eastAsia="宋体" w:hint="default"/>
                <w:spacing w:val="6"/>
                <w:sz w:val="24"/>
                <w:szCs w:val="24"/>
              </w:rPr>
              <w:t>用友汽车信息科技（上海）股份</w:t>
            </w:r>
          </w:p>
          <w:p>
            <w:pPr>
              <w:pStyle w:val="TableParagraph"/>
              <w:spacing w:line="313" w:lineRule="exact"/>
              <w:ind w:left="105" w:right="0"/>
              <w:jc w:val="left"/>
              <w:rPr>
                <w:rFonts w:ascii="宋体" w:hAnsi="宋体" w:cs="宋体" w:eastAsia="宋体" w:hint="default"/>
                <w:sz w:val="24"/>
                <w:szCs w:val="24"/>
              </w:rPr>
            </w:pPr>
            <w:r>
              <w:rPr>
                <w:rFonts w:ascii="宋体" w:hAnsi="宋体" w:cs="宋体" w:eastAsia="宋体" w:hint="default"/>
                <w:sz w:val="24"/>
                <w:szCs w:val="24"/>
              </w:rPr>
              <w:t>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2018/6/29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2021/8/26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厦门用友烟草软件有限责任公司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2017/8/22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2020/8/21 </w:t>
            </w:r>
          </w:p>
        </w:tc>
      </w:tr>
    </w:tbl>
    <w:p>
      <w:pPr>
        <w:spacing w:after="0" w:line="274" w:lineRule="exact"/>
        <w:jc w:val="left"/>
        <w:rPr>
          <w:rFonts w:ascii="宋体" w:hAnsi="宋体" w:cs="宋体" w:eastAsia="宋体" w:hint="default"/>
          <w:sz w:val="24"/>
          <w:szCs w:val="24"/>
        </w:rPr>
        <w:sectPr>
          <w:pgSz w:w="16840" w:h="11910" w:orient="landscape"/>
          <w:pgMar w:header="880" w:footer="1195" w:top="1120" w:bottom="1380" w:left="1300" w:right="1320"/>
        </w:sectPr>
      </w:pPr>
    </w:p>
    <w:p>
      <w:pPr>
        <w:spacing w:line="240" w:lineRule="auto" w:before="4"/>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2688"/>
        <w:gridCol w:w="3687"/>
        <w:gridCol w:w="2777"/>
        <w:gridCol w:w="2350"/>
        <w:gridCol w:w="2362"/>
      </w:tblGrid>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用友金融信息技术股份有限公司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2019/5/9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2022/5/26 </w:t>
            </w:r>
          </w:p>
        </w:tc>
      </w:tr>
      <w:tr>
        <w:trPr>
          <w:trHeight w:val="319"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用友移动通信技术服务有限公司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2020/3/4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2023/3/3 </w:t>
            </w:r>
          </w:p>
        </w:tc>
      </w:tr>
      <w:tr>
        <w:trPr>
          <w:trHeight w:val="634"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pacing w:val="6"/>
                <w:sz w:val="24"/>
                <w:szCs w:val="24"/>
              </w:rPr>
              <w:t>用友（南昌）产业基地发展有限</w:t>
            </w:r>
          </w:p>
          <w:p>
            <w:pPr>
              <w:pStyle w:val="TableParagraph"/>
              <w:spacing w:line="312" w:lineRule="exact"/>
              <w:ind w:left="105" w:right="0"/>
              <w:jc w:val="left"/>
              <w:rPr>
                <w:rFonts w:ascii="宋体" w:hAnsi="宋体" w:cs="宋体" w:eastAsia="宋体" w:hint="default"/>
                <w:sz w:val="24"/>
                <w:szCs w:val="24"/>
              </w:rPr>
            </w:pPr>
            <w:r>
              <w:rPr>
                <w:rFonts w:ascii="宋体" w:hAnsi="宋体" w:cs="宋体" w:eastAsia="宋体" w:hint="default"/>
                <w:sz w:val="24"/>
                <w:szCs w:val="24"/>
              </w:rPr>
              <w:t>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监事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2018/9/7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2021/9/6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三亚用友软件科技有限公司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2019/2/11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2022/2/10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友太安保险经纪有限公司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2018/1/9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2021/1/8 </w:t>
            </w:r>
          </w:p>
        </w:tc>
      </w:tr>
      <w:tr>
        <w:trPr>
          <w:trHeight w:val="319"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友泰（北京）商务服务有限公司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监事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2019/12/20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2022/12/19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新道科技股份有限公司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2019/10/15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2021/7/11 </w:t>
            </w:r>
          </w:p>
        </w:tc>
      </w:tr>
      <w:tr>
        <w:trPr>
          <w:trHeight w:val="634"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5" w:right="0"/>
              <w:jc w:val="left"/>
              <w:rPr>
                <w:rFonts w:ascii="宋体" w:hAnsi="宋体" w:cs="宋体" w:eastAsia="宋体" w:hint="default"/>
                <w:sz w:val="24"/>
                <w:szCs w:val="24"/>
              </w:rPr>
            </w:pPr>
            <w:r>
              <w:rPr>
                <w:rFonts w:ascii="宋体" w:hAnsi="宋体" w:cs="宋体" w:eastAsia="宋体" w:hint="default"/>
                <w:spacing w:val="6"/>
                <w:sz w:val="24"/>
                <w:szCs w:val="24"/>
              </w:rPr>
              <w:t>用友（上海）工业互联网科技发</w:t>
            </w:r>
          </w:p>
          <w:p>
            <w:pPr>
              <w:pStyle w:val="TableParagraph"/>
              <w:spacing w:line="312" w:lineRule="exact"/>
              <w:ind w:left="105" w:right="0"/>
              <w:jc w:val="left"/>
              <w:rPr>
                <w:rFonts w:ascii="宋体" w:hAnsi="宋体" w:cs="宋体" w:eastAsia="宋体" w:hint="default"/>
                <w:sz w:val="24"/>
                <w:szCs w:val="24"/>
              </w:rPr>
            </w:pPr>
            <w:r>
              <w:rPr>
                <w:rFonts w:ascii="宋体" w:hAnsi="宋体" w:cs="宋体" w:eastAsia="宋体" w:hint="default"/>
                <w:sz w:val="24"/>
                <w:szCs w:val="24"/>
              </w:rPr>
              <w:t>展有限公司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sz w:val="24"/>
              </w:rPr>
              <w:t>2018/4/10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sz w:val="24"/>
              </w:rPr>
              <w:t>2021/4/9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重庆用友软件有限公司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2019/7/11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2022/7/12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广东用友软件有限公司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2019/7/12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2022/7/11 </w:t>
            </w:r>
          </w:p>
        </w:tc>
      </w:tr>
      <w:tr>
        <w:trPr>
          <w:trHeight w:val="319"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天津用友软件技术有限公司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2018/3/29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2021/3/28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安徽用友软件有限公司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2017/9/5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sz w:val="24"/>
              </w:rPr>
              <w:t>2020/9/4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浙江用友软件有限公司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2017/7/17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2020/7/16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广西用友软件有限公司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2019/7/12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2022/7/11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山东用友软件技术有限公司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2019/9/12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2022/9/11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江西用友软件有限责任公司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2019/3/24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2022/3/23 </w:t>
            </w:r>
          </w:p>
        </w:tc>
      </w:tr>
      <w:tr>
        <w:trPr>
          <w:trHeight w:val="322"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湖南用友软件有限公司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2019/8/26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2022/8/25 </w:t>
            </w:r>
          </w:p>
        </w:tc>
      </w:tr>
      <w:tr>
        <w:trPr>
          <w:trHeight w:val="319"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内蒙古用友软件技术有限公司</w:t>
            </w:r>
          </w:p>
        </w:tc>
        <w:tc>
          <w:tcPr>
            <w:tcW w:w="27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执行董事</w:t>
            </w:r>
            <w:r>
              <w:rPr>
                <w:rFonts w:ascii="宋体" w:hAnsi="宋体" w:cs="宋体" w:eastAsia="宋体" w:hint="default"/>
                <w:sz w:val="24"/>
                <w:szCs w:val="24"/>
              </w:rPr>
              <w:t> </w:t>
            </w:r>
          </w:p>
        </w:tc>
        <w:tc>
          <w:tcPr>
            <w:tcW w:w="23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2019/10/11 </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sz w:val="24"/>
              </w:rPr>
              <w:t>2022/10/10 </w:t>
            </w:r>
          </w:p>
        </w:tc>
      </w:tr>
      <w:tr>
        <w:trPr>
          <w:trHeight w:val="634" w:hRule="exact"/>
        </w:trPr>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6"/>
                <w:sz w:val="24"/>
                <w:szCs w:val="24"/>
              </w:rPr>
              <w:t>在其他单位任职情况的</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说明</w:t>
            </w:r>
          </w:p>
        </w:tc>
        <w:tc>
          <w:tcPr>
            <w:tcW w:w="11176" w:type="dxa"/>
            <w:gridSpan w:val="4"/>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无</w:t>
            </w:r>
          </w:p>
        </w:tc>
      </w:tr>
    </w:tbl>
    <w:p>
      <w:pPr>
        <w:spacing w:line="240" w:lineRule="auto" w:before="5"/>
        <w:rPr>
          <w:rFonts w:ascii="Times New Roman" w:hAnsi="Times New Roman" w:cs="Times New Roman" w:eastAsia="Times New Roman" w:hint="default"/>
          <w:sz w:val="23"/>
          <w:szCs w:val="23"/>
        </w:rPr>
      </w:pPr>
    </w:p>
    <w:p>
      <w:pPr>
        <w:pStyle w:val="Heading2"/>
        <w:spacing w:line="240" w:lineRule="auto" w:before="26"/>
        <w:ind w:left="224" w:right="0"/>
        <w:jc w:val="left"/>
        <w:rPr>
          <w:b w:val="0"/>
          <w:bCs w:val="0"/>
        </w:rPr>
      </w:pPr>
      <w:r>
        <w:rPr/>
        <w:t>三、董事、监事、高级管理人员报酬情况</w:t>
      </w:r>
      <w:r>
        <w:rPr>
          <w:b w:val="0"/>
          <w:bCs w:val="0"/>
        </w:rPr>
      </w:r>
    </w:p>
    <w:p>
      <w:pPr>
        <w:pStyle w:val="BodyText"/>
        <w:spacing w:line="240" w:lineRule="auto" w:before="58"/>
        <w:ind w:left="224" w:right="0"/>
        <w:jc w:val="left"/>
      </w:pPr>
      <w:r>
        <w:rPr>
          <w:rFonts w:ascii="Times New Roman" w:hAnsi="Times New Roman" w:cs="Times New Roman" w:eastAsia="Times New Roman" w:hint="default"/>
        </w:rPr>
        <w:t>√</w:t>
      </w:r>
      <w:r>
        <w:rPr/>
        <w:t>适用</w:t>
      </w:r>
      <w:r>
        <w:rPr>
          <w:spacing w:val="-1"/>
        </w:rPr>
        <w:t> </w:t>
      </w:r>
      <w:r>
        <w:rPr>
          <w:rFonts w:ascii="Times New Roman" w:hAnsi="Times New Roman" w:cs="Times New Roman" w:eastAsia="Times New Roman" w:hint="default"/>
        </w:rPr>
        <w:t>□</w:t>
      </w:r>
      <w:r>
        <w:rPr/>
        <w:t>不适用</w:t>
      </w:r>
    </w:p>
    <w:tbl>
      <w:tblPr>
        <w:tblW w:w="0" w:type="auto"/>
        <w:jc w:val="left"/>
        <w:tblInd w:w="111" w:type="dxa"/>
        <w:tblLayout w:type="fixed"/>
        <w:tblCellMar>
          <w:top w:w="0" w:type="dxa"/>
          <w:left w:w="0" w:type="dxa"/>
          <w:bottom w:w="0" w:type="dxa"/>
          <w:right w:w="0" w:type="dxa"/>
        </w:tblCellMar>
        <w:tblLook w:val="01E0"/>
      </w:tblPr>
      <w:tblGrid>
        <w:gridCol w:w="4362"/>
        <w:gridCol w:w="9728"/>
      </w:tblGrid>
      <w:tr>
        <w:trPr>
          <w:trHeight w:val="634"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董事、监事、高级管理人员报酬的决策</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程序</w:t>
            </w:r>
          </w:p>
        </w:tc>
        <w:tc>
          <w:tcPr>
            <w:tcW w:w="97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公司按年度对公司董事、监事和高级管理人员的业绩和履行职责情况进行考评，并不定期进</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行可比企业董事、监事和高级管理人员市场薪酬调查；</w:t>
            </w:r>
            <w:r>
              <w:rPr>
                <w:rFonts w:ascii="宋体" w:hAnsi="宋体" w:cs="宋体" w:eastAsia="宋体" w:hint="default"/>
                <w:sz w:val="24"/>
                <w:szCs w:val="24"/>
              </w:rPr>
              <w:t>2</w:t>
            </w:r>
            <w:r>
              <w:rPr>
                <w:rFonts w:ascii="宋体" w:hAnsi="宋体" w:cs="宋体" w:eastAsia="宋体" w:hint="default"/>
                <w:sz w:val="24"/>
                <w:szCs w:val="24"/>
              </w:rPr>
              <w:t>、公司根据绩效考评结果和报酬调</w:t>
            </w:r>
          </w:p>
        </w:tc>
      </w:tr>
    </w:tbl>
    <w:p>
      <w:pPr>
        <w:spacing w:after="0" w:line="312" w:lineRule="exact"/>
        <w:jc w:val="left"/>
        <w:rPr>
          <w:rFonts w:ascii="宋体" w:hAnsi="宋体" w:cs="宋体" w:eastAsia="宋体" w:hint="default"/>
          <w:sz w:val="24"/>
          <w:szCs w:val="24"/>
        </w:rPr>
        <w:sectPr>
          <w:pgSz w:w="16840" w:h="11910" w:orient="landscape"/>
          <w:pgMar w:header="880" w:footer="1195" w:top="1120" w:bottom="1380" w:left="1300" w:right="1220"/>
        </w:sectPr>
      </w:pPr>
    </w:p>
    <w:p>
      <w:pPr>
        <w:spacing w:line="240" w:lineRule="auto" w:before="10"/>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4362"/>
        <w:gridCol w:w="9728"/>
      </w:tblGrid>
      <w:tr>
        <w:trPr>
          <w:trHeight w:val="1877" w:hRule="exact"/>
        </w:trPr>
        <w:tc>
          <w:tcPr>
            <w:tcW w:w="4362" w:type="dxa"/>
            <w:tcBorders>
              <w:top w:val="single" w:sz="4" w:space="0" w:color="000000"/>
              <w:left w:val="single" w:sz="4" w:space="0" w:color="000000"/>
              <w:bottom w:val="single" w:sz="4" w:space="0" w:color="000000"/>
              <w:right w:val="single" w:sz="4" w:space="0" w:color="000000"/>
            </w:tcBorders>
          </w:tcPr>
          <w:p>
            <w:pPr/>
          </w:p>
        </w:tc>
        <w:tc>
          <w:tcPr>
            <w:tcW w:w="972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查结果，确定有竞争力的年薪报酬和薪酬结构；</w:t>
            </w:r>
            <w:r>
              <w:rPr>
                <w:rFonts w:ascii="宋体" w:hAnsi="宋体" w:cs="宋体" w:eastAsia="宋体" w:hint="default"/>
                <w:sz w:val="24"/>
                <w:szCs w:val="24"/>
              </w:rPr>
              <w:t>3</w:t>
            </w:r>
            <w:r>
              <w:rPr>
                <w:rFonts w:ascii="宋体" w:hAnsi="宋体" w:cs="宋体" w:eastAsia="宋体" w:hint="default"/>
                <w:sz w:val="24"/>
                <w:szCs w:val="24"/>
              </w:rPr>
              <w:t>、公司董事、监事和高级管理人员奖金报</w:t>
            </w:r>
          </w:p>
          <w:p>
            <w:pPr>
              <w:pStyle w:val="TableParagraph"/>
              <w:spacing w:line="237" w:lineRule="auto" w:before="1"/>
              <w:ind w:left="103" w:right="98"/>
              <w:jc w:val="both"/>
              <w:rPr>
                <w:rFonts w:ascii="宋体" w:hAnsi="宋体" w:cs="宋体" w:eastAsia="宋体" w:hint="default"/>
                <w:sz w:val="24"/>
                <w:szCs w:val="24"/>
              </w:rPr>
            </w:pPr>
            <w:r>
              <w:rPr>
                <w:rFonts w:ascii="宋体" w:hAnsi="宋体" w:cs="宋体" w:eastAsia="宋体" w:hint="default"/>
                <w:spacing w:val="-3"/>
                <w:sz w:val="24"/>
                <w:szCs w:val="24"/>
              </w:rPr>
              <w:t>酬与公司经营业绩结果直接挂钩。公司每年年初审定批准公司年度经营计划和业绩目标，年</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pacing w:val="-3"/>
                <w:sz w:val="24"/>
                <w:szCs w:val="24"/>
              </w:rPr>
              <w:t>度结束后根据实际业绩结果完成情况，核定批准公司董事、监事和高级管理人员的奖金。公</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pacing w:val="-3"/>
                <w:sz w:val="24"/>
                <w:szCs w:val="24"/>
              </w:rPr>
              <w:t>司董事、监事的薪酬方案及薪酬情况，需提交公司董事会、监事会审议后，报股东大会审议</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批准。公司高级管理人员的薪酬方案及薪酬情况，需提交公司董事会审议批准；</w:t>
            </w:r>
            <w:r>
              <w:rPr>
                <w:rFonts w:ascii="宋体" w:hAnsi="宋体" w:cs="宋体" w:eastAsia="宋体" w:hint="default"/>
                <w:sz w:val="24"/>
                <w:szCs w:val="24"/>
              </w:rPr>
              <w:t>4</w:t>
            </w:r>
            <w:r>
              <w:rPr>
                <w:rFonts w:ascii="宋体" w:hAnsi="宋体" w:cs="宋体" w:eastAsia="宋体" w:hint="default"/>
                <w:sz w:val="24"/>
                <w:szCs w:val="24"/>
              </w:rPr>
              <w:t>、公司独</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z w:val="24"/>
                <w:szCs w:val="24"/>
              </w:rPr>
              <w:t>立董事实行年度津贴制，由公司董事会确定年度津贴标准议案，报经股东大会批准执行。</w:t>
            </w:r>
            <w:r>
              <w:rPr>
                <w:rFonts w:ascii="宋体" w:hAnsi="宋体" w:cs="宋体" w:eastAsia="宋体" w:hint="default"/>
                <w:sz w:val="24"/>
                <w:szCs w:val="24"/>
              </w:rPr>
              <w:t> </w:t>
            </w:r>
          </w:p>
        </w:tc>
      </w:tr>
      <w:tr>
        <w:trPr>
          <w:trHeight w:val="634"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董事、监事、高级管理人员报酬确定依</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据</w:t>
            </w:r>
          </w:p>
        </w:tc>
        <w:tc>
          <w:tcPr>
            <w:tcW w:w="972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公司董事、监事、高级管理人员报酬确定依据主要是年度绩效考评结果、公司年度业绩完成</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率和可比企业董事、监事、高级管理人员报酬行情。</w:t>
            </w:r>
            <w:r>
              <w:rPr>
                <w:rFonts w:ascii="宋体" w:hAnsi="宋体" w:cs="宋体" w:eastAsia="宋体" w:hint="default"/>
                <w:sz w:val="24"/>
                <w:szCs w:val="24"/>
              </w:rPr>
              <w:t> </w:t>
            </w:r>
          </w:p>
        </w:tc>
      </w:tr>
      <w:tr>
        <w:trPr>
          <w:trHeight w:val="632"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董事、监事和高级管理人员报酬的实际</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支付情况</w:t>
            </w:r>
          </w:p>
        </w:tc>
        <w:tc>
          <w:tcPr>
            <w:tcW w:w="97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报告期内，董事、监事和高级管理人员应付报酬合计</w:t>
            </w:r>
            <w:r>
              <w:rPr>
                <w:rFonts w:ascii="宋体" w:hAnsi="宋体" w:cs="宋体" w:eastAsia="宋体" w:hint="default"/>
                <w:spacing w:val="-60"/>
                <w:sz w:val="24"/>
                <w:szCs w:val="24"/>
              </w:rPr>
              <w:t> </w:t>
            </w:r>
            <w:r>
              <w:rPr>
                <w:rFonts w:ascii="宋体" w:hAnsi="宋体" w:cs="宋体" w:eastAsia="宋体" w:hint="default"/>
                <w:sz w:val="24"/>
                <w:szCs w:val="24"/>
              </w:rPr>
              <w:t>5334.63</w:t>
            </w:r>
            <w:r>
              <w:rPr>
                <w:rFonts w:ascii="宋体" w:hAnsi="宋体" w:cs="宋体" w:eastAsia="宋体" w:hint="default"/>
                <w:spacing w:val="-60"/>
                <w:sz w:val="24"/>
                <w:szCs w:val="24"/>
              </w:rPr>
              <w:t> </w:t>
            </w:r>
            <w:r>
              <w:rPr>
                <w:rFonts w:ascii="宋体" w:hAnsi="宋体" w:cs="宋体" w:eastAsia="宋体" w:hint="default"/>
                <w:sz w:val="24"/>
                <w:szCs w:val="24"/>
              </w:rPr>
              <w:t>万元。</w:t>
            </w:r>
            <w:r>
              <w:rPr>
                <w:rFonts w:ascii="宋体" w:hAnsi="宋体" w:cs="宋体" w:eastAsia="宋体" w:hint="default"/>
                <w:sz w:val="24"/>
                <w:szCs w:val="24"/>
              </w:rPr>
              <w:t> </w:t>
            </w:r>
          </w:p>
        </w:tc>
      </w:tr>
      <w:tr>
        <w:trPr>
          <w:trHeight w:val="634"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报告期末全体董事、监事和高级管理人</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员实际获得的报酬合计</w:t>
            </w:r>
          </w:p>
        </w:tc>
        <w:tc>
          <w:tcPr>
            <w:tcW w:w="97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报告期末，全体董事、监事和高级管理人员实际获得的报酬为</w:t>
            </w:r>
            <w:r>
              <w:rPr>
                <w:rFonts w:ascii="宋体" w:hAnsi="宋体" w:cs="宋体" w:eastAsia="宋体" w:hint="default"/>
                <w:spacing w:val="-59"/>
                <w:sz w:val="24"/>
                <w:szCs w:val="24"/>
              </w:rPr>
              <w:t> </w:t>
            </w:r>
            <w:r>
              <w:rPr>
                <w:rFonts w:ascii="宋体" w:hAnsi="宋体" w:cs="宋体" w:eastAsia="宋体" w:hint="default"/>
                <w:sz w:val="24"/>
                <w:szCs w:val="24"/>
              </w:rPr>
              <w:t>5334.63</w:t>
            </w:r>
            <w:r>
              <w:rPr>
                <w:rFonts w:ascii="宋体" w:hAnsi="宋体" w:cs="宋体" w:eastAsia="宋体" w:hint="default"/>
                <w:spacing w:val="-60"/>
                <w:sz w:val="24"/>
                <w:szCs w:val="24"/>
              </w:rPr>
              <w:t> </w:t>
            </w:r>
            <w:r>
              <w:rPr>
                <w:rFonts w:ascii="宋体" w:hAnsi="宋体" w:cs="宋体" w:eastAsia="宋体" w:hint="default"/>
                <w:sz w:val="24"/>
                <w:szCs w:val="24"/>
              </w:rPr>
              <w:t>万元。</w:t>
            </w:r>
            <w:r>
              <w:rPr>
                <w:rFonts w:ascii="宋体" w:hAnsi="宋体" w:cs="宋体" w:eastAsia="宋体" w:hint="default"/>
                <w:sz w:val="24"/>
                <w:szCs w:val="24"/>
              </w:rPr>
              <w:t> </w:t>
            </w:r>
          </w:p>
        </w:tc>
      </w:tr>
    </w:tbl>
    <w:p>
      <w:pPr>
        <w:spacing w:line="240" w:lineRule="auto" w:before="8"/>
        <w:rPr>
          <w:rFonts w:ascii="宋体" w:hAnsi="宋体" w:cs="宋体" w:eastAsia="宋体" w:hint="default"/>
          <w:sz w:val="20"/>
          <w:szCs w:val="20"/>
        </w:rPr>
      </w:pPr>
    </w:p>
    <w:p>
      <w:pPr>
        <w:pStyle w:val="Heading2"/>
        <w:spacing w:line="240" w:lineRule="auto" w:before="26"/>
        <w:ind w:left="224" w:right="0"/>
        <w:jc w:val="left"/>
        <w:rPr>
          <w:b w:val="0"/>
          <w:bCs w:val="0"/>
        </w:rPr>
      </w:pPr>
      <w:r>
        <w:rPr/>
        <w:t>四、公司董事、监事、高级管理人员变动情况</w:t>
      </w:r>
      <w:r>
        <w:rPr>
          <w:b w:val="0"/>
          <w:bCs w:val="0"/>
        </w:rPr>
      </w:r>
    </w:p>
    <w:p>
      <w:pPr>
        <w:pStyle w:val="BodyText"/>
        <w:spacing w:line="240" w:lineRule="auto" w:before="55"/>
        <w:ind w:left="224" w:right="0"/>
        <w:jc w:val="left"/>
      </w:pPr>
      <w:r>
        <w:rPr>
          <w:rFonts w:ascii="Times New Roman" w:hAnsi="Times New Roman" w:cs="Times New Roman" w:eastAsia="Times New Roman" w:hint="default"/>
        </w:rPr>
        <w:t>√</w:t>
      </w:r>
      <w:r>
        <w:rPr/>
        <w:t>适用</w:t>
      </w:r>
      <w:r>
        <w:rPr>
          <w:spacing w:val="-1"/>
        </w:rPr>
        <w:t> </w:t>
      </w:r>
      <w:r>
        <w:rPr>
          <w:rFonts w:ascii="Times New Roman" w:hAnsi="Times New Roman" w:cs="Times New Roman" w:eastAsia="Times New Roman" w:hint="default"/>
        </w:rPr>
        <w:t>□</w:t>
      </w:r>
      <w:r>
        <w:rPr/>
        <w:t>不适用</w:t>
      </w:r>
    </w:p>
    <w:tbl>
      <w:tblPr>
        <w:tblW w:w="0" w:type="auto"/>
        <w:jc w:val="left"/>
        <w:tblInd w:w="111" w:type="dxa"/>
        <w:tblLayout w:type="fixed"/>
        <w:tblCellMar>
          <w:top w:w="0" w:type="dxa"/>
          <w:left w:w="0" w:type="dxa"/>
          <w:bottom w:w="0" w:type="dxa"/>
          <w:right w:w="0" w:type="dxa"/>
        </w:tblCellMar>
        <w:tblLook w:val="01E0"/>
      </w:tblPr>
      <w:tblGrid>
        <w:gridCol w:w="3466"/>
        <w:gridCol w:w="3466"/>
        <w:gridCol w:w="3466"/>
        <w:gridCol w:w="3466"/>
      </w:tblGrid>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姓名</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28" w:right="0"/>
              <w:jc w:val="left"/>
              <w:rPr>
                <w:rFonts w:ascii="宋体" w:hAnsi="宋体" w:cs="宋体" w:eastAsia="宋体" w:hint="default"/>
                <w:sz w:val="24"/>
                <w:szCs w:val="24"/>
              </w:rPr>
            </w:pPr>
            <w:r>
              <w:rPr>
                <w:rFonts w:ascii="宋体" w:hAnsi="宋体" w:cs="宋体" w:eastAsia="宋体" w:hint="default"/>
                <w:sz w:val="24"/>
                <w:szCs w:val="24"/>
              </w:rPr>
              <w:t>担任的职务</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变动情形</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变动原因</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离任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辞任</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董事</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选举</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新聘任</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王贵亚</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独立董事</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离任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个人原因</w:t>
            </w:r>
          </w:p>
        </w:tc>
      </w:tr>
      <w:tr>
        <w:trPr>
          <w:trHeight w:val="319"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新聘任</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严绍业</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离任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不再担任，工作另有安排</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张纪雄</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离任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不再担任，工作另有安排</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胡彬</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离任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不再担任，工作另有安排</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徐宝东</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离任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不再担任，工作另有安排</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杨晓柏</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离任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不再担任，工作另有安排</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牛立伟</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新聘任</w:t>
            </w:r>
          </w:p>
        </w:tc>
      </w:tr>
      <w:tr>
        <w:trPr>
          <w:trHeight w:val="322" w:hRule="exact"/>
        </w:trPr>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孙淑嫔</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高级副总裁</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聘任</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新聘任</w:t>
            </w:r>
          </w:p>
        </w:tc>
      </w:tr>
    </w:tbl>
    <w:p>
      <w:pPr>
        <w:spacing w:after="0" w:line="274" w:lineRule="exact"/>
        <w:jc w:val="left"/>
        <w:rPr>
          <w:rFonts w:ascii="宋体" w:hAnsi="宋体" w:cs="宋体" w:eastAsia="宋体" w:hint="default"/>
          <w:sz w:val="24"/>
          <w:szCs w:val="24"/>
        </w:rPr>
        <w:sectPr>
          <w:pgSz w:w="16840" w:h="11910" w:orient="landscape"/>
          <w:pgMar w:header="880" w:footer="1195" w:top="1120" w:bottom="1380" w:left="1300" w:right="1220"/>
        </w:sectPr>
      </w:pPr>
    </w:p>
    <w:p>
      <w:pPr>
        <w:spacing w:line="240" w:lineRule="auto" w:before="0"/>
        <w:rPr>
          <w:rFonts w:ascii="宋体" w:hAnsi="宋体" w:cs="宋体" w:eastAsia="宋体" w:hint="default"/>
          <w:sz w:val="20"/>
          <w:szCs w:val="20"/>
        </w:rPr>
      </w:pPr>
    </w:p>
    <w:p>
      <w:pPr>
        <w:pStyle w:val="Heading2"/>
        <w:spacing w:line="240" w:lineRule="auto" w:before="188"/>
        <w:ind w:left="144" w:right="0"/>
        <w:jc w:val="left"/>
        <w:rPr>
          <w:b w:val="0"/>
          <w:bCs w:val="0"/>
        </w:rPr>
      </w:pPr>
      <w:r>
        <w:rPr/>
        <w:t>五、近三年受证券监管机构处罚的情况说明</w:t>
      </w:r>
      <w:r>
        <w:rPr>
          <w:b w:val="0"/>
          <w:bCs w:val="0"/>
        </w:rPr>
      </w:r>
    </w:p>
    <w:p>
      <w:pPr>
        <w:pStyle w:val="BodyText"/>
        <w:spacing w:line="240" w:lineRule="auto" w:before="55"/>
        <w:ind w:left="144" w:right="0"/>
        <w:jc w:val="left"/>
      </w:pPr>
      <w:r>
        <w:rPr>
          <w:rFonts w:ascii="Times New Roman" w:hAnsi="Times New Roman" w:cs="Times New Roman" w:eastAsia="Times New Roman" w:hint="default"/>
        </w:rPr>
        <w:t>□</w:t>
      </w:r>
      <w:r>
        <w:rPr/>
        <w:t>适用</w:t>
      </w:r>
      <w:r>
        <w:rPr>
          <w:spacing w:val="-1"/>
        </w:rPr>
        <w:t> </w:t>
      </w:r>
      <w:r>
        <w:rPr>
          <w:rFonts w:ascii="Times New Roman" w:hAnsi="Times New Roman" w:cs="Times New Roman" w:eastAsia="Times New Roman" w:hint="default"/>
        </w:rPr>
        <w:t>√</w:t>
      </w:r>
      <w:r>
        <w:rPr/>
        <w:t>不适用</w:t>
      </w:r>
    </w:p>
    <w:p>
      <w:pPr>
        <w:spacing w:after="0" w:line="240" w:lineRule="auto"/>
        <w:jc w:val="left"/>
        <w:sectPr>
          <w:footerReference w:type="default" r:id="rId36"/>
          <w:pgSz w:w="16840" w:h="11910" w:orient="landscape"/>
          <w:pgMar w:footer="1195" w:header="880" w:top="1120" w:bottom="1380" w:left="1380" w:right="1320"/>
        </w:sectPr>
      </w:pPr>
    </w:p>
    <w:p>
      <w:pPr>
        <w:spacing w:line="240" w:lineRule="auto" w:before="0"/>
        <w:rPr>
          <w:rFonts w:ascii="宋体" w:hAnsi="宋体" w:cs="宋体" w:eastAsia="宋体" w:hint="default"/>
          <w:sz w:val="20"/>
          <w:szCs w:val="20"/>
        </w:rPr>
      </w:pPr>
    </w:p>
    <w:p>
      <w:pPr>
        <w:pStyle w:val="Heading2"/>
        <w:spacing w:line="240" w:lineRule="auto" w:before="164"/>
        <w:ind w:left="138" w:right="0"/>
        <w:jc w:val="left"/>
        <w:rPr>
          <w:rFonts w:ascii="黑体" w:hAnsi="黑体" w:cs="黑体" w:eastAsia="黑体" w:hint="default"/>
          <w:b w:val="0"/>
          <w:bCs w:val="0"/>
        </w:rPr>
      </w:pPr>
      <w:r>
        <w:rPr>
          <w:rFonts w:ascii="黑体" w:hAnsi="黑体" w:cs="黑体" w:eastAsia="黑体" w:hint="default"/>
        </w:rPr>
        <w:t>六、母公司和主要子公司的员工情况</w:t>
      </w:r>
      <w:r>
        <w:rPr>
          <w:rFonts w:ascii="黑体" w:hAnsi="黑体" w:cs="黑体" w:eastAsia="黑体" w:hint="default"/>
          <w:b w:val="0"/>
          <w:bCs w:val="0"/>
        </w:rPr>
      </w:r>
    </w:p>
    <w:p>
      <w:pPr>
        <w:pStyle w:val="Heading2"/>
        <w:spacing w:line="240" w:lineRule="auto" w:before="58"/>
        <w:ind w:left="138" w:right="0"/>
        <w:jc w:val="left"/>
        <w:rPr>
          <w:rFonts w:ascii="黑体" w:hAnsi="黑体" w:cs="黑体" w:eastAsia="黑体" w:hint="default"/>
          <w:b w:val="0"/>
          <w:bCs w:val="0"/>
        </w:rPr>
      </w:pPr>
      <w:r>
        <w:rPr>
          <w:rFonts w:ascii="Calibri" w:hAnsi="Calibri" w:cs="Calibri" w:eastAsia="Calibri" w:hint="default"/>
        </w:rPr>
        <w:t>(</w:t>
      </w:r>
      <w:r>
        <w:rPr>
          <w:rFonts w:ascii="黑体" w:hAnsi="黑体" w:cs="黑体" w:eastAsia="黑体" w:hint="default"/>
        </w:rPr>
        <w:t>一</w:t>
      </w:r>
      <w:r>
        <w:rPr>
          <w:rFonts w:ascii="Calibri" w:hAnsi="Calibri" w:cs="Calibri" w:eastAsia="Calibri" w:hint="default"/>
        </w:rPr>
        <w:t>)</w:t>
      </w:r>
      <w:r>
        <w:rPr>
          <w:rFonts w:ascii="Calibri" w:hAnsi="Calibri" w:cs="Calibri" w:eastAsia="Calibri" w:hint="default"/>
          <w:spacing w:val="-22"/>
        </w:rPr>
        <w:t> </w:t>
      </w:r>
      <w:r>
        <w:rPr>
          <w:rFonts w:ascii="黑体" w:hAnsi="黑体" w:cs="黑体" w:eastAsia="黑体" w:hint="default"/>
        </w:rPr>
        <w:t>员工情况</w:t>
      </w:r>
      <w:r>
        <w:rPr>
          <w:rFonts w:ascii="黑体" w:hAnsi="黑体" w:cs="黑体" w:eastAsia="黑体" w:hint="default"/>
          <w:b w:val="0"/>
          <w:bCs w:val="0"/>
        </w:rPr>
      </w:r>
    </w:p>
    <w:p>
      <w:pPr>
        <w:spacing w:line="240" w:lineRule="auto" w:before="2"/>
        <w:rPr>
          <w:rFonts w:ascii="黑体" w:hAnsi="黑体" w:cs="黑体" w:eastAsia="黑体" w:hint="default"/>
          <w:b/>
          <w:bCs/>
          <w:sz w:val="5"/>
          <w:szCs w:val="5"/>
        </w:rPr>
      </w:pPr>
    </w:p>
    <w:tbl>
      <w:tblPr>
        <w:tblW w:w="0" w:type="auto"/>
        <w:jc w:val="left"/>
        <w:tblInd w:w="128" w:type="dxa"/>
        <w:tblLayout w:type="fixed"/>
        <w:tblCellMar>
          <w:top w:w="0" w:type="dxa"/>
          <w:left w:w="0" w:type="dxa"/>
          <w:bottom w:w="0" w:type="dxa"/>
          <w:right w:w="0" w:type="dxa"/>
        </w:tblCellMar>
        <w:tblLook w:val="01E0"/>
      </w:tblPr>
      <w:tblGrid>
        <w:gridCol w:w="4421"/>
        <w:gridCol w:w="4424"/>
      </w:tblGrid>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 w:right="0"/>
              <w:jc w:val="left"/>
              <w:rPr>
                <w:rFonts w:ascii="宋体" w:hAnsi="宋体" w:cs="宋体" w:eastAsia="宋体" w:hint="default"/>
                <w:sz w:val="24"/>
                <w:szCs w:val="24"/>
              </w:rPr>
            </w:pPr>
            <w:r>
              <w:rPr>
                <w:rFonts w:ascii="宋体" w:hAnsi="宋体" w:cs="宋体" w:eastAsia="宋体" w:hint="default"/>
                <w:sz w:val="24"/>
                <w:szCs w:val="24"/>
              </w:rPr>
              <w:t>母公司在职员工的数量</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9,812</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 w:right="0"/>
              <w:jc w:val="left"/>
              <w:rPr>
                <w:rFonts w:ascii="宋体" w:hAnsi="宋体" w:cs="宋体" w:eastAsia="宋体" w:hint="default"/>
                <w:sz w:val="24"/>
                <w:szCs w:val="24"/>
              </w:rPr>
            </w:pPr>
            <w:r>
              <w:rPr>
                <w:rFonts w:ascii="宋体" w:hAnsi="宋体" w:cs="宋体" w:eastAsia="宋体" w:hint="default"/>
                <w:sz w:val="24"/>
                <w:szCs w:val="24"/>
              </w:rPr>
              <w:t>主要子公司在职员工的数量</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7,459</w:t>
            </w:r>
          </w:p>
        </w:tc>
      </w:tr>
      <w:tr>
        <w:trPr>
          <w:trHeight w:val="319"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 w:right="0"/>
              <w:jc w:val="left"/>
              <w:rPr>
                <w:rFonts w:ascii="宋体" w:hAnsi="宋体" w:cs="宋体" w:eastAsia="宋体" w:hint="default"/>
                <w:sz w:val="24"/>
                <w:szCs w:val="24"/>
              </w:rPr>
            </w:pPr>
            <w:r>
              <w:rPr>
                <w:rFonts w:ascii="宋体" w:hAnsi="宋体" w:cs="宋体" w:eastAsia="宋体" w:hint="default"/>
                <w:sz w:val="24"/>
                <w:szCs w:val="24"/>
              </w:rPr>
              <w:t>在职员工的数量合计</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17,271</w:t>
            </w:r>
          </w:p>
        </w:tc>
      </w:tr>
      <w:tr>
        <w:trPr>
          <w:trHeight w:val="634"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 w:right="0"/>
              <w:jc w:val="left"/>
              <w:rPr>
                <w:rFonts w:ascii="宋体" w:hAnsi="宋体" w:cs="宋体" w:eastAsia="宋体" w:hint="default"/>
                <w:sz w:val="24"/>
                <w:szCs w:val="24"/>
              </w:rPr>
            </w:pPr>
            <w:r>
              <w:rPr>
                <w:rFonts w:ascii="宋体" w:hAnsi="宋体" w:cs="宋体" w:eastAsia="宋体" w:hint="default"/>
                <w:spacing w:val="4"/>
                <w:sz w:val="24"/>
                <w:szCs w:val="24"/>
              </w:rPr>
              <w:t>母公司及主要子公司需承担费用的离退休</w:t>
            </w:r>
          </w:p>
          <w:p>
            <w:pPr>
              <w:pStyle w:val="TableParagraph"/>
              <w:spacing w:line="312" w:lineRule="exact"/>
              <w:ind w:left="-1" w:right="0"/>
              <w:jc w:val="left"/>
              <w:rPr>
                <w:rFonts w:ascii="宋体" w:hAnsi="宋体" w:cs="宋体" w:eastAsia="宋体" w:hint="default"/>
                <w:sz w:val="24"/>
                <w:szCs w:val="24"/>
              </w:rPr>
            </w:pPr>
            <w:r>
              <w:rPr>
                <w:rFonts w:ascii="宋体" w:hAnsi="宋体" w:cs="宋体" w:eastAsia="宋体" w:hint="default"/>
                <w:sz w:val="24"/>
                <w:szCs w:val="24"/>
              </w:rPr>
              <w:t>职工人数</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88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7" w:right="0"/>
              <w:jc w:val="center"/>
              <w:rPr>
                <w:rFonts w:ascii="宋体" w:hAnsi="宋体" w:cs="宋体" w:eastAsia="宋体" w:hint="default"/>
                <w:sz w:val="24"/>
                <w:szCs w:val="24"/>
              </w:rPr>
            </w:pPr>
            <w:r>
              <w:rPr>
                <w:rFonts w:ascii="宋体" w:hAnsi="宋体" w:cs="宋体" w:eastAsia="宋体" w:hint="default"/>
                <w:sz w:val="24"/>
                <w:szCs w:val="24"/>
              </w:rPr>
              <w:t>专业构成</w:t>
            </w:r>
            <w:r>
              <w:rPr>
                <w:rFonts w:ascii="宋体" w:hAnsi="宋体" w:cs="宋体" w:eastAsia="宋体" w:hint="default"/>
                <w:sz w:val="24"/>
                <w:szCs w:val="24"/>
              </w:rPr>
              <w:t> </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63"/>
              <w:jc w:val="right"/>
              <w:rPr>
                <w:rFonts w:ascii="宋体" w:hAnsi="宋体" w:cs="宋体" w:eastAsia="宋体" w:hint="default"/>
                <w:sz w:val="24"/>
                <w:szCs w:val="24"/>
              </w:rPr>
            </w:pPr>
            <w:r>
              <w:rPr>
                <w:rFonts w:ascii="宋体" w:hAnsi="宋体" w:cs="宋体" w:eastAsia="宋体" w:hint="default"/>
                <w:sz w:val="24"/>
                <w:szCs w:val="24"/>
              </w:rPr>
              <w:t>专业构成类别</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85" w:right="0"/>
              <w:jc w:val="left"/>
              <w:rPr>
                <w:rFonts w:ascii="宋体" w:hAnsi="宋体" w:cs="宋体" w:eastAsia="宋体" w:hint="default"/>
                <w:sz w:val="24"/>
                <w:szCs w:val="24"/>
              </w:rPr>
            </w:pPr>
            <w:r>
              <w:rPr>
                <w:rFonts w:ascii="宋体" w:hAnsi="宋体" w:cs="宋体" w:eastAsia="宋体" w:hint="default"/>
                <w:sz w:val="24"/>
                <w:szCs w:val="24"/>
              </w:rPr>
              <w:t>专业构成人数</w:t>
            </w:r>
            <w:r>
              <w:rPr>
                <w:rFonts w:ascii="宋体" w:hAnsi="宋体" w:cs="宋体" w:eastAsia="宋体" w:hint="default"/>
                <w:sz w:val="24"/>
                <w:szCs w:val="24"/>
              </w:rPr>
              <w:t> </w:t>
            </w:r>
          </w:p>
        </w:tc>
      </w:tr>
      <w:tr>
        <w:trPr>
          <w:trHeight w:val="319"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hAnsi="宋体" w:cs="宋体" w:eastAsia="宋体" w:hint="default"/>
                <w:sz w:val="24"/>
                <w:szCs w:val="24"/>
              </w:rPr>
              <w:t>生产人员</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11</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19" w:right="0"/>
              <w:jc w:val="center"/>
              <w:rPr>
                <w:rFonts w:ascii="宋体" w:hAnsi="宋体" w:cs="宋体" w:eastAsia="宋体" w:hint="default"/>
                <w:sz w:val="24"/>
                <w:szCs w:val="24"/>
              </w:rPr>
            </w:pPr>
            <w:r>
              <w:rPr>
                <w:rFonts w:ascii="宋体" w:hAnsi="宋体" w:cs="宋体" w:eastAsia="宋体" w:hint="default"/>
                <w:sz w:val="24"/>
                <w:szCs w:val="24"/>
              </w:rPr>
              <w:t>销售人员</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right"/>
              <w:rPr>
                <w:rFonts w:ascii="宋体" w:hAnsi="宋体" w:cs="宋体" w:eastAsia="宋体" w:hint="default"/>
                <w:sz w:val="24"/>
                <w:szCs w:val="24"/>
              </w:rPr>
            </w:pPr>
            <w:r>
              <w:rPr>
                <w:rFonts w:ascii="宋体"/>
                <w:sz w:val="24"/>
              </w:rPr>
              <w:t>2,806</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hAnsi="宋体" w:cs="宋体" w:eastAsia="宋体" w:hint="default"/>
                <w:sz w:val="24"/>
                <w:szCs w:val="24"/>
              </w:rPr>
              <w:t>技术人员</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6,065</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hAnsi="宋体" w:cs="宋体" w:eastAsia="宋体" w:hint="default"/>
                <w:sz w:val="24"/>
                <w:szCs w:val="24"/>
              </w:rPr>
              <w:t>财务人员</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300</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hAnsi="宋体" w:cs="宋体" w:eastAsia="宋体" w:hint="default"/>
                <w:sz w:val="24"/>
                <w:szCs w:val="24"/>
              </w:rPr>
              <w:t>职能人员</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764</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63"/>
              <w:jc w:val="right"/>
              <w:rPr>
                <w:rFonts w:ascii="宋体" w:hAnsi="宋体" w:cs="宋体" w:eastAsia="宋体" w:hint="default"/>
                <w:sz w:val="24"/>
                <w:szCs w:val="24"/>
              </w:rPr>
            </w:pPr>
            <w:r>
              <w:rPr>
                <w:rFonts w:ascii="宋体" w:hAnsi="宋体" w:cs="宋体" w:eastAsia="宋体" w:hint="default"/>
                <w:sz w:val="24"/>
                <w:szCs w:val="24"/>
              </w:rPr>
              <w:t>运维服务人员</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1,444</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63"/>
              <w:jc w:val="right"/>
              <w:rPr>
                <w:rFonts w:ascii="宋体" w:hAnsi="宋体" w:cs="宋体" w:eastAsia="宋体" w:hint="default"/>
                <w:sz w:val="24"/>
                <w:szCs w:val="24"/>
              </w:rPr>
            </w:pPr>
            <w:r>
              <w:rPr>
                <w:rFonts w:ascii="宋体" w:hAnsi="宋体" w:cs="宋体" w:eastAsia="宋体" w:hint="default"/>
                <w:sz w:val="24"/>
                <w:szCs w:val="24"/>
              </w:rPr>
              <w:t>实施运营人员</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5,881</w:t>
            </w:r>
          </w:p>
        </w:tc>
      </w:tr>
      <w:tr>
        <w:trPr>
          <w:trHeight w:val="319"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hAnsi="宋体" w:cs="宋体" w:eastAsia="宋体" w:hint="default"/>
                <w:sz w:val="24"/>
                <w:szCs w:val="24"/>
              </w:rPr>
              <w:t>合计</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17,271</w:t>
            </w:r>
          </w:p>
        </w:tc>
      </w:tr>
      <w:tr>
        <w:trPr>
          <w:trHeight w:val="322" w:hRule="exact"/>
        </w:trPr>
        <w:tc>
          <w:tcPr>
            <w:tcW w:w="88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17" w:right="0"/>
              <w:jc w:val="center"/>
              <w:rPr>
                <w:rFonts w:ascii="宋体" w:hAnsi="宋体" w:cs="宋体" w:eastAsia="宋体" w:hint="default"/>
                <w:sz w:val="24"/>
                <w:szCs w:val="24"/>
              </w:rPr>
            </w:pPr>
            <w:r>
              <w:rPr>
                <w:rFonts w:ascii="宋体" w:hAnsi="宋体" w:cs="宋体" w:eastAsia="宋体" w:hint="default"/>
                <w:sz w:val="24"/>
                <w:szCs w:val="24"/>
              </w:rPr>
              <w:t>教育程度</w:t>
            </w:r>
            <w:r>
              <w:rPr>
                <w:rFonts w:ascii="宋体" w:hAnsi="宋体" w:cs="宋体" w:eastAsia="宋体" w:hint="default"/>
                <w:sz w:val="24"/>
                <w:szCs w:val="24"/>
              </w:rPr>
              <w:t> </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63"/>
              <w:jc w:val="right"/>
              <w:rPr>
                <w:rFonts w:ascii="宋体" w:hAnsi="宋体" w:cs="宋体" w:eastAsia="宋体" w:hint="default"/>
                <w:sz w:val="24"/>
                <w:szCs w:val="24"/>
              </w:rPr>
            </w:pPr>
            <w:r>
              <w:rPr>
                <w:rFonts w:ascii="宋体" w:hAnsi="宋体" w:cs="宋体" w:eastAsia="宋体" w:hint="default"/>
                <w:sz w:val="24"/>
                <w:szCs w:val="24"/>
              </w:rPr>
              <w:t>教育程度类别</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7" w:right="0"/>
              <w:jc w:val="center"/>
              <w:rPr>
                <w:rFonts w:ascii="宋体" w:hAnsi="宋体" w:cs="宋体" w:eastAsia="宋体" w:hint="default"/>
                <w:sz w:val="24"/>
                <w:szCs w:val="24"/>
              </w:rPr>
            </w:pPr>
            <w:r>
              <w:rPr>
                <w:rFonts w:ascii="宋体" w:hAnsi="宋体" w:cs="宋体" w:eastAsia="宋体" w:hint="default"/>
                <w:sz w:val="24"/>
                <w:szCs w:val="24"/>
              </w:rPr>
              <w:t>数量（人）</w:t>
            </w:r>
            <w:r>
              <w:rPr>
                <w:rFonts w:ascii="宋体" w:hAnsi="宋体" w:cs="宋体" w:eastAsia="宋体" w:hint="default"/>
                <w:sz w:val="24"/>
                <w:szCs w:val="24"/>
              </w:rPr>
              <w:t> </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63"/>
              <w:jc w:val="right"/>
              <w:rPr>
                <w:rFonts w:ascii="宋体" w:hAnsi="宋体" w:cs="宋体" w:eastAsia="宋体" w:hint="default"/>
                <w:sz w:val="24"/>
                <w:szCs w:val="24"/>
              </w:rPr>
            </w:pPr>
            <w:r>
              <w:rPr>
                <w:rFonts w:ascii="宋体" w:hAnsi="宋体" w:cs="宋体" w:eastAsia="宋体" w:hint="default"/>
                <w:sz w:val="24"/>
                <w:szCs w:val="24"/>
              </w:rPr>
              <w:t>研究生及以上</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1,261</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hAnsi="宋体" w:cs="宋体" w:eastAsia="宋体" w:hint="default"/>
                <w:sz w:val="24"/>
                <w:szCs w:val="24"/>
              </w:rPr>
              <w:t>大学本科</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12,915</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hAnsi="宋体" w:cs="宋体" w:eastAsia="宋体" w:hint="default"/>
                <w:sz w:val="24"/>
                <w:szCs w:val="24"/>
              </w:rPr>
              <w:t>大学专科</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2,897</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hAnsi="宋体" w:cs="宋体" w:eastAsia="宋体" w:hint="default"/>
                <w:sz w:val="24"/>
                <w:szCs w:val="24"/>
              </w:rPr>
              <w:t>大专以下</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198</w:t>
            </w:r>
          </w:p>
        </w:tc>
      </w:tr>
      <w:tr>
        <w:trPr>
          <w:trHeight w:val="322" w:hRule="exact"/>
        </w:trPr>
        <w:tc>
          <w:tcPr>
            <w:tcW w:w="4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9" w:right="0"/>
              <w:jc w:val="center"/>
              <w:rPr>
                <w:rFonts w:ascii="宋体" w:hAnsi="宋体" w:cs="宋体" w:eastAsia="宋体" w:hint="default"/>
                <w:sz w:val="24"/>
                <w:szCs w:val="24"/>
              </w:rPr>
            </w:pPr>
            <w:r>
              <w:rPr>
                <w:rFonts w:ascii="宋体" w:hAnsi="宋体" w:cs="宋体" w:eastAsia="宋体" w:hint="default"/>
                <w:sz w:val="24"/>
                <w:szCs w:val="24"/>
              </w:rPr>
              <w:t>合计</w:t>
            </w:r>
            <w:r>
              <w:rPr>
                <w:rFonts w:ascii="宋体" w:hAnsi="宋体" w:cs="宋体" w:eastAsia="宋体" w:hint="default"/>
                <w:sz w:val="24"/>
                <w:szCs w:val="24"/>
              </w:rPr>
              <w:t> </w:t>
            </w:r>
          </w:p>
        </w:tc>
        <w:tc>
          <w:tcPr>
            <w:tcW w:w="4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17,271</w:t>
            </w:r>
          </w:p>
        </w:tc>
      </w:tr>
    </w:tbl>
    <w:p>
      <w:pPr>
        <w:spacing w:after="0" w:line="274" w:lineRule="exact"/>
        <w:jc w:val="right"/>
        <w:rPr>
          <w:rFonts w:ascii="宋体" w:hAnsi="宋体" w:cs="宋体" w:eastAsia="宋体" w:hint="default"/>
          <w:sz w:val="24"/>
          <w:szCs w:val="24"/>
        </w:rPr>
        <w:sectPr>
          <w:headerReference w:type="default" r:id="rId37"/>
          <w:footerReference w:type="default" r:id="rId38"/>
          <w:pgSz w:w="11910" w:h="16840"/>
          <w:pgMar w:header="877" w:footer="1195" w:top="1100" w:bottom="1380" w:left="1660" w:right="1140"/>
          <w:pgNumType w:start="61"/>
        </w:sectPr>
      </w:pPr>
    </w:p>
    <w:p>
      <w:pPr>
        <w:spacing w:line="240" w:lineRule="auto" w:before="0"/>
        <w:rPr>
          <w:rFonts w:ascii="黑体" w:hAnsi="黑体" w:cs="黑体" w:eastAsia="黑体" w:hint="default"/>
          <w:b/>
          <w:bCs/>
          <w:sz w:val="20"/>
          <w:szCs w:val="20"/>
        </w:rPr>
      </w:pPr>
    </w:p>
    <w:p>
      <w:pPr>
        <w:spacing w:line="240" w:lineRule="auto" w:before="1"/>
        <w:rPr>
          <w:rFonts w:ascii="黑体" w:hAnsi="黑体" w:cs="黑体" w:eastAsia="黑体" w:hint="default"/>
          <w:b/>
          <w:bCs/>
          <w:sz w:val="11"/>
          <w:szCs w:val="11"/>
        </w:rPr>
      </w:pPr>
    </w:p>
    <w:p>
      <w:pPr>
        <w:spacing w:line="7576" w:lineRule="exact"/>
        <w:ind w:left="137" w:right="0" w:firstLine="0"/>
        <w:rPr>
          <w:rFonts w:ascii="黑体" w:hAnsi="黑体" w:cs="黑体" w:eastAsia="黑体" w:hint="default"/>
          <w:sz w:val="20"/>
          <w:szCs w:val="20"/>
        </w:rPr>
      </w:pPr>
      <w:r>
        <w:rPr>
          <w:rFonts w:ascii="黑体" w:hAnsi="黑体" w:cs="黑体" w:eastAsia="黑体" w:hint="default"/>
          <w:position w:val="-151"/>
          <w:sz w:val="20"/>
          <w:szCs w:val="20"/>
        </w:rPr>
        <w:drawing>
          <wp:inline distT="0" distB="0" distL="0" distR="0">
            <wp:extent cx="5227236" cy="4811268"/>
            <wp:effectExtent l="0" t="0" r="0" b="0"/>
            <wp:docPr id="9" name="image11.png" descr=""/>
            <wp:cNvGraphicFramePr>
              <a:graphicFrameLocks noChangeAspect="1"/>
            </wp:cNvGraphicFramePr>
            <a:graphic>
              <a:graphicData uri="http://schemas.openxmlformats.org/drawingml/2006/picture">
                <pic:pic>
                  <pic:nvPicPr>
                    <pic:cNvPr id="10" name="image11.png"/>
                    <pic:cNvPicPr/>
                  </pic:nvPicPr>
                  <pic:blipFill>
                    <a:blip r:embed="rId39" cstate="print"/>
                    <a:stretch>
                      <a:fillRect/>
                    </a:stretch>
                  </pic:blipFill>
                  <pic:spPr>
                    <a:xfrm>
                      <a:off x="0" y="0"/>
                      <a:ext cx="5227236" cy="4811268"/>
                    </a:xfrm>
                    <a:prstGeom prst="rect">
                      <a:avLst/>
                    </a:prstGeom>
                  </pic:spPr>
                </pic:pic>
              </a:graphicData>
            </a:graphic>
          </wp:inline>
        </w:drawing>
      </w:r>
      <w:r>
        <w:rPr>
          <w:rFonts w:ascii="黑体" w:hAnsi="黑体" w:cs="黑体" w:eastAsia="黑体" w:hint="default"/>
          <w:position w:val="-151"/>
          <w:sz w:val="20"/>
          <w:szCs w:val="20"/>
        </w:rPr>
      </w:r>
    </w:p>
    <w:p>
      <w:pPr>
        <w:pStyle w:val="Heading2"/>
        <w:spacing w:line="240" w:lineRule="auto" w:before="35"/>
        <w:ind w:left="138" w:right="0"/>
        <w:jc w:val="left"/>
        <w:rPr>
          <w:rFonts w:ascii="黑体" w:hAnsi="黑体" w:cs="黑体" w:eastAsia="黑体" w:hint="default"/>
          <w:b w:val="0"/>
          <w:bCs w:val="0"/>
        </w:rPr>
      </w:pPr>
      <w:r>
        <w:rPr>
          <w:rFonts w:ascii="Calibri" w:hAnsi="Calibri" w:cs="Calibri" w:eastAsia="Calibri" w:hint="default"/>
        </w:rPr>
        <w:t>(</w:t>
      </w:r>
      <w:r>
        <w:rPr>
          <w:rFonts w:ascii="黑体" w:hAnsi="黑体" w:cs="黑体" w:eastAsia="黑体" w:hint="default"/>
        </w:rPr>
        <w:t>二</w:t>
      </w:r>
      <w:r>
        <w:rPr>
          <w:rFonts w:ascii="Calibri" w:hAnsi="Calibri" w:cs="Calibri" w:eastAsia="Calibri" w:hint="default"/>
        </w:rPr>
        <w:t>)</w:t>
      </w:r>
      <w:r>
        <w:rPr>
          <w:rFonts w:ascii="Calibri" w:hAnsi="Calibri" w:cs="Calibri" w:eastAsia="Calibri" w:hint="default"/>
          <w:spacing w:val="-22"/>
        </w:rPr>
        <w:t> </w:t>
      </w:r>
      <w:r>
        <w:rPr>
          <w:rFonts w:ascii="黑体" w:hAnsi="黑体" w:cs="黑体" w:eastAsia="黑体" w:hint="default"/>
        </w:rPr>
        <w:t>薪酬政策</w:t>
      </w:r>
      <w:r>
        <w:rPr>
          <w:rFonts w:ascii="黑体" w:hAnsi="黑体" w:cs="黑体" w:eastAsia="黑体" w:hint="default"/>
          <w:b w:val="0"/>
          <w:bCs w:val="0"/>
        </w:rPr>
      </w:r>
    </w:p>
    <w:p>
      <w:pPr>
        <w:spacing w:before="33"/>
        <w:ind w:left="138"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□不适用</w:t>
      </w:r>
      <w:r>
        <w:rPr>
          <w:rFonts w:ascii="宋体" w:hAnsi="宋体" w:cs="宋体" w:eastAsia="宋体" w:hint="default"/>
          <w:spacing w:val="-3"/>
          <w:sz w:val="21"/>
          <w:szCs w:val="21"/>
        </w:rPr>
        <w:t> </w:t>
      </w:r>
      <w:r>
        <w:rPr>
          <w:rFonts w:ascii="宋体" w:hAnsi="宋体" w:cs="宋体" w:eastAsia="宋体" w:hint="default"/>
          <w:sz w:val="21"/>
          <w:szCs w:val="21"/>
        </w:rPr>
        <w:t> </w:t>
      </w:r>
    </w:p>
    <w:p>
      <w:pPr>
        <w:pStyle w:val="BodyText"/>
        <w:spacing w:line="237" w:lineRule="auto"/>
        <w:ind w:left="138" w:right="114" w:firstLine="419"/>
        <w:jc w:val="both"/>
        <w:rPr>
          <w:rFonts w:ascii="宋体" w:hAnsi="宋体" w:cs="宋体" w:eastAsia="宋体" w:hint="default"/>
        </w:rPr>
      </w:pPr>
      <w:r>
        <w:rPr/>
        <w:t>公司员工薪酬主要由月度基本工资、季度绩效奖金、年度绩效奖金等组成，其中 </w:t>
      </w:r>
      <w:r>
        <w:rPr>
          <w:spacing w:val="-2"/>
        </w:rPr>
        <w:t>季度绩效奖金与员工季度个人业绩挂钩，属于短期激励；年度绩效奖金与公司经营目</w:t>
      </w:r>
      <w:r>
        <w:rPr>
          <w:spacing w:val="-94"/>
        </w:rPr>
        <w:t> </w:t>
      </w:r>
      <w:r>
        <w:rPr>
          <w:spacing w:val="-94"/>
        </w:rPr>
      </w:r>
      <w:r>
        <w:rPr/>
        <w:t>标完成情况、部门目标实现情况、个人年度绩效挂钩，属于中短期激励。</w:t>
      </w:r>
      <w:r>
        <w:rPr>
          <w:rFonts w:ascii="宋体" w:hAnsi="宋体" w:cs="宋体" w:eastAsia="宋体" w:hint="default"/>
        </w:rPr>
        <w:t> </w:t>
      </w:r>
    </w:p>
    <w:p>
      <w:pPr>
        <w:pStyle w:val="BodyText"/>
        <w:spacing w:line="312" w:lineRule="exact" w:before="29"/>
        <w:ind w:left="618" w:right="0"/>
        <w:jc w:val="left"/>
        <w:rPr>
          <w:rFonts w:ascii="宋体" w:hAnsi="宋体" w:cs="宋体" w:eastAsia="宋体" w:hint="default"/>
          <w:sz w:val="21"/>
          <w:szCs w:val="21"/>
        </w:rPr>
      </w:pPr>
      <w:r>
        <w:rPr/>
        <w:t>公司还实行股权激励计划等中长期激励措施。</w:t>
      </w:r>
      <w:r>
        <w:rPr>
          <w:rFonts w:ascii="宋体" w:hAnsi="宋体" w:cs="宋体" w:eastAsia="宋体" w:hint="default"/>
        </w:rPr>
        <w:t> </w:t>
      </w:r>
      <w:r>
        <w:rPr/>
        <w:t>公司建立有完善的社会福利体系，并建立了基础性商业保险制度。</w:t>
      </w:r>
      <w:r>
        <w:rPr>
          <w:rFonts w:ascii="宋体" w:hAnsi="宋体" w:cs="宋体" w:eastAsia="宋体" w:hint="default"/>
          <w:w w:val="100"/>
          <w:sz w:val="21"/>
          <w:szCs w:val="21"/>
        </w:rPr>
        <w:t> </w:t>
      </w:r>
    </w:p>
    <w:p>
      <w:pPr>
        <w:spacing w:line="250" w:lineRule="exact" w:before="0"/>
        <w:ind w:left="138" w:right="0" w:firstLine="0"/>
        <w:jc w:val="left"/>
        <w:rPr>
          <w:rFonts w:ascii="宋体" w:hAnsi="宋体" w:cs="宋体" w:eastAsia="宋体" w:hint="default"/>
          <w:sz w:val="21"/>
          <w:szCs w:val="21"/>
        </w:rPr>
      </w:pPr>
      <w:r>
        <w:rPr>
          <w:rFonts w:ascii="宋体"/>
          <w:w w:val="100"/>
          <w:sz w:val="21"/>
        </w:rPr>
        <w:t> </w:t>
      </w:r>
    </w:p>
    <w:p>
      <w:pPr>
        <w:pStyle w:val="Heading2"/>
        <w:spacing w:line="240" w:lineRule="auto" w:before="50"/>
        <w:ind w:left="138" w:right="0"/>
        <w:jc w:val="left"/>
        <w:rPr>
          <w:rFonts w:ascii="黑体" w:hAnsi="黑体" w:cs="黑体" w:eastAsia="黑体" w:hint="default"/>
          <w:b w:val="0"/>
          <w:bCs w:val="0"/>
        </w:rPr>
      </w:pPr>
      <w:r>
        <w:rPr>
          <w:rFonts w:ascii="Calibri" w:hAnsi="Calibri" w:cs="Calibri" w:eastAsia="Calibri" w:hint="default"/>
        </w:rPr>
        <w:t>(</w:t>
      </w:r>
      <w:r>
        <w:rPr>
          <w:rFonts w:ascii="黑体" w:hAnsi="黑体" w:cs="黑体" w:eastAsia="黑体" w:hint="default"/>
        </w:rPr>
        <w:t>三</w:t>
      </w:r>
      <w:r>
        <w:rPr>
          <w:rFonts w:ascii="Calibri" w:hAnsi="Calibri" w:cs="Calibri" w:eastAsia="Calibri" w:hint="default"/>
        </w:rPr>
        <w:t>)</w:t>
      </w:r>
      <w:r>
        <w:rPr>
          <w:rFonts w:ascii="Calibri" w:hAnsi="Calibri" w:cs="Calibri" w:eastAsia="Calibri" w:hint="default"/>
          <w:spacing w:val="-22"/>
        </w:rPr>
        <w:t> </w:t>
      </w:r>
      <w:r>
        <w:rPr>
          <w:rFonts w:ascii="黑体" w:hAnsi="黑体" w:cs="黑体" w:eastAsia="黑体" w:hint="default"/>
        </w:rPr>
        <w:t>培训计划</w:t>
      </w:r>
      <w:r>
        <w:rPr>
          <w:rFonts w:ascii="黑体" w:hAnsi="黑体" w:cs="黑体" w:eastAsia="黑体" w:hint="default"/>
          <w:b w:val="0"/>
          <w:bCs w:val="0"/>
        </w:rPr>
      </w:r>
    </w:p>
    <w:p>
      <w:pPr>
        <w:spacing w:line="270" w:lineRule="exact" w:before="34"/>
        <w:ind w:left="138"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□不适用</w:t>
      </w:r>
      <w:r>
        <w:rPr>
          <w:rFonts w:ascii="宋体" w:hAnsi="宋体" w:cs="宋体" w:eastAsia="宋体" w:hint="default"/>
          <w:spacing w:val="-3"/>
          <w:sz w:val="21"/>
          <w:szCs w:val="21"/>
        </w:rPr>
        <w:t> </w:t>
      </w:r>
      <w:r>
        <w:rPr>
          <w:rFonts w:ascii="宋体" w:hAnsi="宋体" w:cs="宋体" w:eastAsia="宋体" w:hint="default"/>
          <w:sz w:val="21"/>
          <w:szCs w:val="21"/>
        </w:rPr>
        <w:t> </w:t>
      </w:r>
    </w:p>
    <w:p>
      <w:pPr>
        <w:pStyle w:val="BodyText"/>
        <w:spacing w:line="312" w:lineRule="exact" w:before="25"/>
        <w:ind w:left="138" w:right="110" w:firstLine="419"/>
        <w:jc w:val="both"/>
        <w:rPr>
          <w:rFonts w:ascii="宋体" w:hAnsi="宋体" w:cs="宋体" w:eastAsia="宋体" w:hint="default"/>
          <w:sz w:val="21"/>
          <w:szCs w:val="21"/>
        </w:rPr>
      </w:pPr>
      <w:r>
        <w:rPr>
          <w:spacing w:val="-2"/>
        </w:rPr>
        <w:t>公司设立用友大学、总部业务单元、一线机构三级培训培养体系。</w:t>
      </w:r>
      <w:r>
        <w:rPr>
          <w:rFonts w:ascii="宋体" w:hAnsi="宋体" w:cs="宋体" w:eastAsia="宋体" w:hint="default"/>
          <w:spacing w:val="-2"/>
        </w:rPr>
        <w:t>2019</w:t>
      </w:r>
      <w:r>
        <w:rPr>
          <w:rFonts w:ascii="宋体" w:hAnsi="宋体" w:cs="宋体" w:eastAsia="宋体" w:hint="default"/>
          <w:spacing w:val="-41"/>
        </w:rPr>
        <w:t> </w:t>
      </w:r>
      <w:r>
        <w:rPr>
          <w:spacing w:val="-1"/>
        </w:rPr>
        <w:t>年度公司</w:t>
      </w:r>
      <w:r>
        <w:rPr/>
        <w:t> </w:t>
      </w:r>
      <w:r>
        <w:rPr>
          <w:spacing w:val="-2"/>
        </w:rPr>
        <w:t>以公司战略及业务目标对各岗位员工的能力要求与员工的成长需求为核心，采取训战</w:t>
      </w:r>
      <w:r>
        <w:rPr>
          <w:spacing w:val="-94"/>
        </w:rPr>
        <w:t> </w:t>
      </w:r>
      <w:r>
        <w:rPr>
          <w:spacing w:val="-94"/>
        </w:rPr>
      </w:r>
      <w:r>
        <w:rPr/>
        <w:t>结合、以考促学的方式分序列分层开展培训与培养</w:t>
      </w:r>
      <w:r>
        <w:rPr>
          <w:sz w:val="21"/>
          <w:szCs w:val="21"/>
        </w:rPr>
        <w:t>。</w:t>
      </w:r>
      <w:r>
        <w:rPr>
          <w:rFonts w:ascii="宋体" w:hAnsi="宋体" w:cs="宋体" w:eastAsia="宋体" w:hint="default"/>
          <w:sz w:val="21"/>
          <w:szCs w:val="21"/>
        </w:rPr>
        <w:t> </w:t>
      </w:r>
    </w:p>
    <w:p>
      <w:pPr>
        <w:spacing w:line="248" w:lineRule="exact" w:before="0"/>
        <w:ind w:left="138" w:right="0" w:firstLine="0"/>
        <w:jc w:val="left"/>
        <w:rPr>
          <w:rFonts w:ascii="宋体" w:hAnsi="宋体" w:cs="宋体" w:eastAsia="宋体" w:hint="default"/>
          <w:sz w:val="21"/>
          <w:szCs w:val="21"/>
        </w:rPr>
      </w:pPr>
      <w:r>
        <w:rPr>
          <w:rFonts w:ascii="宋体"/>
          <w:w w:val="100"/>
          <w:sz w:val="21"/>
        </w:rPr>
        <w:t> </w:t>
      </w:r>
    </w:p>
    <w:p>
      <w:pPr>
        <w:pStyle w:val="Heading2"/>
        <w:spacing w:line="240" w:lineRule="auto" w:before="52"/>
        <w:ind w:left="138" w:right="0"/>
        <w:jc w:val="left"/>
        <w:rPr>
          <w:rFonts w:ascii="黑体" w:hAnsi="黑体" w:cs="黑体" w:eastAsia="黑体" w:hint="default"/>
          <w:b w:val="0"/>
          <w:bCs w:val="0"/>
        </w:rPr>
      </w:pPr>
      <w:r>
        <w:rPr>
          <w:rFonts w:ascii="Calibri" w:hAnsi="Calibri" w:cs="Calibri" w:eastAsia="Calibri" w:hint="default"/>
        </w:rPr>
        <w:t>(</w:t>
      </w:r>
      <w:r>
        <w:rPr>
          <w:rFonts w:ascii="黑体" w:hAnsi="黑体" w:cs="黑体" w:eastAsia="黑体" w:hint="default"/>
        </w:rPr>
        <w:t>四</w:t>
      </w:r>
      <w:r>
        <w:rPr>
          <w:rFonts w:ascii="Calibri" w:hAnsi="Calibri" w:cs="Calibri" w:eastAsia="Calibri" w:hint="default"/>
        </w:rPr>
        <w:t>)</w:t>
      </w:r>
      <w:r>
        <w:rPr>
          <w:rFonts w:ascii="Calibri" w:hAnsi="Calibri" w:cs="Calibri" w:eastAsia="Calibri" w:hint="default"/>
          <w:spacing w:val="-24"/>
        </w:rPr>
        <w:t> </w:t>
      </w:r>
      <w:r>
        <w:rPr>
          <w:rFonts w:ascii="黑体" w:hAnsi="黑体" w:cs="黑体" w:eastAsia="黑体" w:hint="default"/>
        </w:rPr>
        <w:t>劳务外包情况</w:t>
      </w:r>
      <w:r>
        <w:rPr>
          <w:rFonts w:ascii="黑体" w:hAnsi="黑体" w:cs="黑体" w:eastAsia="黑体" w:hint="default"/>
          <w:b w:val="0"/>
          <w:bCs w:val="0"/>
        </w:rPr>
      </w:r>
    </w:p>
    <w:p>
      <w:pPr>
        <w:spacing w:line="274" w:lineRule="exact" w:before="31"/>
        <w:ind w:left="138"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pacing w:val="-2"/>
          <w:sz w:val="21"/>
          <w:szCs w:val="21"/>
        </w:rPr>
      </w:r>
      <w:r>
        <w:rPr>
          <w:rFonts w:ascii="宋体" w:hAnsi="宋体" w:cs="宋体" w:eastAsia="宋体" w:hint="default"/>
          <w:sz w:val="21"/>
          <w:szCs w:val="21"/>
        </w:rPr>
        <w:t>√不适用</w:t>
      </w:r>
      <w:r>
        <w:rPr>
          <w:rFonts w:ascii="宋体" w:hAnsi="宋体" w:cs="宋体" w:eastAsia="宋体" w:hint="default"/>
          <w:sz w:val="21"/>
          <w:szCs w:val="21"/>
        </w:rPr>
        <w:t> </w:t>
      </w:r>
      <w:r>
        <w:rPr>
          <w:rFonts w:ascii="宋体" w:hAnsi="宋体" w:cs="宋体" w:eastAsia="宋体" w:hint="default"/>
          <w:spacing w:val="-3"/>
          <w:sz w:val="21"/>
          <w:szCs w:val="21"/>
        </w:rPr>
        <w:t> </w:t>
      </w:r>
      <w:r>
        <w:rPr>
          <w:rFonts w:ascii="宋体" w:hAnsi="宋体" w:cs="宋体" w:eastAsia="宋体" w:hint="default"/>
          <w:sz w:val="21"/>
          <w:szCs w:val="21"/>
        </w:rPr>
        <w:t> </w:t>
      </w:r>
    </w:p>
    <w:p>
      <w:pPr>
        <w:spacing w:line="274" w:lineRule="exact" w:before="0"/>
        <w:ind w:left="138" w:right="0" w:firstLine="0"/>
        <w:jc w:val="left"/>
        <w:rPr>
          <w:rFonts w:ascii="宋体" w:hAnsi="宋体" w:cs="宋体" w:eastAsia="宋体" w:hint="default"/>
          <w:sz w:val="21"/>
          <w:szCs w:val="21"/>
        </w:rPr>
      </w:pPr>
      <w:r>
        <w:rPr>
          <w:rFonts w:ascii="宋体"/>
          <w:w w:val="100"/>
          <w:sz w:val="21"/>
        </w:rPr>
        <w:t> </w:t>
      </w:r>
    </w:p>
    <w:p>
      <w:pPr>
        <w:pStyle w:val="Heading2"/>
        <w:tabs>
          <w:tab w:pos="977" w:val="left" w:leader="none"/>
        </w:tabs>
        <w:spacing w:line="240" w:lineRule="auto" w:before="50"/>
        <w:ind w:left="138" w:right="0"/>
        <w:jc w:val="left"/>
        <w:rPr>
          <w:b w:val="0"/>
          <w:bCs w:val="0"/>
        </w:rPr>
      </w:pPr>
      <w:r>
        <w:rPr>
          <w:rFonts w:ascii="宋体" w:hAnsi="宋体" w:cs="宋体" w:eastAsia="宋体" w:hint="default"/>
          <w:w w:val="95"/>
        </w:rPr>
        <w:t>(</w:t>
      </w:r>
      <w:r>
        <w:rPr>
          <w:w w:val="95"/>
        </w:rPr>
        <w:t>五</w:t>
      </w:r>
      <w:r>
        <w:rPr>
          <w:rFonts w:ascii="宋体" w:hAnsi="宋体" w:cs="宋体" w:eastAsia="宋体" w:hint="default"/>
          <w:w w:val="95"/>
        </w:rPr>
        <w:t>)</w:t>
        <w:tab/>
      </w:r>
      <w:r>
        <w:rPr/>
        <w:t>其他</w:t>
      </w:r>
      <w:r>
        <w:rPr>
          <w:b w:val="0"/>
          <w:bCs w:val="0"/>
        </w:rPr>
      </w:r>
    </w:p>
    <w:p>
      <w:pPr>
        <w:pStyle w:val="BodyText"/>
        <w:tabs>
          <w:tab w:pos="1001" w:val="left" w:leader="none"/>
        </w:tabs>
        <w:spacing w:line="240" w:lineRule="auto" w:before="58"/>
        <w:ind w:left="13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after="0" w:line="240" w:lineRule="auto"/>
        <w:jc w:val="left"/>
        <w:sectPr>
          <w:pgSz w:w="11910" w:h="16840"/>
          <w:pgMar w:header="877" w:footer="1195" w:top="1100" w:bottom="1380" w:left="1660" w:right="116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pStyle w:val="Heading1"/>
        <w:spacing w:line="240" w:lineRule="auto"/>
        <w:ind w:left="3503" w:right="0"/>
        <w:jc w:val="left"/>
        <w:rPr>
          <w:b w:val="0"/>
          <w:bCs w:val="0"/>
        </w:rPr>
      </w:pPr>
      <w:bookmarkStart w:name="_bookmark8" w:id="11"/>
      <w:bookmarkEnd w:id="11"/>
      <w:r>
        <w:rPr>
          <w:b w:val="0"/>
          <w:bCs w:val="0"/>
        </w:rPr>
      </w:r>
      <w:r>
        <w:rPr/>
        <w:t>第九节</w:t>
      </w:r>
      <w:r>
        <w:rPr>
          <w:spacing w:val="134"/>
        </w:rPr>
        <w:t> </w:t>
      </w:r>
      <w:r>
        <w:rPr>
          <w:rFonts w:ascii="宋体" w:hAnsi="宋体" w:cs="宋体" w:eastAsia="宋体" w:hint="default"/>
          <w:spacing w:val="134"/>
        </w:rPr>
      </w:r>
      <w:r>
        <w:rPr/>
        <w:t>公司治理</w:t>
      </w:r>
      <w:r>
        <w:rPr>
          <w:b w:val="0"/>
          <w:bCs w:val="0"/>
        </w:rPr>
      </w:r>
    </w:p>
    <w:p>
      <w:pPr>
        <w:pStyle w:val="Heading2"/>
        <w:spacing w:line="240" w:lineRule="auto" w:before="246"/>
        <w:ind w:left="138" w:right="0"/>
        <w:jc w:val="left"/>
        <w:rPr>
          <w:b w:val="0"/>
          <w:bCs w:val="0"/>
        </w:rPr>
      </w:pPr>
      <w:r>
        <w:rPr/>
        <w:t>一、</w:t>
      </w:r>
      <w:r>
        <w:rPr>
          <w:spacing w:val="-4"/>
        </w:rPr>
        <w:t> </w:t>
      </w:r>
      <w:r>
        <w:rPr>
          <w:rFonts w:ascii="宋体" w:hAnsi="宋体" w:cs="宋体" w:eastAsia="宋体" w:hint="default"/>
          <w:spacing w:val="-4"/>
        </w:rPr>
      </w:r>
      <w:r>
        <w:rPr/>
        <w:t>公司治理相关情况说明</w:t>
      </w:r>
      <w:r>
        <w:rPr>
          <w:b w:val="0"/>
          <w:bCs w:val="0"/>
        </w:rPr>
      </w:r>
    </w:p>
    <w:p>
      <w:pPr>
        <w:pStyle w:val="BodyText"/>
        <w:tabs>
          <w:tab w:pos="1469" w:val="left" w:leader="none"/>
        </w:tabs>
        <w:spacing w:line="312" w:lineRule="exact" w:before="88"/>
        <w:ind w:left="618" w:right="234"/>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r>
        <w:rPr>
          <w:spacing w:val="-117"/>
        </w:rPr>
        <w:t> </w:t>
      </w:r>
      <w:r>
        <w:rPr>
          <w:spacing w:val="-2"/>
        </w:rPr>
        <w:t>报告期内，公司严格按照《公司法》、《证券法》和中国证监会、上海证券交易</w:t>
      </w:r>
    </w:p>
    <w:p>
      <w:pPr>
        <w:pStyle w:val="BodyText"/>
        <w:spacing w:line="280" w:lineRule="exact"/>
        <w:ind w:left="138" w:right="0"/>
        <w:jc w:val="left"/>
        <w:rPr>
          <w:rFonts w:ascii="宋体" w:hAnsi="宋体" w:cs="宋体" w:eastAsia="宋体" w:hint="default"/>
        </w:rPr>
      </w:pPr>
      <w:r>
        <w:rPr/>
        <w:t>所有关规定和要求，修订了《公司章程》。公司治理活动开展情况如下：</w:t>
      </w:r>
      <w:r>
        <w:rPr>
          <w:rFonts w:ascii="宋体" w:hAnsi="宋体" w:cs="宋体" w:eastAsia="宋体" w:hint="default"/>
        </w:rPr>
        <w:t> </w:t>
      </w:r>
    </w:p>
    <w:p>
      <w:pPr>
        <w:pStyle w:val="BodyText"/>
        <w:spacing w:line="237" w:lineRule="auto" w:before="1"/>
        <w:ind w:left="138" w:right="0" w:firstLine="479"/>
        <w:jc w:val="left"/>
        <w:rPr>
          <w:rFonts w:ascii="宋体" w:hAnsi="宋体" w:cs="宋体" w:eastAsia="宋体" w:hint="default"/>
        </w:rPr>
      </w:pPr>
      <w:r>
        <w:rPr>
          <w:rFonts w:ascii="宋体" w:hAnsi="宋体" w:cs="宋体" w:eastAsia="宋体" w:hint="default"/>
        </w:rPr>
        <w:t>1</w:t>
      </w:r>
      <w:r>
        <w:rPr/>
        <w:t>、报告期内，公司召开了</w:t>
      </w:r>
      <w:r>
        <w:rPr>
          <w:spacing w:val="-43"/>
        </w:rPr>
        <w:t> </w:t>
      </w:r>
      <w:r>
        <w:rPr>
          <w:rFonts w:ascii="宋体" w:hAnsi="宋体" w:cs="宋体" w:eastAsia="宋体" w:hint="default"/>
        </w:rPr>
        <w:t>1</w:t>
      </w:r>
      <w:r>
        <w:rPr>
          <w:rFonts w:ascii="宋体" w:hAnsi="宋体" w:cs="宋体" w:eastAsia="宋体" w:hint="default"/>
          <w:spacing w:val="-43"/>
        </w:rPr>
        <w:t> </w:t>
      </w:r>
      <w:r>
        <w:rPr/>
        <w:t>次年度股东大会和</w:t>
      </w:r>
      <w:r>
        <w:rPr>
          <w:spacing w:val="-43"/>
        </w:rPr>
        <w:t> </w:t>
      </w:r>
      <w:r>
        <w:rPr>
          <w:rFonts w:ascii="宋体" w:hAnsi="宋体" w:cs="宋体" w:eastAsia="宋体" w:hint="default"/>
        </w:rPr>
        <w:t>1</w:t>
      </w:r>
      <w:r>
        <w:rPr>
          <w:rFonts w:ascii="宋体" w:hAnsi="宋体" w:cs="宋体" w:eastAsia="宋体" w:hint="default"/>
          <w:spacing w:val="-43"/>
        </w:rPr>
        <w:t> </w:t>
      </w:r>
      <w:r>
        <w:rPr/>
        <w:t>次临时股东大会。公司股东大 会的召集、召开等相关程序符合《公司章程》及《股东大会议事规则》的相关规定，</w:t>
      </w:r>
      <w:r>
        <w:rPr>
          <w:spacing w:val="-57"/>
        </w:rPr>
        <w:t> </w:t>
      </w:r>
      <w:r>
        <w:rPr>
          <w:spacing w:val="-57"/>
        </w:rPr>
      </w:r>
      <w:r>
        <w:rPr/>
        <w:t>公司能够确保所有股东尤其是中小股东的合法权益。</w:t>
      </w:r>
      <w:r>
        <w:rPr>
          <w:rFonts w:ascii="宋体" w:hAnsi="宋体" w:cs="宋体" w:eastAsia="宋体" w:hint="default"/>
        </w:rPr>
        <w:t> </w:t>
      </w:r>
    </w:p>
    <w:p>
      <w:pPr>
        <w:pStyle w:val="BodyText"/>
        <w:spacing w:line="237" w:lineRule="auto" w:before="1"/>
        <w:ind w:left="138" w:right="0" w:firstLine="479"/>
        <w:jc w:val="left"/>
        <w:rPr>
          <w:rFonts w:ascii="宋体" w:hAnsi="宋体" w:cs="宋体" w:eastAsia="宋体" w:hint="default"/>
        </w:rPr>
      </w:pPr>
      <w:r>
        <w:rPr>
          <w:rFonts w:ascii="宋体" w:hAnsi="宋体" w:cs="宋体" w:eastAsia="宋体" w:hint="default"/>
        </w:rPr>
        <w:t>2</w:t>
      </w:r>
      <w:r>
        <w:rPr/>
        <w:t>、报告期内，公司共召开了</w:t>
      </w:r>
      <w:r>
        <w:rPr>
          <w:spacing w:val="-41"/>
        </w:rPr>
        <w:t> </w:t>
      </w:r>
      <w:r>
        <w:rPr>
          <w:rFonts w:ascii="宋体" w:hAnsi="宋体" w:cs="宋体" w:eastAsia="宋体" w:hint="default"/>
        </w:rPr>
        <w:t>15</w:t>
      </w:r>
      <w:r>
        <w:rPr>
          <w:rFonts w:ascii="宋体" w:hAnsi="宋体" w:cs="宋体" w:eastAsia="宋体" w:hint="default"/>
          <w:spacing w:val="-41"/>
        </w:rPr>
        <w:t> </w:t>
      </w:r>
      <w:r>
        <w:rPr/>
        <w:t>次董事会和</w:t>
      </w:r>
      <w:r>
        <w:rPr>
          <w:spacing w:val="-43"/>
        </w:rPr>
        <w:t> </w:t>
      </w:r>
      <w:r>
        <w:rPr>
          <w:rFonts w:ascii="宋体" w:hAnsi="宋体" w:cs="宋体" w:eastAsia="宋体" w:hint="default"/>
        </w:rPr>
        <w:t>15</w:t>
      </w:r>
      <w:r>
        <w:rPr>
          <w:rFonts w:ascii="宋体" w:hAnsi="宋体" w:cs="宋体" w:eastAsia="宋体" w:hint="default"/>
          <w:spacing w:val="-41"/>
        </w:rPr>
        <w:t> </w:t>
      </w:r>
      <w:r>
        <w:rPr/>
        <w:t>次董事会专门委员会会议。公司 董事会专门委员会对公司的发展规划、财务审计、关联交易、对外投资、股权激励和 </w:t>
      </w:r>
      <w:r>
        <w:rPr>
          <w:spacing w:val="-5"/>
        </w:rPr>
        <w:t>内部控制等进行研究并召开相关会议，充分发挥专业作用，加强了公司决策的科学性，</w:t>
      </w:r>
      <w:r>
        <w:rPr>
          <w:spacing w:val="-98"/>
        </w:rPr>
        <w:t> </w:t>
      </w:r>
      <w:r>
        <w:rPr>
          <w:spacing w:val="-98"/>
        </w:rPr>
      </w:r>
      <w:r>
        <w:rPr/>
        <w:t>提高了重大事项决策的效益和质量。</w:t>
      </w:r>
      <w:r>
        <w:rPr>
          <w:rFonts w:ascii="宋体" w:hAnsi="宋体" w:cs="宋体" w:eastAsia="宋体" w:hint="default"/>
        </w:rPr>
        <w:t> </w:t>
      </w:r>
    </w:p>
    <w:p>
      <w:pPr>
        <w:pStyle w:val="BodyText"/>
        <w:spacing w:line="237" w:lineRule="auto" w:before="1"/>
        <w:ind w:left="138" w:right="232" w:firstLine="479"/>
        <w:jc w:val="both"/>
        <w:rPr>
          <w:rFonts w:ascii="宋体" w:hAnsi="宋体" w:cs="宋体" w:eastAsia="宋体" w:hint="default"/>
        </w:rPr>
      </w:pPr>
      <w:r>
        <w:rPr>
          <w:rFonts w:ascii="宋体" w:hAnsi="宋体" w:cs="宋体" w:eastAsia="宋体" w:hint="default"/>
        </w:rPr>
        <w:t>3</w:t>
      </w:r>
      <w:r>
        <w:rPr/>
        <w:t>、报告期内，公司共召开了 </w:t>
      </w:r>
      <w:r>
        <w:rPr>
          <w:rFonts w:ascii="宋体" w:hAnsi="宋体" w:cs="宋体" w:eastAsia="宋体" w:hint="default"/>
        </w:rPr>
        <w:t>8</w:t>
      </w:r>
      <w:r>
        <w:rPr>
          <w:rFonts w:ascii="宋体" w:hAnsi="宋体" w:cs="宋体" w:eastAsia="宋体" w:hint="default"/>
          <w:spacing w:val="-47"/>
        </w:rPr>
        <w:t> </w:t>
      </w:r>
      <w:r>
        <w:rPr/>
        <w:t>次监事会会议。除监事会日常工作外，全体监事 </w:t>
      </w:r>
      <w:r>
        <w:rPr>
          <w:spacing w:val="-2"/>
        </w:rPr>
        <w:t>全部列席公司的董事会会议，及时全面掌握公司的经营情况，履行对董事会和管理层</w:t>
      </w:r>
      <w:r>
        <w:rPr>
          <w:spacing w:val="-94"/>
        </w:rPr>
        <w:t> </w:t>
      </w:r>
      <w:r>
        <w:rPr>
          <w:spacing w:val="-94"/>
        </w:rPr>
      </w:r>
      <w:r>
        <w:rPr>
          <w:spacing w:val="-2"/>
        </w:rPr>
        <w:t>的监督职责。公司监事会的人数和人员构成符合相关法律、法规和《公司章程》的要</w:t>
      </w:r>
      <w:r>
        <w:rPr>
          <w:spacing w:val="-94"/>
        </w:rPr>
        <w:t> </w:t>
      </w:r>
      <w:r>
        <w:rPr>
          <w:spacing w:val="-94"/>
        </w:rPr>
      </w:r>
      <w:r>
        <w:rPr>
          <w:spacing w:val="-2"/>
        </w:rPr>
        <w:t>求，公司监事能够认真履行自己的职责，能够本着为股东负责的态度，对公司董事及</w:t>
      </w:r>
      <w:r>
        <w:rPr>
          <w:spacing w:val="-96"/>
        </w:rPr>
        <w:t> </w:t>
      </w:r>
      <w:r>
        <w:rPr>
          <w:spacing w:val="-96"/>
        </w:rPr>
      </w:r>
      <w:r>
        <w:rPr/>
        <w:t>高级管理人员履行职责的合法合规性进行监督。</w:t>
      </w:r>
      <w:r>
        <w:rPr>
          <w:rFonts w:ascii="宋体" w:hAnsi="宋体" w:cs="宋体" w:eastAsia="宋体" w:hint="default"/>
        </w:rPr>
        <w:t> </w:t>
      </w:r>
    </w:p>
    <w:p>
      <w:pPr>
        <w:pStyle w:val="BodyText"/>
        <w:spacing w:line="237" w:lineRule="auto"/>
        <w:ind w:left="138" w:right="0" w:firstLine="479"/>
        <w:jc w:val="left"/>
        <w:rPr>
          <w:rFonts w:ascii="宋体" w:hAnsi="宋体" w:cs="宋体" w:eastAsia="宋体" w:hint="default"/>
        </w:rPr>
      </w:pPr>
      <w:r>
        <w:rPr>
          <w:rFonts w:ascii="宋体" w:hAnsi="宋体" w:cs="宋体" w:eastAsia="宋体" w:hint="default"/>
        </w:rPr>
        <w:t>4</w:t>
      </w:r>
      <w:r>
        <w:rPr/>
        <w:t>、公司按照《公司法》、《上海证券交易所股票上市规则》及《公司章程》等</w:t>
      </w:r>
      <w:r>
        <w:rPr>
          <w:spacing w:val="2"/>
        </w:rPr>
        <w:t> </w:t>
      </w:r>
      <w:r>
        <w:rPr/>
        <w:t>相关规定，真实、准确、完整、及时、公平地披露信息。公司不断完善投资者关系管</w:t>
      </w:r>
      <w:r>
        <w:rPr/>
        <w:t> 理工作，通过组织投资者交流会、接待股东来访、回答咨询等多种方式增强信息披露 的透明度，并指定《上海证券报》、《中国证券报》、《证券时报》、《证券日报》</w:t>
      </w:r>
      <w:r>
        <w:rPr>
          <w:spacing w:val="-57"/>
        </w:rPr>
        <w:t> </w:t>
      </w:r>
      <w:r>
        <w:rPr>
          <w:spacing w:val="-57"/>
        </w:rPr>
      </w:r>
      <w:r>
        <w:rPr/>
        <w:t>以及上海证券交易所网站（</w:t>
      </w:r>
      <w:hyperlink r:id="rId11">
        <w:r>
          <w:rPr>
            <w:rFonts w:ascii="宋体" w:hAnsi="宋体" w:cs="宋体" w:eastAsia="宋体" w:hint="default"/>
          </w:rPr>
          <w:t>www.sse.com.cn</w:t>
        </w:r>
      </w:hyperlink>
      <w:r>
        <w:rPr/>
        <w:t>）为公司信息披露的媒体，确保所有股东 及时、公平获得信息。</w:t>
      </w:r>
      <w:r>
        <w:rPr>
          <w:rFonts w:ascii="宋体" w:hAnsi="宋体" w:cs="宋体" w:eastAsia="宋体" w:hint="default"/>
        </w:rPr>
        <w:t> </w:t>
      </w:r>
    </w:p>
    <w:p>
      <w:pPr>
        <w:pStyle w:val="BodyText"/>
        <w:spacing w:line="237" w:lineRule="auto"/>
        <w:ind w:left="138" w:right="229" w:firstLine="479"/>
        <w:jc w:val="left"/>
      </w:pPr>
      <w:r>
        <w:rPr>
          <w:rFonts w:ascii="宋体" w:hAnsi="宋体" w:cs="宋体" w:eastAsia="宋体" w:hint="default"/>
          <w:spacing w:val="-5"/>
        </w:rPr>
        <w:t>5</w:t>
      </w:r>
      <w:r>
        <w:rPr>
          <w:spacing w:val="-5"/>
        </w:rPr>
        <w:t>、公司通过安排董事、监事、高管积极参加证券监管部门组织的专项培训活动，</w:t>
      </w:r>
      <w:r>
        <w:rPr/>
        <w:t> </w:t>
      </w:r>
      <w:r>
        <w:rPr>
          <w:spacing w:val="-2"/>
        </w:rPr>
        <w:t>使公司董事、监事、高管进一步增强了法制意识、责任意识，公司治理知识结构得到</w:t>
      </w:r>
      <w:r>
        <w:rPr>
          <w:spacing w:val="-94"/>
        </w:rPr>
        <w:t> </w:t>
      </w:r>
      <w:r>
        <w:rPr>
          <w:spacing w:val="-94"/>
        </w:rPr>
      </w:r>
      <w:r>
        <w:rPr>
          <w:spacing w:val="-2"/>
        </w:rPr>
        <w:t>更新和加强，促使董事、监事、高管更加忠实、勤勉地履行义务，提高公司决策和管</w:t>
      </w:r>
      <w:r>
        <w:rPr>
          <w:spacing w:val="-96"/>
        </w:rPr>
        <w:t> </w:t>
      </w:r>
      <w:r>
        <w:rPr>
          <w:spacing w:val="-96"/>
        </w:rPr>
      </w:r>
      <w:r>
        <w:rPr/>
        <w:t>理的规范性。</w:t>
      </w:r>
      <w:r>
        <w:rPr>
          <w:rFonts w:ascii="宋体" w:hAnsi="宋体" w:cs="宋体" w:eastAsia="宋体" w:hint="default"/>
        </w:rPr>
        <w:t> 6</w:t>
      </w:r>
      <w:r>
        <w:rPr/>
        <w:t>、公司治理的完善是一项长期的系统工程，需要持续地改进和提高。公司将继续根 </w:t>
      </w:r>
      <w:r>
        <w:rPr>
          <w:spacing w:val="-2"/>
        </w:rPr>
        <w:t>据有关规定及时完善公司制度，不断强化企业管理，夯实管理基础，通过完善法人治</w:t>
      </w:r>
      <w:r>
        <w:rPr>
          <w:spacing w:val="-92"/>
        </w:rPr>
        <w:t> </w:t>
      </w:r>
      <w:r>
        <w:rPr>
          <w:spacing w:val="-92"/>
        </w:rPr>
      </w:r>
      <w:r>
        <w:rPr>
          <w:spacing w:val="-2"/>
        </w:rPr>
        <w:t>理、优化内部管理，加强科学决策与内部控制，不断提升公司规范运作和法人治理水</w:t>
      </w:r>
      <w:r>
        <w:rPr>
          <w:spacing w:val="-93"/>
        </w:rPr>
        <w:t> </w:t>
      </w:r>
      <w:r>
        <w:rPr>
          <w:spacing w:val="-93"/>
        </w:rPr>
      </w:r>
      <w:r>
        <w:rPr/>
        <w:t>平，促进公司平稳健康发展。</w:t>
      </w:r>
    </w:p>
    <w:p>
      <w:pPr>
        <w:spacing w:line="240" w:lineRule="auto" w:before="5"/>
        <w:rPr>
          <w:rFonts w:ascii="宋体" w:hAnsi="宋体" w:cs="宋体" w:eastAsia="宋体" w:hint="default"/>
          <w:sz w:val="23"/>
          <w:szCs w:val="23"/>
        </w:rPr>
      </w:pPr>
    </w:p>
    <w:p>
      <w:pPr>
        <w:pStyle w:val="BodyText"/>
        <w:spacing w:line="312" w:lineRule="exact"/>
        <w:ind w:left="138" w:right="0" w:firstLine="479"/>
        <w:jc w:val="left"/>
        <w:rPr>
          <w:rFonts w:ascii="宋体" w:hAnsi="宋体" w:cs="宋体" w:eastAsia="宋体" w:hint="default"/>
        </w:rPr>
      </w:pPr>
      <w:r>
        <w:rPr>
          <w:spacing w:val="-2"/>
        </w:rPr>
        <w:t>报告期内，公司严格按照《公司法》、《证券法》和中国证监会、上海证券交易</w:t>
      </w:r>
      <w:r>
        <w:rPr/>
        <w:t> 所有关规定和要求，修订了《公司章程》。公司治理活动开展情况如下：</w:t>
      </w:r>
      <w:r>
        <w:rPr>
          <w:rFonts w:ascii="宋体" w:hAnsi="宋体" w:cs="宋体" w:eastAsia="宋体" w:hint="default"/>
        </w:rPr>
        <w:t> </w:t>
      </w:r>
    </w:p>
    <w:p>
      <w:pPr>
        <w:pStyle w:val="BodyText"/>
        <w:spacing w:line="280" w:lineRule="exact"/>
        <w:ind w:left="618" w:right="0"/>
        <w:jc w:val="left"/>
      </w:pPr>
      <w:r>
        <w:rPr>
          <w:rFonts w:ascii="宋体" w:hAnsi="宋体" w:cs="宋体" w:eastAsia="宋体" w:hint="default"/>
        </w:rPr>
        <w:t>1</w:t>
      </w:r>
      <w:r>
        <w:rPr/>
        <w:t>、报告期内，公司召开了</w:t>
      </w:r>
      <w:r>
        <w:rPr>
          <w:spacing w:val="-43"/>
        </w:rPr>
        <w:t> </w:t>
      </w:r>
      <w:r>
        <w:rPr>
          <w:rFonts w:ascii="宋体" w:hAnsi="宋体" w:cs="宋体" w:eastAsia="宋体" w:hint="default"/>
        </w:rPr>
        <w:t>1</w:t>
      </w:r>
      <w:r>
        <w:rPr>
          <w:rFonts w:ascii="宋体" w:hAnsi="宋体" w:cs="宋体" w:eastAsia="宋体" w:hint="default"/>
          <w:spacing w:val="-43"/>
        </w:rPr>
        <w:t> </w:t>
      </w:r>
      <w:r>
        <w:rPr/>
        <w:t>次年度股东大会和</w:t>
      </w:r>
      <w:r>
        <w:rPr>
          <w:spacing w:val="-43"/>
        </w:rPr>
        <w:t> </w:t>
      </w:r>
      <w:r>
        <w:rPr>
          <w:rFonts w:ascii="宋体" w:hAnsi="宋体" w:cs="宋体" w:eastAsia="宋体" w:hint="default"/>
        </w:rPr>
        <w:t>1</w:t>
      </w:r>
      <w:r>
        <w:rPr>
          <w:rFonts w:ascii="宋体" w:hAnsi="宋体" w:cs="宋体" w:eastAsia="宋体" w:hint="default"/>
          <w:spacing w:val="-43"/>
        </w:rPr>
        <w:t> </w:t>
      </w:r>
      <w:r>
        <w:rPr/>
        <w:t>次临时股东大会。公司股东大</w:t>
      </w:r>
    </w:p>
    <w:p>
      <w:pPr>
        <w:pStyle w:val="BodyText"/>
        <w:spacing w:line="312" w:lineRule="exact" w:before="29"/>
        <w:ind w:left="138" w:right="0"/>
        <w:jc w:val="left"/>
        <w:rPr>
          <w:rFonts w:ascii="宋体" w:hAnsi="宋体" w:cs="宋体" w:eastAsia="宋体" w:hint="default"/>
        </w:rPr>
      </w:pPr>
      <w:r>
        <w:rPr/>
        <w:t>会的召集、召开等相关程序符合《公司章程》及《股东大会议事规则》的相关规定，</w:t>
      </w:r>
      <w:r>
        <w:rPr>
          <w:spacing w:val="-57"/>
        </w:rPr>
        <w:t> </w:t>
      </w:r>
      <w:r>
        <w:rPr>
          <w:spacing w:val="-57"/>
        </w:rPr>
      </w:r>
      <w:r>
        <w:rPr/>
        <w:t>公司能够确保所有股东尤其是中小股东的合法权益。</w:t>
      </w:r>
      <w:r>
        <w:rPr>
          <w:rFonts w:ascii="宋体" w:hAnsi="宋体" w:cs="宋体" w:eastAsia="宋体" w:hint="default"/>
        </w:rPr>
        <w:t> </w:t>
      </w:r>
    </w:p>
    <w:p>
      <w:pPr>
        <w:pStyle w:val="BodyText"/>
        <w:spacing w:line="280" w:lineRule="exact"/>
        <w:ind w:left="138" w:right="0" w:firstLine="479"/>
        <w:jc w:val="left"/>
      </w:pPr>
      <w:r>
        <w:rPr>
          <w:rFonts w:ascii="宋体" w:hAnsi="宋体" w:cs="宋体" w:eastAsia="宋体" w:hint="default"/>
        </w:rPr>
        <w:t>2</w:t>
      </w:r>
      <w:r>
        <w:rPr/>
        <w:t>、报告期内，公司共召开了</w:t>
      </w:r>
      <w:r>
        <w:rPr>
          <w:spacing w:val="-41"/>
        </w:rPr>
        <w:t> </w:t>
      </w:r>
      <w:r>
        <w:rPr>
          <w:rFonts w:ascii="宋体" w:hAnsi="宋体" w:cs="宋体" w:eastAsia="宋体" w:hint="default"/>
        </w:rPr>
        <w:t>15</w:t>
      </w:r>
      <w:r>
        <w:rPr>
          <w:rFonts w:ascii="宋体" w:hAnsi="宋体" w:cs="宋体" w:eastAsia="宋体" w:hint="default"/>
          <w:spacing w:val="-41"/>
        </w:rPr>
        <w:t> </w:t>
      </w:r>
      <w:r>
        <w:rPr/>
        <w:t>次董事会和</w:t>
      </w:r>
      <w:r>
        <w:rPr>
          <w:spacing w:val="-43"/>
        </w:rPr>
        <w:t> </w:t>
      </w:r>
      <w:r>
        <w:rPr>
          <w:rFonts w:ascii="宋体" w:hAnsi="宋体" w:cs="宋体" w:eastAsia="宋体" w:hint="default"/>
        </w:rPr>
        <w:t>15</w:t>
      </w:r>
      <w:r>
        <w:rPr>
          <w:rFonts w:ascii="宋体" w:hAnsi="宋体" w:cs="宋体" w:eastAsia="宋体" w:hint="default"/>
          <w:spacing w:val="-41"/>
        </w:rPr>
        <w:t> </w:t>
      </w:r>
      <w:r>
        <w:rPr/>
        <w:t>次董事会专门委员会会议。公司</w:t>
      </w:r>
    </w:p>
    <w:p>
      <w:pPr>
        <w:pStyle w:val="BodyText"/>
        <w:spacing w:line="237" w:lineRule="auto" w:before="1"/>
        <w:ind w:left="138" w:right="0"/>
        <w:jc w:val="left"/>
        <w:rPr>
          <w:rFonts w:ascii="宋体" w:hAnsi="宋体" w:cs="宋体" w:eastAsia="宋体" w:hint="default"/>
        </w:rPr>
      </w:pPr>
      <w:r>
        <w:rPr/>
        <w:t>董事会专门委员会对公司的发展规划、财务审计、关联交易、对外投资、股权激励和 </w:t>
      </w:r>
      <w:r>
        <w:rPr>
          <w:spacing w:val="-5"/>
        </w:rPr>
        <w:t>内部控制等进行研究并召开相关会议，充分发挥专业作用，加强了公司决策的科学性，</w:t>
      </w:r>
      <w:r>
        <w:rPr>
          <w:spacing w:val="-98"/>
        </w:rPr>
        <w:t> </w:t>
      </w:r>
      <w:r>
        <w:rPr>
          <w:spacing w:val="-98"/>
        </w:rPr>
      </w:r>
      <w:r>
        <w:rPr/>
        <w:t>提高了重大事项决策的效益和质量。</w:t>
      </w:r>
      <w:r>
        <w:rPr>
          <w:rFonts w:ascii="宋体" w:hAnsi="宋体" w:cs="宋体" w:eastAsia="宋体" w:hint="default"/>
        </w:rPr>
        <w:t> </w:t>
      </w:r>
    </w:p>
    <w:p>
      <w:pPr>
        <w:spacing w:after="0" w:line="237" w:lineRule="auto"/>
        <w:jc w:val="left"/>
        <w:rPr>
          <w:rFonts w:ascii="宋体" w:hAnsi="宋体" w:cs="宋体" w:eastAsia="宋体" w:hint="default"/>
        </w:rPr>
        <w:sectPr>
          <w:pgSz w:w="11910" w:h="16840"/>
          <w:pgMar w:header="877" w:footer="1195" w:top="1100" w:bottom="1380" w:left="1660" w:right="1040"/>
        </w:sectPr>
      </w:pPr>
    </w:p>
    <w:p>
      <w:pPr>
        <w:spacing w:line="240" w:lineRule="auto" w:before="13"/>
        <w:rPr>
          <w:rFonts w:ascii="宋体" w:hAnsi="宋体" w:cs="宋体" w:eastAsia="宋体" w:hint="default"/>
          <w:sz w:val="25"/>
          <w:szCs w:val="25"/>
        </w:rPr>
      </w:pPr>
    </w:p>
    <w:p>
      <w:pPr>
        <w:pStyle w:val="BodyText"/>
        <w:spacing w:line="237" w:lineRule="auto" w:before="28"/>
        <w:ind w:left="218" w:right="233" w:firstLine="479"/>
        <w:jc w:val="both"/>
        <w:rPr>
          <w:rFonts w:ascii="宋体" w:hAnsi="宋体" w:cs="宋体" w:eastAsia="宋体" w:hint="default"/>
        </w:rPr>
      </w:pPr>
      <w:r>
        <w:rPr>
          <w:rFonts w:ascii="宋体" w:hAnsi="宋体" w:cs="宋体" w:eastAsia="宋体" w:hint="default"/>
        </w:rPr>
        <w:t>3</w:t>
      </w:r>
      <w:r>
        <w:rPr/>
        <w:t>、报告期内，公司共召开了 </w:t>
      </w:r>
      <w:r>
        <w:rPr>
          <w:rFonts w:ascii="宋体" w:hAnsi="宋体" w:cs="宋体" w:eastAsia="宋体" w:hint="default"/>
        </w:rPr>
        <w:t>8</w:t>
      </w:r>
      <w:r>
        <w:rPr>
          <w:rFonts w:ascii="宋体" w:hAnsi="宋体" w:cs="宋体" w:eastAsia="宋体" w:hint="default"/>
          <w:spacing w:val="-48"/>
        </w:rPr>
        <w:t> </w:t>
      </w:r>
      <w:r>
        <w:rPr/>
        <w:t>次监事会会议。除监事会日常工作外，全体监事 </w:t>
      </w:r>
      <w:r>
        <w:rPr>
          <w:spacing w:val="-2"/>
        </w:rPr>
        <w:t>全部列席公司的董事会会议，及时全面掌握公司的经营情况，履行对董事会和管理层</w:t>
      </w:r>
      <w:r>
        <w:rPr>
          <w:spacing w:val="-94"/>
        </w:rPr>
        <w:t> </w:t>
      </w:r>
      <w:r>
        <w:rPr>
          <w:spacing w:val="-94"/>
        </w:rPr>
      </w:r>
      <w:r>
        <w:rPr>
          <w:spacing w:val="-2"/>
        </w:rPr>
        <w:t>的监督职责。公司监事会的人数和人员构成符合相关法律、法规和《公司章程》的要</w:t>
      </w:r>
      <w:r>
        <w:rPr>
          <w:spacing w:val="-94"/>
        </w:rPr>
        <w:t> </w:t>
      </w:r>
      <w:r>
        <w:rPr>
          <w:spacing w:val="-94"/>
        </w:rPr>
      </w:r>
      <w:r>
        <w:rPr>
          <w:spacing w:val="-2"/>
        </w:rPr>
        <w:t>求，公司监事能够认真履行自己的职责，能够本着为股东负责的态度，对公司董事及</w:t>
      </w:r>
      <w:r>
        <w:rPr>
          <w:spacing w:val="-96"/>
        </w:rPr>
        <w:t> </w:t>
      </w:r>
      <w:r>
        <w:rPr>
          <w:spacing w:val="-96"/>
        </w:rPr>
      </w:r>
      <w:r>
        <w:rPr/>
        <w:t>高级管理人员履行职责的合法合规性进行监督。</w:t>
      </w:r>
      <w:r>
        <w:rPr>
          <w:rFonts w:ascii="宋体" w:hAnsi="宋体" w:cs="宋体" w:eastAsia="宋体" w:hint="default"/>
        </w:rPr>
        <w:t> </w:t>
      </w:r>
    </w:p>
    <w:p>
      <w:pPr>
        <w:pStyle w:val="BodyText"/>
        <w:spacing w:line="237" w:lineRule="auto" w:before="1"/>
        <w:ind w:left="218" w:right="0" w:firstLine="479"/>
        <w:jc w:val="left"/>
        <w:rPr>
          <w:rFonts w:ascii="宋体" w:hAnsi="宋体" w:cs="宋体" w:eastAsia="宋体" w:hint="default"/>
        </w:rPr>
      </w:pPr>
      <w:r>
        <w:rPr>
          <w:rFonts w:ascii="宋体" w:hAnsi="宋体" w:cs="宋体" w:eastAsia="宋体" w:hint="default"/>
        </w:rPr>
        <w:t>4</w:t>
      </w:r>
      <w:r>
        <w:rPr/>
        <w:t>、公司按照《公司法》、《上海证券交易所股票上市规则》及《公司章程》等</w:t>
      </w:r>
      <w:r>
        <w:rPr>
          <w:spacing w:val="2"/>
        </w:rPr>
        <w:t> </w:t>
      </w:r>
      <w:r>
        <w:rPr/>
        <w:t>相关规定，真实、准确、完整、及时、公平地披露信息。公司不断完善投资者关系管</w:t>
      </w:r>
      <w:r>
        <w:rPr/>
        <w:t> 理工作，通过组织投资者交流会、接待股东来访、回答咨询等多种方式增强信息披露 的透明度，并指定《上海证券报》、《中国证券报》、《证券时报》、《证券日报》</w:t>
      </w:r>
      <w:r>
        <w:rPr>
          <w:spacing w:val="-57"/>
        </w:rPr>
        <w:t> </w:t>
      </w:r>
      <w:r>
        <w:rPr>
          <w:spacing w:val="-57"/>
        </w:rPr>
      </w:r>
      <w:r>
        <w:rPr/>
        <w:t>以及上海证券交易所网站（</w:t>
      </w:r>
      <w:hyperlink r:id="rId11">
        <w:r>
          <w:rPr>
            <w:rFonts w:ascii="宋体" w:hAnsi="宋体" w:cs="宋体" w:eastAsia="宋体" w:hint="default"/>
          </w:rPr>
          <w:t>www.sse.com.cn</w:t>
        </w:r>
      </w:hyperlink>
      <w:r>
        <w:rPr/>
        <w:t>）为公司信息披露的媒体，确保所有股东 及时、公平获得信息。</w:t>
      </w:r>
      <w:r>
        <w:rPr>
          <w:rFonts w:ascii="宋体" w:hAnsi="宋体" w:cs="宋体" w:eastAsia="宋体" w:hint="default"/>
        </w:rPr>
        <w:t> </w:t>
      </w:r>
    </w:p>
    <w:p>
      <w:pPr>
        <w:pStyle w:val="BodyText"/>
        <w:spacing w:line="237" w:lineRule="auto" w:before="1"/>
        <w:ind w:left="218" w:right="233" w:firstLine="479"/>
        <w:jc w:val="both"/>
        <w:rPr>
          <w:rFonts w:ascii="宋体" w:hAnsi="宋体" w:cs="宋体" w:eastAsia="宋体" w:hint="default"/>
        </w:rPr>
      </w:pPr>
      <w:r>
        <w:rPr>
          <w:rFonts w:ascii="宋体" w:hAnsi="宋体" w:cs="宋体" w:eastAsia="宋体" w:hint="default"/>
          <w:spacing w:val="-5"/>
        </w:rPr>
        <w:t>5</w:t>
      </w:r>
      <w:r>
        <w:rPr>
          <w:spacing w:val="-5"/>
        </w:rPr>
        <w:t>、公司通过安排董事、监事、高管积极参加证券监管部门组织的专项培训活动，</w:t>
      </w:r>
      <w:r>
        <w:rPr/>
        <w:t> </w:t>
      </w:r>
      <w:r>
        <w:rPr>
          <w:spacing w:val="-2"/>
        </w:rPr>
        <w:t>使公司董事、监事、高管进一步增强了法制意识、责任意识，公司治理知识结构得到</w:t>
      </w:r>
      <w:r>
        <w:rPr>
          <w:spacing w:val="-95"/>
        </w:rPr>
        <w:t> </w:t>
      </w:r>
      <w:r>
        <w:rPr>
          <w:spacing w:val="-95"/>
        </w:rPr>
      </w:r>
      <w:r>
        <w:rPr>
          <w:spacing w:val="-2"/>
        </w:rPr>
        <w:t>更新和加强，促使董事、监事、高管更加忠实、勤勉地履行义务，提高公司决策和管</w:t>
      </w:r>
      <w:r>
        <w:rPr>
          <w:spacing w:val="-96"/>
        </w:rPr>
        <w:t> </w:t>
      </w:r>
      <w:r>
        <w:rPr>
          <w:spacing w:val="-96"/>
        </w:rPr>
      </w:r>
      <w:r>
        <w:rPr/>
        <w:t>理的规范性。</w:t>
      </w:r>
      <w:r>
        <w:rPr>
          <w:rFonts w:ascii="宋体" w:hAnsi="宋体" w:cs="宋体" w:eastAsia="宋体" w:hint="default"/>
        </w:rPr>
        <w:t> </w:t>
      </w:r>
    </w:p>
    <w:p>
      <w:pPr>
        <w:pStyle w:val="BodyText"/>
        <w:spacing w:line="237" w:lineRule="auto" w:before="1"/>
        <w:ind w:left="218" w:right="229" w:firstLine="479"/>
        <w:jc w:val="both"/>
        <w:rPr>
          <w:rFonts w:ascii="宋体" w:hAnsi="宋体" w:cs="宋体" w:eastAsia="宋体" w:hint="default"/>
        </w:rPr>
      </w:pPr>
      <w:r>
        <w:rPr>
          <w:rFonts w:ascii="宋体" w:hAnsi="宋体" w:cs="宋体" w:eastAsia="宋体" w:hint="default"/>
        </w:rPr>
        <w:t>6</w:t>
      </w:r>
      <w:r>
        <w:rPr/>
        <w:t>、公司治理的完善是一项长期的系统工程，需要持续地改进和提高。公司将继</w:t>
      </w:r>
      <w:r>
        <w:rPr>
          <w:spacing w:val="2"/>
        </w:rPr>
        <w:t> </w:t>
      </w:r>
      <w:r>
        <w:rPr>
          <w:spacing w:val="-2"/>
        </w:rPr>
        <w:t>续根据有关规定及时完善公司制度，不断强化企业管理，夯实管理基础，通过完善法</w:t>
      </w:r>
      <w:r>
        <w:rPr>
          <w:spacing w:val="-96"/>
        </w:rPr>
        <w:t> </w:t>
      </w:r>
      <w:r>
        <w:rPr>
          <w:spacing w:val="-96"/>
        </w:rPr>
      </w:r>
      <w:r>
        <w:rPr>
          <w:spacing w:val="-2"/>
        </w:rPr>
        <w:t>人治理、优化内部管理，加强科学决策与内部控制，不断提升公司规范运作和法人治</w:t>
      </w:r>
      <w:r>
        <w:rPr>
          <w:spacing w:val="-94"/>
        </w:rPr>
        <w:t> </w:t>
      </w:r>
      <w:r>
        <w:rPr>
          <w:spacing w:val="-94"/>
        </w:rPr>
      </w:r>
      <w:r>
        <w:rPr/>
        <w:t>理水平，促进公司平稳健康发展。</w:t>
      </w:r>
      <w:r>
        <w:rPr>
          <w:rFonts w:ascii="宋体" w:hAnsi="宋体" w:cs="宋体" w:eastAsia="宋体" w:hint="default"/>
        </w:rPr>
        <w:t> </w:t>
      </w:r>
    </w:p>
    <w:p>
      <w:pPr>
        <w:spacing w:line="240" w:lineRule="auto" w:before="2"/>
        <w:rPr>
          <w:rFonts w:ascii="宋体" w:hAnsi="宋体" w:cs="宋体" w:eastAsia="宋体" w:hint="default"/>
          <w:sz w:val="23"/>
          <w:szCs w:val="23"/>
        </w:rPr>
      </w:pPr>
    </w:p>
    <w:p>
      <w:pPr>
        <w:pStyle w:val="BodyText"/>
        <w:spacing w:line="312" w:lineRule="exact"/>
        <w:ind w:left="218" w:right="0"/>
        <w:jc w:val="left"/>
      </w:pPr>
      <w:r>
        <w:rPr>
          <w:spacing w:val="-2"/>
        </w:rPr>
        <w:t>公司治理与中国证监会相关规定的要求是否存在重大差异；如有重大差异，应当说明</w:t>
      </w:r>
      <w:r>
        <w:rPr>
          <w:spacing w:val="-94"/>
        </w:rPr>
        <w:t> </w:t>
      </w:r>
      <w:r>
        <w:rPr>
          <w:spacing w:val="-94"/>
        </w:rPr>
      </w:r>
      <w:r>
        <w:rPr/>
        <w:t>原因</w:t>
      </w:r>
    </w:p>
    <w:p>
      <w:pPr>
        <w:pStyle w:val="BodyText"/>
        <w:spacing w:line="302" w:lineRule="exact"/>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t>二、</w:t>
      </w:r>
      <w:r>
        <w:rPr>
          <w:spacing w:val="-4"/>
        </w:rPr>
        <w:t> </w:t>
      </w:r>
      <w:r>
        <w:rPr>
          <w:rFonts w:ascii="宋体" w:hAnsi="宋体" w:cs="宋体" w:eastAsia="宋体" w:hint="default"/>
          <w:spacing w:val="-4"/>
        </w:rPr>
      </w:r>
      <w:r>
        <w:rPr/>
        <w:t>股东大会情况简介</w:t>
      </w:r>
      <w:r>
        <w:rPr>
          <w:b w:val="0"/>
          <w:bCs w:val="0"/>
        </w:rPr>
      </w:r>
    </w:p>
    <w:p>
      <w:pPr>
        <w:spacing w:line="240" w:lineRule="auto" w:before="4"/>
        <w:rPr>
          <w:rFonts w:ascii="宋体" w:hAnsi="宋体" w:cs="宋体" w:eastAsia="宋体" w:hint="default"/>
          <w:b/>
          <w:bCs/>
          <w:sz w:val="7"/>
          <w:szCs w:val="7"/>
        </w:rPr>
      </w:pPr>
    </w:p>
    <w:tbl>
      <w:tblPr>
        <w:tblW w:w="0" w:type="auto"/>
        <w:jc w:val="left"/>
        <w:tblInd w:w="105" w:type="dxa"/>
        <w:tblLayout w:type="fixed"/>
        <w:tblCellMar>
          <w:top w:w="0" w:type="dxa"/>
          <w:left w:w="0" w:type="dxa"/>
          <w:bottom w:w="0" w:type="dxa"/>
          <w:right w:w="0" w:type="dxa"/>
        </w:tblCellMar>
        <w:tblLook w:val="01E0"/>
      </w:tblPr>
      <w:tblGrid>
        <w:gridCol w:w="2312"/>
        <w:gridCol w:w="2165"/>
        <w:gridCol w:w="2408"/>
        <w:gridCol w:w="2165"/>
      </w:tblGrid>
      <w:tr>
        <w:trPr>
          <w:trHeight w:val="634"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669" w:right="0"/>
              <w:jc w:val="left"/>
              <w:rPr>
                <w:rFonts w:ascii="宋体" w:hAnsi="宋体" w:cs="宋体" w:eastAsia="宋体" w:hint="default"/>
                <w:sz w:val="24"/>
                <w:szCs w:val="24"/>
              </w:rPr>
            </w:pPr>
            <w:r>
              <w:rPr>
                <w:rFonts w:ascii="宋体" w:hAnsi="宋体" w:cs="宋体" w:eastAsia="宋体" w:hint="default"/>
                <w:sz w:val="24"/>
                <w:szCs w:val="24"/>
              </w:rPr>
              <w:t>会议届次</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595" w:right="0"/>
              <w:jc w:val="left"/>
              <w:rPr>
                <w:rFonts w:ascii="宋体" w:hAnsi="宋体" w:cs="宋体" w:eastAsia="宋体" w:hint="default"/>
                <w:sz w:val="24"/>
                <w:szCs w:val="24"/>
              </w:rPr>
            </w:pPr>
            <w:r>
              <w:rPr>
                <w:rFonts w:ascii="宋体" w:hAnsi="宋体" w:cs="宋体" w:eastAsia="宋体" w:hint="default"/>
                <w:sz w:val="24"/>
                <w:szCs w:val="24"/>
              </w:rPr>
              <w:t>召开日期</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决议刊登的指定网站</w:t>
            </w:r>
          </w:p>
          <w:p>
            <w:pPr>
              <w:pStyle w:val="TableParagraph"/>
              <w:spacing w:line="313" w:lineRule="exact"/>
              <w:ind w:right="1"/>
              <w:jc w:val="center"/>
              <w:rPr>
                <w:rFonts w:ascii="宋体" w:hAnsi="宋体" w:cs="宋体" w:eastAsia="宋体" w:hint="default"/>
                <w:sz w:val="24"/>
                <w:szCs w:val="24"/>
              </w:rPr>
            </w:pPr>
            <w:r>
              <w:rPr>
                <w:rFonts w:ascii="宋体" w:hAnsi="宋体" w:cs="宋体" w:eastAsia="宋体" w:hint="default"/>
                <w:sz w:val="24"/>
                <w:szCs w:val="24"/>
              </w:rPr>
              <w:t>的查询索引</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决议刊登的披露日</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期</w:t>
            </w:r>
          </w:p>
        </w:tc>
      </w:tr>
      <w:tr>
        <w:trPr>
          <w:trHeight w:val="631"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2018</w:t>
            </w:r>
            <w:r>
              <w:rPr>
                <w:rFonts w:ascii="宋体" w:hAnsi="宋体" w:cs="宋体" w:eastAsia="宋体" w:hint="default"/>
                <w:spacing w:val="8"/>
                <w:sz w:val="24"/>
                <w:szCs w:val="24"/>
              </w:rPr>
              <w:t> </w:t>
            </w:r>
            <w:r>
              <w:rPr>
                <w:rFonts w:ascii="宋体" w:hAnsi="宋体" w:cs="宋体" w:eastAsia="宋体" w:hint="default"/>
                <w:spacing w:val="9"/>
                <w:sz w:val="24"/>
                <w:szCs w:val="24"/>
              </w:rPr>
              <w:t>年年度股东大</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会</w:t>
            </w:r>
            <w:r>
              <w:rPr>
                <w:rFonts w:ascii="宋体" w:hAnsi="宋体" w:cs="宋体" w:eastAsia="宋体" w:hint="default"/>
                <w:sz w:val="24"/>
                <w:szCs w:val="24"/>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日</w:t>
            </w:r>
            <w:r>
              <w:rPr>
                <w:rFonts w:ascii="宋体" w:hAnsi="宋体" w:cs="宋体" w:eastAsia="宋体" w:hint="default"/>
                <w:sz w:val="24"/>
                <w:szCs w:val="24"/>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hyperlink r:id="rId11">
              <w:r>
                <w:rPr>
                  <w:rFonts w:ascii="宋体"/>
                  <w:sz w:val="24"/>
                </w:rPr>
                <w:t>www.sse.com.cn</w:t>
              </w:r>
            </w:hyperlink>
            <w:r>
              <w:rPr>
                <w:rFonts w:ascii="宋体"/>
                <w:sz w:val="24"/>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日</w:t>
            </w:r>
            <w:r>
              <w:rPr>
                <w:rFonts w:ascii="宋体" w:hAnsi="宋体" w:cs="宋体" w:eastAsia="宋体" w:hint="default"/>
                <w:sz w:val="24"/>
                <w:szCs w:val="24"/>
              </w:rPr>
              <w:t> </w:t>
            </w:r>
          </w:p>
        </w:tc>
      </w:tr>
      <w:tr>
        <w:trPr>
          <w:trHeight w:val="634"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pacing w:val="8"/>
                <w:sz w:val="24"/>
                <w:szCs w:val="24"/>
              </w:rPr>
              <w:t> </w:t>
            </w:r>
            <w:r>
              <w:rPr>
                <w:rFonts w:ascii="宋体" w:hAnsi="宋体" w:cs="宋体" w:eastAsia="宋体" w:hint="default"/>
                <w:spacing w:val="9"/>
                <w:sz w:val="24"/>
                <w:szCs w:val="24"/>
              </w:rPr>
              <w:t>年第一次临时</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股东大会</w:t>
            </w:r>
            <w:r>
              <w:rPr>
                <w:rFonts w:ascii="宋体" w:hAnsi="宋体" w:cs="宋体" w:eastAsia="宋体" w:hint="default"/>
                <w:sz w:val="24"/>
                <w:szCs w:val="24"/>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29</w:t>
            </w:r>
            <w:r>
              <w:rPr>
                <w:rFonts w:ascii="宋体" w:hAnsi="宋体" w:cs="宋体" w:eastAsia="宋体" w:hint="default"/>
                <w:spacing w:val="-60"/>
                <w:sz w:val="24"/>
                <w:szCs w:val="24"/>
              </w:rPr>
              <w:t> </w:t>
            </w:r>
            <w:r>
              <w:rPr>
                <w:rFonts w:ascii="宋体" w:hAnsi="宋体" w:cs="宋体" w:eastAsia="宋体" w:hint="default"/>
                <w:sz w:val="24"/>
                <w:szCs w:val="24"/>
              </w:rPr>
              <w:t>日</w:t>
            </w:r>
            <w:r>
              <w:rPr>
                <w:rFonts w:ascii="宋体" w:hAnsi="宋体" w:cs="宋体" w:eastAsia="宋体" w:hint="default"/>
                <w:sz w:val="24"/>
                <w:szCs w:val="24"/>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hyperlink r:id="rId11">
              <w:r>
                <w:rPr>
                  <w:rFonts w:ascii="宋体"/>
                  <w:sz w:val="24"/>
                </w:rPr>
                <w:t>www.sse.com.cn</w:t>
              </w:r>
            </w:hyperlink>
            <w:r>
              <w:rPr>
                <w:rFonts w:ascii="宋体"/>
                <w:sz w:val="24"/>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2019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30</w:t>
            </w:r>
            <w:r>
              <w:rPr>
                <w:rFonts w:ascii="宋体" w:hAnsi="宋体" w:cs="宋体" w:eastAsia="宋体" w:hint="default"/>
                <w:spacing w:val="-60"/>
                <w:sz w:val="24"/>
                <w:szCs w:val="24"/>
              </w:rPr>
              <w:t> </w:t>
            </w:r>
            <w:r>
              <w:rPr>
                <w:rFonts w:ascii="宋体" w:hAnsi="宋体" w:cs="宋体" w:eastAsia="宋体" w:hint="default"/>
                <w:sz w:val="24"/>
                <w:szCs w:val="24"/>
              </w:rPr>
              <w:t>日</w:t>
            </w:r>
            <w:r>
              <w:rPr>
                <w:rFonts w:ascii="宋体" w:hAnsi="宋体" w:cs="宋体" w:eastAsia="宋体" w:hint="default"/>
                <w:sz w:val="24"/>
                <w:szCs w:val="24"/>
              </w:rPr>
              <w:t> </w:t>
            </w:r>
          </w:p>
        </w:tc>
      </w:tr>
    </w:tbl>
    <w:p>
      <w:pPr>
        <w:spacing w:line="240" w:lineRule="auto" w:before="0"/>
        <w:rPr>
          <w:rFonts w:ascii="宋体" w:hAnsi="宋体" w:cs="宋体" w:eastAsia="宋体" w:hint="default"/>
          <w:b/>
          <w:bCs/>
          <w:sz w:val="16"/>
          <w:szCs w:val="16"/>
        </w:rPr>
      </w:pPr>
    </w:p>
    <w:p>
      <w:pPr>
        <w:pStyle w:val="BodyText"/>
        <w:spacing w:line="313" w:lineRule="exact" w:before="26"/>
        <w:ind w:left="218" w:right="0"/>
        <w:jc w:val="left"/>
      </w:pPr>
      <w:r>
        <w:rPr/>
        <w:t>股东大会情况说明</w:t>
      </w:r>
    </w:p>
    <w:p>
      <w:pPr>
        <w:pStyle w:val="BodyText"/>
        <w:spacing w:line="331" w:lineRule="exact"/>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13"/>
        <w:rPr>
          <w:rFonts w:ascii="宋体" w:hAnsi="宋体" w:cs="宋体" w:eastAsia="宋体" w:hint="default"/>
          <w:sz w:val="23"/>
          <w:szCs w:val="23"/>
        </w:rPr>
      </w:pPr>
    </w:p>
    <w:p>
      <w:pPr>
        <w:pStyle w:val="Heading2"/>
        <w:spacing w:line="240" w:lineRule="auto"/>
        <w:ind w:left="218" w:right="0"/>
        <w:jc w:val="left"/>
        <w:rPr>
          <w:b w:val="0"/>
          <w:bCs w:val="0"/>
        </w:rPr>
      </w:pPr>
      <w:r>
        <w:rPr/>
        <w:t>三、</w:t>
      </w:r>
      <w:r>
        <w:rPr>
          <w:spacing w:val="-4"/>
        </w:rPr>
        <w:t> </w:t>
      </w:r>
      <w:r>
        <w:rPr>
          <w:rFonts w:ascii="宋体" w:hAnsi="宋体" w:cs="宋体" w:eastAsia="宋体" w:hint="default"/>
          <w:spacing w:val="-4"/>
        </w:rPr>
      </w:r>
      <w:r>
        <w:rPr/>
        <w:t>董事履行职责情况</w:t>
      </w:r>
      <w:r>
        <w:rPr>
          <w:b w:val="0"/>
          <w:bCs w:val="0"/>
        </w:rPr>
      </w:r>
    </w:p>
    <w:p>
      <w:pPr>
        <w:pStyle w:val="Heading2"/>
        <w:spacing w:line="240" w:lineRule="auto" w:before="58"/>
        <w:ind w:left="218"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25"/>
        </w:rPr>
        <w:t> </w:t>
      </w:r>
      <w:r>
        <w:rPr/>
        <w:t>董事参加董事会和股东大会的情况</w:t>
      </w:r>
      <w:r>
        <w:rPr>
          <w:b w:val="0"/>
          <w:bCs w:val="0"/>
        </w:rPr>
      </w:r>
    </w:p>
    <w:p>
      <w:pPr>
        <w:spacing w:line="240" w:lineRule="auto" w:before="2"/>
        <w:rPr>
          <w:rFonts w:ascii="宋体" w:hAnsi="宋体" w:cs="宋体" w:eastAsia="宋体" w:hint="default"/>
          <w:b/>
          <w:bCs/>
          <w:sz w:val="5"/>
          <w:szCs w:val="5"/>
        </w:rPr>
      </w:pPr>
    </w:p>
    <w:tbl>
      <w:tblPr>
        <w:tblW w:w="0" w:type="auto"/>
        <w:jc w:val="left"/>
        <w:tblInd w:w="105" w:type="dxa"/>
        <w:tblLayout w:type="fixed"/>
        <w:tblCellMar>
          <w:top w:w="0" w:type="dxa"/>
          <w:left w:w="0" w:type="dxa"/>
          <w:bottom w:w="0" w:type="dxa"/>
          <w:right w:w="0" w:type="dxa"/>
        </w:tblCellMar>
        <w:tblLook w:val="01E0"/>
      </w:tblPr>
      <w:tblGrid>
        <w:gridCol w:w="982"/>
        <w:gridCol w:w="847"/>
        <w:gridCol w:w="1100"/>
        <w:gridCol w:w="852"/>
        <w:gridCol w:w="967"/>
        <w:gridCol w:w="905"/>
        <w:gridCol w:w="845"/>
        <w:gridCol w:w="1292"/>
        <w:gridCol w:w="1260"/>
      </w:tblGrid>
      <w:tr>
        <w:trPr>
          <w:trHeight w:val="631" w:hRule="exact"/>
        </w:trPr>
        <w:tc>
          <w:tcPr>
            <w:tcW w:w="98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4"/>
                <w:szCs w:val="24"/>
              </w:rPr>
            </w:pPr>
          </w:p>
          <w:p>
            <w:pPr>
              <w:pStyle w:val="TableParagraph"/>
              <w:spacing w:line="240" w:lineRule="auto" w:before="2"/>
              <w:ind w:right="0"/>
              <w:jc w:val="left"/>
              <w:rPr>
                <w:rFonts w:ascii="宋体" w:hAnsi="宋体" w:cs="宋体" w:eastAsia="宋体" w:hint="default"/>
                <w:b/>
                <w:bCs/>
                <w:sz w:val="23"/>
                <w:szCs w:val="23"/>
              </w:rPr>
            </w:pPr>
          </w:p>
          <w:p>
            <w:pPr>
              <w:pStyle w:val="TableParagraph"/>
              <w:spacing w:line="312" w:lineRule="exact"/>
              <w:ind w:left="244" w:right="245"/>
              <w:jc w:val="left"/>
              <w:rPr>
                <w:rFonts w:ascii="宋体" w:hAnsi="宋体" w:cs="宋体" w:eastAsia="宋体" w:hint="default"/>
                <w:sz w:val="24"/>
                <w:szCs w:val="24"/>
              </w:rPr>
            </w:pPr>
            <w:r>
              <w:rPr>
                <w:rFonts w:ascii="宋体" w:hAnsi="宋体" w:cs="宋体" w:eastAsia="宋体" w:hint="default"/>
                <w:sz w:val="24"/>
                <w:szCs w:val="24"/>
              </w:rPr>
              <w:t>董事 姓名</w:t>
            </w:r>
          </w:p>
        </w:tc>
        <w:tc>
          <w:tcPr>
            <w:tcW w:w="847"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33"/>
                <w:szCs w:val="33"/>
              </w:rPr>
            </w:pPr>
          </w:p>
          <w:p>
            <w:pPr>
              <w:pStyle w:val="TableParagraph"/>
              <w:spacing w:line="237" w:lineRule="auto"/>
              <w:ind w:left="175" w:right="180"/>
              <w:jc w:val="both"/>
              <w:rPr>
                <w:rFonts w:ascii="宋体" w:hAnsi="宋体" w:cs="宋体" w:eastAsia="宋体" w:hint="default"/>
                <w:sz w:val="24"/>
                <w:szCs w:val="24"/>
              </w:rPr>
            </w:pPr>
            <w:r>
              <w:rPr>
                <w:rFonts w:ascii="宋体" w:hAnsi="宋体" w:cs="宋体" w:eastAsia="宋体" w:hint="default"/>
                <w:sz w:val="24"/>
                <w:szCs w:val="24"/>
              </w:rPr>
              <w:t>是否 独立 董事</w:t>
            </w:r>
          </w:p>
        </w:tc>
        <w:tc>
          <w:tcPr>
            <w:tcW w:w="596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4"/>
                <w:szCs w:val="24"/>
              </w:rPr>
            </w:pPr>
            <w:r>
              <w:rPr>
                <w:rFonts w:ascii="宋体" w:hAnsi="宋体" w:cs="宋体" w:eastAsia="宋体" w:hint="default"/>
                <w:sz w:val="24"/>
                <w:szCs w:val="24"/>
              </w:rPr>
              <w:t>参加董事会情况</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43" w:right="0"/>
              <w:jc w:val="left"/>
              <w:rPr>
                <w:rFonts w:ascii="宋体" w:hAnsi="宋体" w:cs="宋体" w:eastAsia="宋体" w:hint="default"/>
                <w:sz w:val="24"/>
                <w:szCs w:val="24"/>
              </w:rPr>
            </w:pPr>
            <w:r>
              <w:rPr>
                <w:rFonts w:ascii="宋体" w:hAnsi="宋体" w:cs="宋体" w:eastAsia="宋体" w:hint="default"/>
                <w:sz w:val="24"/>
                <w:szCs w:val="24"/>
              </w:rPr>
              <w:t>参加股东</w:t>
            </w:r>
          </w:p>
          <w:p>
            <w:pPr>
              <w:pStyle w:val="TableParagraph"/>
              <w:spacing w:line="313" w:lineRule="exact"/>
              <w:ind w:left="143" w:right="0"/>
              <w:jc w:val="left"/>
              <w:rPr>
                <w:rFonts w:ascii="宋体" w:hAnsi="宋体" w:cs="宋体" w:eastAsia="宋体" w:hint="default"/>
                <w:sz w:val="24"/>
                <w:szCs w:val="24"/>
              </w:rPr>
            </w:pPr>
            <w:r>
              <w:rPr>
                <w:rFonts w:ascii="宋体" w:hAnsi="宋体" w:cs="宋体" w:eastAsia="宋体" w:hint="default"/>
                <w:sz w:val="24"/>
                <w:szCs w:val="24"/>
              </w:rPr>
              <w:t>大会情况</w:t>
            </w:r>
          </w:p>
        </w:tc>
      </w:tr>
      <w:tr>
        <w:trPr>
          <w:trHeight w:val="1255" w:hRule="exact"/>
        </w:trPr>
        <w:tc>
          <w:tcPr>
            <w:tcW w:w="982" w:type="dxa"/>
            <w:vMerge/>
            <w:tcBorders>
              <w:left w:val="single" w:sz="4" w:space="0" w:color="000000"/>
              <w:bottom w:val="single" w:sz="4" w:space="0" w:color="000000"/>
              <w:right w:val="single" w:sz="4" w:space="0" w:color="000000"/>
            </w:tcBorders>
          </w:tcPr>
          <w:p>
            <w:pPr/>
          </w:p>
        </w:tc>
        <w:tc>
          <w:tcPr>
            <w:tcW w:w="847" w:type="dxa"/>
            <w:vMerge/>
            <w:tcBorders>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3"/>
              <w:jc w:val="center"/>
              <w:rPr>
                <w:rFonts w:ascii="宋体" w:hAnsi="宋体" w:cs="宋体" w:eastAsia="宋体" w:hint="default"/>
                <w:sz w:val="24"/>
                <w:szCs w:val="24"/>
              </w:rPr>
            </w:pPr>
            <w:r>
              <w:rPr>
                <w:rFonts w:ascii="宋体" w:hAnsi="宋体" w:cs="宋体" w:eastAsia="宋体" w:hint="default"/>
                <w:sz w:val="24"/>
                <w:szCs w:val="24"/>
              </w:rPr>
              <w:t>本年应</w:t>
            </w:r>
          </w:p>
          <w:p>
            <w:pPr>
              <w:pStyle w:val="TableParagraph"/>
              <w:spacing w:line="312" w:lineRule="exact" w:before="29"/>
              <w:ind w:left="182" w:right="185"/>
              <w:jc w:val="center"/>
              <w:rPr>
                <w:rFonts w:ascii="宋体" w:hAnsi="宋体" w:cs="宋体" w:eastAsia="宋体" w:hint="default"/>
                <w:sz w:val="24"/>
                <w:szCs w:val="24"/>
              </w:rPr>
            </w:pPr>
            <w:r>
              <w:rPr>
                <w:rFonts w:ascii="宋体" w:hAnsi="宋体" w:cs="宋体" w:eastAsia="宋体" w:hint="default"/>
                <w:sz w:val="24"/>
                <w:szCs w:val="24"/>
              </w:rPr>
              <w:t>参加董 事会次 数</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77" w:right="182"/>
              <w:jc w:val="both"/>
              <w:rPr>
                <w:rFonts w:ascii="宋体" w:hAnsi="宋体" w:cs="宋体" w:eastAsia="宋体" w:hint="default"/>
                <w:sz w:val="24"/>
                <w:szCs w:val="24"/>
              </w:rPr>
            </w:pPr>
            <w:r>
              <w:rPr>
                <w:rFonts w:ascii="宋体" w:hAnsi="宋体" w:cs="宋体" w:eastAsia="宋体" w:hint="default"/>
                <w:sz w:val="24"/>
                <w:szCs w:val="24"/>
              </w:rPr>
              <w:t>亲自 出席 次数</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15" w:right="120"/>
              <w:jc w:val="both"/>
              <w:rPr>
                <w:rFonts w:ascii="宋体" w:hAnsi="宋体" w:cs="宋体" w:eastAsia="宋体" w:hint="default"/>
                <w:sz w:val="24"/>
                <w:szCs w:val="24"/>
              </w:rPr>
            </w:pPr>
            <w:r>
              <w:rPr>
                <w:rFonts w:ascii="宋体" w:hAnsi="宋体" w:cs="宋体" w:eastAsia="宋体" w:hint="default"/>
                <w:sz w:val="24"/>
                <w:szCs w:val="24"/>
              </w:rPr>
              <w:t>以通讯 方式参 加次数</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206" w:right="206"/>
              <w:jc w:val="both"/>
              <w:rPr>
                <w:rFonts w:ascii="宋体" w:hAnsi="宋体" w:cs="宋体" w:eastAsia="宋体" w:hint="default"/>
                <w:sz w:val="24"/>
                <w:szCs w:val="24"/>
              </w:rPr>
            </w:pPr>
            <w:r>
              <w:rPr>
                <w:rFonts w:ascii="宋体" w:hAnsi="宋体" w:cs="宋体" w:eastAsia="宋体" w:hint="default"/>
                <w:sz w:val="24"/>
                <w:szCs w:val="24"/>
              </w:rPr>
              <w:t>委托 出席 次数</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3"/>
                <w:szCs w:val="23"/>
              </w:rPr>
            </w:pPr>
          </w:p>
          <w:p>
            <w:pPr>
              <w:pStyle w:val="TableParagraph"/>
              <w:spacing w:line="312" w:lineRule="exact"/>
              <w:ind w:left="177" w:right="175"/>
              <w:jc w:val="left"/>
              <w:rPr>
                <w:rFonts w:ascii="宋体" w:hAnsi="宋体" w:cs="宋体" w:eastAsia="宋体" w:hint="default"/>
                <w:sz w:val="24"/>
                <w:szCs w:val="24"/>
              </w:rPr>
            </w:pPr>
            <w:r>
              <w:rPr>
                <w:rFonts w:ascii="宋体" w:hAnsi="宋体" w:cs="宋体" w:eastAsia="宋体" w:hint="default"/>
                <w:sz w:val="24"/>
                <w:szCs w:val="24"/>
              </w:rPr>
              <w:t>缺席 次数</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是否连续</w:t>
            </w:r>
          </w:p>
          <w:p>
            <w:pPr>
              <w:pStyle w:val="TableParagraph"/>
              <w:spacing w:line="312" w:lineRule="exact" w:before="29"/>
              <w:ind w:left="160" w:right="159"/>
              <w:jc w:val="center"/>
              <w:rPr>
                <w:rFonts w:ascii="宋体" w:hAnsi="宋体" w:cs="宋体" w:eastAsia="宋体" w:hint="default"/>
                <w:sz w:val="24"/>
                <w:szCs w:val="24"/>
              </w:rPr>
            </w:pPr>
            <w:r>
              <w:rPr>
                <w:rFonts w:ascii="宋体" w:hAnsi="宋体" w:cs="宋体" w:eastAsia="宋体" w:hint="default"/>
                <w:sz w:val="24"/>
                <w:szCs w:val="24"/>
              </w:rPr>
              <w:t>两次未亲 自参加会 议</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43" w:right="144"/>
              <w:jc w:val="center"/>
              <w:rPr>
                <w:rFonts w:ascii="宋体" w:hAnsi="宋体" w:cs="宋体" w:eastAsia="宋体" w:hint="default"/>
                <w:sz w:val="24"/>
                <w:szCs w:val="24"/>
              </w:rPr>
            </w:pPr>
            <w:r>
              <w:rPr>
                <w:rFonts w:ascii="宋体" w:hAnsi="宋体" w:cs="宋体" w:eastAsia="宋体" w:hint="default"/>
                <w:sz w:val="24"/>
                <w:szCs w:val="24"/>
              </w:rPr>
              <w:t>出席股东 大会的次 数</w:t>
            </w:r>
          </w:p>
        </w:tc>
      </w:tr>
    </w:tbl>
    <w:p>
      <w:pPr>
        <w:spacing w:after="0" w:line="312" w:lineRule="exact"/>
        <w:jc w:val="center"/>
        <w:rPr>
          <w:rFonts w:ascii="宋体" w:hAnsi="宋体" w:cs="宋体" w:eastAsia="宋体" w:hint="default"/>
          <w:sz w:val="24"/>
          <w:szCs w:val="24"/>
        </w:rPr>
        <w:sectPr>
          <w:pgSz w:w="11910" w:h="16840"/>
          <w:pgMar w:header="877" w:footer="1195" w:top="1100" w:bottom="1380" w:left="1580" w:right="1040"/>
        </w:sect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0"/>
          <w:szCs w:val="10"/>
        </w:rPr>
      </w:pPr>
    </w:p>
    <w:tbl>
      <w:tblPr>
        <w:tblW w:w="0" w:type="auto"/>
        <w:jc w:val="left"/>
        <w:tblInd w:w="105" w:type="dxa"/>
        <w:tblLayout w:type="fixed"/>
        <w:tblCellMar>
          <w:top w:w="0" w:type="dxa"/>
          <w:left w:w="0" w:type="dxa"/>
          <w:bottom w:w="0" w:type="dxa"/>
          <w:right w:w="0" w:type="dxa"/>
        </w:tblCellMar>
        <w:tblLook w:val="01E0"/>
      </w:tblPr>
      <w:tblGrid>
        <w:gridCol w:w="982"/>
        <w:gridCol w:w="847"/>
        <w:gridCol w:w="1100"/>
        <w:gridCol w:w="852"/>
        <w:gridCol w:w="967"/>
        <w:gridCol w:w="905"/>
        <w:gridCol w:w="845"/>
        <w:gridCol w:w="1292"/>
        <w:gridCol w:w="1260"/>
      </w:tblGrid>
      <w:tr>
        <w:trPr>
          <w:trHeight w:val="322" w:hRule="exact"/>
        </w:trPr>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王文京</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0" w:right="0"/>
              <w:jc w:val="left"/>
              <w:rPr>
                <w:rFonts w:ascii="宋体" w:hAnsi="宋体" w:cs="宋体" w:eastAsia="宋体" w:hint="default"/>
                <w:sz w:val="24"/>
                <w:szCs w:val="24"/>
              </w:rPr>
            </w:pPr>
            <w:r>
              <w:rPr>
                <w:rFonts w:ascii="宋体" w:hAnsi="宋体" w:cs="宋体" w:eastAsia="宋体" w:hint="default"/>
                <w:sz w:val="24"/>
                <w:szCs w:val="24"/>
              </w:rPr>
              <w:t>否</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5"/>
              <w:jc w:val="right"/>
              <w:rPr>
                <w:rFonts w:ascii="宋体" w:hAnsi="宋体" w:cs="宋体" w:eastAsia="宋体" w:hint="default"/>
                <w:sz w:val="24"/>
                <w:szCs w:val="24"/>
              </w:rPr>
            </w:pPr>
            <w:r>
              <w:rPr>
                <w:rFonts w:ascii="宋体"/>
                <w:sz w:val="24"/>
              </w:rPr>
              <w:t>15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5"/>
              <w:jc w:val="right"/>
              <w:rPr>
                <w:rFonts w:ascii="宋体" w:hAnsi="宋体" w:cs="宋体" w:eastAsia="宋体" w:hint="default"/>
                <w:sz w:val="24"/>
                <w:szCs w:val="24"/>
              </w:rPr>
            </w:pPr>
            <w:r>
              <w:rPr>
                <w:rFonts w:ascii="宋体"/>
                <w:sz w:val="24"/>
              </w:rPr>
              <w:t>15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5"/>
              <w:jc w:val="right"/>
              <w:rPr>
                <w:rFonts w:ascii="宋体" w:hAnsi="宋体" w:cs="宋体" w:eastAsia="宋体" w:hint="default"/>
                <w:sz w:val="24"/>
                <w:szCs w:val="24"/>
              </w:rPr>
            </w:pPr>
            <w:r>
              <w:rPr>
                <w:rFonts w:ascii="宋体"/>
                <w:sz w:val="24"/>
              </w:rPr>
              <w:t>11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2 </w:t>
            </w:r>
          </w:p>
        </w:tc>
      </w:tr>
      <w:tr>
        <w:trPr>
          <w:trHeight w:val="322" w:hRule="exact"/>
        </w:trPr>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郭新平</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否</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11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 </w:t>
            </w:r>
          </w:p>
        </w:tc>
      </w:tr>
      <w:tr>
        <w:trPr>
          <w:trHeight w:val="322" w:hRule="exact"/>
        </w:trPr>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吴政平</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否</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11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 </w:t>
            </w:r>
          </w:p>
        </w:tc>
      </w:tr>
      <w:tr>
        <w:trPr>
          <w:trHeight w:val="322" w:hRule="exact"/>
        </w:trPr>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陈强兵</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否</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12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12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9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 </w:t>
            </w:r>
          </w:p>
        </w:tc>
      </w:tr>
      <w:tr>
        <w:trPr>
          <w:trHeight w:val="322" w:hRule="exact"/>
        </w:trPr>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黄锦辉</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是</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11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r>
      <w:tr>
        <w:trPr>
          <w:trHeight w:val="322" w:hRule="exact"/>
        </w:trPr>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于扬</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是</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15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11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r>
      <w:tr>
        <w:trPr>
          <w:trHeight w:val="319" w:hRule="exact"/>
        </w:trPr>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王贵亚</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是</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3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2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 </w:t>
            </w:r>
          </w:p>
        </w:tc>
      </w:tr>
      <w:tr>
        <w:trPr>
          <w:trHeight w:val="322" w:hRule="exact"/>
        </w:trPr>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张为国</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是</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15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15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5"/>
              <w:jc w:val="right"/>
              <w:rPr>
                <w:rFonts w:ascii="宋体" w:hAnsi="宋体" w:cs="宋体" w:eastAsia="宋体" w:hint="default"/>
                <w:sz w:val="24"/>
                <w:szCs w:val="24"/>
              </w:rPr>
            </w:pPr>
            <w:r>
              <w:rPr>
                <w:rFonts w:ascii="宋体"/>
                <w:sz w:val="24"/>
              </w:rPr>
              <w:t>11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否</w:t>
            </w:r>
            <w:r>
              <w:rPr>
                <w:rFonts w:ascii="宋体" w:hAnsi="宋体" w:cs="宋体" w:eastAsia="宋体" w:hint="default"/>
                <w:sz w:val="24"/>
                <w:szCs w:val="24"/>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 </w:t>
            </w:r>
          </w:p>
        </w:tc>
      </w:tr>
    </w:tbl>
    <w:p>
      <w:pPr>
        <w:spacing w:line="240" w:lineRule="auto" w:before="0"/>
        <w:rPr>
          <w:rFonts w:ascii="宋体" w:hAnsi="宋体" w:cs="宋体" w:eastAsia="宋体" w:hint="default"/>
          <w:b/>
          <w:bCs/>
          <w:sz w:val="16"/>
          <w:szCs w:val="16"/>
        </w:rPr>
      </w:pPr>
    </w:p>
    <w:p>
      <w:pPr>
        <w:pStyle w:val="BodyText"/>
        <w:spacing w:line="313" w:lineRule="exact" w:before="26"/>
        <w:ind w:left="218" w:right="0"/>
        <w:jc w:val="left"/>
      </w:pPr>
      <w:r>
        <w:rPr/>
        <w:t>连续两次未亲自出席董事会会议的说明</w:t>
      </w:r>
    </w:p>
    <w:p>
      <w:pPr>
        <w:pStyle w:val="BodyText"/>
        <w:spacing w:line="331" w:lineRule="exact"/>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9"/>
        <w:rPr>
          <w:rFonts w:ascii="宋体" w:hAnsi="宋体" w:cs="宋体" w:eastAsia="宋体" w:hint="default"/>
          <w:sz w:val="22"/>
          <w:szCs w:val="22"/>
        </w:rPr>
      </w:pPr>
    </w:p>
    <w:tbl>
      <w:tblPr>
        <w:tblW w:w="0" w:type="auto"/>
        <w:jc w:val="left"/>
        <w:tblInd w:w="105" w:type="dxa"/>
        <w:tblLayout w:type="fixed"/>
        <w:tblCellMar>
          <w:top w:w="0" w:type="dxa"/>
          <w:left w:w="0" w:type="dxa"/>
          <w:bottom w:w="0" w:type="dxa"/>
          <w:right w:w="0" w:type="dxa"/>
        </w:tblCellMar>
        <w:tblLook w:val="01E0"/>
      </w:tblPr>
      <w:tblGrid>
        <w:gridCol w:w="4525"/>
        <w:gridCol w:w="4525"/>
      </w:tblGrid>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年内召开董事会会议次数</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15 </w:t>
            </w:r>
          </w:p>
        </w:tc>
      </w:tr>
      <w:tr>
        <w:trPr>
          <w:trHeight w:val="319"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其中：现场会议次数</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 </w:t>
            </w:r>
          </w:p>
        </w:tc>
      </w:tr>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通讯方式召开会议次数</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11 </w:t>
            </w:r>
          </w:p>
        </w:tc>
      </w:tr>
      <w:tr>
        <w:trPr>
          <w:trHeight w:val="322"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现场结合通讯方式召开会议次数</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0 </w:t>
            </w:r>
          </w:p>
        </w:tc>
      </w:tr>
    </w:tbl>
    <w:p>
      <w:pPr>
        <w:spacing w:line="240" w:lineRule="auto" w:before="8"/>
        <w:rPr>
          <w:rFonts w:ascii="宋体" w:hAnsi="宋体" w:cs="宋体" w:eastAsia="宋体" w:hint="default"/>
          <w:sz w:val="20"/>
          <w:szCs w:val="20"/>
        </w:rPr>
      </w:pPr>
    </w:p>
    <w:p>
      <w:pPr>
        <w:pStyle w:val="Heading2"/>
        <w:spacing w:line="240" w:lineRule="auto" w:before="26"/>
        <w:ind w:left="218"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25"/>
        </w:rPr>
        <w:t> </w:t>
      </w:r>
      <w:r>
        <w:rPr/>
        <w:t>独立董事对公司有关事项提出异议的情况</w:t>
      </w:r>
      <w:r>
        <w:rPr>
          <w:b w:val="0"/>
          <w:bCs w:val="0"/>
        </w:rPr>
      </w:r>
    </w:p>
    <w:p>
      <w:pPr>
        <w:pStyle w:val="BodyText"/>
        <w:spacing w:line="240" w:lineRule="auto" w:before="27"/>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0"/>
        </w:rPr>
        <w:t> </w:t>
      </w:r>
      <w:r>
        <w:rPr/>
        <w:t>其他</w:t>
      </w:r>
      <w:r>
        <w:rPr>
          <w:b w:val="0"/>
          <w:bCs w:val="0"/>
        </w:rPr>
      </w:r>
    </w:p>
    <w:p>
      <w:pPr>
        <w:pStyle w:val="BodyText"/>
        <w:tabs>
          <w:tab w:pos="1081" w:val="left" w:leader="none"/>
        </w:tabs>
        <w:spacing w:line="240" w:lineRule="auto" w:before="25"/>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7"/>
        <w:rPr>
          <w:rFonts w:ascii="宋体" w:hAnsi="宋体" w:cs="宋体" w:eastAsia="宋体" w:hint="default"/>
          <w:sz w:val="26"/>
          <w:szCs w:val="26"/>
        </w:rPr>
      </w:pPr>
    </w:p>
    <w:p>
      <w:pPr>
        <w:pStyle w:val="Heading2"/>
        <w:spacing w:line="312" w:lineRule="exact"/>
        <w:ind w:left="218" w:right="0"/>
        <w:jc w:val="left"/>
        <w:rPr>
          <w:b w:val="0"/>
          <w:bCs w:val="0"/>
        </w:rPr>
      </w:pPr>
      <w:r>
        <w:rPr/>
        <w:t>四、</w:t>
      </w:r>
      <w:r>
        <w:rPr>
          <w:spacing w:val="23"/>
        </w:rPr>
        <w:t> </w:t>
      </w:r>
      <w:r>
        <w:rPr>
          <w:rFonts w:ascii="宋体" w:hAnsi="宋体" w:cs="宋体" w:eastAsia="宋体" w:hint="default"/>
          <w:spacing w:val="23"/>
        </w:rPr>
      </w:r>
      <w:r>
        <w:rPr/>
        <w:t>董事会下设专门委员会在报告期内履行职责时所提出的重要意见和建议，存在</w:t>
      </w:r>
      <w:r>
        <w:rPr>
          <w:spacing w:val="-117"/>
        </w:rPr>
        <w:t> </w:t>
      </w:r>
      <w:r>
        <w:rPr>
          <w:spacing w:val="-117"/>
        </w:rPr>
      </w:r>
      <w:r>
        <w:rPr/>
        <w:t>异议事项的，应当披露具体情况</w:t>
      </w:r>
      <w:r>
        <w:rPr>
          <w:b w:val="0"/>
          <w:bCs w:val="0"/>
        </w:rPr>
      </w:r>
    </w:p>
    <w:p>
      <w:pPr>
        <w:pStyle w:val="BodyText"/>
        <w:tabs>
          <w:tab w:pos="1081" w:val="left" w:leader="none"/>
        </w:tabs>
        <w:spacing w:line="240" w:lineRule="auto" w:before="27"/>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t>五、</w:t>
      </w:r>
      <w:r>
        <w:rPr>
          <w:spacing w:val="-3"/>
        </w:rPr>
        <w:t> </w:t>
      </w:r>
      <w:r>
        <w:rPr>
          <w:rFonts w:ascii="宋体" w:hAnsi="宋体" w:cs="宋体" w:eastAsia="宋体" w:hint="default"/>
          <w:spacing w:val="-3"/>
        </w:rPr>
      </w:r>
      <w:r>
        <w:rPr/>
        <w:t>监事会发现公司存在风险的说明</w:t>
      </w:r>
      <w:r>
        <w:rPr>
          <w:b w:val="0"/>
          <w:bCs w:val="0"/>
        </w:rPr>
      </w:r>
    </w:p>
    <w:p>
      <w:pPr>
        <w:pStyle w:val="BodyText"/>
        <w:spacing w:line="240" w:lineRule="auto" w:before="58"/>
        <w:ind w:left="21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4"/>
        <w:rPr>
          <w:rFonts w:ascii="宋体" w:hAnsi="宋体" w:cs="宋体" w:eastAsia="宋体" w:hint="default"/>
          <w:sz w:val="26"/>
          <w:szCs w:val="26"/>
        </w:rPr>
      </w:pPr>
    </w:p>
    <w:p>
      <w:pPr>
        <w:pStyle w:val="Heading2"/>
        <w:spacing w:line="312" w:lineRule="exact"/>
        <w:ind w:left="218" w:right="0"/>
        <w:jc w:val="left"/>
        <w:rPr>
          <w:b w:val="0"/>
          <w:bCs w:val="0"/>
        </w:rPr>
      </w:pPr>
      <w:r>
        <w:rPr/>
        <w:t>六、</w:t>
      </w:r>
      <w:r>
        <w:rPr>
          <w:spacing w:val="23"/>
        </w:rPr>
        <w:t> </w:t>
      </w:r>
      <w:r>
        <w:rPr>
          <w:rFonts w:ascii="宋体" w:hAnsi="宋体" w:cs="宋体" w:eastAsia="宋体" w:hint="default"/>
          <w:spacing w:val="23"/>
        </w:rPr>
      </w:r>
      <w:r>
        <w:rPr/>
        <w:t>公司就其与控股股东在业务、人员、资产、机构、财务等方面存在的不能保证</w:t>
      </w:r>
      <w:r>
        <w:rPr>
          <w:spacing w:val="-117"/>
        </w:rPr>
        <w:t> </w:t>
      </w:r>
      <w:r>
        <w:rPr>
          <w:spacing w:val="-117"/>
        </w:rPr>
      </w:r>
      <w:r>
        <w:rPr/>
        <w:t>独立性、不能保持自主经营能力的情况说明</w:t>
      </w:r>
      <w:r>
        <w:rPr>
          <w:b w:val="0"/>
          <w:bCs w:val="0"/>
        </w:rPr>
      </w:r>
    </w:p>
    <w:p>
      <w:pPr>
        <w:pStyle w:val="BodyText"/>
        <w:tabs>
          <w:tab w:pos="1081" w:val="left" w:leader="none"/>
        </w:tabs>
        <w:spacing w:line="240" w:lineRule="auto" w:before="29"/>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8"/>
        <w:rPr>
          <w:rFonts w:ascii="宋体" w:hAnsi="宋体" w:cs="宋体" w:eastAsia="宋体" w:hint="default"/>
          <w:sz w:val="19"/>
          <w:szCs w:val="19"/>
        </w:rPr>
      </w:pPr>
    </w:p>
    <w:p>
      <w:pPr>
        <w:pStyle w:val="BodyText"/>
        <w:spacing w:line="312" w:lineRule="exact"/>
        <w:ind w:left="218" w:right="0"/>
        <w:jc w:val="left"/>
      </w:pPr>
      <w:r>
        <w:rPr/>
        <w:t>存在同业竞争的，公司相应的解决措施、工作进度及后续工作计划</w:t>
      </w:r>
    </w:p>
    <w:p>
      <w:pPr>
        <w:pStyle w:val="BodyText"/>
        <w:tabs>
          <w:tab w:pos="1081" w:val="left" w:leader="none"/>
        </w:tabs>
        <w:spacing w:line="330" w:lineRule="exact"/>
        <w:ind w:left="21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2"/>
        <w:rPr>
          <w:rFonts w:ascii="宋体" w:hAnsi="宋体" w:cs="宋体" w:eastAsia="宋体" w:hint="default"/>
          <w:sz w:val="24"/>
          <w:szCs w:val="24"/>
        </w:rPr>
      </w:pPr>
    </w:p>
    <w:p>
      <w:pPr>
        <w:pStyle w:val="Heading2"/>
        <w:spacing w:line="240" w:lineRule="auto"/>
        <w:ind w:left="218" w:right="0"/>
        <w:jc w:val="left"/>
        <w:rPr>
          <w:b w:val="0"/>
          <w:bCs w:val="0"/>
        </w:rPr>
      </w:pPr>
      <w:r>
        <w:rPr/>
        <w:t>七、</w:t>
      </w:r>
      <w:r>
        <w:rPr>
          <w:spacing w:val="-7"/>
        </w:rPr>
        <w:t> </w:t>
      </w:r>
      <w:r>
        <w:rPr>
          <w:rFonts w:ascii="宋体" w:hAnsi="宋体" w:cs="宋体" w:eastAsia="宋体" w:hint="default"/>
          <w:spacing w:val="-7"/>
        </w:rPr>
      </w:r>
      <w:r>
        <w:rPr/>
        <w:t>报告期内对高级管理人员的考评机制，以及激励机制的建立、实施情况</w:t>
      </w:r>
      <w:r>
        <w:rPr>
          <w:b w:val="0"/>
          <w:bCs w:val="0"/>
        </w:rPr>
      </w:r>
    </w:p>
    <w:p>
      <w:pPr>
        <w:pStyle w:val="BodyText"/>
        <w:tabs>
          <w:tab w:pos="1069" w:val="left" w:leader="none"/>
        </w:tabs>
        <w:spacing w:line="310" w:lineRule="exact" w:before="90"/>
        <w:ind w:left="698" w:right="232" w:hanging="48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r>
        <w:rPr>
          <w:spacing w:val="-117"/>
        </w:rPr>
        <w:t> </w:t>
      </w:r>
      <w:r>
        <w:rPr>
          <w:spacing w:val="-2"/>
        </w:rPr>
        <w:t>公司对高级管理人员的聘任公开、透明，符合法律法规的规定。公司实施的高级</w:t>
      </w:r>
    </w:p>
    <w:p>
      <w:pPr>
        <w:pStyle w:val="BodyText"/>
        <w:spacing w:line="284" w:lineRule="exact"/>
        <w:ind w:left="218" w:right="0"/>
        <w:jc w:val="left"/>
      </w:pPr>
      <w:r>
        <w:rPr/>
        <w:t>管理人员绩效评价制度是公司董事会按年度对公司高级管理人员的业绩和履行职责</w:t>
      </w:r>
    </w:p>
    <w:p>
      <w:pPr>
        <w:spacing w:after="0" w:line="284" w:lineRule="exact"/>
        <w:jc w:val="left"/>
        <w:sectPr>
          <w:pgSz w:w="11910" w:h="16840"/>
          <w:pgMar w:header="877" w:footer="1195" w:top="1100" w:bottom="1380" w:left="1580" w:right="1040"/>
        </w:sectPr>
      </w:pPr>
    </w:p>
    <w:p>
      <w:pPr>
        <w:spacing w:line="240" w:lineRule="auto" w:before="13"/>
        <w:rPr>
          <w:rFonts w:ascii="宋体" w:hAnsi="宋体" w:cs="宋体" w:eastAsia="宋体" w:hint="default"/>
          <w:sz w:val="8"/>
          <w:szCs w:val="8"/>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4.1pt;height:.75pt;mso-position-horizontal-relative:char;mso-position-vertical-relative:line" coordorigin="0,0" coordsize="8882,15">
            <v:group style="position:absolute;left:7;top:7;width:8867;height:2" coordorigin="7,7" coordsize="8867,2">
              <v:shape style="position:absolute;left:7;top:7;width:8867;height:2" coordorigin="7,7" coordsize="8867,0" path="m7,7l8874,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5"/>
          <w:szCs w:val="25"/>
        </w:rPr>
      </w:pPr>
    </w:p>
    <w:p>
      <w:pPr>
        <w:pStyle w:val="BodyText"/>
        <w:spacing w:line="312" w:lineRule="exact" w:before="56"/>
        <w:ind w:left="138" w:right="0"/>
        <w:jc w:val="left"/>
      </w:pPr>
      <w:r>
        <w:rPr/>
        <w:t>情况进行考评，并根据考评结果决定下一年度的年薪定级、岗位安排直至聘用与否。</w:t>
      </w:r>
      <w:r>
        <w:rPr>
          <w:spacing w:val="-60"/>
        </w:rPr>
        <w:t> </w:t>
      </w:r>
      <w:r>
        <w:rPr>
          <w:spacing w:val="-60"/>
        </w:rPr>
      </w:r>
      <w:r>
        <w:rPr/>
        <w:t>公司对高级管理人员实行与公司年度经营业绩挂钩的绩效奖金制。</w:t>
      </w:r>
    </w:p>
    <w:p>
      <w:pPr>
        <w:pStyle w:val="BodyText"/>
        <w:spacing w:line="310" w:lineRule="exact" w:before="1"/>
        <w:ind w:left="138" w:right="0" w:firstLine="479"/>
        <w:jc w:val="left"/>
      </w:pPr>
      <w:r>
        <w:rPr>
          <w:spacing w:val="-2"/>
        </w:rPr>
        <w:t>公司根据发展需要对包括高级管理人员在内的骨干员工实施股权激励计划。股权</w:t>
      </w:r>
      <w:r>
        <w:rPr/>
        <w:t> 激励计划在符合计划中规定的条件时实施。</w:t>
      </w:r>
    </w:p>
    <w:p>
      <w:pPr>
        <w:spacing w:line="240" w:lineRule="auto" w:before="5"/>
        <w:rPr>
          <w:rFonts w:ascii="宋体" w:hAnsi="宋体" w:cs="宋体" w:eastAsia="宋体" w:hint="default"/>
          <w:sz w:val="23"/>
          <w:szCs w:val="23"/>
        </w:rPr>
      </w:pPr>
    </w:p>
    <w:p>
      <w:pPr>
        <w:pStyle w:val="Heading2"/>
        <w:spacing w:line="240" w:lineRule="auto"/>
        <w:ind w:left="138" w:right="0"/>
        <w:jc w:val="left"/>
        <w:rPr>
          <w:b w:val="0"/>
          <w:bCs w:val="0"/>
        </w:rPr>
      </w:pPr>
      <w:r>
        <w:rPr/>
        <w:t>八、</w:t>
      </w:r>
      <w:r>
        <w:rPr>
          <w:spacing w:val="-3"/>
        </w:rPr>
        <w:t> </w:t>
      </w:r>
      <w:r>
        <w:rPr>
          <w:rFonts w:ascii="宋体" w:hAnsi="宋体" w:cs="宋体" w:eastAsia="宋体" w:hint="default"/>
          <w:spacing w:val="-3"/>
        </w:rPr>
      </w:r>
      <w:r>
        <w:rPr/>
        <w:t>是否披露内部控制自我评价报告</w:t>
      </w:r>
      <w:r>
        <w:rPr>
          <w:b w:val="0"/>
          <w:bCs w:val="0"/>
        </w:rPr>
      </w:r>
    </w:p>
    <w:p>
      <w:pPr>
        <w:pStyle w:val="BodyText"/>
        <w:spacing w:line="322" w:lineRule="exact" w:before="58"/>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pStyle w:val="BodyText"/>
        <w:spacing w:line="310" w:lineRule="exact" w:before="22"/>
        <w:ind w:left="138" w:right="288" w:firstLine="479"/>
        <w:jc w:val="left"/>
        <w:rPr>
          <w:rFonts w:ascii="宋体" w:hAnsi="宋体" w:cs="宋体" w:eastAsia="宋体" w:hint="default"/>
        </w:rPr>
      </w:pPr>
      <w:r>
        <w:rPr/>
        <w:t>公司披露了《用友网络科技股份有限公司</w:t>
      </w:r>
      <w:r>
        <w:rPr>
          <w:spacing w:val="-59"/>
        </w:rPr>
        <w:t> </w:t>
      </w:r>
      <w:r>
        <w:rPr>
          <w:rFonts w:ascii="宋体" w:hAnsi="宋体" w:cs="宋体" w:eastAsia="宋体" w:hint="default"/>
        </w:rPr>
        <w:t>2019</w:t>
      </w:r>
      <w:r>
        <w:rPr>
          <w:rFonts w:ascii="宋体" w:hAnsi="宋体" w:cs="宋体" w:eastAsia="宋体" w:hint="default"/>
          <w:spacing w:val="-60"/>
        </w:rPr>
        <w:t> </w:t>
      </w:r>
      <w:r>
        <w:rPr/>
        <w:t>年度内部控制评价报告》，披露 网址：</w:t>
      </w:r>
      <w:hyperlink r:id="rId11">
        <w:r>
          <w:rPr>
            <w:rFonts w:ascii="宋体" w:hAnsi="宋体" w:cs="宋体" w:eastAsia="宋体" w:hint="default"/>
          </w:rPr>
          <w:t>www.sse.com.cn</w:t>
        </w:r>
      </w:hyperlink>
      <w:r>
        <w:rPr/>
        <w:t>。</w:t>
      </w:r>
      <w:r>
        <w:rPr>
          <w:rFonts w:ascii="宋体" w:hAnsi="宋体" w:cs="宋体" w:eastAsia="宋体" w:hint="default"/>
        </w:rPr>
        <w:t> </w:t>
      </w:r>
    </w:p>
    <w:p>
      <w:pPr>
        <w:spacing w:line="240" w:lineRule="auto" w:before="10"/>
        <w:rPr>
          <w:rFonts w:ascii="宋体" w:hAnsi="宋体" w:cs="宋体" w:eastAsia="宋体" w:hint="default"/>
          <w:sz w:val="18"/>
          <w:szCs w:val="18"/>
        </w:rPr>
      </w:pPr>
    </w:p>
    <w:p>
      <w:pPr>
        <w:pStyle w:val="BodyText"/>
        <w:spacing w:line="313" w:lineRule="exact"/>
        <w:ind w:left="138" w:right="0"/>
        <w:jc w:val="left"/>
      </w:pPr>
      <w:r>
        <w:rPr/>
        <w:t>报告期内部控制存在重大缺陷情况的说明</w:t>
      </w:r>
    </w:p>
    <w:p>
      <w:pPr>
        <w:pStyle w:val="BodyText"/>
        <w:spacing w:line="331" w:lineRule="exact"/>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line="240" w:lineRule="auto" w:before="13"/>
        <w:rPr>
          <w:rFonts w:ascii="宋体" w:hAnsi="宋体" w:cs="宋体" w:eastAsia="宋体" w:hint="default"/>
          <w:sz w:val="23"/>
          <w:szCs w:val="23"/>
        </w:rPr>
      </w:pPr>
    </w:p>
    <w:p>
      <w:pPr>
        <w:pStyle w:val="Heading2"/>
        <w:spacing w:line="240" w:lineRule="auto"/>
        <w:ind w:left="138" w:right="0"/>
        <w:jc w:val="left"/>
        <w:rPr>
          <w:b w:val="0"/>
          <w:bCs w:val="0"/>
        </w:rPr>
      </w:pPr>
      <w:r>
        <w:rPr/>
        <w:t>九、</w:t>
      </w:r>
      <w:r>
        <w:rPr>
          <w:spacing w:val="-4"/>
        </w:rPr>
        <w:t> </w:t>
      </w:r>
      <w:r>
        <w:rPr>
          <w:rFonts w:ascii="宋体" w:hAnsi="宋体" w:cs="宋体" w:eastAsia="宋体" w:hint="default"/>
          <w:spacing w:val="-4"/>
        </w:rPr>
      </w:r>
      <w:r>
        <w:rPr/>
        <w:t>内部控制审计报告的相关情况说明</w:t>
      </w:r>
      <w:r>
        <w:rPr>
          <w:b w:val="0"/>
          <w:bCs w:val="0"/>
        </w:rPr>
      </w:r>
    </w:p>
    <w:p>
      <w:pPr>
        <w:pStyle w:val="BodyText"/>
        <w:tabs>
          <w:tab w:pos="989" w:val="left" w:leader="none"/>
        </w:tabs>
        <w:spacing w:line="322" w:lineRule="exact" w:before="58"/>
        <w:ind w:left="138" w:right="0"/>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pStyle w:val="BodyText"/>
        <w:spacing w:line="310" w:lineRule="exact" w:before="22"/>
        <w:ind w:left="138" w:right="288" w:firstLine="479"/>
        <w:jc w:val="left"/>
        <w:rPr>
          <w:rFonts w:ascii="宋体" w:hAnsi="宋体" w:cs="宋体" w:eastAsia="宋体" w:hint="default"/>
        </w:rPr>
      </w:pPr>
      <w:r>
        <w:rPr/>
        <w:t>公司披露了《用友网络科技股份有限公司</w:t>
      </w:r>
      <w:r>
        <w:rPr>
          <w:spacing w:val="-59"/>
        </w:rPr>
        <w:t> </w:t>
      </w:r>
      <w:r>
        <w:rPr>
          <w:rFonts w:ascii="宋体" w:hAnsi="宋体" w:cs="宋体" w:eastAsia="宋体" w:hint="default"/>
        </w:rPr>
        <w:t>2019</w:t>
      </w:r>
      <w:r>
        <w:rPr>
          <w:rFonts w:ascii="宋体" w:hAnsi="宋体" w:cs="宋体" w:eastAsia="宋体" w:hint="default"/>
          <w:spacing w:val="-60"/>
        </w:rPr>
        <w:t> </w:t>
      </w:r>
      <w:r>
        <w:rPr/>
        <w:t>年度内部控制审计报告》，披露 网址：</w:t>
      </w:r>
      <w:hyperlink r:id="rId11">
        <w:r>
          <w:rPr>
            <w:rFonts w:ascii="宋体" w:hAnsi="宋体" w:cs="宋体" w:eastAsia="宋体" w:hint="default"/>
          </w:rPr>
          <w:t>www.sse.com.cn</w:t>
        </w:r>
      </w:hyperlink>
      <w:r>
        <w:rPr/>
        <w:t>。</w:t>
      </w:r>
      <w:r>
        <w:rPr>
          <w:rFonts w:ascii="宋体" w:hAnsi="宋体" w:cs="宋体" w:eastAsia="宋体" w:hint="default"/>
        </w:rPr>
        <w:t> </w:t>
      </w:r>
    </w:p>
    <w:p>
      <w:pPr>
        <w:pStyle w:val="BodyText"/>
        <w:spacing w:line="284" w:lineRule="exact"/>
        <w:ind w:left="138" w:right="0"/>
        <w:jc w:val="left"/>
      </w:pPr>
      <w:r>
        <w:rPr/>
        <w:t>是否披露内部控制审计报告：是</w:t>
      </w:r>
    </w:p>
    <w:p>
      <w:pPr>
        <w:spacing w:line="240" w:lineRule="auto" w:before="7"/>
        <w:rPr>
          <w:rFonts w:ascii="宋体" w:hAnsi="宋体" w:cs="宋体" w:eastAsia="宋体" w:hint="default"/>
          <w:sz w:val="25"/>
          <w:szCs w:val="25"/>
        </w:rPr>
      </w:pPr>
    </w:p>
    <w:p>
      <w:pPr>
        <w:pStyle w:val="Heading2"/>
        <w:spacing w:line="240" w:lineRule="auto"/>
        <w:ind w:left="138" w:right="0"/>
        <w:jc w:val="left"/>
        <w:rPr>
          <w:b w:val="0"/>
          <w:bCs w:val="0"/>
        </w:rPr>
      </w:pPr>
      <w:r>
        <w:rPr/>
        <w:t>十、 </w:t>
      </w:r>
      <w:r>
        <w:rPr>
          <w:rFonts w:ascii="宋体" w:hAnsi="宋体" w:cs="宋体" w:eastAsia="宋体" w:hint="default"/>
        </w:rPr>
      </w:r>
      <w:r>
        <w:rPr/>
        <w:t>其他</w:t>
      </w:r>
      <w:r>
        <w:rPr>
          <w:b w:val="0"/>
          <w:bCs w:val="0"/>
        </w:rPr>
      </w:r>
    </w:p>
    <w:p>
      <w:pPr>
        <w:pStyle w:val="BodyText"/>
        <w:tabs>
          <w:tab w:pos="1001" w:val="left" w:leader="none"/>
        </w:tabs>
        <w:spacing w:line="240" w:lineRule="auto" w:before="55"/>
        <w:ind w:left="138" w:right="0"/>
        <w:jc w:val="left"/>
      </w:pPr>
      <w:r>
        <w:rPr>
          <w:rFonts w:ascii="Times New Roman" w:hAnsi="Times New Roman" w:cs="Times New Roman" w:eastAsia="Times New Roman" w:hint="default"/>
          <w:spacing w:val="-1"/>
        </w:rPr>
        <w:t>□</w:t>
      </w:r>
      <w:r>
        <w:rPr>
          <w:spacing w:val="-1"/>
        </w:rPr>
        <w:t>适用</w:t>
        <w:tab/>
      </w:r>
      <w:r>
        <w:rPr>
          <w:rFonts w:ascii="Times New Roman" w:hAnsi="Times New Roman" w:cs="Times New Roman" w:eastAsia="Times New Roman" w:hint="default"/>
        </w:rPr>
        <w:t>√</w:t>
      </w:r>
      <w:r>
        <w:rPr/>
        <w:t>不适用</w:t>
      </w:r>
    </w:p>
    <w:p>
      <w:pPr>
        <w:spacing w:line="240" w:lineRule="auto" w:before="7"/>
        <w:rPr>
          <w:rFonts w:ascii="宋体" w:hAnsi="宋体" w:cs="宋体" w:eastAsia="宋体" w:hint="default"/>
          <w:sz w:val="23"/>
          <w:szCs w:val="23"/>
        </w:rPr>
      </w:pPr>
    </w:p>
    <w:p>
      <w:pPr>
        <w:pStyle w:val="Heading1"/>
        <w:spacing w:line="240" w:lineRule="auto" w:before="0"/>
        <w:ind w:left="2941" w:right="0"/>
        <w:jc w:val="left"/>
        <w:rPr>
          <w:b w:val="0"/>
          <w:bCs w:val="0"/>
        </w:rPr>
      </w:pPr>
      <w:bookmarkStart w:name="_bookmark9" w:id="12"/>
      <w:bookmarkEnd w:id="12"/>
      <w:r>
        <w:rPr>
          <w:b w:val="0"/>
          <w:bCs w:val="0"/>
        </w:rPr>
      </w:r>
      <w:r>
        <w:rPr/>
        <w:t>第十节</w:t>
      </w:r>
      <w:r>
        <w:rPr>
          <w:spacing w:val="133"/>
        </w:rPr>
        <w:t> </w:t>
      </w:r>
      <w:r>
        <w:rPr>
          <w:rFonts w:ascii="宋体" w:hAnsi="宋体" w:cs="宋体" w:eastAsia="宋体" w:hint="default"/>
          <w:spacing w:val="133"/>
        </w:rPr>
      </w:r>
      <w:r>
        <w:rPr/>
        <w:t>公司债券相关情况</w:t>
      </w:r>
      <w:r>
        <w:rPr>
          <w:b w:val="0"/>
          <w:bCs w:val="0"/>
        </w:rPr>
      </w:r>
    </w:p>
    <w:p>
      <w:pPr>
        <w:pStyle w:val="BodyText"/>
        <w:spacing w:line="240" w:lineRule="auto" w:before="246"/>
        <w:ind w:left="138" w:right="0"/>
        <w:jc w:val="left"/>
      </w:pPr>
      <w:r>
        <w:rPr>
          <w:rFonts w:ascii="Times New Roman" w:hAnsi="Times New Roman" w:cs="Times New Roman" w:eastAsia="Times New Roman" w:hint="default"/>
        </w:rPr>
        <w:t>□</w:t>
      </w:r>
      <w:r>
        <w:rPr/>
        <w:t>适用</w:t>
      </w:r>
      <w:r>
        <w:rPr>
          <w:spacing w:val="-2"/>
        </w:rPr>
        <w:t> </w:t>
      </w:r>
      <w:r>
        <w:rPr>
          <w:rFonts w:ascii="Times New Roman" w:hAnsi="Times New Roman" w:cs="Times New Roman" w:eastAsia="Times New Roman" w:hint="default"/>
        </w:rPr>
        <w:t>√</w:t>
      </w:r>
      <w:r>
        <w:rPr/>
        <w:t>不适用</w:t>
      </w:r>
    </w:p>
    <w:p>
      <w:pPr>
        <w:spacing w:after="0" w:line="240" w:lineRule="auto"/>
        <w:jc w:val="left"/>
        <w:sectPr>
          <w:headerReference w:type="default" r:id="rId40"/>
          <w:pgSz w:w="11910" w:h="16840"/>
          <w:pgMar w:header="743" w:footer="1195" w:top="980" w:bottom="1380" w:left="1660" w:right="10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1"/>
        <w:tabs>
          <w:tab w:pos="4571" w:val="left" w:leader="none"/>
        </w:tabs>
        <w:spacing w:line="240" w:lineRule="auto"/>
        <w:ind w:left="3033" w:right="0"/>
        <w:jc w:val="left"/>
        <w:rPr>
          <w:rFonts w:ascii="宋体" w:hAnsi="宋体" w:cs="宋体" w:eastAsia="宋体" w:hint="default"/>
          <w:b w:val="0"/>
          <w:bCs w:val="0"/>
        </w:rPr>
      </w:pPr>
      <w:r>
        <w:rPr/>
        <w:pict>
          <v:group style="position:absolute;margin-left:88.463997pt;margin-top:-40.808460pt;width:417.45pt;height:.1pt;mso-position-horizontal-relative:page;mso-position-vertical-relative:paragraph;z-index:1120" coordorigin="1769,-816" coordsize="8349,2">
            <v:shape style="position:absolute;left:1769;top:-816;width:8349;height:2" coordorigin="1769,-816" coordsize="8349,0" path="m1769,-816l10118,-816e" filled="false" stroked="true" strokeweight=".72pt" strokecolor="#000000">
              <v:path arrowok="t"/>
            </v:shape>
            <w10:wrap type="none"/>
          </v:group>
        </w:pict>
      </w:r>
      <w:bookmarkStart w:name="_bookmark10" w:id="13"/>
      <w:bookmarkEnd w:id="13"/>
      <w:r>
        <w:rPr>
          <w:b w:val="0"/>
          <w:bCs w:val="0"/>
        </w:rPr>
      </w:r>
      <w:r>
        <w:rPr>
          <w:rFonts w:ascii="宋体" w:hAnsi="宋体" w:cs="宋体" w:eastAsia="宋体" w:hint="default"/>
          <w:spacing w:val="-1"/>
        </w:rPr>
        <w:t>第十一节</w:t>
      </w:r>
      <w:r>
        <w:rPr>
          <w:rFonts w:ascii="宋体" w:hAnsi="宋体" w:cs="宋体" w:eastAsia="宋体" w:hint="default"/>
          <w:spacing w:val="-1"/>
        </w:rPr>
        <w:tab/>
      </w:r>
      <w:r>
        <w:rPr>
          <w:rFonts w:ascii="宋体" w:hAnsi="宋体" w:cs="宋体" w:eastAsia="宋体" w:hint="default"/>
        </w:rPr>
        <w:t>财务报告</w:t>
      </w:r>
      <w:r>
        <w:rPr>
          <w:rFonts w:ascii="宋体" w:hAnsi="宋体" w:cs="宋体" w:eastAsia="宋体" w:hint="default"/>
          <w:w w:val="99"/>
        </w:rPr>
        <w:t> </w:t>
      </w:r>
      <w:r>
        <w:rPr>
          <w:rFonts w:ascii="宋体" w:hAnsi="宋体" w:cs="宋体" w:eastAsia="宋体" w:hint="default"/>
          <w:b w:val="0"/>
          <w:bCs w:val="0"/>
        </w:rPr>
      </w:r>
    </w:p>
    <w:p>
      <w:pPr>
        <w:spacing w:line="240" w:lineRule="auto" w:before="11"/>
        <w:rPr>
          <w:rFonts w:ascii="宋体" w:hAnsi="宋体" w:cs="宋体" w:eastAsia="宋体" w:hint="default"/>
          <w:b/>
          <w:bCs/>
          <w:sz w:val="16"/>
          <w:szCs w:val="16"/>
        </w:rPr>
      </w:pPr>
    </w:p>
    <w:p>
      <w:pPr>
        <w:spacing w:after="0" w:line="240" w:lineRule="auto"/>
        <w:rPr>
          <w:rFonts w:ascii="宋体" w:hAnsi="宋体" w:cs="宋体" w:eastAsia="宋体" w:hint="default"/>
          <w:sz w:val="16"/>
          <w:szCs w:val="16"/>
        </w:rPr>
        <w:sectPr>
          <w:footerReference w:type="default" r:id="rId41"/>
          <w:pgSz w:w="11910" w:h="16850"/>
          <w:pgMar w:footer="921" w:header="743" w:top="1060" w:bottom="1120" w:left="1660" w:right="1680"/>
          <w:pgNumType w:start="1"/>
        </w:sectPr>
      </w:pPr>
    </w:p>
    <w:p>
      <w:pPr>
        <w:pStyle w:val="Heading2"/>
        <w:tabs>
          <w:tab w:pos="977" w:val="left" w:leader="none"/>
        </w:tabs>
        <w:spacing w:line="240" w:lineRule="auto" w:before="26"/>
        <w:ind w:left="138" w:right="0"/>
        <w:jc w:val="left"/>
        <w:rPr>
          <w:rFonts w:ascii="宋体" w:hAnsi="宋体" w:cs="宋体" w:eastAsia="宋体" w:hint="default"/>
          <w:b w:val="0"/>
          <w:bCs w:val="0"/>
        </w:rPr>
      </w:pPr>
      <w:r>
        <w:rPr>
          <w:w w:val="95"/>
        </w:rPr>
        <w:t>一、</w:t>
      </w:r>
      <w:r>
        <w:rPr>
          <w:rFonts w:ascii="宋体" w:hAnsi="宋体" w:cs="宋体" w:eastAsia="宋体" w:hint="default"/>
          <w:w w:val="95"/>
        </w:rPr>
        <w:tab/>
      </w:r>
      <w:r>
        <w:rPr/>
        <w:t>审计报告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138" w:right="0"/>
        <w:jc w:val="left"/>
      </w:pPr>
      <w:r>
        <w:rPr/>
        <w:t>√适用</w:t>
      </w:r>
      <w:r>
        <w:rPr>
          <w:spacing w:val="-1"/>
        </w:rPr>
        <w:t> </w:t>
      </w:r>
      <w:r>
        <w:rPr/>
        <w:t>□不适用</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before="196"/>
        <w:ind w:left="138" w:right="0" w:firstLine="0"/>
        <w:jc w:val="left"/>
        <w:rPr>
          <w:rFonts w:ascii="黑体" w:hAnsi="黑体" w:cs="黑体" w:eastAsia="黑体" w:hint="default"/>
          <w:sz w:val="22"/>
          <w:szCs w:val="22"/>
        </w:rPr>
      </w:pPr>
      <w:r>
        <w:rPr>
          <w:rFonts w:ascii="黑体" w:hAnsi="黑体" w:cs="黑体" w:eastAsia="黑体" w:hint="default"/>
          <w:b/>
          <w:bCs/>
          <w:sz w:val="22"/>
          <w:szCs w:val="22"/>
        </w:rPr>
        <w:t>审计报告</w:t>
      </w:r>
      <w:r>
        <w:rPr>
          <w:rFonts w:ascii="黑体" w:hAnsi="黑体" w:cs="黑体" w:eastAsia="黑体" w:hint="default"/>
          <w:sz w:val="22"/>
          <w:szCs w:val="22"/>
        </w:rPr>
      </w:r>
    </w:p>
    <w:p>
      <w:pPr>
        <w:spacing w:line="240" w:lineRule="auto" w:before="0"/>
        <w:rPr>
          <w:rFonts w:ascii="黑体" w:hAnsi="黑体" w:cs="黑体" w:eastAsia="黑体" w:hint="default"/>
          <w:b/>
          <w:bCs/>
          <w:sz w:val="22"/>
          <w:szCs w:val="22"/>
        </w:rPr>
      </w:pPr>
    </w:p>
    <w:p>
      <w:pPr>
        <w:spacing w:line="295" w:lineRule="exact" w:before="163"/>
        <w:ind w:left="555" w:right="0" w:firstLine="0"/>
        <w:jc w:val="left"/>
        <w:rPr>
          <w:rFonts w:ascii="黑体" w:hAnsi="黑体" w:cs="黑体" w:eastAsia="黑体" w:hint="default"/>
          <w:sz w:val="22"/>
          <w:szCs w:val="22"/>
        </w:rPr>
      </w:pPr>
      <w:r>
        <w:rPr>
          <w:rFonts w:ascii="黑体" w:hAnsi="黑体" w:cs="黑体" w:eastAsia="黑体" w:hint="default"/>
          <w:sz w:val="22"/>
          <w:szCs w:val="22"/>
        </w:rPr>
        <w:t>安永华明（</w:t>
      </w:r>
      <w:r>
        <w:rPr>
          <w:rFonts w:ascii="Arial" w:hAnsi="Arial" w:cs="Arial" w:eastAsia="Arial" w:hint="default"/>
          <w:sz w:val="22"/>
          <w:szCs w:val="22"/>
        </w:rPr>
        <w:t>2020</w:t>
      </w:r>
      <w:r>
        <w:rPr>
          <w:rFonts w:ascii="黑体" w:hAnsi="黑体" w:cs="黑体" w:eastAsia="黑体" w:hint="default"/>
          <w:sz w:val="22"/>
          <w:szCs w:val="22"/>
        </w:rPr>
        <w:t>）审字第</w:t>
      </w:r>
      <w:r>
        <w:rPr>
          <w:rFonts w:ascii="Arial" w:hAnsi="Arial" w:cs="Arial" w:eastAsia="Arial" w:hint="default"/>
          <w:sz w:val="22"/>
          <w:szCs w:val="22"/>
        </w:rPr>
        <w:t>60469423_A01</w:t>
      </w:r>
      <w:r>
        <w:rPr>
          <w:rFonts w:ascii="黑体" w:hAnsi="黑体" w:cs="黑体" w:eastAsia="黑体" w:hint="default"/>
          <w:sz w:val="22"/>
          <w:szCs w:val="22"/>
        </w:rPr>
        <w:t>号</w:t>
      </w:r>
    </w:p>
    <w:p>
      <w:pPr>
        <w:spacing w:line="279" w:lineRule="exact" w:before="0"/>
        <w:ind w:left="2096" w:right="0" w:firstLine="0"/>
        <w:jc w:val="left"/>
        <w:rPr>
          <w:rFonts w:ascii="黑体" w:hAnsi="黑体" w:cs="黑体" w:eastAsia="黑体" w:hint="default"/>
          <w:sz w:val="22"/>
          <w:szCs w:val="22"/>
        </w:rPr>
      </w:pPr>
      <w:r>
        <w:rPr>
          <w:rFonts w:ascii="黑体" w:hAnsi="黑体" w:cs="黑体" w:eastAsia="黑体" w:hint="default"/>
          <w:sz w:val="22"/>
          <w:szCs w:val="22"/>
        </w:rPr>
        <w:t>用友网络科技股份有限公司</w:t>
      </w:r>
    </w:p>
    <w:p>
      <w:pPr>
        <w:spacing w:after="0" w:line="279" w:lineRule="exact"/>
        <w:jc w:val="left"/>
        <w:rPr>
          <w:rFonts w:ascii="黑体" w:hAnsi="黑体" w:cs="黑体" w:eastAsia="黑体" w:hint="default"/>
          <w:sz w:val="22"/>
          <w:szCs w:val="22"/>
        </w:rPr>
        <w:sectPr>
          <w:type w:val="continuous"/>
          <w:pgSz w:w="11910" w:h="16850"/>
          <w:pgMar w:top="1120" w:bottom="1380" w:left="1660" w:right="1680"/>
          <w:cols w:num="2" w:equalWidth="0">
            <w:col w:w="2063" w:space="1652"/>
            <w:col w:w="4855"/>
          </w:cols>
        </w:sect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6"/>
          <w:szCs w:val="16"/>
        </w:rPr>
      </w:pPr>
    </w:p>
    <w:p>
      <w:pPr>
        <w:spacing w:line="448" w:lineRule="auto" w:before="32"/>
        <w:ind w:left="577" w:right="3401" w:hanging="440"/>
        <w:jc w:val="left"/>
        <w:rPr>
          <w:rFonts w:ascii="黑体" w:hAnsi="黑体" w:cs="黑体" w:eastAsia="黑体" w:hint="default"/>
          <w:sz w:val="22"/>
          <w:szCs w:val="22"/>
        </w:rPr>
      </w:pPr>
      <w:r>
        <w:rPr>
          <w:rFonts w:ascii="黑体" w:hAnsi="黑体" w:cs="黑体" w:eastAsia="黑体" w:hint="default"/>
          <w:spacing w:val="-1"/>
          <w:sz w:val="22"/>
          <w:szCs w:val="22"/>
        </w:rPr>
        <w:t>用友网络科技股份有限公司全体股东：</w:t>
      </w:r>
      <w:r>
        <w:rPr>
          <w:rFonts w:ascii="黑体" w:hAnsi="黑体" w:cs="黑体" w:eastAsia="黑体" w:hint="default"/>
          <w:spacing w:val="-95"/>
          <w:sz w:val="22"/>
          <w:szCs w:val="22"/>
        </w:rPr>
        <w:t> </w:t>
      </w:r>
      <w:r>
        <w:rPr>
          <w:rFonts w:ascii="黑体" w:hAnsi="黑体" w:cs="黑体" w:eastAsia="黑体" w:hint="default"/>
          <w:spacing w:val="-95"/>
          <w:sz w:val="22"/>
          <w:szCs w:val="22"/>
        </w:rPr>
      </w:r>
      <w:r>
        <w:rPr>
          <w:rFonts w:ascii="黑体" w:hAnsi="黑体" w:cs="黑体" w:eastAsia="黑体" w:hint="default"/>
          <w:b/>
          <w:bCs/>
          <w:sz w:val="22"/>
          <w:szCs w:val="22"/>
        </w:rPr>
        <w:t>一、审计意见</w:t>
      </w:r>
      <w:r>
        <w:rPr>
          <w:rFonts w:ascii="黑体" w:hAnsi="黑体" w:cs="黑体" w:eastAsia="黑体" w:hint="default"/>
          <w:sz w:val="22"/>
          <w:szCs w:val="22"/>
        </w:rPr>
      </w:r>
    </w:p>
    <w:p>
      <w:pPr>
        <w:spacing w:line="286" w:lineRule="exact" w:before="86"/>
        <w:ind w:left="138" w:right="106" w:firstLine="419"/>
        <w:jc w:val="both"/>
        <w:rPr>
          <w:rFonts w:ascii="黑体" w:hAnsi="黑体" w:cs="黑体" w:eastAsia="黑体" w:hint="default"/>
          <w:sz w:val="22"/>
          <w:szCs w:val="22"/>
        </w:rPr>
      </w:pPr>
      <w:r>
        <w:rPr>
          <w:rFonts w:ascii="黑体" w:hAnsi="黑体" w:cs="黑体" w:eastAsia="黑体" w:hint="default"/>
          <w:sz w:val="22"/>
          <w:szCs w:val="22"/>
        </w:rPr>
        <w:t>我们审计了用友网络科技股份有限公司的财务报表，包括</w:t>
      </w:r>
      <w:r>
        <w:rPr>
          <w:rFonts w:ascii="Arial" w:hAnsi="Arial" w:cs="Arial" w:eastAsia="Arial" w:hint="default"/>
          <w:sz w:val="22"/>
          <w:szCs w:val="22"/>
        </w:rPr>
        <w:t>2019</w:t>
      </w:r>
      <w:r>
        <w:rPr>
          <w:rFonts w:ascii="黑体" w:hAnsi="黑体" w:cs="黑体" w:eastAsia="黑体" w:hint="default"/>
          <w:sz w:val="22"/>
          <w:szCs w:val="22"/>
        </w:rPr>
        <w:t>年</w:t>
      </w:r>
      <w:r>
        <w:rPr>
          <w:rFonts w:ascii="Arial" w:hAnsi="Arial" w:cs="Arial" w:eastAsia="Arial" w:hint="default"/>
          <w:sz w:val="22"/>
          <w:szCs w:val="22"/>
        </w:rPr>
        <w:t>12</w:t>
      </w:r>
      <w:r>
        <w:rPr>
          <w:rFonts w:ascii="黑体" w:hAnsi="黑体" w:cs="黑体" w:eastAsia="黑体" w:hint="default"/>
          <w:sz w:val="22"/>
          <w:szCs w:val="22"/>
        </w:rPr>
        <w:t>月</w:t>
      </w:r>
      <w:r>
        <w:rPr>
          <w:rFonts w:ascii="Arial" w:hAnsi="Arial" w:cs="Arial" w:eastAsia="Arial" w:hint="default"/>
          <w:sz w:val="22"/>
          <w:szCs w:val="22"/>
        </w:rPr>
        <w:t>31</w:t>
      </w:r>
      <w:r>
        <w:rPr>
          <w:rFonts w:ascii="黑体" w:hAnsi="黑体" w:cs="黑体" w:eastAsia="黑体" w:hint="default"/>
          <w:sz w:val="22"/>
          <w:szCs w:val="22"/>
        </w:rPr>
        <w:t>日的合并</w:t>
      </w:r>
      <w:r>
        <w:rPr>
          <w:rFonts w:ascii="黑体" w:hAnsi="黑体" w:cs="黑体" w:eastAsia="黑体" w:hint="default"/>
          <w:spacing w:val="2"/>
          <w:w w:val="100"/>
          <w:sz w:val="22"/>
          <w:szCs w:val="22"/>
        </w:rPr>
        <w:t> </w:t>
      </w:r>
      <w:r>
        <w:rPr>
          <w:rFonts w:ascii="黑体" w:hAnsi="黑体" w:cs="黑体" w:eastAsia="黑体" w:hint="default"/>
          <w:spacing w:val="-4"/>
          <w:sz w:val="22"/>
          <w:szCs w:val="22"/>
        </w:rPr>
        <w:t>及公司资产负债表，</w:t>
      </w:r>
      <w:r>
        <w:rPr>
          <w:rFonts w:ascii="Arial" w:hAnsi="Arial" w:cs="Arial" w:eastAsia="Arial" w:hint="default"/>
          <w:spacing w:val="-4"/>
          <w:sz w:val="22"/>
          <w:szCs w:val="22"/>
        </w:rPr>
        <w:t>2019</w:t>
      </w:r>
      <w:r>
        <w:rPr>
          <w:rFonts w:ascii="黑体" w:hAnsi="黑体" w:cs="黑体" w:eastAsia="黑体" w:hint="default"/>
          <w:spacing w:val="-4"/>
          <w:sz w:val="22"/>
          <w:szCs w:val="22"/>
        </w:rPr>
        <w:t>年度的合并及公司利润表、股东权益变动表和现金流量表以及</w:t>
      </w:r>
      <w:r>
        <w:rPr>
          <w:rFonts w:ascii="黑体" w:hAnsi="黑体" w:cs="黑体" w:eastAsia="黑体" w:hint="default"/>
          <w:spacing w:val="-56"/>
          <w:sz w:val="22"/>
          <w:szCs w:val="22"/>
        </w:rPr>
        <w:t> </w:t>
      </w:r>
      <w:r>
        <w:rPr>
          <w:rFonts w:ascii="黑体" w:hAnsi="黑体" w:cs="黑体" w:eastAsia="黑体" w:hint="default"/>
          <w:spacing w:val="-56"/>
          <w:sz w:val="22"/>
          <w:szCs w:val="22"/>
        </w:rPr>
      </w:r>
      <w:r>
        <w:rPr>
          <w:rFonts w:ascii="黑体" w:hAnsi="黑体" w:cs="黑体" w:eastAsia="黑体" w:hint="default"/>
          <w:sz w:val="22"/>
          <w:szCs w:val="22"/>
        </w:rPr>
        <w:t>相关财务报表附注。</w:t>
      </w:r>
    </w:p>
    <w:p>
      <w:pPr>
        <w:spacing w:line="240" w:lineRule="auto" w:before="3"/>
        <w:rPr>
          <w:rFonts w:ascii="黑体" w:hAnsi="黑体" w:cs="黑体" w:eastAsia="黑体" w:hint="default"/>
          <w:sz w:val="19"/>
          <w:szCs w:val="19"/>
        </w:rPr>
      </w:pPr>
    </w:p>
    <w:p>
      <w:pPr>
        <w:spacing w:line="286" w:lineRule="exact" w:before="0"/>
        <w:ind w:left="138" w:right="109" w:firstLine="419"/>
        <w:jc w:val="both"/>
        <w:rPr>
          <w:rFonts w:ascii="黑体" w:hAnsi="黑体" w:cs="黑体" w:eastAsia="黑体" w:hint="default"/>
          <w:sz w:val="22"/>
          <w:szCs w:val="22"/>
        </w:rPr>
      </w:pPr>
      <w:r>
        <w:rPr>
          <w:rFonts w:ascii="黑体" w:hAnsi="黑体" w:cs="黑体" w:eastAsia="黑体" w:hint="default"/>
          <w:spacing w:val="-2"/>
          <w:sz w:val="22"/>
          <w:szCs w:val="22"/>
        </w:rPr>
        <w:t>我们认为，后附的用友网络科技股份有限公司的财务报表在所有重大方面按照企业</w:t>
      </w:r>
      <w:r>
        <w:rPr>
          <w:rFonts w:ascii="黑体" w:hAnsi="黑体" w:cs="黑体" w:eastAsia="黑体" w:hint="default"/>
          <w:w w:val="100"/>
          <w:sz w:val="22"/>
          <w:szCs w:val="22"/>
        </w:rPr>
        <w:t> </w:t>
      </w:r>
      <w:r>
        <w:rPr>
          <w:rFonts w:ascii="黑体" w:hAnsi="黑体" w:cs="黑体" w:eastAsia="黑体" w:hint="default"/>
          <w:sz w:val="22"/>
          <w:szCs w:val="22"/>
        </w:rPr>
        <w:t>会计准则的规定编制，公允反映了用友网络科技股份有限公司</w:t>
      </w:r>
      <w:r>
        <w:rPr>
          <w:rFonts w:ascii="Arial" w:hAnsi="Arial" w:cs="Arial" w:eastAsia="Arial" w:hint="default"/>
          <w:sz w:val="22"/>
          <w:szCs w:val="22"/>
        </w:rPr>
        <w:t>2019</w:t>
      </w:r>
      <w:r>
        <w:rPr>
          <w:rFonts w:ascii="黑体" w:hAnsi="黑体" w:cs="黑体" w:eastAsia="黑体" w:hint="default"/>
          <w:sz w:val="22"/>
          <w:szCs w:val="22"/>
        </w:rPr>
        <w:t>年</w:t>
      </w:r>
      <w:r>
        <w:rPr>
          <w:rFonts w:ascii="Arial" w:hAnsi="Arial" w:cs="Arial" w:eastAsia="Arial" w:hint="default"/>
          <w:sz w:val="22"/>
          <w:szCs w:val="22"/>
        </w:rPr>
        <w:t>12</w:t>
      </w:r>
      <w:r>
        <w:rPr>
          <w:rFonts w:ascii="黑体" w:hAnsi="黑体" w:cs="黑体" w:eastAsia="黑体" w:hint="default"/>
          <w:sz w:val="22"/>
          <w:szCs w:val="22"/>
        </w:rPr>
        <w:t>月</w:t>
      </w:r>
      <w:r>
        <w:rPr>
          <w:rFonts w:ascii="Arial" w:hAnsi="Arial" w:cs="Arial" w:eastAsia="Arial" w:hint="default"/>
          <w:sz w:val="22"/>
          <w:szCs w:val="22"/>
        </w:rPr>
        <w:t>31</w:t>
      </w:r>
      <w:r>
        <w:rPr>
          <w:rFonts w:ascii="黑体" w:hAnsi="黑体" w:cs="黑体" w:eastAsia="黑体" w:hint="default"/>
          <w:sz w:val="22"/>
          <w:szCs w:val="22"/>
        </w:rPr>
        <w:t>日的合并</w:t>
      </w:r>
      <w:r>
        <w:rPr>
          <w:rFonts w:ascii="黑体" w:hAnsi="黑体" w:cs="黑体" w:eastAsia="黑体" w:hint="default"/>
          <w:spacing w:val="-41"/>
          <w:sz w:val="22"/>
          <w:szCs w:val="22"/>
        </w:rPr>
        <w:t> </w:t>
      </w:r>
      <w:r>
        <w:rPr>
          <w:rFonts w:ascii="黑体" w:hAnsi="黑体" w:cs="黑体" w:eastAsia="黑体" w:hint="default"/>
          <w:spacing w:val="-41"/>
          <w:sz w:val="22"/>
          <w:szCs w:val="22"/>
        </w:rPr>
      </w:r>
      <w:r>
        <w:rPr>
          <w:rFonts w:ascii="黑体" w:hAnsi="黑体" w:cs="黑体" w:eastAsia="黑体" w:hint="default"/>
          <w:sz w:val="22"/>
          <w:szCs w:val="22"/>
        </w:rPr>
        <w:t>及公司财务状况以及</w:t>
      </w:r>
      <w:r>
        <w:rPr>
          <w:rFonts w:ascii="Arial" w:hAnsi="Arial" w:cs="Arial" w:eastAsia="Arial" w:hint="default"/>
          <w:sz w:val="22"/>
          <w:szCs w:val="22"/>
        </w:rPr>
        <w:t>2019</w:t>
      </w:r>
      <w:r>
        <w:rPr>
          <w:rFonts w:ascii="黑体" w:hAnsi="黑体" w:cs="黑体" w:eastAsia="黑体" w:hint="default"/>
          <w:sz w:val="22"/>
          <w:szCs w:val="22"/>
        </w:rPr>
        <w:t>年度的合并及公司经营成果和现金流量。</w:t>
      </w:r>
    </w:p>
    <w:p>
      <w:pPr>
        <w:spacing w:line="540" w:lineRule="exact" w:before="48"/>
        <w:ind w:left="558" w:right="0" w:firstLine="7"/>
        <w:jc w:val="left"/>
        <w:rPr>
          <w:rFonts w:ascii="黑体" w:hAnsi="黑体" w:cs="黑体" w:eastAsia="黑体" w:hint="default"/>
          <w:sz w:val="22"/>
          <w:szCs w:val="22"/>
        </w:rPr>
      </w:pPr>
      <w:r>
        <w:rPr>
          <w:rFonts w:ascii="黑体" w:hAnsi="黑体" w:cs="黑体" w:eastAsia="黑体" w:hint="default"/>
          <w:b/>
          <w:bCs/>
          <w:sz w:val="22"/>
          <w:szCs w:val="22"/>
        </w:rPr>
        <w:t>二、形成审计意见的基础</w:t>
      </w:r>
      <w:r>
        <w:rPr>
          <w:rFonts w:ascii="黑体" w:hAnsi="黑体" w:cs="黑体" w:eastAsia="黑体" w:hint="default"/>
          <w:b/>
          <w:bCs/>
          <w:w w:val="99"/>
          <w:sz w:val="22"/>
          <w:szCs w:val="22"/>
        </w:rPr>
        <w:t> </w:t>
      </w:r>
      <w:r>
        <w:rPr>
          <w:rFonts w:ascii="黑体" w:hAnsi="黑体" w:cs="黑体" w:eastAsia="黑体" w:hint="default"/>
          <w:spacing w:val="-4"/>
          <w:w w:val="100"/>
          <w:sz w:val="22"/>
          <w:szCs w:val="22"/>
        </w:rPr>
        <w:t>我们按照中国注册会计师审计准则的规定执行了审计工作。审计报告的</w:t>
      </w:r>
      <w:r>
        <w:rPr>
          <w:rFonts w:ascii="Arial" w:hAnsi="Arial" w:cs="Arial" w:eastAsia="Arial" w:hint="default"/>
          <w:spacing w:val="-4"/>
          <w:w w:val="100"/>
          <w:sz w:val="22"/>
          <w:szCs w:val="22"/>
        </w:rPr>
        <w:t>“</w:t>
      </w:r>
      <w:r>
        <w:rPr>
          <w:rFonts w:ascii="黑体" w:hAnsi="黑体" w:cs="黑体" w:eastAsia="黑体" w:hint="default"/>
          <w:spacing w:val="-4"/>
          <w:w w:val="100"/>
          <w:sz w:val="22"/>
          <w:szCs w:val="22"/>
        </w:rPr>
        <w:t>注册会计师</w:t>
      </w:r>
    </w:p>
    <w:p>
      <w:pPr>
        <w:spacing w:line="213" w:lineRule="exact" w:before="0"/>
        <w:ind w:left="138" w:right="0" w:firstLine="0"/>
        <w:jc w:val="both"/>
        <w:rPr>
          <w:rFonts w:ascii="黑体" w:hAnsi="黑体" w:cs="黑体" w:eastAsia="黑体" w:hint="default"/>
          <w:sz w:val="22"/>
          <w:szCs w:val="22"/>
        </w:rPr>
      </w:pPr>
      <w:r>
        <w:rPr>
          <w:rFonts w:ascii="黑体" w:hAnsi="黑体" w:cs="黑体" w:eastAsia="黑体" w:hint="default"/>
          <w:sz w:val="22"/>
          <w:szCs w:val="22"/>
        </w:rPr>
        <w:t>对财务报表审计的责任</w:t>
      </w:r>
      <w:r>
        <w:rPr>
          <w:rFonts w:ascii="Arial" w:hAnsi="Arial" w:cs="Arial" w:eastAsia="Arial" w:hint="default"/>
          <w:sz w:val="22"/>
          <w:szCs w:val="22"/>
        </w:rPr>
        <w:t>”</w:t>
      </w:r>
      <w:r>
        <w:rPr>
          <w:rFonts w:ascii="黑体" w:hAnsi="黑体" w:cs="黑体" w:eastAsia="黑体" w:hint="default"/>
          <w:sz w:val="22"/>
          <w:szCs w:val="22"/>
        </w:rPr>
        <w:t>部分进一步阐述了我们在这些准则下的责任。按照中国注册会</w:t>
      </w:r>
    </w:p>
    <w:p>
      <w:pPr>
        <w:spacing w:line="286" w:lineRule="exact" w:before="19"/>
        <w:ind w:left="138" w:right="110" w:firstLine="0"/>
        <w:jc w:val="both"/>
        <w:rPr>
          <w:rFonts w:ascii="黑体" w:hAnsi="黑体" w:cs="黑体" w:eastAsia="黑体" w:hint="default"/>
          <w:sz w:val="22"/>
          <w:szCs w:val="22"/>
        </w:rPr>
      </w:pPr>
      <w:r>
        <w:rPr>
          <w:rFonts w:ascii="黑体" w:hAnsi="黑体" w:cs="黑体" w:eastAsia="黑体" w:hint="default"/>
          <w:spacing w:val="-3"/>
          <w:sz w:val="22"/>
          <w:szCs w:val="22"/>
        </w:rPr>
        <w:t>计师职业道德守则，我们独立于用友网络科技股份有限公司，并履行了职业道德方面的</w:t>
      </w:r>
      <w:r>
        <w:rPr>
          <w:rFonts w:ascii="黑体" w:hAnsi="黑体" w:cs="黑体" w:eastAsia="黑体" w:hint="default"/>
          <w:spacing w:val="-48"/>
          <w:sz w:val="22"/>
          <w:szCs w:val="22"/>
        </w:rPr>
        <w:t> </w:t>
      </w:r>
      <w:r>
        <w:rPr>
          <w:rFonts w:ascii="黑体" w:hAnsi="黑体" w:cs="黑体" w:eastAsia="黑体" w:hint="default"/>
          <w:spacing w:val="-48"/>
          <w:sz w:val="22"/>
          <w:szCs w:val="22"/>
        </w:rPr>
      </w:r>
      <w:r>
        <w:rPr>
          <w:rFonts w:ascii="黑体" w:hAnsi="黑体" w:cs="黑体" w:eastAsia="黑体" w:hint="default"/>
          <w:spacing w:val="-3"/>
          <w:sz w:val="22"/>
          <w:szCs w:val="22"/>
        </w:rPr>
        <w:t>其他责任。我们相信，我们获取的审计证据是充分、适当的，为发表审计意见提供了基</w:t>
      </w:r>
      <w:r>
        <w:rPr>
          <w:rFonts w:ascii="黑体" w:hAnsi="黑体" w:cs="黑体" w:eastAsia="黑体" w:hint="default"/>
          <w:spacing w:val="-47"/>
          <w:sz w:val="22"/>
          <w:szCs w:val="22"/>
        </w:rPr>
        <w:t> </w:t>
      </w:r>
      <w:r>
        <w:rPr>
          <w:rFonts w:ascii="黑体" w:hAnsi="黑体" w:cs="黑体" w:eastAsia="黑体" w:hint="default"/>
          <w:spacing w:val="-47"/>
          <w:sz w:val="22"/>
          <w:szCs w:val="22"/>
        </w:rPr>
      </w:r>
      <w:r>
        <w:rPr>
          <w:rFonts w:ascii="黑体" w:hAnsi="黑体" w:cs="黑体" w:eastAsia="黑体" w:hint="default"/>
          <w:sz w:val="22"/>
          <w:szCs w:val="22"/>
        </w:rPr>
        <w:t>础。</w:t>
      </w:r>
    </w:p>
    <w:p>
      <w:pPr>
        <w:spacing w:line="540" w:lineRule="exact" w:before="48"/>
        <w:ind w:left="510" w:right="0" w:firstLine="48"/>
        <w:jc w:val="left"/>
        <w:rPr>
          <w:rFonts w:ascii="黑体" w:hAnsi="黑体" w:cs="黑体" w:eastAsia="黑体" w:hint="default"/>
          <w:sz w:val="22"/>
          <w:szCs w:val="22"/>
        </w:rPr>
      </w:pPr>
      <w:r>
        <w:rPr>
          <w:rFonts w:ascii="黑体" w:hAnsi="黑体" w:cs="黑体" w:eastAsia="黑体" w:hint="default"/>
          <w:b/>
          <w:bCs/>
          <w:sz w:val="22"/>
          <w:szCs w:val="22"/>
        </w:rPr>
        <w:t>三、关键审计事项</w:t>
      </w:r>
      <w:r>
        <w:rPr>
          <w:rFonts w:ascii="黑体" w:hAnsi="黑体" w:cs="黑体" w:eastAsia="黑体" w:hint="default"/>
          <w:b/>
          <w:bCs/>
          <w:w w:val="99"/>
          <w:sz w:val="22"/>
          <w:szCs w:val="22"/>
        </w:rPr>
        <w:t> </w:t>
      </w:r>
      <w:r>
        <w:rPr>
          <w:rFonts w:ascii="黑体" w:hAnsi="黑体" w:cs="黑体" w:eastAsia="黑体" w:hint="default"/>
          <w:spacing w:val="-1"/>
          <w:sz w:val="22"/>
          <w:szCs w:val="22"/>
        </w:rPr>
        <w:t>关键审计事项是我们根据职业判断，认为对本期财务报表审计最为重要的事项。这</w:t>
      </w:r>
    </w:p>
    <w:p>
      <w:pPr>
        <w:spacing w:line="207" w:lineRule="exact" w:before="0"/>
        <w:ind w:left="138" w:right="0" w:firstLine="0"/>
        <w:jc w:val="both"/>
        <w:rPr>
          <w:rFonts w:ascii="黑体" w:hAnsi="黑体" w:cs="黑体" w:eastAsia="黑体" w:hint="default"/>
          <w:sz w:val="22"/>
          <w:szCs w:val="22"/>
        </w:rPr>
      </w:pPr>
      <w:r>
        <w:rPr>
          <w:rFonts w:ascii="黑体" w:hAnsi="黑体" w:cs="黑体" w:eastAsia="黑体" w:hint="default"/>
          <w:spacing w:val="-3"/>
          <w:sz w:val="22"/>
          <w:szCs w:val="22"/>
        </w:rPr>
        <w:t>些事项的应对以对财务报表整体进行审计并形成审计意见为背景，我们不对这些事项单</w:t>
      </w:r>
    </w:p>
    <w:p>
      <w:pPr>
        <w:spacing w:line="286" w:lineRule="exact" w:before="0"/>
        <w:ind w:left="138" w:right="0" w:firstLine="0"/>
        <w:jc w:val="both"/>
        <w:rPr>
          <w:rFonts w:ascii="黑体" w:hAnsi="黑体" w:cs="黑体" w:eastAsia="黑体" w:hint="default"/>
          <w:sz w:val="22"/>
          <w:szCs w:val="22"/>
        </w:rPr>
      </w:pPr>
      <w:r>
        <w:rPr>
          <w:rFonts w:ascii="黑体" w:hAnsi="黑体" w:cs="黑体" w:eastAsia="黑体" w:hint="default"/>
          <w:sz w:val="22"/>
          <w:szCs w:val="22"/>
        </w:rPr>
        <w:t>独发表意见。我们对下述每一事项在审计中是如何应对的描述也以此为背景。</w:t>
      </w:r>
    </w:p>
    <w:p>
      <w:pPr>
        <w:spacing w:line="240" w:lineRule="auto" w:before="11"/>
        <w:rPr>
          <w:rFonts w:ascii="黑体" w:hAnsi="黑体" w:cs="黑体" w:eastAsia="黑体" w:hint="default"/>
          <w:sz w:val="19"/>
          <w:szCs w:val="19"/>
        </w:rPr>
      </w:pPr>
    </w:p>
    <w:p>
      <w:pPr>
        <w:spacing w:line="232" w:lineRule="auto" w:before="0"/>
        <w:ind w:left="138" w:right="110" w:firstLine="371"/>
        <w:jc w:val="both"/>
        <w:rPr>
          <w:rFonts w:ascii="黑体" w:hAnsi="黑体" w:cs="黑体" w:eastAsia="黑体" w:hint="default"/>
          <w:sz w:val="22"/>
          <w:szCs w:val="22"/>
        </w:rPr>
      </w:pPr>
      <w:r>
        <w:rPr>
          <w:rFonts w:ascii="黑体" w:hAnsi="黑体" w:cs="黑体" w:eastAsia="黑体" w:hint="default"/>
          <w:sz w:val="22"/>
          <w:szCs w:val="22"/>
        </w:rPr>
        <w:t>我们已经履行了本报告</w:t>
      </w:r>
      <w:r>
        <w:rPr>
          <w:rFonts w:ascii="Arial" w:hAnsi="Arial" w:cs="Arial" w:eastAsia="Arial" w:hint="default"/>
          <w:sz w:val="22"/>
          <w:szCs w:val="22"/>
        </w:rPr>
        <w:t>“</w:t>
      </w:r>
      <w:r>
        <w:rPr>
          <w:rFonts w:ascii="黑体" w:hAnsi="黑体" w:cs="黑体" w:eastAsia="黑体" w:hint="default"/>
          <w:sz w:val="22"/>
          <w:szCs w:val="22"/>
        </w:rPr>
        <w:t>注册会计师对财务报表审计的责任</w:t>
      </w:r>
      <w:r>
        <w:rPr>
          <w:rFonts w:ascii="Arial" w:hAnsi="Arial" w:cs="Arial" w:eastAsia="Arial" w:hint="default"/>
          <w:sz w:val="22"/>
          <w:szCs w:val="22"/>
        </w:rPr>
        <w:t>”</w:t>
      </w:r>
      <w:r>
        <w:rPr>
          <w:rFonts w:ascii="黑体" w:hAnsi="黑体" w:cs="黑体" w:eastAsia="黑体" w:hint="default"/>
          <w:sz w:val="22"/>
          <w:szCs w:val="22"/>
        </w:rPr>
        <w:t>部分阐述的责任，包括</w:t>
      </w:r>
      <w:r>
        <w:rPr>
          <w:rFonts w:ascii="黑体" w:hAnsi="黑体" w:cs="黑体" w:eastAsia="黑体" w:hint="default"/>
          <w:w w:val="100"/>
          <w:sz w:val="22"/>
          <w:szCs w:val="22"/>
        </w:rPr>
        <w:t> </w:t>
      </w:r>
      <w:r>
        <w:rPr>
          <w:rFonts w:ascii="黑体" w:hAnsi="黑体" w:cs="黑体" w:eastAsia="黑体" w:hint="default"/>
          <w:spacing w:val="-3"/>
          <w:sz w:val="22"/>
          <w:szCs w:val="22"/>
        </w:rPr>
        <w:t>与这些关键审计事项相关的责任。相应地，我们的审计工作包括执行为应对评估的财务</w:t>
      </w:r>
      <w:r>
        <w:rPr>
          <w:rFonts w:ascii="黑体" w:hAnsi="黑体" w:cs="黑体" w:eastAsia="黑体" w:hint="default"/>
          <w:spacing w:val="-51"/>
          <w:sz w:val="22"/>
          <w:szCs w:val="22"/>
        </w:rPr>
        <w:t> </w:t>
      </w:r>
      <w:r>
        <w:rPr>
          <w:rFonts w:ascii="黑体" w:hAnsi="黑体" w:cs="黑体" w:eastAsia="黑体" w:hint="default"/>
          <w:spacing w:val="-51"/>
          <w:sz w:val="22"/>
          <w:szCs w:val="22"/>
        </w:rPr>
      </w:r>
      <w:r>
        <w:rPr>
          <w:rFonts w:ascii="黑体" w:hAnsi="黑体" w:cs="黑体" w:eastAsia="黑体" w:hint="default"/>
          <w:spacing w:val="-3"/>
          <w:sz w:val="22"/>
          <w:szCs w:val="22"/>
        </w:rPr>
        <w:t>报表重大错报风险而设计的审计程序。我们执行审计程序的结果，包括应对下述关键审</w:t>
      </w:r>
      <w:r>
        <w:rPr>
          <w:rFonts w:ascii="黑体" w:hAnsi="黑体" w:cs="黑体" w:eastAsia="黑体" w:hint="default"/>
          <w:spacing w:val="-49"/>
          <w:sz w:val="22"/>
          <w:szCs w:val="22"/>
        </w:rPr>
        <w:t> </w:t>
      </w:r>
      <w:r>
        <w:rPr>
          <w:rFonts w:ascii="黑体" w:hAnsi="黑体" w:cs="黑体" w:eastAsia="黑体" w:hint="default"/>
          <w:spacing w:val="-49"/>
          <w:sz w:val="22"/>
          <w:szCs w:val="22"/>
        </w:rPr>
      </w:r>
      <w:r>
        <w:rPr>
          <w:rFonts w:ascii="黑体" w:hAnsi="黑体" w:cs="黑体" w:eastAsia="黑体" w:hint="default"/>
          <w:sz w:val="22"/>
          <w:szCs w:val="22"/>
        </w:rPr>
        <w:t>计事项所执行的程序，为财务报表整体发表审计意见提供了基础。</w:t>
      </w:r>
    </w:p>
    <w:p>
      <w:pPr>
        <w:spacing w:after="0" w:line="232" w:lineRule="auto"/>
        <w:jc w:val="both"/>
        <w:rPr>
          <w:rFonts w:ascii="黑体" w:hAnsi="黑体" w:cs="黑体" w:eastAsia="黑体" w:hint="default"/>
          <w:sz w:val="22"/>
          <w:szCs w:val="22"/>
        </w:rPr>
        <w:sectPr>
          <w:type w:val="continuous"/>
          <w:pgSz w:w="11910" w:h="16850"/>
          <w:pgMar w:top="1120" w:bottom="1380" w:left="166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6"/>
          <w:szCs w:val="26"/>
        </w:rPr>
      </w:pPr>
    </w:p>
    <w:p>
      <w:pPr>
        <w:spacing w:before="32"/>
        <w:ind w:left="3729" w:right="3626" w:firstLine="0"/>
        <w:jc w:val="center"/>
        <w:rPr>
          <w:rFonts w:ascii="Arial" w:hAnsi="Arial" w:cs="Arial" w:eastAsia="Arial" w:hint="default"/>
          <w:sz w:val="22"/>
          <w:szCs w:val="22"/>
        </w:rPr>
      </w:pPr>
      <w:bookmarkStart w:name="OLE_LINK1" w:id="14"/>
      <w:bookmarkEnd w:id="14"/>
      <w:r>
        <w:rPr/>
      </w:r>
      <w:r>
        <w:rPr>
          <w:rFonts w:ascii="黑体" w:hAnsi="黑体" w:cs="黑体" w:eastAsia="黑体" w:hint="default"/>
          <w:b/>
          <w:bCs/>
          <w:sz w:val="22"/>
          <w:szCs w:val="22"/>
        </w:rPr>
        <w:t>审计报告</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4"/>
        <w:rPr>
          <w:rFonts w:ascii="Arial" w:hAnsi="Arial" w:cs="Arial" w:eastAsia="Arial" w:hint="default"/>
          <w:b/>
          <w:bCs/>
          <w:sz w:val="20"/>
          <w:szCs w:val="20"/>
        </w:rPr>
      </w:pPr>
    </w:p>
    <w:p>
      <w:pPr>
        <w:spacing w:line="295" w:lineRule="exact" w:before="0"/>
        <w:ind w:left="0" w:right="108" w:firstLine="0"/>
        <w:jc w:val="right"/>
        <w:rPr>
          <w:rFonts w:ascii="黑体" w:hAnsi="黑体" w:cs="黑体" w:eastAsia="黑体" w:hint="default"/>
          <w:sz w:val="22"/>
          <w:szCs w:val="22"/>
        </w:rPr>
      </w:pPr>
      <w:r>
        <w:rPr>
          <w:rFonts w:ascii="黑体" w:hAnsi="黑体" w:cs="黑体" w:eastAsia="黑体" w:hint="default"/>
          <w:spacing w:val="-1"/>
          <w:sz w:val="22"/>
          <w:szCs w:val="22"/>
        </w:rPr>
        <w:t>安永华明（</w:t>
      </w:r>
      <w:r>
        <w:rPr>
          <w:rFonts w:ascii="Arial" w:hAnsi="Arial" w:cs="Arial" w:eastAsia="Arial" w:hint="default"/>
          <w:spacing w:val="-1"/>
          <w:sz w:val="22"/>
          <w:szCs w:val="22"/>
        </w:rPr>
        <w:t>2020</w:t>
      </w:r>
      <w:r>
        <w:rPr>
          <w:rFonts w:ascii="黑体" w:hAnsi="黑体" w:cs="黑体" w:eastAsia="黑体" w:hint="default"/>
          <w:spacing w:val="-1"/>
          <w:sz w:val="22"/>
          <w:szCs w:val="22"/>
        </w:rPr>
        <w:t>）审字第</w:t>
      </w:r>
      <w:r>
        <w:rPr>
          <w:rFonts w:ascii="Arial" w:hAnsi="Arial" w:cs="Arial" w:eastAsia="Arial" w:hint="default"/>
          <w:spacing w:val="-1"/>
          <w:sz w:val="22"/>
          <w:szCs w:val="22"/>
        </w:rPr>
        <w:t>60469423_A01</w:t>
      </w:r>
      <w:r>
        <w:rPr>
          <w:rFonts w:ascii="黑体" w:hAnsi="黑体" w:cs="黑体" w:eastAsia="黑体" w:hint="default"/>
          <w:spacing w:val="-1"/>
          <w:sz w:val="22"/>
          <w:szCs w:val="22"/>
        </w:rPr>
        <w:t>号</w:t>
      </w:r>
    </w:p>
    <w:p>
      <w:pPr>
        <w:spacing w:line="279" w:lineRule="exact" w:before="0"/>
        <w:ind w:left="0" w:right="111" w:firstLine="0"/>
        <w:jc w:val="right"/>
        <w:rPr>
          <w:rFonts w:ascii="黑体" w:hAnsi="黑体" w:cs="黑体" w:eastAsia="黑体" w:hint="default"/>
          <w:sz w:val="22"/>
          <w:szCs w:val="22"/>
        </w:rPr>
      </w:pPr>
      <w:r>
        <w:rPr>
          <w:rFonts w:ascii="黑体" w:hAnsi="黑体" w:cs="黑体" w:eastAsia="黑体" w:hint="default"/>
          <w:spacing w:val="-1"/>
          <w:sz w:val="22"/>
          <w:szCs w:val="22"/>
        </w:rPr>
        <w:t>用友网络科技股份有限公司</w:t>
      </w: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5"/>
          <w:szCs w:val="15"/>
        </w:rPr>
      </w:pPr>
    </w:p>
    <w:p>
      <w:pPr>
        <w:spacing w:before="32"/>
        <w:ind w:left="638" w:right="88" w:firstLine="0"/>
        <w:jc w:val="left"/>
        <w:rPr>
          <w:rFonts w:ascii="Arial" w:hAnsi="Arial" w:cs="Arial" w:eastAsia="Arial" w:hint="default"/>
          <w:sz w:val="22"/>
          <w:szCs w:val="22"/>
        </w:rPr>
      </w:pPr>
      <w:r>
        <w:rPr>
          <w:rFonts w:ascii="黑体" w:hAnsi="黑体" w:cs="黑体" w:eastAsia="黑体" w:hint="default"/>
          <w:b/>
          <w:bCs/>
          <w:sz w:val="22"/>
          <w:szCs w:val="22"/>
        </w:rPr>
        <w:t>三、关键审计事项</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11"/>
        <w:rPr>
          <w:rFonts w:ascii="Arial" w:hAnsi="Arial" w:cs="Arial" w:eastAsia="Arial" w:hint="default"/>
          <w:b/>
          <w:bCs/>
          <w:sz w:val="23"/>
          <w:szCs w:val="23"/>
        </w:rPr>
      </w:pPr>
    </w:p>
    <w:tbl>
      <w:tblPr>
        <w:tblW w:w="0" w:type="auto"/>
        <w:jc w:val="left"/>
        <w:tblInd w:w="105" w:type="dxa"/>
        <w:tblLayout w:type="fixed"/>
        <w:tblCellMar>
          <w:top w:w="0" w:type="dxa"/>
          <w:left w:w="0" w:type="dxa"/>
          <w:bottom w:w="0" w:type="dxa"/>
          <w:right w:w="0" w:type="dxa"/>
        </w:tblCellMar>
        <w:tblLook w:val="01E0"/>
      </w:tblPr>
      <w:tblGrid>
        <w:gridCol w:w="4107"/>
        <w:gridCol w:w="4254"/>
      </w:tblGrid>
      <w:tr>
        <w:trPr>
          <w:trHeight w:val="295" w:hRule="exact"/>
        </w:trPr>
        <w:tc>
          <w:tcPr>
            <w:tcW w:w="4107" w:type="dxa"/>
            <w:tcBorders>
              <w:top w:val="single" w:sz="4" w:space="0" w:color="000000"/>
              <w:left w:val="single" w:sz="4" w:space="0" w:color="000000"/>
              <w:bottom w:val="single" w:sz="4" w:space="0" w:color="000000"/>
              <w:right w:val="single" w:sz="4" w:space="0" w:color="000000"/>
            </w:tcBorders>
            <w:shd w:val="clear" w:color="auto" w:fill="999999"/>
          </w:tcPr>
          <w:p>
            <w:pPr>
              <w:pStyle w:val="TableParagraph"/>
              <w:spacing w:line="265" w:lineRule="exact"/>
              <w:ind w:left="583" w:right="0"/>
              <w:jc w:val="left"/>
              <w:rPr>
                <w:rFonts w:ascii="Arial" w:hAnsi="Arial" w:cs="Arial" w:eastAsia="Arial" w:hint="default"/>
                <w:sz w:val="22"/>
                <w:szCs w:val="22"/>
              </w:rPr>
            </w:pPr>
            <w:r>
              <w:rPr>
                <w:rFonts w:ascii="黑体" w:hAnsi="黑体" w:cs="黑体" w:eastAsia="黑体" w:hint="default"/>
                <w:b/>
                <w:bCs/>
                <w:sz w:val="22"/>
                <w:szCs w:val="22"/>
              </w:rPr>
              <w:t>关键审计事项</w:t>
            </w:r>
            <w:r>
              <w:rPr>
                <w:rFonts w:ascii="Arial" w:hAnsi="Arial" w:cs="Arial" w:eastAsia="Arial" w:hint="default"/>
                <w:b/>
                <w:bCs/>
                <w:sz w:val="22"/>
                <w:szCs w:val="22"/>
              </w:rPr>
              <w:t>:</w:t>
            </w:r>
            <w:r>
              <w:rPr>
                <w:rFonts w:ascii="Arial" w:hAnsi="Arial" w:cs="Arial" w:eastAsia="Arial" w:hint="default"/>
                <w:sz w:val="22"/>
                <w:szCs w:val="22"/>
              </w:rPr>
            </w:r>
          </w:p>
        </w:tc>
        <w:tc>
          <w:tcPr>
            <w:tcW w:w="4254" w:type="dxa"/>
            <w:tcBorders>
              <w:top w:val="single" w:sz="4" w:space="0" w:color="000000"/>
              <w:left w:val="single" w:sz="4" w:space="0" w:color="000000"/>
              <w:bottom w:val="single" w:sz="4" w:space="0" w:color="000000"/>
              <w:right w:val="single" w:sz="4" w:space="0" w:color="000000"/>
            </w:tcBorders>
            <w:shd w:val="clear" w:color="auto" w:fill="999999"/>
          </w:tcPr>
          <w:p>
            <w:pPr>
              <w:pStyle w:val="TableParagraph"/>
              <w:spacing w:line="265" w:lineRule="exact"/>
              <w:ind w:left="583" w:right="0"/>
              <w:jc w:val="left"/>
              <w:rPr>
                <w:rFonts w:ascii="Arial" w:hAnsi="Arial" w:cs="Arial" w:eastAsia="Arial" w:hint="default"/>
                <w:sz w:val="22"/>
                <w:szCs w:val="22"/>
              </w:rPr>
            </w:pPr>
            <w:r>
              <w:rPr>
                <w:rFonts w:ascii="黑体" w:hAnsi="黑体" w:cs="黑体" w:eastAsia="黑体" w:hint="default"/>
                <w:b/>
                <w:bCs/>
                <w:sz w:val="22"/>
                <w:szCs w:val="22"/>
              </w:rPr>
              <w:t>该事项在审计中是如何应对</w:t>
            </w:r>
            <w:r>
              <w:rPr>
                <w:rFonts w:ascii="Arial" w:hAnsi="Arial" w:cs="Arial" w:eastAsia="Arial" w:hint="default"/>
                <w:b/>
                <w:bCs/>
                <w:sz w:val="22"/>
                <w:szCs w:val="22"/>
              </w:rPr>
              <w:t>:</w:t>
            </w:r>
            <w:r>
              <w:rPr>
                <w:rFonts w:ascii="Arial" w:hAnsi="Arial" w:cs="Arial" w:eastAsia="Arial" w:hint="default"/>
                <w:sz w:val="22"/>
                <w:szCs w:val="22"/>
              </w:rPr>
            </w:r>
          </w:p>
        </w:tc>
      </w:tr>
      <w:tr>
        <w:trPr>
          <w:trHeight w:val="296" w:hRule="exact"/>
        </w:trPr>
        <w:tc>
          <w:tcPr>
            <w:tcW w:w="8361" w:type="dxa"/>
            <w:gridSpan w:val="2"/>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50" w:lineRule="exact"/>
              <w:ind w:left="583" w:right="0"/>
              <w:jc w:val="left"/>
              <w:rPr>
                <w:rFonts w:ascii="黑体" w:hAnsi="黑体" w:cs="黑体" w:eastAsia="黑体" w:hint="default"/>
                <w:sz w:val="22"/>
                <w:szCs w:val="22"/>
              </w:rPr>
            </w:pPr>
            <w:r>
              <w:rPr>
                <w:rFonts w:ascii="黑体" w:hAnsi="黑体" w:cs="黑体" w:eastAsia="黑体" w:hint="default"/>
                <w:sz w:val="22"/>
                <w:szCs w:val="22"/>
              </w:rPr>
              <w:t>一、商誉减值测试</w:t>
            </w:r>
          </w:p>
        </w:tc>
      </w:tr>
      <w:tr>
        <w:trPr>
          <w:trHeight w:val="6072" w:hRule="exact"/>
        </w:trPr>
        <w:tc>
          <w:tcPr>
            <w:tcW w:w="410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黑体" w:hAnsi="黑体" w:cs="黑体" w:eastAsia="黑体" w:hint="default"/>
                <w:sz w:val="22"/>
                <w:szCs w:val="22"/>
              </w:rPr>
            </w:pPr>
            <w:r>
              <w:rPr>
                <w:rFonts w:ascii="黑体" w:hAnsi="黑体" w:cs="黑体" w:eastAsia="黑体" w:hint="default"/>
                <w:sz w:val="22"/>
                <w:szCs w:val="22"/>
              </w:rPr>
              <w:t>截至</w:t>
            </w:r>
            <w:r>
              <w:rPr>
                <w:rFonts w:ascii="Arial" w:hAnsi="Arial" w:cs="Arial" w:eastAsia="Arial" w:hint="default"/>
                <w:sz w:val="22"/>
                <w:szCs w:val="22"/>
              </w:rPr>
              <w:t>2019</w:t>
            </w:r>
            <w:r>
              <w:rPr>
                <w:rFonts w:ascii="黑体" w:hAnsi="黑体" w:cs="黑体" w:eastAsia="黑体" w:hint="default"/>
                <w:sz w:val="22"/>
                <w:szCs w:val="22"/>
              </w:rPr>
              <w:t>年</w:t>
            </w:r>
            <w:r>
              <w:rPr>
                <w:rFonts w:ascii="Arial" w:hAnsi="Arial" w:cs="Arial" w:eastAsia="Arial" w:hint="default"/>
                <w:sz w:val="22"/>
                <w:szCs w:val="22"/>
              </w:rPr>
              <w:t>12</w:t>
            </w:r>
            <w:r>
              <w:rPr>
                <w:rFonts w:ascii="黑体" w:hAnsi="黑体" w:cs="黑体" w:eastAsia="黑体" w:hint="default"/>
                <w:sz w:val="22"/>
                <w:szCs w:val="22"/>
              </w:rPr>
              <w:t>月</w:t>
            </w:r>
            <w:r>
              <w:rPr>
                <w:rFonts w:ascii="Arial" w:hAnsi="Arial" w:cs="Arial" w:eastAsia="Arial" w:hint="default"/>
                <w:sz w:val="22"/>
                <w:szCs w:val="22"/>
              </w:rPr>
              <w:t>31</w:t>
            </w:r>
            <w:r>
              <w:rPr>
                <w:rFonts w:ascii="黑体" w:hAnsi="黑体" w:cs="黑体" w:eastAsia="黑体" w:hint="default"/>
                <w:sz w:val="22"/>
                <w:szCs w:val="22"/>
              </w:rPr>
              <w:t>日，用友网络科技股</w:t>
            </w:r>
          </w:p>
          <w:p>
            <w:pPr>
              <w:pStyle w:val="TableParagraph"/>
              <w:spacing w:line="232" w:lineRule="auto"/>
              <w:ind w:left="103" w:right="98"/>
              <w:jc w:val="left"/>
              <w:rPr>
                <w:rFonts w:ascii="黑体" w:hAnsi="黑体" w:cs="黑体" w:eastAsia="黑体" w:hint="default"/>
                <w:sz w:val="22"/>
                <w:szCs w:val="22"/>
              </w:rPr>
            </w:pPr>
            <w:r>
              <w:rPr>
                <w:rFonts w:ascii="黑体" w:hAnsi="黑体" w:cs="黑体" w:eastAsia="黑体" w:hint="default"/>
                <w:spacing w:val="6"/>
                <w:sz w:val="22"/>
                <w:szCs w:val="22"/>
              </w:rPr>
              <w:t>份有限公司合并报表商誉的账面价值为</w:t>
            </w:r>
            <w:r>
              <w:rPr>
                <w:rFonts w:ascii="黑体" w:hAnsi="黑体" w:cs="黑体" w:eastAsia="黑体" w:hint="default"/>
                <w:spacing w:val="-67"/>
                <w:sz w:val="22"/>
                <w:szCs w:val="22"/>
              </w:rPr>
              <w:t> </w:t>
            </w:r>
            <w:r>
              <w:rPr>
                <w:rFonts w:ascii="黑体" w:hAnsi="黑体" w:cs="黑体" w:eastAsia="黑体" w:hint="default"/>
                <w:spacing w:val="-67"/>
                <w:sz w:val="22"/>
                <w:szCs w:val="22"/>
              </w:rPr>
            </w:r>
            <w:r>
              <w:rPr>
                <w:rFonts w:ascii="黑体" w:hAnsi="黑体" w:cs="黑体" w:eastAsia="黑体" w:hint="default"/>
                <w:sz w:val="22"/>
                <w:szCs w:val="22"/>
              </w:rPr>
              <w:t>人民币</w:t>
            </w:r>
            <w:r>
              <w:rPr>
                <w:rFonts w:ascii="Arial" w:hAnsi="Arial" w:cs="Arial" w:eastAsia="Arial" w:hint="default"/>
                <w:sz w:val="22"/>
                <w:szCs w:val="22"/>
              </w:rPr>
              <w:t>890,890,412</w:t>
            </w:r>
            <w:r>
              <w:rPr>
                <w:rFonts w:ascii="黑体" w:hAnsi="黑体" w:cs="黑体" w:eastAsia="黑体" w:hint="default"/>
                <w:sz w:val="22"/>
                <w:szCs w:val="22"/>
              </w:rPr>
              <w:t>元，主要为以往年度</w:t>
            </w:r>
            <w:r>
              <w:rPr>
                <w:rFonts w:ascii="黑体" w:hAnsi="黑体" w:cs="黑体" w:eastAsia="黑体" w:hint="default"/>
                <w:spacing w:val="-87"/>
                <w:sz w:val="22"/>
                <w:szCs w:val="22"/>
              </w:rPr>
              <w:t> </w:t>
            </w:r>
            <w:r>
              <w:rPr>
                <w:rFonts w:ascii="黑体" w:hAnsi="黑体" w:cs="黑体" w:eastAsia="黑体" w:hint="default"/>
                <w:spacing w:val="-87"/>
                <w:sz w:val="22"/>
                <w:szCs w:val="22"/>
              </w:rPr>
            </w:r>
            <w:r>
              <w:rPr>
                <w:rFonts w:ascii="黑体" w:hAnsi="黑体" w:cs="黑体" w:eastAsia="黑体" w:hint="default"/>
                <w:sz w:val="22"/>
                <w:szCs w:val="22"/>
              </w:rPr>
              <w:t>收购用友汽车信息科技</w:t>
            </w:r>
            <w:r>
              <w:rPr>
                <w:rFonts w:ascii="Arial" w:hAnsi="Arial" w:cs="Arial" w:eastAsia="Arial" w:hint="default"/>
                <w:sz w:val="22"/>
                <w:szCs w:val="22"/>
              </w:rPr>
              <w:t>(</w:t>
            </w:r>
            <w:r>
              <w:rPr>
                <w:rFonts w:ascii="黑体" w:hAnsi="黑体" w:cs="黑体" w:eastAsia="黑体" w:hint="default"/>
                <w:sz w:val="22"/>
                <w:szCs w:val="22"/>
              </w:rPr>
              <w:t>上海</w:t>
            </w:r>
            <w:r>
              <w:rPr>
                <w:rFonts w:ascii="Arial" w:hAnsi="Arial" w:cs="Arial" w:eastAsia="Arial" w:hint="default"/>
                <w:sz w:val="22"/>
                <w:szCs w:val="22"/>
              </w:rPr>
              <w:t>)</w:t>
            </w:r>
            <w:r>
              <w:rPr>
                <w:rFonts w:ascii="黑体" w:hAnsi="黑体" w:cs="黑体" w:eastAsia="黑体" w:hint="default"/>
                <w:sz w:val="22"/>
                <w:szCs w:val="22"/>
              </w:rPr>
              <w:t>股份有限公</w:t>
            </w:r>
            <w:r>
              <w:rPr>
                <w:rFonts w:ascii="黑体" w:hAnsi="黑体" w:cs="黑体" w:eastAsia="黑体" w:hint="default"/>
                <w:spacing w:val="-106"/>
                <w:sz w:val="22"/>
                <w:szCs w:val="22"/>
              </w:rPr>
              <w:t> </w:t>
            </w:r>
            <w:r>
              <w:rPr>
                <w:rFonts w:ascii="黑体" w:hAnsi="黑体" w:cs="黑体" w:eastAsia="黑体" w:hint="default"/>
                <w:spacing w:val="-106"/>
                <w:sz w:val="22"/>
                <w:szCs w:val="22"/>
              </w:rPr>
            </w:r>
            <w:r>
              <w:rPr>
                <w:rFonts w:ascii="黑体" w:hAnsi="黑体" w:cs="黑体" w:eastAsia="黑体" w:hint="default"/>
                <w:spacing w:val="-1"/>
                <w:sz w:val="22"/>
                <w:szCs w:val="22"/>
              </w:rPr>
              <w:t>司</w:t>
            </w:r>
            <w:r>
              <w:rPr>
                <w:rFonts w:ascii="Arial" w:hAnsi="Arial" w:cs="Arial" w:eastAsia="Arial" w:hint="default"/>
                <w:spacing w:val="-1"/>
                <w:sz w:val="22"/>
                <w:szCs w:val="22"/>
              </w:rPr>
              <w:t>(</w:t>
            </w:r>
            <w:r>
              <w:rPr>
                <w:rFonts w:ascii="黑体" w:hAnsi="黑体" w:cs="黑体" w:eastAsia="黑体" w:hint="default"/>
                <w:spacing w:val="-1"/>
                <w:sz w:val="22"/>
                <w:szCs w:val="22"/>
              </w:rPr>
              <w:t>以下简称“用友汽车”</w:t>
            </w:r>
            <w:r>
              <w:rPr>
                <w:rFonts w:ascii="Arial" w:hAnsi="Arial" w:cs="Arial" w:eastAsia="Arial" w:hint="default"/>
                <w:spacing w:val="-1"/>
                <w:sz w:val="22"/>
                <w:szCs w:val="22"/>
              </w:rPr>
              <w:t>)</w:t>
            </w:r>
            <w:r>
              <w:rPr>
                <w:rFonts w:ascii="黑体" w:hAnsi="黑体" w:cs="黑体" w:eastAsia="黑体" w:hint="default"/>
                <w:spacing w:val="-1"/>
                <w:sz w:val="22"/>
                <w:szCs w:val="22"/>
              </w:rPr>
              <w:t>、北京用友政</w:t>
            </w:r>
            <w:r>
              <w:rPr>
                <w:rFonts w:ascii="黑体" w:hAnsi="黑体" w:cs="黑体" w:eastAsia="黑体" w:hint="default"/>
                <w:spacing w:val="-90"/>
                <w:sz w:val="22"/>
                <w:szCs w:val="22"/>
              </w:rPr>
              <w:t> </w:t>
            </w:r>
            <w:r>
              <w:rPr>
                <w:rFonts w:ascii="黑体" w:hAnsi="黑体" w:cs="黑体" w:eastAsia="黑体" w:hint="default"/>
                <w:spacing w:val="-90"/>
                <w:sz w:val="22"/>
                <w:szCs w:val="22"/>
              </w:rPr>
            </w:r>
            <w:r>
              <w:rPr>
                <w:rFonts w:ascii="黑体" w:hAnsi="黑体" w:cs="黑体" w:eastAsia="黑体" w:hint="default"/>
                <w:spacing w:val="2"/>
                <w:sz w:val="22"/>
                <w:szCs w:val="22"/>
              </w:rPr>
              <w:t>务软件股份有限公司</w:t>
            </w:r>
            <w:r>
              <w:rPr>
                <w:rFonts w:ascii="Arial" w:hAnsi="Arial" w:cs="Arial" w:eastAsia="Arial" w:hint="default"/>
                <w:spacing w:val="2"/>
                <w:sz w:val="22"/>
                <w:szCs w:val="22"/>
              </w:rPr>
              <w:t>(</w:t>
            </w:r>
            <w:r>
              <w:rPr>
                <w:rFonts w:ascii="黑体" w:hAnsi="黑体" w:cs="黑体" w:eastAsia="黑体" w:hint="default"/>
                <w:spacing w:val="2"/>
                <w:sz w:val="22"/>
                <w:szCs w:val="22"/>
              </w:rPr>
              <w:t>以下简称“用友政</w:t>
            </w:r>
            <w:r>
              <w:rPr>
                <w:rFonts w:ascii="黑体" w:hAnsi="黑体" w:cs="黑体" w:eastAsia="黑体" w:hint="default"/>
                <w:spacing w:val="-76"/>
                <w:sz w:val="22"/>
                <w:szCs w:val="22"/>
              </w:rPr>
              <w:t> </w:t>
            </w:r>
            <w:r>
              <w:rPr>
                <w:rFonts w:ascii="黑体" w:hAnsi="黑体" w:cs="黑体" w:eastAsia="黑体" w:hint="default"/>
                <w:spacing w:val="-76"/>
                <w:sz w:val="22"/>
                <w:szCs w:val="22"/>
              </w:rPr>
            </w:r>
            <w:r>
              <w:rPr>
                <w:rFonts w:ascii="黑体" w:hAnsi="黑体" w:cs="黑体" w:eastAsia="黑体" w:hint="default"/>
                <w:spacing w:val="2"/>
                <w:sz w:val="22"/>
                <w:szCs w:val="22"/>
              </w:rPr>
              <w:t>务”</w:t>
            </w:r>
            <w:r>
              <w:rPr>
                <w:rFonts w:ascii="Arial" w:hAnsi="Arial" w:cs="Arial" w:eastAsia="Arial" w:hint="default"/>
                <w:spacing w:val="2"/>
                <w:sz w:val="22"/>
                <w:szCs w:val="22"/>
              </w:rPr>
              <w:t>)</w:t>
            </w:r>
            <w:r>
              <w:rPr>
                <w:rFonts w:ascii="黑体" w:hAnsi="黑体" w:cs="黑体" w:eastAsia="黑体" w:hint="default"/>
                <w:spacing w:val="2"/>
                <w:sz w:val="22"/>
                <w:szCs w:val="22"/>
              </w:rPr>
              <w:t>和上海秉钧网络科技股份有限公司</w:t>
            </w:r>
            <w:r>
              <w:rPr>
                <w:rFonts w:ascii="黑体" w:hAnsi="黑体" w:cs="黑体" w:eastAsia="黑体" w:hint="default"/>
                <w:spacing w:val="-78"/>
                <w:sz w:val="22"/>
                <w:szCs w:val="22"/>
              </w:rPr>
              <w:t> </w:t>
            </w:r>
            <w:r>
              <w:rPr>
                <w:rFonts w:ascii="黑体" w:hAnsi="黑体" w:cs="黑体" w:eastAsia="黑体" w:hint="default"/>
                <w:spacing w:val="-78"/>
                <w:sz w:val="22"/>
                <w:szCs w:val="22"/>
              </w:rPr>
            </w:r>
            <w:r>
              <w:rPr>
                <w:rFonts w:ascii="Arial" w:hAnsi="Arial" w:cs="Arial" w:eastAsia="Arial" w:hint="default"/>
                <w:spacing w:val="-1"/>
                <w:sz w:val="22"/>
                <w:szCs w:val="22"/>
              </w:rPr>
              <w:t>(</w:t>
            </w:r>
            <w:r>
              <w:rPr>
                <w:rFonts w:ascii="黑体" w:hAnsi="黑体" w:cs="黑体" w:eastAsia="黑体" w:hint="default"/>
                <w:spacing w:val="-1"/>
                <w:sz w:val="22"/>
                <w:szCs w:val="22"/>
              </w:rPr>
              <w:t>以下简称“秉钧网络”</w:t>
            </w:r>
            <w:r>
              <w:rPr>
                <w:rFonts w:ascii="Arial" w:hAnsi="Arial" w:cs="Arial" w:eastAsia="Arial" w:hint="default"/>
                <w:spacing w:val="-1"/>
                <w:sz w:val="22"/>
                <w:szCs w:val="22"/>
              </w:rPr>
              <w:t>)</w:t>
            </w:r>
            <w:r>
              <w:rPr>
                <w:rFonts w:ascii="黑体" w:hAnsi="黑体" w:cs="黑体" w:eastAsia="黑体" w:hint="default"/>
                <w:spacing w:val="-1"/>
                <w:sz w:val="22"/>
                <w:szCs w:val="22"/>
              </w:rPr>
              <w:t>时产生的商誉。</w:t>
            </w:r>
            <w:r>
              <w:rPr>
                <w:rFonts w:ascii="黑体" w:hAnsi="黑体" w:cs="黑体" w:eastAsia="黑体" w:hint="default"/>
                <w:spacing w:val="-88"/>
                <w:sz w:val="22"/>
                <w:szCs w:val="22"/>
              </w:rPr>
              <w:t> </w:t>
            </w:r>
            <w:r>
              <w:rPr>
                <w:rFonts w:ascii="黑体" w:hAnsi="黑体" w:cs="黑体" w:eastAsia="黑体" w:hint="default"/>
                <w:spacing w:val="-88"/>
                <w:sz w:val="22"/>
                <w:szCs w:val="22"/>
              </w:rPr>
            </w:r>
            <w:r>
              <w:rPr>
                <w:rFonts w:ascii="黑体" w:hAnsi="黑体" w:cs="黑体" w:eastAsia="黑体" w:hint="default"/>
                <w:spacing w:val="6"/>
                <w:sz w:val="22"/>
                <w:szCs w:val="22"/>
              </w:rPr>
              <w:t>公司至少每年需要进行一次商誉减值测</w:t>
            </w:r>
            <w:r>
              <w:rPr>
                <w:rFonts w:ascii="黑体" w:hAnsi="黑体" w:cs="黑体" w:eastAsia="黑体" w:hint="default"/>
                <w:spacing w:val="-67"/>
                <w:sz w:val="22"/>
                <w:szCs w:val="22"/>
              </w:rPr>
              <w:t> </w:t>
            </w:r>
            <w:r>
              <w:rPr>
                <w:rFonts w:ascii="黑体" w:hAnsi="黑体" w:cs="黑体" w:eastAsia="黑体" w:hint="default"/>
                <w:spacing w:val="-67"/>
                <w:sz w:val="22"/>
                <w:szCs w:val="22"/>
              </w:rPr>
            </w:r>
            <w:r>
              <w:rPr>
                <w:rFonts w:ascii="黑体" w:hAnsi="黑体" w:cs="黑体" w:eastAsia="黑体" w:hint="default"/>
                <w:spacing w:val="-5"/>
                <w:sz w:val="22"/>
                <w:szCs w:val="22"/>
              </w:rPr>
              <w:t>试。执行商誉减值测试时，管理层需要计</w:t>
            </w:r>
            <w:r>
              <w:rPr>
                <w:rFonts w:ascii="黑体" w:hAnsi="黑体" w:cs="黑体" w:eastAsia="黑体" w:hint="default"/>
                <w:spacing w:val="-90"/>
                <w:sz w:val="22"/>
                <w:szCs w:val="22"/>
              </w:rPr>
              <w:t> </w:t>
            </w:r>
            <w:r>
              <w:rPr>
                <w:rFonts w:ascii="黑体" w:hAnsi="黑体" w:cs="黑体" w:eastAsia="黑体" w:hint="default"/>
                <w:spacing w:val="-90"/>
                <w:sz w:val="22"/>
                <w:szCs w:val="22"/>
              </w:rPr>
            </w:r>
            <w:r>
              <w:rPr>
                <w:rFonts w:ascii="黑体" w:hAnsi="黑体" w:cs="黑体" w:eastAsia="黑体" w:hint="default"/>
                <w:spacing w:val="6"/>
                <w:sz w:val="22"/>
                <w:szCs w:val="22"/>
              </w:rPr>
              <w:t>算商誉相关的资产组的未来现金流量现</w:t>
            </w:r>
            <w:r>
              <w:rPr>
                <w:rFonts w:ascii="黑体" w:hAnsi="黑体" w:cs="黑体" w:eastAsia="黑体" w:hint="default"/>
                <w:spacing w:val="-67"/>
                <w:sz w:val="22"/>
                <w:szCs w:val="22"/>
              </w:rPr>
              <w:t> </w:t>
            </w:r>
            <w:r>
              <w:rPr>
                <w:rFonts w:ascii="黑体" w:hAnsi="黑体" w:cs="黑体" w:eastAsia="黑体" w:hint="default"/>
                <w:spacing w:val="-67"/>
                <w:sz w:val="22"/>
                <w:szCs w:val="22"/>
              </w:rPr>
            </w:r>
            <w:r>
              <w:rPr>
                <w:rFonts w:ascii="黑体" w:hAnsi="黑体" w:cs="黑体" w:eastAsia="黑体" w:hint="default"/>
                <w:spacing w:val="-5"/>
                <w:sz w:val="22"/>
                <w:szCs w:val="22"/>
              </w:rPr>
              <w:t>值。该测试过程非常复杂，并且依赖于管</w:t>
            </w:r>
            <w:r>
              <w:rPr>
                <w:rFonts w:ascii="黑体" w:hAnsi="黑体" w:cs="黑体" w:eastAsia="黑体" w:hint="default"/>
                <w:spacing w:val="-90"/>
                <w:sz w:val="22"/>
                <w:szCs w:val="22"/>
              </w:rPr>
              <w:t> </w:t>
            </w:r>
            <w:r>
              <w:rPr>
                <w:rFonts w:ascii="黑体" w:hAnsi="黑体" w:cs="黑体" w:eastAsia="黑体" w:hint="default"/>
                <w:spacing w:val="-90"/>
                <w:sz w:val="22"/>
                <w:szCs w:val="22"/>
              </w:rPr>
            </w:r>
            <w:r>
              <w:rPr>
                <w:rFonts w:ascii="黑体" w:hAnsi="黑体" w:cs="黑体" w:eastAsia="黑体" w:hint="default"/>
                <w:spacing w:val="-5"/>
                <w:sz w:val="22"/>
                <w:szCs w:val="22"/>
              </w:rPr>
              <w:t>理层的重大估计和判断，比如折现率以及</w:t>
            </w:r>
            <w:r>
              <w:rPr>
                <w:rFonts w:ascii="黑体" w:hAnsi="黑体" w:cs="黑体" w:eastAsia="黑体" w:hint="default"/>
                <w:spacing w:val="-90"/>
                <w:sz w:val="22"/>
                <w:szCs w:val="22"/>
              </w:rPr>
              <w:t> </w:t>
            </w:r>
            <w:r>
              <w:rPr>
                <w:rFonts w:ascii="黑体" w:hAnsi="黑体" w:cs="黑体" w:eastAsia="黑体" w:hint="default"/>
                <w:spacing w:val="-90"/>
                <w:sz w:val="22"/>
                <w:szCs w:val="22"/>
              </w:rPr>
            </w:r>
            <w:r>
              <w:rPr>
                <w:rFonts w:ascii="黑体" w:hAnsi="黑体" w:cs="黑体" w:eastAsia="黑体" w:hint="default"/>
                <w:sz w:val="22"/>
                <w:szCs w:val="22"/>
              </w:rPr>
              <w:t>未来期间的现金流量预测。</w:t>
            </w:r>
            <w:r>
              <w:rPr>
                <w:rFonts w:ascii="黑体" w:hAnsi="黑体" w:cs="黑体" w:eastAsia="黑体" w:hint="default"/>
                <w:w w:val="100"/>
                <w:sz w:val="22"/>
                <w:szCs w:val="22"/>
              </w:rPr>
              <w:t> </w:t>
            </w:r>
            <w:r>
              <w:rPr>
                <w:rFonts w:ascii="黑体" w:hAnsi="黑体" w:cs="黑体" w:eastAsia="黑体" w:hint="default"/>
                <w:spacing w:val="5"/>
                <w:sz w:val="22"/>
                <w:szCs w:val="22"/>
              </w:rPr>
              <w:t>具体披露参见合并财务报表附注五、</w:t>
            </w:r>
            <w:r>
              <w:rPr>
                <w:rFonts w:ascii="Arial" w:hAnsi="Arial" w:cs="Arial" w:eastAsia="Arial" w:hint="default"/>
                <w:spacing w:val="5"/>
                <w:sz w:val="22"/>
                <w:szCs w:val="22"/>
              </w:rPr>
              <w:t>29</w:t>
            </w:r>
            <w:r>
              <w:rPr>
                <w:rFonts w:ascii="Arial" w:hAnsi="Arial" w:cs="Arial" w:eastAsia="Arial" w:hint="default"/>
                <w:spacing w:val="-31"/>
                <w:sz w:val="22"/>
                <w:szCs w:val="22"/>
              </w:rPr>
              <w:t> </w:t>
            </w:r>
            <w:r>
              <w:rPr>
                <w:rFonts w:ascii="黑体" w:hAnsi="黑体" w:cs="黑体" w:eastAsia="黑体" w:hint="default"/>
                <w:sz w:val="22"/>
                <w:szCs w:val="22"/>
              </w:rPr>
              <w:t>及</w:t>
            </w:r>
            <w:r>
              <w:rPr>
                <w:rFonts w:ascii="Arial" w:hAnsi="Arial" w:cs="Arial" w:eastAsia="Arial" w:hint="default"/>
                <w:sz w:val="22"/>
                <w:szCs w:val="22"/>
              </w:rPr>
              <w:t>40</w:t>
            </w:r>
            <w:r>
              <w:rPr>
                <w:rFonts w:ascii="黑体" w:hAnsi="黑体" w:cs="黑体" w:eastAsia="黑体" w:hint="default"/>
                <w:sz w:val="22"/>
                <w:szCs w:val="22"/>
              </w:rPr>
              <w:t>，附注七、</w:t>
            </w:r>
            <w:r>
              <w:rPr>
                <w:rFonts w:ascii="Arial" w:hAnsi="Arial" w:cs="Arial" w:eastAsia="Arial" w:hint="default"/>
                <w:sz w:val="22"/>
                <w:szCs w:val="22"/>
              </w:rPr>
              <w:t>27</w:t>
            </w:r>
            <w:r>
              <w:rPr>
                <w:rFonts w:ascii="Arial" w:hAnsi="Arial" w:cs="Arial" w:eastAsia="Arial" w:hint="default"/>
                <w:spacing w:val="46"/>
                <w:sz w:val="22"/>
                <w:szCs w:val="22"/>
              </w:rPr>
              <w:t> </w:t>
            </w:r>
            <w:r>
              <w:rPr>
                <w:rFonts w:ascii="黑体" w:hAnsi="黑体" w:cs="黑体" w:eastAsia="黑体" w:hint="default"/>
                <w:sz w:val="22"/>
                <w:szCs w:val="22"/>
              </w:rPr>
              <w:t>商誉。</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Arial" w:hAnsi="Arial" w:cs="Arial" w:eastAsia="Arial" w:hint="default"/>
                <w:b/>
                <w:bCs/>
                <w:sz w:val="23"/>
                <w:szCs w:val="23"/>
              </w:rPr>
            </w:pPr>
          </w:p>
          <w:p>
            <w:pPr>
              <w:pStyle w:val="TableParagraph"/>
              <w:spacing w:line="240" w:lineRule="auto"/>
              <w:ind w:left="103" w:right="0"/>
              <w:jc w:val="left"/>
              <w:rPr>
                <w:rFonts w:ascii="黑体" w:hAnsi="黑体" w:cs="黑体" w:eastAsia="黑体" w:hint="default"/>
                <w:sz w:val="22"/>
                <w:szCs w:val="22"/>
              </w:rPr>
            </w:pPr>
            <w:r>
              <w:rPr>
                <w:rFonts w:ascii="黑体" w:hAnsi="黑体" w:cs="黑体" w:eastAsia="黑体" w:hint="default"/>
                <w:sz w:val="22"/>
                <w:szCs w:val="22"/>
              </w:rPr>
              <w:t>我们执行的审计程序主要包括：</w:t>
            </w:r>
          </w:p>
          <w:p>
            <w:pPr>
              <w:pStyle w:val="TableParagraph"/>
              <w:spacing w:line="286" w:lineRule="exact" w:before="86"/>
              <w:ind w:left="446" w:right="97" w:hanging="310"/>
              <w:jc w:val="both"/>
              <w:rPr>
                <w:rFonts w:ascii="黑体" w:hAnsi="黑体" w:cs="黑体" w:eastAsia="黑体" w:hint="default"/>
                <w:sz w:val="22"/>
                <w:szCs w:val="22"/>
              </w:rPr>
            </w:pPr>
            <w:bookmarkStart w:name="OLE_LINK15" w:id="15"/>
            <w:bookmarkEnd w:id="15"/>
            <w:r>
              <w:rPr/>
            </w:r>
            <w:bookmarkStart w:name="OLE_LINK21" w:id="16"/>
            <w:bookmarkEnd w:id="16"/>
            <w:r>
              <w:rPr/>
            </w:r>
            <w:r>
              <w:rPr>
                <w:rFonts w:ascii="Arial" w:hAnsi="Arial" w:cs="Arial" w:eastAsia="Arial" w:hint="default"/>
                <w:sz w:val="22"/>
                <w:szCs w:val="22"/>
              </w:rPr>
              <w:t>1.</w:t>
            </w:r>
            <w:r>
              <w:rPr>
                <w:rFonts w:ascii="Arial" w:hAnsi="Arial" w:cs="Arial" w:eastAsia="Arial" w:hint="default"/>
                <w:spacing w:val="31"/>
                <w:sz w:val="22"/>
                <w:szCs w:val="22"/>
              </w:rPr>
              <w:t> </w:t>
            </w:r>
            <w:r>
              <w:rPr>
                <w:rFonts w:ascii="黑体" w:hAnsi="黑体" w:cs="黑体" w:eastAsia="黑体" w:hint="default"/>
                <w:spacing w:val="8"/>
                <w:sz w:val="22"/>
                <w:szCs w:val="22"/>
              </w:rPr>
              <w:t>了解商誉减值测试的相关流程及内部</w:t>
            </w:r>
            <w:r>
              <w:rPr>
                <w:rFonts w:ascii="黑体" w:hAnsi="黑体" w:cs="黑体" w:eastAsia="黑体" w:hint="default"/>
                <w:spacing w:val="-104"/>
                <w:sz w:val="22"/>
                <w:szCs w:val="22"/>
              </w:rPr>
              <w:t> </w:t>
            </w:r>
            <w:r>
              <w:rPr>
                <w:rFonts w:ascii="黑体" w:hAnsi="黑体" w:cs="黑体" w:eastAsia="黑体" w:hint="default"/>
                <w:spacing w:val="-104"/>
                <w:sz w:val="22"/>
                <w:szCs w:val="22"/>
              </w:rPr>
            </w:r>
            <w:r>
              <w:rPr>
                <w:rFonts w:ascii="黑体" w:hAnsi="黑体" w:cs="黑体" w:eastAsia="黑体" w:hint="default"/>
                <w:spacing w:val="-4"/>
                <w:sz w:val="22"/>
                <w:szCs w:val="22"/>
              </w:rPr>
              <w:t>控制的设计，并执行穿行测试以确认对</w:t>
            </w:r>
            <w:r>
              <w:rPr>
                <w:rFonts w:ascii="黑体" w:hAnsi="黑体" w:cs="黑体" w:eastAsia="黑体" w:hint="default"/>
                <w:w w:val="100"/>
                <w:sz w:val="22"/>
                <w:szCs w:val="22"/>
              </w:rPr>
              <w:t> </w:t>
            </w:r>
            <w:r>
              <w:rPr>
                <w:rFonts w:ascii="黑体" w:hAnsi="黑体" w:cs="黑体" w:eastAsia="黑体" w:hint="default"/>
                <w:sz w:val="22"/>
                <w:szCs w:val="22"/>
              </w:rPr>
              <w:t>流程的理解与实际一致；</w:t>
            </w:r>
          </w:p>
          <w:p>
            <w:pPr>
              <w:pStyle w:val="TableParagraph"/>
              <w:spacing w:line="235" w:lineRule="auto" w:before="36"/>
              <w:ind w:left="446" w:right="97" w:hanging="310"/>
              <w:jc w:val="both"/>
              <w:rPr>
                <w:rFonts w:ascii="黑体" w:hAnsi="黑体" w:cs="黑体" w:eastAsia="黑体" w:hint="default"/>
                <w:sz w:val="22"/>
                <w:szCs w:val="22"/>
              </w:rPr>
            </w:pPr>
            <w:r>
              <w:rPr>
                <w:rFonts w:ascii="Arial" w:hAnsi="Arial" w:cs="Arial" w:eastAsia="Arial" w:hint="default"/>
                <w:sz w:val="22"/>
                <w:szCs w:val="22"/>
              </w:rPr>
              <w:t>2.</w:t>
            </w:r>
            <w:r>
              <w:rPr>
                <w:rFonts w:ascii="Arial" w:hAnsi="Arial" w:cs="Arial" w:eastAsia="Arial" w:hint="default"/>
                <w:spacing w:val="31"/>
                <w:sz w:val="22"/>
                <w:szCs w:val="22"/>
              </w:rPr>
              <w:t> </w:t>
            </w:r>
            <w:r>
              <w:rPr>
                <w:rFonts w:ascii="黑体" w:hAnsi="黑体" w:cs="黑体" w:eastAsia="黑体" w:hint="default"/>
                <w:spacing w:val="8"/>
                <w:sz w:val="22"/>
                <w:szCs w:val="22"/>
              </w:rPr>
              <w:t>了解减值测试中涉及的关键假设和参</w:t>
            </w:r>
            <w:r>
              <w:rPr>
                <w:rFonts w:ascii="黑体" w:hAnsi="黑体" w:cs="黑体" w:eastAsia="黑体" w:hint="default"/>
                <w:spacing w:val="-104"/>
                <w:sz w:val="22"/>
                <w:szCs w:val="22"/>
              </w:rPr>
              <w:t> </w:t>
            </w:r>
            <w:r>
              <w:rPr>
                <w:rFonts w:ascii="黑体" w:hAnsi="黑体" w:cs="黑体" w:eastAsia="黑体" w:hint="default"/>
                <w:spacing w:val="-104"/>
                <w:sz w:val="22"/>
                <w:szCs w:val="22"/>
              </w:rPr>
            </w:r>
            <w:r>
              <w:rPr>
                <w:rFonts w:ascii="黑体" w:hAnsi="黑体" w:cs="黑体" w:eastAsia="黑体" w:hint="default"/>
                <w:spacing w:val="-4"/>
                <w:sz w:val="22"/>
                <w:szCs w:val="22"/>
              </w:rPr>
              <w:t>数，例如现金流预测中的预期收入、预</w:t>
            </w:r>
            <w:r>
              <w:rPr>
                <w:rFonts w:ascii="黑体" w:hAnsi="黑体" w:cs="黑体" w:eastAsia="黑体" w:hint="default"/>
                <w:w w:val="100"/>
                <w:sz w:val="22"/>
                <w:szCs w:val="22"/>
              </w:rPr>
              <w:t> </w:t>
            </w:r>
            <w:r>
              <w:rPr>
                <w:rFonts w:ascii="黑体" w:hAnsi="黑体" w:cs="黑体" w:eastAsia="黑体" w:hint="default"/>
                <w:spacing w:val="-4"/>
                <w:sz w:val="22"/>
                <w:szCs w:val="22"/>
              </w:rPr>
              <w:t>期成本、周转率，获取该等参数的相关</w:t>
            </w:r>
            <w:r>
              <w:rPr>
                <w:rFonts w:ascii="黑体" w:hAnsi="黑体" w:cs="黑体" w:eastAsia="黑体" w:hint="default"/>
                <w:w w:val="100"/>
                <w:sz w:val="22"/>
                <w:szCs w:val="22"/>
              </w:rPr>
              <w:t> </w:t>
            </w:r>
            <w:r>
              <w:rPr>
                <w:rFonts w:ascii="黑体" w:hAnsi="黑体" w:cs="黑体" w:eastAsia="黑体" w:hint="default"/>
                <w:spacing w:val="8"/>
                <w:sz w:val="22"/>
                <w:szCs w:val="22"/>
              </w:rPr>
              <w:t>依据并结合历史数据及行业数据判断</w:t>
            </w:r>
            <w:r>
              <w:rPr>
                <w:rFonts w:ascii="黑体" w:hAnsi="黑体" w:cs="黑体" w:eastAsia="黑体" w:hint="default"/>
                <w:w w:val="100"/>
                <w:sz w:val="22"/>
                <w:szCs w:val="22"/>
              </w:rPr>
              <w:t> </w:t>
            </w:r>
            <w:r>
              <w:rPr>
                <w:rFonts w:ascii="黑体" w:hAnsi="黑体" w:cs="黑体" w:eastAsia="黑体" w:hint="default"/>
                <w:sz w:val="22"/>
                <w:szCs w:val="22"/>
              </w:rPr>
              <w:t>其合理性；</w:t>
            </w:r>
          </w:p>
          <w:p>
            <w:pPr>
              <w:pStyle w:val="TableParagraph"/>
              <w:spacing w:line="286" w:lineRule="exact" w:before="87"/>
              <w:ind w:left="446" w:right="99" w:hanging="310"/>
              <w:jc w:val="both"/>
              <w:rPr>
                <w:rFonts w:ascii="黑体" w:hAnsi="黑体" w:cs="黑体" w:eastAsia="黑体" w:hint="default"/>
                <w:sz w:val="22"/>
                <w:szCs w:val="22"/>
              </w:rPr>
            </w:pPr>
            <w:r>
              <w:rPr>
                <w:rFonts w:ascii="Arial" w:hAnsi="Arial" w:cs="Arial" w:eastAsia="Arial" w:hint="default"/>
                <w:sz w:val="22"/>
                <w:szCs w:val="22"/>
              </w:rPr>
              <w:t>3.</w:t>
            </w:r>
            <w:r>
              <w:rPr>
                <w:rFonts w:ascii="Arial" w:hAnsi="Arial" w:cs="Arial" w:eastAsia="Arial" w:hint="default"/>
                <w:spacing w:val="21"/>
                <w:sz w:val="22"/>
                <w:szCs w:val="22"/>
              </w:rPr>
              <w:t> </w:t>
            </w:r>
            <w:r>
              <w:rPr>
                <w:rFonts w:ascii="黑体" w:hAnsi="黑体" w:cs="黑体" w:eastAsia="黑体" w:hint="default"/>
                <w:spacing w:val="-4"/>
                <w:sz w:val="22"/>
                <w:szCs w:val="22"/>
              </w:rPr>
              <w:t>对现金流预测的基期数据进行检查，并</w:t>
            </w:r>
            <w:r>
              <w:rPr>
                <w:rFonts w:ascii="黑体" w:hAnsi="黑体" w:cs="黑体" w:eastAsia="黑体" w:hint="default"/>
                <w:spacing w:val="-108"/>
                <w:sz w:val="22"/>
                <w:szCs w:val="22"/>
              </w:rPr>
              <w:t> </w:t>
            </w:r>
            <w:r>
              <w:rPr>
                <w:rFonts w:ascii="黑体" w:hAnsi="黑体" w:cs="黑体" w:eastAsia="黑体" w:hint="default"/>
                <w:spacing w:val="-108"/>
                <w:sz w:val="22"/>
                <w:szCs w:val="22"/>
              </w:rPr>
            </w:r>
            <w:r>
              <w:rPr>
                <w:rFonts w:ascii="黑体" w:hAnsi="黑体" w:cs="黑体" w:eastAsia="黑体" w:hint="default"/>
                <w:spacing w:val="8"/>
                <w:sz w:val="22"/>
                <w:szCs w:val="22"/>
              </w:rPr>
              <w:t>对预测期数据和永续期数据的计算进</w:t>
            </w:r>
            <w:r>
              <w:rPr>
                <w:rFonts w:ascii="黑体" w:hAnsi="黑体" w:cs="黑体" w:eastAsia="黑体" w:hint="default"/>
                <w:w w:val="100"/>
                <w:sz w:val="22"/>
                <w:szCs w:val="22"/>
              </w:rPr>
              <w:t> </w:t>
            </w:r>
            <w:r>
              <w:rPr>
                <w:rFonts w:ascii="黑体" w:hAnsi="黑体" w:cs="黑体" w:eastAsia="黑体" w:hint="default"/>
                <w:sz w:val="22"/>
                <w:szCs w:val="22"/>
              </w:rPr>
              <w:t>行复核；</w:t>
            </w:r>
          </w:p>
          <w:p>
            <w:pPr>
              <w:pStyle w:val="TableParagraph"/>
              <w:spacing w:line="286" w:lineRule="exact" w:before="59"/>
              <w:ind w:left="446" w:right="97" w:hanging="310"/>
              <w:jc w:val="both"/>
              <w:rPr>
                <w:rFonts w:ascii="黑体" w:hAnsi="黑体" w:cs="黑体" w:eastAsia="黑体" w:hint="default"/>
                <w:sz w:val="22"/>
                <w:szCs w:val="22"/>
              </w:rPr>
            </w:pPr>
            <w:r>
              <w:rPr>
                <w:rFonts w:ascii="Arial" w:hAnsi="Arial" w:cs="Arial" w:eastAsia="Arial" w:hint="default"/>
                <w:sz w:val="22"/>
                <w:szCs w:val="22"/>
              </w:rPr>
              <w:t>4.</w:t>
            </w:r>
            <w:r>
              <w:rPr>
                <w:rFonts w:ascii="Arial" w:hAnsi="Arial" w:cs="Arial" w:eastAsia="Arial" w:hint="default"/>
                <w:spacing w:val="20"/>
                <w:sz w:val="22"/>
                <w:szCs w:val="22"/>
              </w:rPr>
              <w:t> </w:t>
            </w:r>
            <w:r>
              <w:rPr>
                <w:rFonts w:ascii="黑体" w:hAnsi="黑体" w:cs="黑体" w:eastAsia="黑体" w:hint="default"/>
                <w:spacing w:val="-4"/>
                <w:sz w:val="22"/>
                <w:szCs w:val="22"/>
              </w:rPr>
              <w:t>邀请我们内部估值专家团队，辅助我们</w:t>
            </w:r>
            <w:r>
              <w:rPr>
                <w:rFonts w:ascii="黑体" w:hAnsi="黑体" w:cs="黑体" w:eastAsia="黑体" w:hint="default"/>
                <w:spacing w:val="-108"/>
                <w:sz w:val="22"/>
                <w:szCs w:val="22"/>
              </w:rPr>
              <w:t> </w:t>
            </w:r>
            <w:r>
              <w:rPr>
                <w:rFonts w:ascii="黑体" w:hAnsi="黑体" w:cs="黑体" w:eastAsia="黑体" w:hint="default"/>
                <w:spacing w:val="-108"/>
                <w:sz w:val="22"/>
                <w:szCs w:val="22"/>
              </w:rPr>
            </w:r>
            <w:r>
              <w:rPr>
                <w:rFonts w:ascii="黑体" w:hAnsi="黑体" w:cs="黑体" w:eastAsia="黑体" w:hint="default"/>
                <w:spacing w:val="8"/>
                <w:sz w:val="22"/>
                <w:szCs w:val="22"/>
              </w:rPr>
              <w:t>复核管理层所做的商誉减值测试及敏</w:t>
            </w:r>
            <w:r>
              <w:rPr>
                <w:rFonts w:ascii="黑体" w:hAnsi="黑体" w:cs="黑体" w:eastAsia="黑体" w:hint="default"/>
                <w:w w:val="100"/>
                <w:sz w:val="22"/>
                <w:szCs w:val="22"/>
              </w:rPr>
              <w:t> </w:t>
            </w:r>
            <w:r>
              <w:rPr>
                <w:rFonts w:ascii="黑体" w:hAnsi="黑体" w:cs="黑体" w:eastAsia="黑体" w:hint="default"/>
                <w:spacing w:val="-4"/>
                <w:sz w:val="22"/>
                <w:szCs w:val="22"/>
              </w:rPr>
              <w:t>感性测试计算表，特别是现金流预测的</w:t>
            </w:r>
            <w:r>
              <w:rPr>
                <w:rFonts w:ascii="黑体" w:hAnsi="黑体" w:cs="黑体" w:eastAsia="黑体" w:hint="default"/>
                <w:w w:val="100"/>
                <w:sz w:val="22"/>
                <w:szCs w:val="22"/>
              </w:rPr>
              <w:t> </w:t>
            </w:r>
            <w:r>
              <w:rPr>
                <w:rFonts w:ascii="黑体" w:hAnsi="黑体" w:cs="黑体" w:eastAsia="黑体" w:hint="default"/>
                <w:sz w:val="22"/>
                <w:szCs w:val="22"/>
              </w:rPr>
              <w:t>方法和折现率等假设；</w:t>
            </w:r>
          </w:p>
          <w:p>
            <w:pPr>
              <w:pStyle w:val="TableParagraph"/>
              <w:spacing w:line="284" w:lineRule="exact" w:before="61"/>
              <w:ind w:left="446" w:right="104" w:hanging="310"/>
              <w:jc w:val="both"/>
              <w:rPr>
                <w:rFonts w:ascii="黑体" w:hAnsi="黑体" w:cs="黑体" w:eastAsia="黑体" w:hint="default"/>
                <w:sz w:val="22"/>
                <w:szCs w:val="22"/>
              </w:rPr>
            </w:pPr>
            <w:r>
              <w:rPr>
                <w:rFonts w:ascii="Arial" w:hAnsi="Arial" w:cs="Arial" w:eastAsia="Arial" w:hint="default"/>
                <w:sz w:val="22"/>
                <w:szCs w:val="22"/>
              </w:rPr>
              <w:t>5.</w:t>
            </w:r>
            <w:r>
              <w:rPr>
                <w:rFonts w:ascii="Arial" w:hAnsi="Arial" w:cs="Arial" w:eastAsia="Arial" w:hint="default"/>
                <w:spacing w:val="33"/>
                <w:sz w:val="22"/>
                <w:szCs w:val="22"/>
              </w:rPr>
              <w:t> </w:t>
            </w:r>
            <w:r>
              <w:rPr>
                <w:rFonts w:ascii="黑体" w:hAnsi="黑体" w:cs="黑体" w:eastAsia="黑体" w:hint="default"/>
                <w:spacing w:val="8"/>
                <w:sz w:val="22"/>
                <w:szCs w:val="22"/>
              </w:rPr>
              <w:t>复核用友网络科技股份有限公司管理</w:t>
            </w:r>
            <w:r>
              <w:rPr>
                <w:rFonts w:ascii="黑体" w:hAnsi="黑体" w:cs="黑体" w:eastAsia="黑体" w:hint="default"/>
                <w:spacing w:val="-105"/>
                <w:sz w:val="22"/>
                <w:szCs w:val="22"/>
              </w:rPr>
              <w:t> </w:t>
            </w:r>
            <w:r>
              <w:rPr>
                <w:rFonts w:ascii="黑体" w:hAnsi="黑体" w:cs="黑体" w:eastAsia="黑体" w:hint="default"/>
                <w:spacing w:val="-105"/>
                <w:sz w:val="22"/>
                <w:szCs w:val="22"/>
              </w:rPr>
            </w:r>
            <w:r>
              <w:rPr>
                <w:rFonts w:ascii="黑体" w:hAnsi="黑体" w:cs="黑体" w:eastAsia="黑体" w:hint="default"/>
                <w:sz w:val="22"/>
                <w:szCs w:val="22"/>
              </w:rPr>
              <w:t>层对商誉减值测试披露的适当性。</w:t>
            </w:r>
          </w:p>
        </w:tc>
      </w:tr>
    </w:tbl>
    <w:p>
      <w:pPr>
        <w:spacing w:after="0" w:line="284" w:lineRule="exact"/>
        <w:jc w:val="both"/>
        <w:rPr>
          <w:rFonts w:ascii="黑体" w:hAnsi="黑体" w:cs="黑体" w:eastAsia="黑体" w:hint="default"/>
          <w:sz w:val="22"/>
          <w:szCs w:val="22"/>
        </w:rPr>
        <w:sectPr>
          <w:pgSz w:w="11910" w:h="16850"/>
          <w:pgMar w:header="743" w:footer="921" w:top="980" w:bottom="1120" w:left="1580" w:right="1680"/>
        </w:sect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before="180"/>
        <w:ind w:left="3729" w:right="3626" w:firstLine="0"/>
        <w:jc w:val="center"/>
        <w:rPr>
          <w:rFonts w:ascii="Arial" w:hAnsi="Arial" w:cs="Arial" w:eastAsia="Arial" w:hint="default"/>
          <w:sz w:val="22"/>
          <w:szCs w:val="22"/>
        </w:rPr>
      </w:pPr>
      <w:r>
        <w:rPr/>
        <w:pict>
          <v:group style="position:absolute;margin-left:88.463997pt;margin-top:-62.652321pt;width:417.45pt;height:.1pt;mso-position-horizontal-relative:page;mso-position-vertical-relative:paragraph;z-index:1144" coordorigin="1769,-1253" coordsize="8349,2">
            <v:shape style="position:absolute;left:1769;top:-1253;width:8349;height:2" coordorigin="1769,-1253" coordsize="8349,0" path="m1769,-1253l10118,-1253e" filled="false" stroked="true" strokeweight=".72pt" strokecolor="#000000">
              <v:path arrowok="t"/>
            </v:shape>
            <w10:wrap type="none"/>
          </v:group>
        </w:pict>
      </w:r>
      <w:bookmarkStart w:name="OLE_LINK12" w:id="17"/>
      <w:bookmarkEnd w:id="17"/>
      <w:r>
        <w:rPr/>
      </w:r>
      <w:r>
        <w:rPr>
          <w:rFonts w:ascii="黑体" w:hAnsi="黑体" w:cs="黑体" w:eastAsia="黑体" w:hint="default"/>
          <w:b/>
          <w:bCs/>
          <w:sz w:val="22"/>
          <w:szCs w:val="22"/>
        </w:rPr>
        <w:t>审计报告</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4"/>
        <w:rPr>
          <w:rFonts w:ascii="Arial" w:hAnsi="Arial" w:cs="Arial" w:eastAsia="Arial" w:hint="default"/>
          <w:b/>
          <w:bCs/>
          <w:sz w:val="20"/>
          <w:szCs w:val="20"/>
        </w:rPr>
      </w:pPr>
    </w:p>
    <w:p>
      <w:pPr>
        <w:spacing w:line="295" w:lineRule="exact" w:before="0"/>
        <w:ind w:left="0" w:right="108" w:firstLine="0"/>
        <w:jc w:val="right"/>
        <w:rPr>
          <w:rFonts w:ascii="黑体" w:hAnsi="黑体" w:cs="黑体" w:eastAsia="黑体" w:hint="default"/>
          <w:sz w:val="22"/>
          <w:szCs w:val="22"/>
        </w:rPr>
      </w:pPr>
      <w:r>
        <w:rPr>
          <w:rFonts w:ascii="黑体" w:hAnsi="黑体" w:cs="黑体" w:eastAsia="黑体" w:hint="default"/>
          <w:spacing w:val="-1"/>
          <w:sz w:val="22"/>
          <w:szCs w:val="22"/>
        </w:rPr>
        <w:t>安永华明（</w:t>
      </w:r>
      <w:r>
        <w:rPr>
          <w:rFonts w:ascii="Arial" w:hAnsi="Arial" w:cs="Arial" w:eastAsia="Arial" w:hint="default"/>
          <w:spacing w:val="-1"/>
          <w:sz w:val="22"/>
          <w:szCs w:val="22"/>
        </w:rPr>
        <w:t>2020</w:t>
      </w:r>
      <w:r>
        <w:rPr>
          <w:rFonts w:ascii="黑体" w:hAnsi="黑体" w:cs="黑体" w:eastAsia="黑体" w:hint="default"/>
          <w:spacing w:val="-1"/>
          <w:sz w:val="22"/>
          <w:szCs w:val="22"/>
        </w:rPr>
        <w:t>）审字第</w:t>
      </w:r>
      <w:r>
        <w:rPr>
          <w:rFonts w:ascii="Arial" w:hAnsi="Arial" w:cs="Arial" w:eastAsia="Arial" w:hint="default"/>
          <w:spacing w:val="-1"/>
          <w:sz w:val="22"/>
          <w:szCs w:val="22"/>
        </w:rPr>
        <w:t>60469423_A01</w:t>
      </w:r>
      <w:r>
        <w:rPr>
          <w:rFonts w:ascii="黑体" w:hAnsi="黑体" w:cs="黑体" w:eastAsia="黑体" w:hint="default"/>
          <w:spacing w:val="-1"/>
          <w:sz w:val="22"/>
          <w:szCs w:val="22"/>
        </w:rPr>
        <w:t>号</w:t>
      </w:r>
    </w:p>
    <w:p>
      <w:pPr>
        <w:spacing w:line="279" w:lineRule="exact" w:before="0"/>
        <w:ind w:left="0" w:right="111" w:firstLine="0"/>
        <w:jc w:val="right"/>
        <w:rPr>
          <w:rFonts w:ascii="黑体" w:hAnsi="黑体" w:cs="黑体" w:eastAsia="黑体" w:hint="default"/>
          <w:sz w:val="22"/>
          <w:szCs w:val="22"/>
        </w:rPr>
      </w:pPr>
      <w:r>
        <w:rPr>
          <w:rFonts w:ascii="黑体" w:hAnsi="黑体" w:cs="黑体" w:eastAsia="黑体" w:hint="default"/>
          <w:spacing w:val="-1"/>
          <w:sz w:val="22"/>
          <w:szCs w:val="22"/>
        </w:rPr>
        <w:t>用友网络科技股份有限公司</w:t>
      </w: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5"/>
          <w:szCs w:val="15"/>
        </w:rPr>
      </w:pPr>
    </w:p>
    <w:p>
      <w:pPr>
        <w:spacing w:before="32"/>
        <w:ind w:left="638" w:right="88" w:firstLine="0"/>
        <w:jc w:val="left"/>
        <w:rPr>
          <w:rFonts w:ascii="Arial" w:hAnsi="Arial" w:cs="Arial" w:eastAsia="Arial" w:hint="default"/>
          <w:sz w:val="22"/>
          <w:szCs w:val="22"/>
        </w:rPr>
      </w:pPr>
      <w:r>
        <w:rPr>
          <w:rFonts w:ascii="黑体" w:hAnsi="黑体" w:cs="黑体" w:eastAsia="黑体" w:hint="default"/>
          <w:b/>
          <w:bCs/>
          <w:sz w:val="22"/>
          <w:szCs w:val="22"/>
        </w:rPr>
        <w:t>三、关键审计事项</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11"/>
        <w:rPr>
          <w:rFonts w:ascii="Arial" w:hAnsi="Arial" w:cs="Arial" w:eastAsia="Arial" w:hint="default"/>
          <w:b/>
          <w:bCs/>
          <w:sz w:val="23"/>
          <w:szCs w:val="23"/>
        </w:rPr>
      </w:pPr>
    </w:p>
    <w:tbl>
      <w:tblPr>
        <w:tblW w:w="0" w:type="auto"/>
        <w:jc w:val="left"/>
        <w:tblInd w:w="105" w:type="dxa"/>
        <w:tblLayout w:type="fixed"/>
        <w:tblCellMar>
          <w:top w:w="0" w:type="dxa"/>
          <w:left w:w="0" w:type="dxa"/>
          <w:bottom w:w="0" w:type="dxa"/>
          <w:right w:w="0" w:type="dxa"/>
        </w:tblCellMar>
        <w:tblLook w:val="01E0"/>
      </w:tblPr>
      <w:tblGrid>
        <w:gridCol w:w="4107"/>
        <w:gridCol w:w="4254"/>
      </w:tblGrid>
      <w:tr>
        <w:trPr>
          <w:trHeight w:val="295" w:hRule="exact"/>
        </w:trPr>
        <w:tc>
          <w:tcPr>
            <w:tcW w:w="4107" w:type="dxa"/>
            <w:tcBorders>
              <w:top w:val="single" w:sz="4" w:space="0" w:color="000000"/>
              <w:left w:val="single" w:sz="4" w:space="0" w:color="000000"/>
              <w:bottom w:val="single" w:sz="4" w:space="0" w:color="000000"/>
              <w:right w:val="single" w:sz="4" w:space="0" w:color="000000"/>
            </w:tcBorders>
            <w:shd w:val="clear" w:color="auto" w:fill="999999"/>
          </w:tcPr>
          <w:p>
            <w:pPr>
              <w:pStyle w:val="TableParagraph"/>
              <w:spacing w:line="265" w:lineRule="exact"/>
              <w:ind w:left="583" w:right="0"/>
              <w:jc w:val="left"/>
              <w:rPr>
                <w:rFonts w:ascii="Arial" w:hAnsi="Arial" w:cs="Arial" w:eastAsia="Arial" w:hint="default"/>
                <w:sz w:val="22"/>
                <w:szCs w:val="22"/>
              </w:rPr>
            </w:pPr>
            <w:r>
              <w:rPr>
                <w:rFonts w:ascii="黑体" w:hAnsi="黑体" w:cs="黑体" w:eastAsia="黑体" w:hint="default"/>
                <w:b/>
                <w:bCs/>
                <w:sz w:val="22"/>
                <w:szCs w:val="22"/>
              </w:rPr>
              <w:t>关键审计事项</w:t>
            </w:r>
            <w:r>
              <w:rPr>
                <w:rFonts w:ascii="Arial" w:hAnsi="Arial" w:cs="Arial" w:eastAsia="Arial" w:hint="default"/>
                <w:b/>
                <w:bCs/>
                <w:sz w:val="22"/>
                <w:szCs w:val="22"/>
              </w:rPr>
              <w:t>:</w:t>
            </w:r>
            <w:r>
              <w:rPr>
                <w:rFonts w:ascii="Arial" w:hAnsi="Arial" w:cs="Arial" w:eastAsia="Arial" w:hint="default"/>
                <w:sz w:val="22"/>
                <w:szCs w:val="22"/>
              </w:rPr>
            </w:r>
          </w:p>
        </w:tc>
        <w:tc>
          <w:tcPr>
            <w:tcW w:w="4254" w:type="dxa"/>
            <w:tcBorders>
              <w:top w:val="single" w:sz="4" w:space="0" w:color="000000"/>
              <w:left w:val="single" w:sz="4" w:space="0" w:color="000000"/>
              <w:bottom w:val="single" w:sz="4" w:space="0" w:color="000000"/>
              <w:right w:val="single" w:sz="4" w:space="0" w:color="000000"/>
            </w:tcBorders>
            <w:shd w:val="clear" w:color="auto" w:fill="999999"/>
          </w:tcPr>
          <w:p>
            <w:pPr>
              <w:pStyle w:val="TableParagraph"/>
              <w:spacing w:line="265" w:lineRule="exact"/>
              <w:ind w:left="583" w:right="0"/>
              <w:jc w:val="left"/>
              <w:rPr>
                <w:rFonts w:ascii="Arial" w:hAnsi="Arial" w:cs="Arial" w:eastAsia="Arial" w:hint="default"/>
                <w:sz w:val="22"/>
                <w:szCs w:val="22"/>
              </w:rPr>
            </w:pPr>
            <w:r>
              <w:rPr>
                <w:rFonts w:ascii="黑体" w:hAnsi="黑体" w:cs="黑体" w:eastAsia="黑体" w:hint="default"/>
                <w:b/>
                <w:bCs/>
                <w:sz w:val="22"/>
                <w:szCs w:val="22"/>
              </w:rPr>
              <w:t>该事项在审计中是如何应对</w:t>
            </w:r>
            <w:r>
              <w:rPr>
                <w:rFonts w:ascii="Arial" w:hAnsi="Arial" w:cs="Arial" w:eastAsia="Arial" w:hint="default"/>
                <w:b/>
                <w:bCs/>
                <w:sz w:val="22"/>
                <w:szCs w:val="22"/>
              </w:rPr>
              <w:t>:</w:t>
            </w:r>
            <w:r>
              <w:rPr>
                <w:rFonts w:ascii="Arial" w:hAnsi="Arial" w:cs="Arial" w:eastAsia="Arial" w:hint="default"/>
                <w:sz w:val="22"/>
                <w:szCs w:val="22"/>
              </w:rPr>
            </w:r>
          </w:p>
        </w:tc>
      </w:tr>
      <w:tr>
        <w:trPr>
          <w:trHeight w:val="296" w:hRule="exact"/>
        </w:trPr>
        <w:tc>
          <w:tcPr>
            <w:tcW w:w="8361" w:type="dxa"/>
            <w:gridSpan w:val="2"/>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50" w:lineRule="exact"/>
              <w:ind w:left="583" w:right="0"/>
              <w:jc w:val="left"/>
              <w:rPr>
                <w:rFonts w:ascii="黑体" w:hAnsi="黑体" w:cs="黑体" w:eastAsia="黑体" w:hint="default"/>
                <w:sz w:val="22"/>
                <w:szCs w:val="22"/>
              </w:rPr>
            </w:pPr>
            <w:r>
              <w:rPr>
                <w:rFonts w:ascii="黑体" w:hAnsi="黑体" w:cs="黑体" w:eastAsia="黑体" w:hint="default"/>
                <w:sz w:val="22"/>
                <w:szCs w:val="22"/>
              </w:rPr>
              <w:t>二、非上市股权公允价值计量</w:t>
            </w:r>
          </w:p>
        </w:tc>
      </w:tr>
      <w:tr>
        <w:trPr>
          <w:trHeight w:val="4047" w:hRule="exact"/>
        </w:trPr>
        <w:tc>
          <w:tcPr>
            <w:tcW w:w="410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03" w:right="0"/>
              <w:jc w:val="left"/>
              <w:rPr>
                <w:rFonts w:ascii="黑体" w:hAnsi="黑体" w:cs="黑体" w:eastAsia="黑体" w:hint="default"/>
                <w:sz w:val="22"/>
                <w:szCs w:val="22"/>
              </w:rPr>
            </w:pPr>
            <w:r>
              <w:rPr>
                <w:rFonts w:ascii="黑体" w:hAnsi="黑体" w:cs="黑体" w:eastAsia="黑体" w:hint="default"/>
                <w:sz w:val="22"/>
                <w:szCs w:val="22"/>
              </w:rPr>
              <w:t>截至</w:t>
            </w:r>
            <w:r>
              <w:rPr>
                <w:rFonts w:ascii="Arial" w:hAnsi="Arial" w:cs="Arial" w:eastAsia="Arial" w:hint="default"/>
                <w:sz w:val="22"/>
                <w:szCs w:val="22"/>
              </w:rPr>
              <w:t>2019</w:t>
            </w:r>
            <w:r>
              <w:rPr>
                <w:rFonts w:ascii="黑体" w:hAnsi="黑体" w:cs="黑体" w:eastAsia="黑体" w:hint="default"/>
                <w:sz w:val="22"/>
                <w:szCs w:val="22"/>
              </w:rPr>
              <w:t>年</w:t>
            </w:r>
            <w:r>
              <w:rPr>
                <w:rFonts w:ascii="Arial" w:hAnsi="Arial" w:cs="Arial" w:eastAsia="Arial" w:hint="default"/>
                <w:sz w:val="22"/>
                <w:szCs w:val="22"/>
              </w:rPr>
              <w:t>12</w:t>
            </w:r>
            <w:r>
              <w:rPr>
                <w:rFonts w:ascii="黑体" w:hAnsi="黑体" w:cs="黑体" w:eastAsia="黑体" w:hint="default"/>
                <w:sz w:val="22"/>
                <w:szCs w:val="22"/>
              </w:rPr>
              <w:t>月</w:t>
            </w:r>
            <w:r>
              <w:rPr>
                <w:rFonts w:ascii="Arial" w:hAnsi="Arial" w:cs="Arial" w:eastAsia="Arial" w:hint="default"/>
                <w:sz w:val="22"/>
                <w:szCs w:val="22"/>
              </w:rPr>
              <w:t>31</w:t>
            </w:r>
            <w:r>
              <w:rPr>
                <w:rFonts w:ascii="黑体" w:hAnsi="黑体" w:cs="黑体" w:eastAsia="黑体" w:hint="default"/>
                <w:sz w:val="22"/>
                <w:szCs w:val="22"/>
              </w:rPr>
              <w:t>日，用友网络科技股</w:t>
            </w:r>
          </w:p>
          <w:p>
            <w:pPr>
              <w:pStyle w:val="TableParagraph"/>
              <w:spacing w:line="235" w:lineRule="auto"/>
              <w:ind w:left="103" w:right="-10"/>
              <w:jc w:val="left"/>
              <w:rPr>
                <w:rFonts w:ascii="黑体" w:hAnsi="黑体" w:cs="黑体" w:eastAsia="黑体" w:hint="default"/>
                <w:sz w:val="22"/>
                <w:szCs w:val="22"/>
              </w:rPr>
            </w:pPr>
            <w:r>
              <w:rPr>
                <w:rFonts w:ascii="黑体" w:hAnsi="黑体" w:cs="黑体" w:eastAsia="黑体" w:hint="default"/>
                <w:spacing w:val="6"/>
                <w:sz w:val="22"/>
                <w:szCs w:val="22"/>
              </w:rPr>
              <w:t>份有限公司合并以公允价值计量且其变</w:t>
            </w:r>
            <w:r>
              <w:rPr>
                <w:rFonts w:ascii="黑体" w:hAnsi="黑体" w:cs="黑体" w:eastAsia="黑体" w:hint="default"/>
                <w:spacing w:val="-67"/>
                <w:sz w:val="22"/>
                <w:szCs w:val="22"/>
              </w:rPr>
              <w:t> </w:t>
            </w:r>
            <w:r>
              <w:rPr>
                <w:rFonts w:ascii="黑体" w:hAnsi="黑体" w:cs="黑体" w:eastAsia="黑体" w:hint="default"/>
                <w:spacing w:val="-67"/>
                <w:sz w:val="22"/>
                <w:szCs w:val="22"/>
              </w:rPr>
            </w:r>
            <w:r>
              <w:rPr>
                <w:rFonts w:ascii="黑体" w:hAnsi="黑体" w:cs="黑体" w:eastAsia="黑体" w:hint="default"/>
                <w:spacing w:val="6"/>
                <w:sz w:val="22"/>
                <w:szCs w:val="22"/>
              </w:rPr>
              <w:t>动计入当期损益的其他非流动金融资产</w:t>
            </w:r>
            <w:r>
              <w:rPr>
                <w:rFonts w:ascii="黑体" w:hAnsi="黑体" w:cs="黑体" w:eastAsia="黑体" w:hint="default"/>
                <w:spacing w:val="-67"/>
                <w:sz w:val="22"/>
                <w:szCs w:val="22"/>
              </w:rPr>
              <w:t> </w:t>
            </w:r>
            <w:r>
              <w:rPr>
                <w:rFonts w:ascii="黑体" w:hAnsi="黑体" w:cs="黑体" w:eastAsia="黑体" w:hint="default"/>
                <w:spacing w:val="-67"/>
                <w:sz w:val="22"/>
                <w:szCs w:val="22"/>
              </w:rPr>
            </w:r>
            <w:r>
              <w:rPr>
                <w:rFonts w:ascii="黑体" w:hAnsi="黑体" w:cs="黑体" w:eastAsia="黑体" w:hint="default"/>
                <w:sz w:val="22"/>
                <w:szCs w:val="22"/>
              </w:rPr>
              <w:t>为人民币</w:t>
            </w:r>
            <w:r>
              <w:rPr>
                <w:rFonts w:ascii="Arial" w:hAnsi="Arial" w:cs="Arial" w:eastAsia="Arial" w:hint="default"/>
                <w:sz w:val="22"/>
                <w:szCs w:val="22"/>
              </w:rPr>
              <w:t>1,069,298,248</w:t>
            </w:r>
            <w:r>
              <w:rPr>
                <w:rFonts w:ascii="黑体" w:hAnsi="黑体" w:cs="黑体" w:eastAsia="黑体" w:hint="default"/>
                <w:sz w:val="22"/>
                <w:szCs w:val="22"/>
              </w:rPr>
              <w:t>元。对于该些金</w:t>
            </w:r>
            <w:r>
              <w:rPr>
                <w:rFonts w:ascii="黑体" w:hAnsi="黑体" w:cs="黑体" w:eastAsia="黑体" w:hint="default"/>
                <w:spacing w:val="-51"/>
                <w:sz w:val="22"/>
                <w:szCs w:val="22"/>
              </w:rPr>
              <w:t> </w:t>
            </w:r>
            <w:r>
              <w:rPr>
                <w:rFonts w:ascii="黑体" w:hAnsi="黑体" w:cs="黑体" w:eastAsia="黑体" w:hint="default"/>
                <w:spacing w:val="-5"/>
                <w:sz w:val="22"/>
                <w:szCs w:val="22"/>
              </w:rPr>
              <w:t>融资产公允价值的估值，管理层需要对估</w:t>
            </w:r>
            <w:r>
              <w:rPr>
                <w:rFonts w:ascii="黑体" w:hAnsi="黑体" w:cs="黑体" w:eastAsia="黑体" w:hint="default"/>
                <w:spacing w:val="-90"/>
                <w:sz w:val="22"/>
                <w:szCs w:val="22"/>
              </w:rPr>
              <w:t> </w:t>
            </w:r>
            <w:r>
              <w:rPr>
                <w:rFonts w:ascii="黑体" w:hAnsi="黑体" w:cs="黑体" w:eastAsia="黑体" w:hint="default"/>
                <w:spacing w:val="-90"/>
                <w:sz w:val="22"/>
                <w:szCs w:val="22"/>
              </w:rPr>
            </w:r>
            <w:r>
              <w:rPr>
                <w:rFonts w:ascii="黑体" w:hAnsi="黑体" w:cs="黑体" w:eastAsia="黑体" w:hint="default"/>
                <w:spacing w:val="-5"/>
                <w:sz w:val="22"/>
                <w:szCs w:val="22"/>
              </w:rPr>
              <w:t>值方法、假设及参数进行判断和估计。估</w:t>
            </w:r>
            <w:r>
              <w:rPr>
                <w:rFonts w:ascii="黑体" w:hAnsi="黑体" w:cs="黑体" w:eastAsia="黑体" w:hint="default"/>
                <w:spacing w:val="-90"/>
                <w:sz w:val="22"/>
                <w:szCs w:val="22"/>
              </w:rPr>
              <w:t> </w:t>
            </w:r>
            <w:r>
              <w:rPr>
                <w:rFonts w:ascii="黑体" w:hAnsi="黑体" w:cs="黑体" w:eastAsia="黑体" w:hint="default"/>
                <w:spacing w:val="-90"/>
                <w:sz w:val="22"/>
                <w:szCs w:val="22"/>
              </w:rPr>
            </w:r>
            <w:r>
              <w:rPr>
                <w:rFonts w:ascii="黑体" w:hAnsi="黑体" w:cs="黑体" w:eastAsia="黑体" w:hint="default"/>
                <w:spacing w:val="6"/>
                <w:sz w:val="22"/>
                <w:szCs w:val="22"/>
              </w:rPr>
              <w:t>值方法及相关假设和参数的选择存在主</w:t>
            </w:r>
            <w:r>
              <w:rPr>
                <w:rFonts w:ascii="黑体" w:hAnsi="黑体" w:cs="黑体" w:eastAsia="黑体" w:hint="default"/>
                <w:spacing w:val="-67"/>
                <w:sz w:val="22"/>
                <w:szCs w:val="22"/>
              </w:rPr>
              <w:t> </w:t>
            </w:r>
            <w:r>
              <w:rPr>
                <w:rFonts w:ascii="黑体" w:hAnsi="黑体" w:cs="黑体" w:eastAsia="黑体" w:hint="default"/>
                <w:spacing w:val="-67"/>
                <w:sz w:val="22"/>
                <w:szCs w:val="22"/>
              </w:rPr>
            </w:r>
            <w:r>
              <w:rPr>
                <w:rFonts w:ascii="黑体" w:hAnsi="黑体" w:cs="黑体" w:eastAsia="黑体" w:hint="default"/>
                <w:sz w:val="22"/>
                <w:szCs w:val="22"/>
              </w:rPr>
              <w:t>观性，对评估结果产生重大影响。</w:t>
            </w:r>
            <w:r>
              <w:rPr>
                <w:rFonts w:ascii="黑体" w:hAnsi="黑体" w:cs="黑体" w:eastAsia="黑体" w:hint="default"/>
                <w:w w:val="100"/>
                <w:sz w:val="22"/>
                <w:szCs w:val="22"/>
              </w:rPr>
              <w:t> </w:t>
            </w:r>
            <w:r>
              <w:rPr>
                <w:rFonts w:ascii="黑体" w:hAnsi="黑体" w:cs="黑体" w:eastAsia="黑体" w:hint="default"/>
                <w:spacing w:val="5"/>
                <w:sz w:val="22"/>
                <w:szCs w:val="22"/>
              </w:rPr>
              <w:t>具体披露参见合并财务报表附注五、</w:t>
            </w:r>
            <w:r>
              <w:rPr>
                <w:rFonts w:ascii="Arial" w:hAnsi="Arial" w:cs="Arial" w:eastAsia="Arial" w:hint="default"/>
                <w:spacing w:val="5"/>
                <w:sz w:val="22"/>
                <w:szCs w:val="22"/>
              </w:rPr>
              <w:t>10</w:t>
            </w:r>
            <w:r>
              <w:rPr>
                <w:rFonts w:ascii="Arial" w:hAnsi="Arial" w:cs="Arial" w:eastAsia="Arial" w:hint="default"/>
                <w:spacing w:val="-31"/>
                <w:sz w:val="22"/>
                <w:szCs w:val="22"/>
              </w:rPr>
              <w:t> </w:t>
            </w:r>
            <w:r>
              <w:rPr>
                <w:rFonts w:ascii="黑体" w:hAnsi="黑体" w:cs="黑体" w:eastAsia="黑体" w:hint="default"/>
                <w:spacing w:val="-2"/>
                <w:sz w:val="22"/>
                <w:szCs w:val="22"/>
              </w:rPr>
              <w:t>及</w:t>
            </w:r>
            <w:r>
              <w:rPr>
                <w:rFonts w:ascii="Arial" w:hAnsi="Arial" w:cs="Arial" w:eastAsia="Arial" w:hint="default"/>
                <w:spacing w:val="-2"/>
                <w:sz w:val="22"/>
                <w:szCs w:val="22"/>
              </w:rPr>
              <w:t>41</w:t>
            </w:r>
            <w:r>
              <w:rPr>
                <w:rFonts w:ascii="黑体" w:hAnsi="黑体" w:cs="黑体" w:eastAsia="黑体" w:hint="default"/>
                <w:spacing w:val="-2"/>
                <w:sz w:val="22"/>
                <w:szCs w:val="22"/>
              </w:rPr>
              <w:t>，附注七、</w:t>
            </w:r>
            <w:r>
              <w:rPr>
                <w:rFonts w:ascii="Arial" w:hAnsi="Arial" w:cs="Arial" w:eastAsia="Arial" w:hint="default"/>
                <w:spacing w:val="-2"/>
                <w:sz w:val="22"/>
                <w:szCs w:val="22"/>
              </w:rPr>
              <w:t>18</w:t>
            </w:r>
            <w:r>
              <w:rPr>
                <w:rFonts w:ascii="黑体" w:hAnsi="黑体" w:cs="黑体" w:eastAsia="黑体" w:hint="default"/>
                <w:spacing w:val="-2"/>
                <w:sz w:val="22"/>
                <w:szCs w:val="22"/>
              </w:rPr>
              <w:t>其他非流动金融资产。</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Arial" w:hAnsi="Arial" w:cs="Arial" w:eastAsia="Arial" w:hint="default"/>
                <w:b/>
                <w:bCs/>
                <w:sz w:val="23"/>
                <w:szCs w:val="23"/>
              </w:rPr>
            </w:pPr>
          </w:p>
          <w:p>
            <w:pPr>
              <w:pStyle w:val="TableParagraph"/>
              <w:spacing w:line="240" w:lineRule="auto"/>
              <w:ind w:left="103" w:right="0"/>
              <w:jc w:val="left"/>
              <w:rPr>
                <w:rFonts w:ascii="黑体" w:hAnsi="黑体" w:cs="黑体" w:eastAsia="黑体" w:hint="default"/>
                <w:sz w:val="22"/>
                <w:szCs w:val="22"/>
              </w:rPr>
            </w:pPr>
            <w:r>
              <w:rPr>
                <w:rFonts w:ascii="黑体" w:hAnsi="黑体" w:cs="黑体" w:eastAsia="黑体" w:hint="default"/>
                <w:sz w:val="22"/>
                <w:szCs w:val="22"/>
              </w:rPr>
              <w:t>我们执行的审计程序主要包括：</w:t>
            </w:r>
          </w:p>
          <w:p>
            <w:pPr>
              <w:pStyle w:val="TableParagraph"/>
              <w:spacing w:line="286" w:lineRule="exact" w:before="86"/>
              <w:ind w:left="463" w:right="92" w:hanging="360"/>
              <w:jc w:val="both"/>
              <w:rPr>
                <w:rFonts w:ascii="黑体" w:hAnsi="黑体" w:cs="黑体" w:eastAsia="黑体" w:hint="default"/>
                <w:sz w:val="22"/>
                <w:szCs w:val="22"/>
              </w:rPr>
            </w:pPr>
            <w:r>
              <w:rPr>
                <w:rFonts w:ascii="Arial" w:hAnsi="Arial" w:cs="Arial" w:eastAsia="Arial" w:hint="default"/>
                <w:sz w:val="22"/>
                <w:szCs w:val="22"/>
              </w:rPr>
              <w:t>1.</w:t>
            </w:r>
            <w:r>
              <w:rPr>
                <w:rFonts w:ascii="Arial" w:hAnsi="Arial" w:cs="Arial" w:eastAsia="Arial" w:hint="default"/>
                <w:spacing w:val="9"/>
                <w:sz w:val="22"/>
                <w:szCs w:val="22"/>
              </w:rPr>
              <w:t> </w:t>
            </w:r>
            <w:r>
              <w:rPr>
                <w:rFonts w:ascii="黑体" w:hAnsi="黑体" w:cs="黑体" w:eastAsia="黑体" w:hint="default"/>
                <w:spacing w:val="-5"/>
                <w:sz w:val="22"/>
                <w:szCs w:val="22"/>
              </w:rPr>
              <w:t>评估按照新金融工具准则，用友网络科</w:t>
            </w:r>
            <w:r>
              <w:rPr>
                <w:rFonts w:ascii="黑体" w:hAnsi="黑体" w:cs="黑体" w:eastAsia="黑体" w:hint="default"/>
                <w:spacing w:val="-108"/>
                <w:sz w:val="22"/>
                <w:szCs w:val="22"/>
              </w:rPr>
              <w:t> </w:t>
            </w:r>
            <w:r>
              <w:rPr>
                <w:rFonts w:ascii="黑体" w:hAnsi="黑体" w:cs="黑体" w:eastAsia="黑体" w:hint="default"/>
                <w:spacing w:val="-108"/>
                <w:sz w:val="22"/>
                <w:szCs w:val="22"/>
              </w:rPr>
            </w:r>
            <w:r>
              <w:rPr>
                <w:rFonts w:ascii="黑体" w:hAnsi="黑体" w:cs="黑体" w:eastAsia="黑体" w:hint="default"/>
                <w:spacing w:val="8"/>
                <w:sz w:val="22"/>
                <w:szCs w:val="22"/>
              </w:rPr>
              <w:t>技股份有限公司将相关股权投资分类</w:t>
            </w:r>
            <w:r>
              <w:rPr>
                <w:rFonts w:ascii="黑体" w:hAnsi="黑体" w:cs="黑体" w:eastAsia="黑体" w:hint="default"/>
                <w:spacing w:val="9"/>
                <w:w w:val="100"/>
                <w:sz w:val="22"/>
                <w:szCs w:val="22"/>
              </w:rPr>
              <w:t> </w:t>
            </w:r>
            <w:r>
              <w:rPr>
                <w:rFonts w:ascii="黑体" w:hAnsi="黑体" w:cs="黑体" w:eastAsia="黑体" w:hint="default"/>
                <w:spacing w:val="8"/>
                <w:sz w:val="22"/>
                <w:szCs w:val="22"/>
              </w:rPr>
              <w:t>为以公允价值计量且其变动计入当期</w:t>
            </w:r>
            <w:r>
              <w:rPr>
                <w:rFonts w:ascii="黑体" w:hAnsi="黑体" w:cs="黑体" w:eastAsia="黑体" w:hint="default"/>
                <w:spacing w:val="9"/>
                <w:w w:val="100"/>
                <w:sz w:val="22"/>
                <w:szCs w:val="22"/>
              </w:rPr>
              <w:t> </w:t>
            </w:r>
            <w:r>
              <w:rPr>
                <w:rFonts w:ascii="黑体" w:hAnsi="黑体" w:cs="黑体" w:eastAsia="黑体" w:hint="default"/>
                <w:sz w:val="22"/>
                <w:szCs w:val="22"/>
              </w:rPr>
              <w:t>损益的金融资产的适当性；</w:t>
            </w:r>
          </w:p>
          <w:p>
            <w:pPr>
              <w:pStyle w:val="TableParagraph"/>
              <w:spacing w:line="286" w:lineRule="exact" w:before="59"/>
              <w:ind w:left="446" w:right="104" w:hanging="310"/>
              <w:jc w:val="both"/>
              <w:rPr>
                <w:rFonts w:ascii="黑体" w:hAnsi="黑体" w:cs="黑体" w:eastAsia="黑体" w:hint="default"/>
                <w:sz w:val="22"/>
                <w:szCs w:val="22"/>
              </w:rPr>
            </w:pPr>
            <w:r>
              <w:rPr>
                <w:rFonts w:ascii="Arial" w:hAnsi="Arial" w:cs="Arial" w:eastAsia="Arial" w:hint="default"/>
                <w:sz w:val="22"/>
                <w:szCs w:val="22"/>
              </w:rPr>
              <w:t>2.</w:t>
            </w:r>
            <w:r>
              <w:rPr>
                <w:rFonts w:ascii="Arial" w:hAnsi="Arial" w:cs="Arial" w:eastAsia="Arial" w:hint="default"/>
                <w:spacing w:val="33"/>
                <w:sz w:val="22"/>
                <w:szCs w:val="22"/>
              </w:rPr>
              <w:t> </w:t>
            </w:r>
            <w:r>
              <w:rPr>
                <w:rFonts w:ascii="黑体" w:hAnsi="黑体" w:cs="黑体" w:eastAsia="黑体" w:hint="default"/>
                <w:spacing w:val="8"/>
                <w:sz w:val="22"/>
                <w:szCs w:val="22"/>
              </w:rPr>
              <w:t>了解并评估了管理层进行相关股权公</w:t>
            </w:r>
            <w:r>
              <w:rPr>
                <w:rFonts w:ascii="黑体" w:hAnsi="黑体" w:cs="黑体" w:eastAsia="黑体" w:hint="default"/>
                <w:spacing w:val="-105"/>
                <w:sz w:val="22"/>
                <w:szCs w:val="22"/>
              </w:rPr>
              <w:t> </w:t>
            </w:r>
            <w:r>
              <w:rPr>
                <w:rFonts w:ascii="黑体" w:hAnsi="黑体" w:cs="黑体" w:eastAsia="黑体" w:hint="default"/>
                <w:spacing w:val="-105"/>
                <w:sz w:val="22"/>
                <w:szCs w:val="22"/>
              </w:rPr>
            </w:r>
            <w:r>
              <w:rPr>
                <w:rFonts w:ascii="黑体" w:hAnsi="黑体" w:cs="黑体" w:eastAsia="黑体" w:hint="default"/>
                <w:sz w:val="22"/>
                <w:szCs w:val="22"/>
              </w:rPr>
              <w:t>允价值评估的流程及内部控制；</w:t>
            </w:r>
          </w:p>
          <w:p>
            <w:pPr>
              <w:pStyle w:val="TableParagraph"/>
              <w:spacing w:line="230" w:lineRule="auto" w:before="41"/>
              <w:ind w:left="446" w:right="97" w:hanging="310"/>
              <w:jc w:val="both"/>
              <w:rPr>
                <w:rFonts w:ascii="黑体" w:hAnsi="黑体" w:cs="黑体" w:eastAsia="黑体" w:hint="default"/>
                <w:sz w:val="22"/>
                <w:szCs w:val="22"/>
              </w:rPr>
            </w:pPr>
            <w:r>
              <w:rPr>
                <w:rFonts w:ascii="Arial" w:hAnsi="Arial" w:cs="Arial" w:eastAsia="Arial" w:hint="default"/>
                <w:sz w:val="22"/>
                <w:szCs w:val="22"/>
              </w:rPr>
              <w:t>3.</w:t>
            </w:r>
            <w:r>
              <w:rPr>
                <w:rFonts w:ascii="Arial" w:hAnsi="Arial" w:cs="Arial" w:eastAsia="Arial" w:hint="default"/>
                <w:spacing w:val="20"/>
                <w:sz w:val="22"/>
                <w:szCs w:val="22"/>
              </w:rPr>
              <w:t> </w:t>
            </w:r>
            <w:r>
              <w:rPr>
                <w:rFonts w:ascii="黑体" w:hAnsi="黑体" w:cs="黑体" w:eastAsia="黑体" w:hint="default"/>
                <w:spacing w:val="-4"/>
                <w:sz w:val="22"/>
                <w:szCs w:val="22"/>
              </w:rPr>
              <w:t>在内部估值专家的协助下，复核管理层</w:t>
            </w:r>
            <w:r>
              <w:rPr>
                <w:rFonts w:ascii="黑体" w:hAnsi="黑体" w:cs="黑体" w:eastAsia="黑体" w:hint="default"/>
                <w:spacing w:val="-108"/>
                <w:sz w:val="22"/>
                <w:szCs w:val="22"/>
              </w:rPr>
              <w:t> </w:t>
            </w:r>
            <w:r>
              <w:rPr>
                <w:rFonts w:ascii="黑体" w:hAnsi="黑体" w:cs="黑体" w:eastAsia="黑体" w:hint="default"/>
                <w:spacing w:val="-108"/>
                <w:sz w:val="22"/>
                <w:szCs w:val="22"/>
              </w:rPr>
            </w:r>
            <w:r>
              <w:rPr>
                <w:rFonts w:ascii="黑体" w:hAnsi="黑体" w:cs="黑体" w:eastAsia="黑体" w:hint="default"/>
                <w:spacing w:val="-4"/>
                <w:sz w:val="22"/>
                <w:szCs w:val="22"/>
              </w:rPr>
              <w:t>采用的估值方法、假设及参数，并评估</w:t>
            </w:r>
            <w:r>
              <w:rPr>
                <w:rFonts w:ascii="黑体" w:hAnsi="黑体" w:cs="黑体" w:eastAsia="黑体" w:hint="default"/>
                <w:w w:val="100"/>
                <w:sz w:val="22"/>
                <w:szCs w:val="22"/>
              </w:rPr>
              <w:t> </w:t>
            </w:r>
            <w:r>
              <w:rPr>
                <w:rFonts w:ascii="黑体" w:hAnsi="黑体" w:cs="黑体" w:eastAsia="黑体" w:hint="default"/>
                <w:sz w:val="22"/>
                <w:szCs w:val="22"/>
              </w:rPr>
              <w:t>其恰当性；</w:t>
            </w:r>
          </w:p>
          <w:p>
            <w:pPr>
              <w:pStyle w:val="TableParagraph"/>
              <w:spacing w:line="286" w:lineRule="exact" w:before="87"/>
              <w:ind w:left="446" w:right="104" w:hanging="310"/>
              <w:jc w:val="both"/>
              <w:rPr>
                <w:rFonts w:ascii="黑体" w:hAnsi="黑体" w:cs="黑体" w:eastAsia="黑体" w:hint="default"/>
                <w:sz w:val="22"/>
                <w:szCs w:val="22"/>
              </w:rPr>
            </w:pPr>
            <w:r>
              <w:rPr>
                <w:rFonts w:ascii="Arial" w:hAnsi="Arial" w:cs="Arial" w:eastAsia="Arial" w:hint="default"/>
                <w:sz w:val="22"/>
                <w:szCs w:val="22"/>
              </w:rPr>
              <w:t>4.</w:t>
            </w:r>
            <w:r>
              <w:rPr>
                <w:rFonts w:ascii="Arial" w:hAnsi="Arial" w:cs="Arial" w:eastAsia="Arial" w:hint="default"/>
                <w:spacing w:val="33"/>
                <w:sz w:val="22"/>
                <w:szCs w:val="22"/>
              </w:rPr>
              <w:t> </w:t>
            </w:r>
            <w:r>
              <w:rPr>
                <w:rFonts w:ascii="黑体" w:hAnsi="黑体" w:cs="黑体" w:eastAsia="黑体" w:hint="default"/>
                <w:spacing w:val="8"/>
                <w:sz w:val="22"/>
                <w:szCs w:val="22"/>
              </w:rPr>
              <w:t>评估管理层在财务报表相关披露的恰</w:t>
            </w:r>
            <w:r>
              <w:rPr>
                <w:rFonts w:ascii="黑体" w:hAnsi="黑体" w:cs="黑体" w:eastAsia="黑体" w:hint="default"/>
                <w:spacing w:val="-105"/>
                <w:sz w:val="22"/>
                <w:szCs w:val="22"/>
              </w:rPr>
              <w:t> </w:t>
            </w:r>
            <w:r>
              <w:rPr>
                <w:rFonts w:ascii="黑体" w:hAnsi="黑体" w:cs="黑体" w:eastAsia="黑体" w:hint="default"/>
                <w:spacing w:val="-105"/>
                <w:sz w:val="22"/>
                <w:szCs w:val="22"/>
              </w:rPr>
            </w:r>
            <w:r>
              <w:rPr>
                <w:rFonts w:ascii="黑体" w:hAnsi="黑体" w:cs="黑体" w:eastAsia="黑体" w:hint="default"/>
                <w:sz w:val="22"/>
                <w:szCs w:val="22"/>
              </w:rPr>
              <w:t>当性。</w:t>
            </w:r>
          </w:p>
        </w:tc>
      </w:tr>
    </w:tbl>
    <w:p>
      <w:pPr>
        <w:spacing w:after="0" w:line="286" w:lineRule="exact"/>
        <w:jc w:val="both"/>
        <w:rPr>
          <w:rFonts w:ascii="黑体" w:hAnsi="黑体" w:cs="黑体" w:eastAsia="黑体" w:hint="default"/>
          <w:sz w:val="22"/>
          <w:szCs w:val="22"/>
        </w:rPr>
        <w:sectPr>
          <w:headerReference w:type="default" r:id="rId42"/>
          <w:pgSz w:w="11910" w:h="16850"/>
          <w:pgMar w:header="745" w:footer="921" w:top="1080" w:bottom="1120" w:left="1580" w:right="1680"/>
        </w:sectPr>
      </w:pPr>
    </w:p>
    <w:p>
      <w:pPr>
        <w:spacing w:line="240" w:lineRule="auto" w:before="6"/>
        <w:rPr>
          <w:rFonts w:ascii="Arial" w:hAnsi="Arial" w:cs="Arial" w:eastAsia="Arial" w:hint="default"/>
          <w:b/>
          <w:bCs/>
          <w:sz w:val="2"/>
          <w:szCs w:val="2"/>
        </w:rPr>
      </w:pPr>
    </w:p>
    <w:p>
      <w:pPr>
        <w:spacing w:line="20" w:lineRule="exact"/>
        <w:ind w:left="182" w:right="0" w:firstLine="0"/>
        <w:rPr>
          <w:rFonts w:ascii="Arial" w:hAnsi="Arial" w:cs="Arial" w:eastAsia="Arial" w:hint="default"/>
          <w:sz w:val="2"/>
          <w:szCs w:val="2"/>
        </w:rPr>
      </w:pPr>
      <w:r>
        <w:rPr>
          <w:rFonts w:ascii="Arial" w:hAnsi="Arial" w:cs="Arial" w:eastAsia="Arial" w:hint="default"/>
          <w:sz w:val="2"/>
          <w:szCs w:val="2"/>
        </w:rPr>
        <w:pict>
          <v:group style="width:444.1pt;height:.75pt;mso-position-horizontal-relative:char;mso-position-vertical-relative:line" coordorigin="0,0" coordsize="8882,15">
            <v:group style="position:absolute;left:7;top:7;width:8867;height:2" coordorigin="7,7" coordsize="8867,2">
              <v:shape style="position:absolute;left:7;top:7;width:8867;height:2" coordorigin="7,7" coordsize="8867,0" path="m7,7l8874,7e" filled="false" stroked="true" strokeweight=".72pt" strokecolor="#000000">
                <v:path arrowok="t"/>
              </v:shape>
            </v:group>
          </v:group>
        </w:pict>
      </w:r>
      <w:r>
        <w:rPr>
          <w:rFonts w:ascii="Arial" w:hAnsi="Arial" w:cs="Arial" w:eastAsia="Arial" w:hint="default"/>
          <w:sz w:val="2"/>
          <w:szCs w:val="2"/>
        </w:rPr>
      </w: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1"/>
        <w:rPr>
          <w:rFonts w:ascii="Arial" w:hAnsi="Arial" w:cs="Arial" w:eastAsia="Arial" w:hint="default"/>
          <w:b/>
          <w:bCs/>
          <w:sz w:val="16"/>
          <w:szCs w:val="16"/>
        </w:rPr>
      </w:pPr>
    </w:p>
    <w:p>
      <w:pPr>
        <w:spacing w:before="32"/>
        <w:ind w:left="3705" w:right="3603" w:firstLine="0"/>
        <w:jc w:val="center"/>
        <w:rPr>
          <w:rFonts w:ascii="Arial" w:hAnsi="Arial" w:cs="Arial" w:eastAsia="Arial" w:hint="default"/>
          <w:sz w:val="22"/>
          <w:szCs w:val="22"/>
        </w:rPr>
      </w:pPr>
      <w:r>
        <w:rPr>
          <w:rFonts w:ascii="黑体" w:hAnsi="黑体" w:cs="黑体" w:eastAsia="黑体" w:hint="default"/>
          <w:b/>
          <w:bCs/>
          <w:sz w:val="22"/>
          <w:szCs w:val="22"/>
        </w:rPr>
        <w:t>审计报告</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4"/>
        <w:rPr>
          <w:rFonts w:ascii="Arial" w:hAnsi="Arial" w:cs="Arial" w:eastAsia="Arial" w:hint="default"/>
          <w:b/>
          <w:bCs/>
          <w:sz w:val="20"/>
          <w:szCs w:val="20"/>
        </w:rPr>
      </w:pPr>
    </w:p>
    <w:p>
      <w:pPr>
        <w:spacing w:line="295" w:lineRule="exact" w:before="0"/>
        <w:ind w:left="0" w:right="110" w:firstLine="0"/>
        <w:jc w:val="right"/>
        <w:rPr>
          <w:rFonts w:ascii="黑体" w:hAnsi="黑体" w:cs="黑体" w:eastAsia="黑体" w:hint="default"/>
          <w:sz w:val="22"/>
          <w:szCs w:val="22"/>
        </w:rPr>
      </w:pPr>
      <w:r>
        <w:rPr>
          <w:rFonts w:ascii="黑体" w:hAnsi="黑体" w:cs="黑体" w:eastAsia="黑体" w:hint="default"/>
          <w:spacing w:val="-1"/>
          <w:sz w:val="22"/>
          <w:szCs w:val="22"/>
        </w:rPr>
        <w:t>安永华明（</w:t>
      </w:r>
      <w:r>
        <w:rPr>
          <w:rFonts w:ascii="Arial" w:hAnsi="Arial" w:cs="Arial" w:eastAsia="Arial" w:hint="default"/>
          <w:spacing w:val="-1"/>
          <w:sz w:val="22"/>
          <w:szCs w:val="22"/>
        </w:rPr>
        <w:t>2020</w:t>
      </w:r>
      <w:r>
        <w:rPr>
          <w:rFonts w:ascii="黑体" w:hAnsi="黑体" w:cs="黑体" w:eastAsia="黑体" w:hint="default"/>
          <w:spacing w:val="-1"/>
          <w:sz w:val="22"/>
          <w:szCs w:val="22"/>
        </w:rPr>
        <w:t>）审字第</w:t>
      </w:r>
      <w:r>
        <w:rPr>
          <w:rFonts w:ascii="Arial" w:hAnsi="Arial" w:cs="Arial" w:eastAsia="Arial" w:hint="default"/>
          <w:spacing w:val="-1"/>
          <w:sz w:val="22"/>
          <w:szCs w:val="22"/>
        </w:rPr>
        <w:t>60469423_A01</w:t>
      </w:r>
      <w:r>
        <w:rPr>
          <w:rFonts w:ascii="黑体" w:hAnsi="黑体" w:cs="黑体" w:eastAsia="黑体" w:hint="default"/>
          <w:spacing w:val="-1"/>
          <w:sz w:val="22"/>
          <w:szCs w:val="22"/>
        </w:rPr>
        <w:t>号</w:t>
      </w:r>
    </w:p>
    <w:p>
      <w:pPr>
        <w:spacing w:line="279" w:lineRule="exact" w:before="0"/>
        <w:ind w:left="0" w:right="113" w:firstLine="0"/>
        <w:jc w:val="right"/>
        <w:rPr>
          <w:rFonts w:ascii="黑体" w:hAnsi="黑体" w:cs="黑体" w:eastAsia="黑体" w:hint="default"/>
          <w:sz w:val="22"/>
          <w:szCs w:val="22"/>
        </w:rPr>
      </w:pPr>
      <w:r>
        <w:rPr>
          <w:rFonts w:ascii="黑体" w:hAnsi="黑体" w:cs="黑体" w:eastAsia="黑体" w:hint="default"/>
          <w:spacing w:val="-1"/>
          <w:sz w:val="22"/>
          <w:szCs w:val="22"/>
        </w:rPr>
        <w:t>用友网络科技股份有限公司</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16"/>
          <w:szCs w:val="16"/>
        </w:rPr>
      </w:pPr>
    </w:p>
    <w:p>
      <w:pPr>
        <w:spacing w:before="32"/>
        <w:ind w:left="638" w:right="2450" w:firstLine="0"/>
        <w:jc w:val="left"/>
        <w:rPr>
          <w:rFonts w:ascii="Arial" w:hAnsi="Arial" w:cs="Arial" w:eastAsia="Arial" w:hint="default"/>
          <w:sz w:val="22"/>
          <w:szCs w:val="22"/>
        </w:rPr>
      </w:pPr>
      <w:r>
        <w:rPr>
          <w:rFonts w:ascii="黑体" w:hAnsi="黑体" w:cs="黑体" w:eastAsia="黑体" w:hint="default"/>
          <w:b/>
          <w:bCs/>
          <w:sz w:val="22"/>
          <w:szCs w:val="22"/>
        </w:rPr>
        <w:t>三、关键审计事项</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8"/>
        <w:rPr>
          <w:rFonts w:ascii="Arial" w:hAnsi="Arial" w:cs="Arial" w:eastAsia="Arial" w:hint="default"/>
          <w:b/>
          <w:bCs/>
          <w:sz w:val="23"/>
          <w:szCs w:val="23"/>
        </w:rPr>
      </w:pPr>
    </w:p>
    <w:tbl>
      <w:tblPr>
        <w:tblW w:w="0" w:type="auto"/>
        <w:jc w:val="left"/>
        <w:tblInd w:w="105" w:type="dxa"/>
        <w:tblLayout w:type="fixed"/>
        <w:tblCellMar>
          <w:top w:w="0" w:type="dxa"/>
          <w:left w:w="0" w:type="dxa"/>
          <w:bottom w:w="0" w:type="dxa"/>
          <w:right w:w="0" w:type="dxa"/>
        </w:tblCellMar>
        <w:tblLook w:val="01E0"/>
      </w:tblPr>
      <w:tblGrid>
        <w:gridCol w:w="4107"/>
        <w:gridCol w:w="4254"/>
      </w:tblGrid>
      <w:tr>
        <w:trPr>
          <w:trHeight w:val="295" w:hRule="exact"/>
        </w:trPr>
        <w:tc>
          <w:tcPr>
            <w:tcW w:w="4107" w:type="dxa"/>
            <w:tcBorders>
              <w:top w:val="single" w:sz="4" w:space="0" w:color="000000"/>
              <w:left w:val="single" w:sz="4" w:space="0" w:color="000000"/>
              <w:bottom w:val="single" w:sz="4" w:space="0" w:color="000000"/>
              <w:right w:val="single" w:sz="4" w:space="0" w:color="000000"/>
            </w:tcBorders>
            <w:shd w:val="clear" w:color="auto" w:fill="999999"/>
          </w:tcPr>
          <w:p>
            <w:pPr>
              <w:pStyle w:val="TableParagraph"/>
              <w:spacing w:line="265" w:lineRule="exact"/>
              <w:ind w:left="583" w:right="0"/>
              <w:jc w:val="left"/>
              <w:rPr>
                <w:rFonts w:ascii="Arial" w:hAnsi="Arial" w:cs="Arial" w:eastAsia="Arial" w:hint="default"/>
                <w:sz w:val="22"/>
                <w:szCs w:val="22"/>
              </w:rPr>
            </w:pPr>
            <w:r>
              <w:rPr>
                <w:rFonts w:ascii="黑体" w:hAnsi="黑体" w:cs="黑体" w:eastAsia="黑体" w:hint="default"/>
                <w:b/>
                <w:bCs/>
                <w:sz w:val="22"/>
                <w:szCs w:val="22"/>
              </w:rPr>
              <w:t>关键审计事项</w:t>
            </w:r>
            <w:r>
              <w:rPr>
                <w:rFonts w:ascii="Arial" w:hAnsi="Arial" w:cs="Arial" w:eastAsia="Arial" w:hint="default"/>
                <w:b/>
                <w:bCs/>
                <w:sz w:val="22"/>
                <w:szCs w:val="22"/>
              </w:rPr>
              <w:t>:</w:t>
            </w:r>
            <w:r>
              <w:rPr>
                <w:rFonts w:ascii="Arial" w:hAnsi="Arial" w:cs="Arial" w:eastAsia="Arial" w:hint="default"/>
                <w:sz w:val="22"/>
                <w:szCs w:val="22"/>
              </w:rPr>
            </w:r>
          </w:p>
        </w:tc>
        <w:tc>
          <w:tcPr>
            <w:tcW w:w="4254" w:type="dxa"/>
            <w:tcBorders>
              <w:top w:val="single" w:sz="4" w:space="0" w:color="000000"/>
              <w:left w:val="single" w:sz="4" w:space="0" w:color="000000"/>
              <w:bottom w:val="single" w:sz="4" w:space="0" w:color="000000"/>
              <w:right w:val="single" w:sz="4" w:space="0" w:color="000000"/>
            </w:tcBorders>
            <w:shd w:val="clear" w:color="auto" w:fill="999999"/>
          </w:tcPr>
          <w:p>
            <w:pPr>
              <w:pStyle w:val="TableParagraph"/>
              <w:spacing w:line="265" w:lineRule="exact"/>
              <w:ind w:left="583" w:right="0"/>
              <w:jc w:val="left"/>
              <w:rPr>
                <w:rFonts w:ascii="Arial" w:hAnsi="Arial" w:cs="Arial" w:eastAsia="Arial" w:hint="default"/>
                <w:sz w:val="22"/>
                <w:szCs w:val="22"/>
              </w:rPr>
            </w:pPr>
            <w:r>
              <w:rPr>
                <w:rFonts w:ascii="黑体" w:hAnsi="黑体" w:cs="黑体" w:eastAsia="黑体" w:hint="default"/>
                <w:b/>
                <w:bCs/>
                <w:sz w:val="22"/>
                <w:szCs w:val="22"/>
              </w:rPr>
              <w:t>该事项在审计中是如何应对</w:t>
            </w:r>
            <w:r>
              <w:rPr>
                <w:rFonts w:ascii="Arial" w:hAnsi="Arial" w:cs="Arial" w:eastAsia="Arial" w:hint="default"/>
                <w:b/>
                <w:bCs/>
                <w:sz w:val="22"/>
                <w:szCs w:val="22"/>
              </w:rPr>
              <w:t>:</w:t>
            </w:r>
            <w:r>
              <w:rPr>
                <w:rFonts w:ascii="Arial" w:hAnsi="Arial" w:cs="Arial" w:eastAsia="Arial" w:hint="default"/>
                <w:sz w:val="22"/>
                <w:szCs w:val="22"/>
              </w:rPr>
            </w:r>
          </w:p>
        </w:tc>
      </w:tr>
      <w:tr>
        <w:trPr>
          <w:trHeight w:val="296" w:hRule="exact"/>
        </w:trPr>
        <w:tc>
          <w:tcPr>
            <w:tcW w:w="8361" w:type="dxa"/>
            <w:gridSpan w:val="2"/>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9" w:lineRule="exact"/>
              <w:ind w:left="595" w:right="0"/>
              <w:jc w:val="left"/>
              <w:rPr>
                <w:rFonts w:ascii="黑体" w:hAnsi="黑体" w:cs="黑体" w:eastAsia="黑体" w:hint="default"/>
                <w:sz w:val="22"/>
                <w:szCs w:val="22"/>
              </w:rPr>
            </w:pPr>
            <w:r>
              <w:rPr>
                <w:rFonts w:ascii="黑体" w:hAnsi="黑体" w:cs="黑体" w:eastAsia="黑体" w:hint="default"/>
                <w:sz w:val="22"/>
                <w:szCs w:val="22"/>
              </w:rPr>
              <w:t>三、技术服务收入的确认</w:t>
            </w:r>
          </w:p>
        </w:tc>
      </w:tr>
      <w:tr>
        <w:trPr>
          <w:trHeight w:val="5847" w:hRule="exact"/>
        </w:trPr>
        <w:tc>
          <w:tcPr>
            <w:tcW w:w="4107"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583" w:right="0"/>
              <w:jc w:val="left"/>
              <w:rPr>
                <w:rFonts w:ascii="黑体" w:hAnsi="黑体" w:cs="黑体" w:eastAsia="黑体" w:hint="default"/>
                <w:sz w:val="22"/>
                <w:szCs w:val="22"/>
              </w:rPr>
            </w:pPr>
            <w:r>
              <w:rPr>
                <w:rFonts w:ascii="Arial" w:hAnsi="Arial" w:cs="Arial" w:eastAsia="Arial" w:hint="default"/>
                <w:sz w:val="22"/>
                <w:szCs w:val="22"/>
              </w:rPr>
              <w:t>2019</w:t>
            </w:r>
            <w:r>
              <w:rPr>
                <w:rFonts w:ascii="黑体" w:hAnsi="黑体" w:cs="黑体" w:eastAsia="黑体" w:hint="default"/>
                <w:sz w:val="22"/>
                <w:szCs w:val="22"/>
              </w:rPr>
              <w:t>年度，用友网络科技股份有限</w:t>
            </w:r>
          </w:p>
          <w:p>
            <w:pPr>
              <w:pStyle w:val="TableParagraph"/>
              <w:spacing w:line="235" w:lineRule="auto"/>
              <w:ind w:left="583" w:right="-9"/>
              <w:jc w:val="left"/>
              <w:rPr>
                <w:rFonts w:ascii="黑体" w:hAnsi="黑体" w:cs="黑体" w:eastAsia="黑体" w:hint="default"/>
                <w:sz w:val="22"/>
                <w:szCs w:val="22"/>
              </w:rPr>
            </w:pPr>
            <w:r>
              <w:rPr>
                <w:rFonts w:ascii="黑体" w:hAnsi="黑体" w:cs="黑体" w:eastAsia="黑体" w:hint="default"/>
                <w:spacing w:val="5"/>
                <w:sz w:val="22"/>
                <w:szCs w:val="22"/>
              </w:rPr>
              <w:t>公司合并确认的技术服务收入为人</w:t>
            </w:r>
            <w:r>
              <w:rPr>
                <w:rFonts w:ascii="黑体" w:hAnsi="黑体" w:cs="黑体" w:eastAsia="黑体" w:hint="default"/>
                <w:spacing w:val="-72"/>
                <w:sz w:val="22"/>
                <w:szCs w:val="22"/>
              </w:rPr>
              <w:t> </w:t>
            </w:r>
            <w:r>
              <w:rPr>
                <w:rFonts w:ascii="黑体" w:hAnsi="黑体" w:cs="黑体" w:eastAsia="黑体" w:hint="default"/>
                <w:spacing w:val="-72"/>
                <w:sz w:val="22"/>
                <w:szCs w:val="22"/>
              </w:rPr>
            </w:r>
            <w:r>
              <w:rPr>
                <w:rFonts w:ascii="黑体" w:hAnsi="黑体" w:cs="黑体" w:eastAsia="黑体" w:hint="default"/>
                <w:sz w:val="22"/>
                <w:szCs w:val="22"/>
              </w:rPr>
              <w:t>民币</w:t>
            </w:r>
            <w:r>
              <w:rPr>
                <w:rFonts w:ascii="Arial" w:hAnsi="Arial" w:cs="Arial" w:eastAsia="Arial" w:hint="default"/>
                <w:sz w:val="22"/>
                <w:szCs w:val="22"/>
              </w:rPr>
              <w:t>3,991,900,023</w:t>
            </w:r>
            <w:r>
              <w:rPr>
                <w:rFonts w:ascii="黑体" w:hAnsi="黑体" w:cs="黑体" w:eastAsia="黑体" w:hint="default"/>
                <w:sz w:val="22"/>
                <w:szCs w:val="22"/>
              </w:rPr>
              <w:t>元，占总收入的</w:t>
            </w:r>
            <w:r>
              <w:rPr>
                <w:rFonts w:ascii="黑体" w:hAnsi="黑体" w:cs="黑体" w:eastAsia="黑体" w:hint="default"/>
                <w:spacing w:val="-88"/>
                <w:sz w:val="22"/>
                <w:szCs w:val="22"/>
              </w:rPr>
              <w:t> </w:t>
            </w:r>
            <w:r>
              <w:rPr>
                <w:rFonts w:ascii="黑体" w:hAnsi="黑体" w:cs="黑体" w:eastAsia="黑体" w:hint="default"/>
                <w:spacing w:val="-88"/>
                <w:sz w:val="22"/>
                <w:szCs w:val="22"/>
              </w:rPr>
            </w:r>
            <w:r>
              <w:rPr>
                <w:rFonts w:ascii="Arial" w:hAnsi="Arial" w:cs="Arial" w:eastAsia="Arial" w:hint="default"/>
                <w:spacing w:val="5"/>
                <w:sz w:val="22"/>
                <w:szCs w:val="22"/>
              </w:rPr>
              <w:t>47%</w:t>
            </w:r>
            <w:r>
              <w:rPr>
                <w:rFonts w:ascii="黑体" w:hAnsi="黑体" w:cs="黑体" w:eastAsia="黑体" w:hint="default"/>
                <w:spacing w:val="5"/>
                <w:sz w:val="22"/>
                <w:szCs w:val="22"/>
              </w:rPr>
              <w:t>，其中主要包括实施和开发合</w:t>
            </w:r>
            <w:r>
              <w:rPr>
                <w:rFonts w:ascii="黑体" w:hAnsi="黑体" w:cs="黑体" w:eastAsia="黑体" w:hint="default"/>
                <w:spacing w:val="-84"/>
                <w:sz w:val="22"/>
                <w:szCs w:val="22"/>
              </w:rPr>
              <w:t> </w:t>
            </w:r>
            <w:r>
              <w:rPr>
                <w:rFonts w:ascii="黑体" w:hAnsi="黑体" w:cs="黑体" w:eastAsia="黑体" w:hint="default"/>
                <w:spacing w:val="-84"/>
                <w:sz w:val="22"/>
                <w:szCs w:val="22"/>
              </w:rPr>
            </w:r>
            <w:r>
              <w:rPr>
                <w:rFonts w:ascii="黑体" w:hAnsi="黑体" w:cs="黑体" w:eastAsia="黑体" w:hint="default"/>
                <w:spacing w:val="-8"/>
                <w:w w:val="100"/>
                <w:sz w:val="22"/>
                <w:szCs w:val="22"/>
              </w:rPr>
              <w:t>同的收入。实施和开发合同根据完工</w:t>
            </w:r>
            <w:r>
              <w:rPr>
                <w:rFonts w:ascii="黑体" w:hAnsi="黑体" w:cs="黑体" w:eastAsia="黑体" w:hint="default"/>
                <w:spacing w:val="-105"/>
                <w:w w:val="100"/>
                <w:sz w:val="22"/>
                <w:szCs w:val="22"/>
              </w:rPr>
              <w:t> </w:t>
            </w:r>
            <w:r>
              <w:rPr>
                <w:rFonts w:ascii="黑体" w:hAnsi="黑体" w:cs="黑体" w:eastAsia="黑体" w:hint="default"/>
                <w:spacing w:val="-105"/>
                <w:w w:val="100"/>
                <w:sz w:val="22"/>
                <w:szCs w:val="22"/>
              </w:rPr>
            </w:r>
            <w:r>
              <w:rPr>
                <w:rFonts w:ascii="黑体" w:hAnsi="黑体" w:cs="黑体" w:eastAsia="黑体" w:hint="default"/>
                <w:spacing w:val="-8"/>
                <w:w w:val="100"/>
                <w:sz w:val="22"/>
                <w:szCs w:val="22"/>
              </w:rPr>
              <w:t>百分比法确认收入，该完工进度计算</w:t>
            </w:r>
            <w:r>
              <w:rPr>
                <w:rFonts w:ascii="黑体" w:hAnsi="黑体" w:cs="黑体" w:eastAsia="黑体" w:hint="default"/>
                <w:spacing w:val="-106"/>
                <w:w w:val="100"/>
                <w:sz w:val="22"/>
                <w:szCs w:val="22"/>
              </w:rPr>
              <w:t> </w:t>
            </w:r>
            <w:r>
              <w:rPr>
                <w:rFonts w:ascii="黑体" w:hAnsi="黑体" w:cs="黑体" w:eastAsia="黑体" w:hint="default"/>
                <w:spacing w:val="-106"/>
                <w:w w:val="100"/>
                <w:sz w:val="22"/>
                <w:szCs w:val="22"/>
              </w:rPr>
            </w:r>
            <w:r>
              <w:rPr>
                <w:rFonts w:ascii="黑体" w:hAnsi="黑体" w:cs="黑体" w:eastAsia="黑体" w:hint="default"/>
                <w:spacing w:val="-8"/>
                <w:w w:val="100"/>
                <w:sz w:val="22"/>
                <w:szCs w:val="22"/>
              </w:rPr>
              <w:t>涉及管理层的判断与估计，从而对技</w:t>
            </w:r>
            <w:r>
              <w:rPr>
                <w:rFonts w:ascii="黑体" w:hAnsi="黑体" w:cs="黑体" w:eastAsia="黑体" w:hint="default"/>
                <w:spacing w:val="-106"/>
                <w:w w:val="100"/>
                <w:sz w:val="22"/>
                <w:szCs w:val="22"/>
              </w:rPr>
              <w:t> </w:t>
            </w:r>
            <w:r>
              <w:rPr>
                <w:rFonts w:ascii="黑体" w:hAnsi="黑体" w:cs="黑体" w:eastAsia="黑体" w:hint="default"/>
                <w:spacing w:val="-106"/>
                <w:w w:val="100"/>
                <w:sz w:val="22"/>
                <w:szCs w:val="22"/>
              </w:rPr>
            </w:r>
            <w:r>
              <w:rPr>
                <w:rFonts w:ascii="黑体" w:hAnsi="黑体" w:cs="黑体" w:eastAsia="黑体" w:hint="default"/>
                <w:sz w:val="22"/>
                <w:szCs w:val="22"/>
              </w:rPr>
              <w:t>术服务收入的确认产生重大影响。</w:t>
            </w:r>
            <w:r>
              <w:rPr>
                <w:rFonts w:ascii="黑体" w:hAnsi="黑体" w:cs="黑体" w:eastAsia="黑体" w:hint="default"/>
                <w:w w:val="100"/>
                <w:sz w:val="22"/>
                <w:szCs w:val="22"/>
              </w:rPr>
              <w:t> </w:t>
            </w:r>
            <w:r>
              <w:rPr>
                <w:rFonts w:ascii="黑体" w:hAnsi="黑体" w:cs="黑体" w:eastAsia="黑体" w:hint="default"/>
                <w:spacing w:val="-1"/>
                <w:sz w:val="22"/>
                <w:szCs w:val="22"/>
              </w:rPr>
              <w:t>具体披露参见合并财务报表附注五、</w:t>
            </w:r>
            <w:r>
              <w:rPr>
                <w:rFonts w:ascii="黑体" w:hAnsi="黑体" w:cs="黑体" w:eastAsia="黑体" w:hint="default"/>
                <w:spacing w:val="-94"/>
                <w:sz w:val="22"/>
                <w:szCs w:val="22"/>
              </w:rPr>
              <w:t> </w:t>
            </w:r>
            <w:r>
              <w:rPr>
                <w:rFonts w:ascii="黑体" w:hAnsi="黑体" w:cs="黑体" w:eastAsia="黑体" w:hint="default"/>
                <w:spacing w:val="-94"/>
                <w:sz w:val="22"/>
                <w:szCs w:val="22"/>
              </w:rPr>
            </w:r>
            <w:r>
              <w:rPr>
                <w:rFonts w:ascii="Arial" w:hAnsi="Arial" w:cs="Arial" w:eastAsia="Arial" w:hint="default"/>
                <w:sz w:val="22"/>
                <w:szCs w:val="22"/>
              </w:rPr>
              <w:t>36</w:t>
            </w:r>
            <w:r>
              <w:rPr>
                <w:rFonts w:ascii="黑体" w:hAnsi="黑体" w:cs="黑体" w:eastAsia="黑体" w:hint="default"/>
                <w:sz w:val="22"/>
                <w:szCs w:val="22"/>
              </w:rPr>
              <w:t>，附注七、</w:t>
            </w:r>
            <w:r>
              <w:rPr>
                <w:rFonts w:ascii="Arial" w:hAnsi="Arial" w:cs="Arial" w:eastAsia="Arial" w:hint="default"/>
                <w:sz w:val="22"/>
                <w:szCs w:val="22"/>
              </w:rPr>
              <w:t>59</w:t>
            </w:r>
            <w:r>
              <w:rPr>
                <w:rFonts w:ascii="Arial" w:hAnsi="Arial" w:cs="Arial" w:eastAsia="Arial" w:hint="default"/>
                <w:spacing w:val="49"/>
                <w:sz w:val="22"/>
                <w:szCs w:val="22"/>
              </w:rPr>
              <w:t> </w:t>
            </w:r>
            <w:r>
              <w:rPr>
                <w:rFonts w:ascii="黑体" w:hAnsi="黑体" w:cs="黑体" w:eastAsia="黑体" w:hint="default"/>
                <w:sz w:val="22"/>
                <w:szCs w:val="22"/>
              </w:rPr>
              <w:t>营业收入及成本。</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Arial" w:hAnsi="Arial" w:cs="Arial" w:eastAsia="Arial" w:hint="default"/>
                <w:b/>
                <w:bCs/>
                <w:sz w:val="23"/>
                <w:szCs w:val="23"/>
              </w:rPr>
            </w:pPr>
          </w:p>
          <w:p>
            <w:pPr>
              <w:pStyle w:val="TableParagraph"/>
              <w:spacing w:line="240" w:lineRule="auto"/>
              <w:ind w:left="103" w:right="0"/>
              <w:jc w:val="left"/>
              <w:rPr>
                <w:rFonts w:ascii="黑体" w:hAnsi="黑体" w:cs="黑体" w:eastAsia="黑体" w:hint="default"/>
                <w:sz w:val="22"/>
                <w:szCs w:val="22"/>
              </w:rPr>
            </w:pPr>
            <w:r>
              <w:rPr>
                <w:rFonts w:ascii="黑体" w:hAnsi="黑体" w:cs="黑体" w:eastAsia="黑体" w:hint="default"/>
                <w:sz w:val="22"/>
                <w:szCs w:val="22"/>
              </w:rPr>
              <w:t>我们执行的审计程序主要包括：</w:t>
            </w:r>
          </w:p>
          <w:p>
            <w:pPr>
              <w:pStyle w:val="TableParagraph"/>
              <w:spacing w:line="286" w:lineRule="exact" w:before="86"/>
              <w:ind w:left="463" w:right="92" w:hanging="360"/>
              <w:jc w:val="both"/>
              <w:rPr>
                <w:rFonts w:ascii="黑体" w:hAnsi="黑体" w:cs="黑体" w:eastAsia="黑体" w:hint="default"/>
                <w:sz w:val="22"/>
                <w:szCs w:val="22"/>
              </w:rPr>
            </w:pPr>
            <w:r>
              <w:rPr>
                <w:rFonts w:ascii="Arial" w:hAnsi="Arial" w:cs="Arial" w:eastAsia="Arial" w:hint="default"/>
                <w:sz w:val="22"/>
                <w:szCs w:val="22"/>
              </w:rPr>
              <w:t>1.</w:t>
            </w:r>
            <w:r>
              <w:rPr>
                <w:rFonts w:ascii="Arial" w:hAnsi="Arial" w:cs="Arial" w:eastAsia="Arial" w:hint="default"/>
                <w:spacing w:val="10"/>
                <w:sz w:val="22"/>
                <w:szCs w:val="22"/>
              </w:rPr>
              <w:t> </w:t>
            </w:r>
            <w:r>
              <w:rPr>
                <w:rFonts w:ascii="黑体" w:hAnsi="黑体" w:cs="黑体" w:eastAsia="黑体" w:hint="default"/>
                <w:spacing w:val="-5"/>
                <w:sz w:val="22"/>
                <w:szCs w:val="22"/>
              </w:rPr>
              <w:t>了解、评估并测试在收入流程中与实施</w:t>
            </w:r>
            <w:r>
              <w:rPr>
                <w:rFonts w:ascii="黑体" w:hAnsi="黑体" w:cs="黑体" w:eastAsia="黑体" w:hint="default"/>
                <w:spacing w:val="-108"/>
                <w:sz w:val="22"/>
                <w:szCs w:val="22"/>
              </w:rPr>
              <w:t> </w:t>
            </w:r>
            <w:r>
              <w:rPr>
                <w:rFonts w:ascii="黑体" w:hAnsi="黑体" w:cs="黑体" w:eastAsia="黑体" w:hint="default"/>
                <w:spacing w:val="-108"/>
                <w:sz w:val="22"/>
                <w:szCs w:val="22"/>
              </w:rPr>
            </w:r>
            <w:r>
              <w:rPr>
                <w:rFonts w:ascii="黑体" w:hAnsi="黑体" w:cs="黑体" w:eastAsia="黑体" w:hint="default"/>
                <w:spacing w:val="8"/>
                <w:sz w:val="22"/>
                <w:szCs w:val="22"/>
              </w:rPr>
              <w:t>和开发合同相关的内部控制的设计及</w:t>
            </w:r>
            <w:r>
              <w:rPr>
                <w:rFonts w:ascii="黑体" w:hAnsi="黑体" w:cs="黑体" w:eastAsia="黑体" w:hint="default"/>
                <w:spacing w:val="9"/>
                <w:w w:val="100"/>
                <w:sz w:val="22"/>
                <w:szCs w:val="22"/>
              </w:rPr>
              <w:t> </w:t>
            </w:r>
            <w:r>
              <w:rPr>
                <w:rFonts w:ascii="黑体" w:hAnsi="黑体" w:cs="黑体" w:eastAsia="黑体" w:hint="default"/>
                <w:sz w:val="22"/>
                <w:szCs w:val="22"/>
              </w:rPr>
              <w:t>运行有效性。</w:t>
            </w:r>
          </w:p>
          <w:p>
            <w:pPr>
              <w:pStyle w:val="TableParagraph"/>
              <w:spacing w:line="286" w:lineRule="exact" w:before="57"/>
              <w:ind w:left="463" w:right="100" w:hanging="360"/>
              <w:jc w:val="left"/>
              <w:rPr>
                <w:rFonts w:ascii="黑体" w:hAnsi="黑体" w:cs="黑体" w:eastAsia="黑体" w:hint="default"/>
                <w:sz w:val="22"/>
                <w:szCs w:val="22"/>
              </w:rPr>
            </w:pPr>
            <w:r>
              <w:rPr>
                <w:rFonts w:ascii="Arial" w:hAnsi="Arial" w:cs="Arial" w:eastAsia="Arial" w:hint="default"/>
                <w:sz w:val="22"/>
                <w:szCs w:val="22"/>
              </w:rPr>
              <w:t>2.</w:t>
            </w:r>
            <w:r>
              <w:rPr>
                <w:rFonts w:ascii="Arial" w:hAnsi="Arial" w:cs="Arial" w:eastAsia="Arial" w:hint="default"/>
                <w:spacing w:val="10"/>
                <w:sz w:val="22"/>
                <w:szCs w:val="22"/>
              </w:rPr>
              <w:t> </w:t>
            </w:r>
            <w:r>
              <w:rPr>
                <w:rFonts w:ascii="黑体" w:hAnsi="黑体" w:cs="黑体" w:eastAsia="黑体" w:hint="default"/>
                <w:spacing w:val="-5"/>
                <w:sz w:val="22"/>
                <w:szCs w:val="22"/>
              </w:rPr>
              <w:t>检查实施和开发合同条款，分析重要合</w:t>
            </w:r>
            <w:r>
              <w:rPr>
                <w:rFonts w:ascii="黑体" w:hAnsi="黑体" w:cs="黑体" w:eastAsia="黑体" w:hint="default"/>
                <w:w w:val="100"/>
                <w:sz w:val="22"/>
                <w:szCs w:val="22"/>
              </w:rPr>
              <w:t> </w:t>
            </w:r>
            <w:r>
              <w:rPr>
                <w:rFonts w:ascii="黑体" w:hAnsi="黑体" w:cs="黑体" w:eastAsia="黑体" w:hint="default"/>
                <w:sz w:val="22"/>
                <w:szCs w:val="22"/>
              </w:rPr>
              <w:t>同条款可能对收入确认的影响；</w:t>
            </w:r>
          </w:p>
          <w:p>
            <w:pPr>
              <w:pStyle w:val="TableParagraph"/>
              <w:spacing w:line="286" w:lineRule="exact" w:before="59"/>
              <w:ind w:left="463" w:right="99" w:hanging="360"/>
              <w:jc w:val="left"/>
              <w:rPr>
                <w:rFonts w:ascii="黑体" w:hAnsi="黑体" w:cs="黑体" w:eastAsia="黑体" w:hint="default"/>
                <w:sz w:val="22"/>
                <w:szCs w:val="22"/>
              </w:rPr>
            </w:pPr>
            <w:r>
              <w:rPr>
                <w:rFonts w:ascii="Arial" w:hAnsi="Arial" w:cs="Arial" w:eastAsia="Arial" w:hint="default"/>
                <w:sz w:val="22"/>
                <w:szCs w:val="22"/>
              </w:rPr>
              <w:t>3.</w:t>
            </w:r>
            <w:r>
              <w:rPr>
                <w:rFonts w:ascii="Arial" w:hAnsi="Arial" w:cs="Arial" w:eastAsia="Arial" w:hint="default"/>
                <w:spacing w:val="11"/>
                <w:sz w:val="22"/>
                <w:szCs w:val="22"/>
              </w:rPr>
              <w:t> </w:t>
            </w:r>
            <w:r>
              <w:rPr>
                <w:rFonts w:ascii="黑体" w:hAnsi="黑体" w:cs="黑体" w:eastAsia="黑体" w:hint="default"/>
                <w:spacing w:val="-5"/>
                <w:sz w:val="22"/>
                <w:szCs w:val="22"/>
              </w:rPr>
              <w:t>了解实施和开发合同执行情况，分析和</w:t>
            </w:r>
            <w:r>
              <w:rPr>
                <w:rFonts w:ascii="黑体" w:hAnsi="黑体" w:cs="黑体" w:eastAsia="黑体" w:hint="default"/>
                <w:w w:val="100"/>
                <w:sz w:val="22"/>
                <w:szCs w:val="22"/>
              </w:rPr>
              <w:t> </w:t>
            </w:r>
            <w:r>
              <w:rPr>
                <w:rFonts w:ascii="黑体" w:hAnsi="黑体" w:cs="黑体" w:eastAsia="黑体" w:hint="default"/>
                <w:sz w:val="22"/>
                <w:szCs w:val="22"/>
              </w:rPr>
              <w:t>评估完工进度计算的合理性；</w:t>
            </w:r>
          </w:p>
          <w:p>
            <w:pPr>
              <w:pStyle w:val="TableParagraph"/>
              <w:spacing w:line="235" w:lineRule="auto" w:before="36"/>
              <w:ind w:left="463" w:right="-9" w:hanging="360"/>
              <w:jc w:val="left"/>
              <w:rPr>
                <w:rFonts w:ascii="黑体" w:hAnsi="黑体" w:cs="黑体" w:eastAsia="黑体" w:hint="default"/>
                <w:sz w:val="22"/>
                <w:szCs w:val="22"/>
              </w:rPr>
            </w:pPr>
            <w:r>
              <w:rPr>
                <w:rFonts w:ascii="Arial" w:hAnsi="Arial" w:cs="Arial" w:eastAsia="Arial" w:hint="default"/>
                <w:sz w:val="22"/>
                <w:szCs w:val="22"/>
              </w:rPr>
              <w:t>4. </w:t>
            </w:r>
            <w:r>
              <w:rPr>
                <w:rFonts w:ascii="黑体" w:hAnsi="黑体" w:cs="黑体" w:eastAsia="黑体" w:hint="default"/>
                <w:spacing w:val="8"/>
                <w:sz w:val="22"/>
                <w:szCs w:val="22"/>
              </w:rPr>
              <w:t>我们使用抽样方法选取了部分实施和</w:t>
            </w:r>
            <w:r>
              <w:rPr>
                <w:rFonts w:ascii="黑体" w:hAnsi="黑体" w:cs="黑体" w:eastAsia="黑体" w:hint="default"/>
                <w:spacing w:val="-90"/>
                <w:sz w:val="22"/>
                <w:szCs w:val="22"/>
              </w:rPr>
              <w:t> </w:t>
            </w:r>
            <w:r>
              <w:rPr>
                <w:rFonts w:ascii="黑体" w:hAnsi="黑体" w:cs="黑体" w:eastAsia="黑体" w:hint="default"/>
                <w:spacing w:val="-11"/>
                <w:w w:val="100"/>
                <w:sz w:val="22"/>
                <w:szCs w:val="22"/>
              </w:rPr>
              <w:t>开发合同，对完工进度进行复核。包括：</w:t>
            </w:r>
            <w:r>
              <w:rPr>
                <w:rFonts w:ascii="黑体" w:hAnsi="黑体" w:cs="黑体" w:eastAsia="黑体" w:hint="default"/>
                <w:w w:val="100"/>
                <w:sz w:val="22"/>
                <w:szCs w:val="22"/>
              </w:rPr>
              <w:t> </w:t>
            </w:r>
            <w:r>
              <w:rPr>
                <w:rFonts w:ascii="黑体" w:hAnsi="黑体" w:cs="黑体" w:eastAsia="黑体" w:hint="default"/>
                <w:spacing w:val="-5"/>
                <w:sz w:val="22"/>
                <w:szCs w:val="22"/>
              </w:rPr>
              <w:t>复核项目预算是否经过恰当的审批；检</w:t>
            </w:r>
            <w:r>
              <w:rPr>
                <w:rFonts w:ascii="黑体" w:hAnsi="黑体" w:cs="黑体" w:eastAsia="黑体" w:hint="default"/>
                <w:w w:val="100"/>
                <w:sz w:val="22"/>
                <w:szCs w:val="22"/>
              </w:rPr>
              <w:t> </w:t>
            </w:r>
            <w:r>
              <w:rPr>
                <w:rFonts w:ascii="黑体" w:hAnsi="黑体" w:cs="黑体" w:eastAsia="黑体" w:hint="default"/>
                <w:spacing w:val="-5"/>
                <w:sz w:val="22"/>
                <w:szCs w:val="22"/>
              </w:rPr>
              <w:t>查工时记录统计，复核并评估管理层确</w:t>
            </w:r>
            <w:r>
              <w:rPr>
                <w:rFonts w:ascii="黑体" w:hAnsi="黑体" w:cs="黑体" w:eastAsia="黑体" w:hint="default"/>
                <w:w w:val="100"/>
                <w:sz w:val="22"/>
                <w:szCs w:val="22"/>
              </w:rPr>
              <w:t> </w:t>
            </w:r>
            <w:r>
              <w:rPr>
                <w:rFonts w:ascii="黑体" w:hAnsi="黑体" w:cs="黑体" w:eastAsia="黑体" w:hint="default"/>
                <w:spacing w:val="-5"/>
                <w:sz w:val="22"/>
                <w:szCs w:val="22"/>
              </w:rPr>
              <w:t>认的完工进度计算的恰当性、执行客户</w:t>
            </w:r>
            <w:r>
              <w:rPr>
                <w:rFonts w:ascii="黑体" w:hAnsi="黑体" w:cs="黑体" w:eastAsia="黑体" w:hint="default"/>
                <w:w w:val="100"/>
                <w:sz w:val="22"/>
                <w:szCs w:val="22"/>
              </w:rPr>
              <w:t> </w:t>
            </w:r>
            <w:r>
              <w:rPr>
                <w:rFonts w:ascii="黑体" w:hAnsi="黑体" w:cs="黑体" w:eastAsia="黑体" w:hint="default"/>
                <w:spacing w:val="-5"/>
                <w:sz w:val="22"/>
                <w:szCs w:val="22"/>
              </w:rPr>
              <w:t>函证程序；根据完工进度及合同收入总</w:t>
            </w:r>
            <w:r>
              <w:rPr>
                <w:rFonts w:ascii="黑体" w:hAnsi="黑体" w:cs="黑体" w:eastAsia="黑体" w:hint="default"/>
                <w:w w:val="100"/>
                <w:sz w:val="22"/>
                <w:szCs w:val="22"/>
              </w:rPr>
              <w:t> </w:t>
            </w:r>
            <w:r>
              <w:rPr>
                <w:rFonts w:ascii="黑体" w:hAnsi="黑体" w:cs="黑体" w:eastAsia="黑体" w:hint="default"/>
                <w:sz w:val="22"/>
                <w:szCs w:val="22"/>
              </w:rPr>
              <w:t>额重新测算收入；</w:t>
            </w:r>
          </w:p>
          <w:p>
            <w:pPr>
              <w:pStyle w:val="TableParagraph"/>
              <w:spacing w:line="286" w:lineRule="exact" w:before="86"/>
              <w:ind w:left="463" w:right="92" w:hanging="360"/>
              <w:jc w:val="left"/>
              <w:rPr>
                <w:rFonts w:ascii="黑体" w:hAnsi="黑体" w:cs="黑体" w:eastAsia="黑体" w:hint="default"/>
                <w:sz w:val="22"/>
                <w:szCs w:val="22"/>
              </w:rPr>
            </w:pPr>
            <w:r>
              <w:rPr>
                <w:rFonts w:ascii="Arial" w:hAnsi="Arial" w:cs="Arial" w:eastAsia="Arial" w:hint="default"/>
                <w:sz w:val="22"/>
                <w:szCs w:val="22"/>
              </w:rPr>
              <w:t>5.</w:t>
            </w:r>
            <w:r>
              <w:rPr>
                <w:rFonts w:ascii="Arial" w:hAnsi="Arial" w:cs="Arial" w:eastAsia="Arial" w:hint="default"/>
                <w:spacing w:val="16"/>
                <w:sz w:val="22"/>
                <w:szCs w:val="22"/>
              </w:rPr>
              <w:t> </w:t>
            </w:r>
            <w:r>
              <w:rPr>
                <w:rFonts w:ascii="黑体" w:hAnsi="黑体" w:cs="黑体" w:eastAsia="黑体" w:hint="default"/>
                <w:spacing w:val="8"/>
                <w:sz w:val="22"/>
                <w:szCs w:val="22"/>
              </w:rPr>
              <w:t>复核公司管理层对技术服务收入披露</w:t>
            </w:r>
            <w:r>
              <w:rPr>
                <w:rFonts w:ascii="黑体" w:hAnsi="黑体" w:cs="黑体" w:eastAsia="黑体" w:hint="default"/>
                <w:spacing w:val="-107"/>
                <w:sz w:val="22"/>
                <w:szCs w:val="22"/>
              </w:rPr>
              <w:t> </w:t>
            </w:r>
            <w:r>
              <w:rPr>
                <w:rFonts w:ascii="黑体" w:hAnsi="黑体" w:cs="黑体" w:eastAsia="黑体" w:hint="default"/>
                <w:sz w:val="22"/>
                <w:szCs w:val="22"/>
              </w:rPr>
              <w:t>的恰当性。</w:t>
            </w:r>
          </w:p>
        </w:tc>
      </w:tr>
    </w:tbl>
    <w:p>
      <w:pPr>
        <w:spacing w:after="0" w:line="286" w:lineRule="exact"/>
        <w:jc w:val="left"/>
        <w:rPr>
          <w:rFonts w:ascii="黑体" w:hAnsi="黑体" w:cs="黑体" w:eastAsia="黑体" w:hint="default"/>
          <w:sz w:val="22"/>
          <w:szCs w:val="22"/>
        </w:rPr>
        <w:sectPr>
          <w:footerReference w:type="default" r:id="rId43"/>
          <w:pgSz w:w="11910" w:h="16840"/>
          <w:pgMar w:footer="1195" w:header="745" w:top="1080" w:bottom="1380" w:left="1580" w:right="1160"/>
          <w:pgNumType w:start="4"/>
        </w:sect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4"/>
        <w:rPr>
          <w:rFonts w:ascii="Arial" w:hAnsi="Arial" w:cs="Arial" w:eastAsia="Arial" w:hint="default"/>
          <w:b/>
          <w:bCs/>
          <w:sz w:val="20"/>
          <w:szCs w:val="20"/>
        </w:rPr>
      </w:pPr>
    </w:p>
    <w:p>
      <w:pPr>
        <w:spacing w:before="32"/>
        <w:ind w:left="68" w:right="46" w:firstLine="0"/>
        <w:jc w:val="center"/>
        <w:rPr>
          <w:rFonts w:ascii="Arial" w:hAnsi="Arial" w:cs="Arial" w:eastAsia="Arial" w:hint="default"/>
          <w:sz w:val="22"/>
          <w:szCs w:val="22"/>
        </w:rPr>
      </w:pPr>
      <w:r>
        <w:rPr>
          <w:rFonts w:ascii="黑体" w:hAnsi="黑体" w:cs="黑体" w:eastAsia="黑体" w:hint="default"/>
          <w:b/>
          <w:bCs/>
          <w:sz w:val="22"/>
          <w:szCs w:val="22"/>
        </w:rPr>
        <w:t>审计报告</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4"/>
        <w:rPr>
          <w:rFonts w:ascii="Arial" w:hAnsi="Arial" w:cs="Arial" w:eastAsia="Arial" w:hint="default"/>
          <w:b/>
          <w:bCs/>
          <w:sz w:val="20"/>
          <w:szCs w:val="20"/>
        </w:rPr>
      </w:pPr>
    </w:p>
    <w:p>
      <w:pPr>
        <w:spacing w:line="295" w:lineRule="exact" w:before="0"/>
        <w:ind w:left="0" w:right="110" w:firstLine="0"/>
        <w:jc w:val="right"/>
        <w:rPr>
          <w:rFonts w:ascii="黑体" w:hAnsi="黑体" w:cs="黑体" w:eastAsia="黑体" w:hint="default"/>
          <w:sz w:val="22"/>
          <w:szCs w:val="22"/>
        </w:rPr>
      </w:pPr>
      <w:r>
        <w:rPr>
          <w:rFonts w:ascii="黑体" w:hAnsi="黑体" w:cs="黑体" w:eastAsia="黑体" w:hint="default"/>
          <w:spacing w:val="-1"/>
          <w:sz w:val="22"/>
          <w:szCs w:val="22"/>
        </w:rPr>
        <w:t>安永华明（</w:t>
      </w:r>
      <w:r>
        <w:rPr>
          <w:rFonts w:ascii="Arial" w:hAnsi="Arial" w:cs="Arial" w:eastAsia="Arial" w:hint="default"/>
          <w:spacing w:val="-1"/>
          <w:sz w:val="22"/>
          <w:szCs w:val="22"/>
        </w:rPr>
        <w:t>2020</w:t>
      </w:r>
      <w:r>
        <w:rPr>
          <w:rFonts w:ascii="黑体" w:hAnsi="黑体" w:cs="黑体" w:eastAsia="黑体" w:hint="default"/>
          <w:spacing w:val="-1"/>
          <w:sz w:val="22"/>
          <w:szCs w:val="22"/>
        </w:rPr>
        <w:t>）审字第</w:t>
      </w:r>
      <w:r>
        <w:rPr>
          <w:rFonts w:ascii="Arial" w:hAnsi="Arial" w:cs="Arial" w:eastAsia="Arial" w:hint="default"/>
          <w:spacing w:val="-1"/>
          <w:sz w:val="22"/>
          <w:szCs w:val="22"/>
        </w:rPr>
        <w:t>60469423_A01</w:t>
      </w:r>
      <w:r>
        <w:rPr>
          <w:rFonts w:ascii="黑体" w:hAnsi="黑体" w:cs="黑体" w:eastAsia="黑体" w:hint="default"/>
          <w:spacing w:val="-1"/>
          <w:sz w:val="22"/>
          <w:szCs w:val="22"/>
        </w:rPr>
        <w:t>号</w:t>
      </w:r>
    </w:p>
    <w:p>
      <w:pPr>
        <w:spacing w:line="279" w:lineRule="exact" w:before="0"/>
        <w:ind w:left="0" w:right="113" w:firstLine="0"/>
        <w:jc w:val="right"/>
        <w:rPr>
          <w:rFonts w:ascii="黑体" w:hAnsi="黑体" w:cs="黑体" w:eastAsia="黑体" w:hint="default"/>
          <w:sz w:val="22"/>
          <w:szCs w:val="22"/>
        </w:rPr>
      </w:pPr>
      <w:r>
        <w:rPr>
          <w:rFonts w:ascii="黑体" w:hAnsi="黑体" w:cs="黑体" w:eastAsia="黑体" w:hint="default"/>
          <w:spacing w:val="-1"/>
          <w:sz w:val="22"/>
          <w:szCs w:val="22"/>
        </w:rPr>
        <w:t>用友网络科技股份有限公司</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16"/>
          <w:szCs w:val="16"/>
        </w:rPr>
      </w:pPr>
    </w:p>
    <w:p>
      <w:pPr>
        <w:spacing w:before="32"/>
        <w:ind w:left="577" w:right="0" w:firstLine="0"/>
        <w:jc w:val="left"/>
        <w:rPr>
          <w:rFonts w:ascii="黑体" w:hAnsi="黑体" w:cs="黑体" w:eastAsia="黑体" w:hint="default"/>
          <w:sz w:val="22"/>
          <w:szCs w:val="22"/>
        </w:rPr>
      </w:pPr>
      <w:r>
        <w:rPr>
          <w:rFonts w:ascii="黑体" w:hAnsi="黑体" w:cs="黑体" w:eastAsia="黑体" w:hint="default"/>
          <w:b/>
          <w:bCs/>
          <w:sz w:val="22"/>
          <w:szCs w:val="22"/>
        </w:rPr>
        <w:t>四、其他信息</w:t>
      </w:r>
      <w:r>
        <w:rPr>
          <w:rFonts w:ascii="黑体" w:hAnsi="黑体" w:cs="黑体" w:eastAsia="黑体" w:hint="default"/>
          <w:sz w:val="22"/>
          <w:szCs w:val="22"/>
        </w:rPr>
      </w:r>
    </w:p>
    <w:p>
      <w:pPr>
        <w:spacing w:line="240" w:lineRule="auto" w:before="3"/>
        <w:rPr>
          <w:rFonts w:ascii="黑体" w:hAnsi="黑体" w:cs="黑体" w:eastAsia="黑体" w:hint="default"/>
          <w:b/>
          <w:bCs/>
          <w:sz w:val="21"/>
          <w:szCs w:val="21"/>
        </w:rPr>
      </w:pPr>
    </w:p>
    <w:p>
      <w:pPr>
        <w:spacing w:line="286" w:lineRule="exact" w:before="0"/>
        <w:ind w:left="138" w:right="111" w:firstLine="439"/>
        <w:jc w:val="both"/>
        <w:rPr>
          <w:rFonts w:ascii="黑体" w:hAnsi="黑体" w:cs="黑体" w:eastAsia="黑体" w:hint="default"/>
          <w:sz w:val="22"/>
          <w:szCs w:val="22"/>
        </w:rPr>
      </w:pPr>
      <w:r>
        <w:rPr>
          <w:rFonts w:ascii="黑体" w:hAnsi="黑体" w:cs="黑体" w:eastAsia="黑体" w:hint="default"/>
          <w:sz w:val="22"/>
          <w:szCs w:val="22"/>
        </w:rPr>
        <w:t>用友网络科技股份有限公司管理层对其他信息负责。其他信息包括年度报告中涵盖的信</w:t>
      </w:r>
      <w:r>
        <w:rPr>
          <w:rFonts w:ascii="黑体" w:hAnsi="黑体" w:cs="黑体" w:eastAsia="黑体" w:hint="default"/>
          <w:w w:val="100"/>
          <w:sz w:val="22"/>
          <w:szCs w:val="22"/>
        </w:rPr>
        <w:t> </w:t>
      </w:r>
      <w:r>
        <w:rPr>
          <w:rFonts w:ascii="黑体" w:hAnsi="黑体" w:cs="黑体" w:eastAsia="黑体" w:hint="default"/>
          <w:sz w:val="22"/>
          <w:szCs w:val="22"/>
        </w:rPr>
        <w:t>息，但不包括财务报表和我们的审计报告。</w:t>
      </w:r>
    </w:p>
    <w:p>
      <w:pPr>
        <w:spacing w:line="240" w:lineRule="auto" w:before="4"/>
        <w:rPr>
          <w:rFonts w:ascii="黑体" w:hAnsi="黑体" w:cs="黑体" w:eastAsia="黑体" w:hint="default"/>
          <w:sz w:val="19"/>
          <w:szCs w:val="19"/>
        </w:rPr>
      </w:pPr>
    </w:p>
    <w:p>
      <w:pPr>
        <w:spacing w:line="286" w:lineRule="exact" w:before="0"/>
        <w:ind w:left="138" w:right="112" w:firstLine="439"/>
        <w:jc w:val="both"/>
        <w:rPr>
          <w:rFonts w:ascii="黑体" w:hAnsi="黑体" w:cs="黑体" w:eastAsia="黑体" w:hint="default"/>
          <w:sz w:val="22"/>
          <w:szCs w:val="22"/>
        </w:rPr>
      </w:pPr>
      <w:r>
        <w:rPr>
          <w:rFonts w:ascii="黑体" w:hAnsi="黑体" w:cs="黑体" w:eastAsia="黑体" w:hint="default"/>
          <w:sz w:val="22"/>
          <w:szCs w:val="22"/>
        </w:rPr>
        <w:t>我们对财务报表发表的审计意见不涵盖其他信息，我们也不对其他信息发表任何形式的</w:t>
      </w:r>
      <w:r>
        <w:rPr>
          <w:rFonts w:ascii="黑体" w:hAnsi="黑体" w:cs="黑体" w:eastAsia="黑体" w:hint="default"/>
          <w:w w:val="100"/>
          <w:sz w:val="22"/>
          <w:szCs w:val="22"/>
        </w:rPr>
        <w:t> </w:t>
      </w:r>
      <w:r>
        <w:rPr>
          <w:rFonts w:ascii="黑体" w:hAnsi="黑体" w:cs="黑体" w:eastAsia="黑体" w:hint="default"/>
          <w:sz w:val="22"/>
          <w:szCs w:val="22"/>
        </w:rPr>
        <w:t>鉴证结论。</w:t>
      </w:r>
    </w:p>
    <w:p>
      <w:pPr>
        <w:spacing w:line="240" w:lineRule="auto" w:before="7"/>
        <w:rPr>
          <w:rFonts w:ascii="黑体" w:hAnsi="黑体" w:cs="黑体" w:eastAsia="黑体" w:hint="default"/>
          <w:sz w:val="19"/>
          <w:szCs w:val="19"/>
        </w:rPr>
      </w:pPr>
    </w:p>
    <w:p>
      <w:pPr>
        <w:spacing w:line="284" w:lineRule="exact" w:before="0"/>
        <w:ind w:left="138" w:right="111" w:firstLine="419"/>
        <w:jc w:val="right"/>
        <w:rPr>
          <w:rFonts w:ascii="黑体" w:hAnsi="黑体" w:cs="黑体" w:eastAsia="黑体" w:hint="default"/>
          <w:sz w:val="22"/>
          <w:szCs w:val="22"/>
        </w:rPr>
      </w:pPr>
      <w:r>
        <w:rPr>
          <w:rFonts w:ascii="黑体" w:hAnsi="黑体" w:cs="黑体" w:eastAsia="黑体" w:hint="default"/>
          <w:sz w:val="22"/>
          <w:szCs w:val="22"/>
        </w:rPr>
        <w:t>结合我们对财务报表的审计，我们的责任是阅读其他信息，在此过程中，考虑其他信息</w:t>
      </w:r>
      <w:r>
        <w:rPr>
          <w:rFonts w:ascii="黑体" w:hAnsi="黑体" w:cs="黑体" w:eastAsia="黑体" w:hint="default"/>
          <w:w w:val="100"/>
          <w:sz w:val="22"/>
          <w:szCs w:val="22"/>
        </w:rPr>
        <w:t> </w:t>
      </w:r>
      <w:r>
        <w:rPr>
          <w:rFonts w:ascii="黑体" w:hAnsi="黑体" w:cs="黑体" w:eastAsia="黑体" w:hint="default"/>
          <w:spacing w:val="-1"/>
          <w:sz w:val="22"/>
          <w:szCs w:val="22"/>
        </w:rPr>
        <w:t>是否与财务报表或我们在审计过程中了解到的情况存在重大不一致或者似乎存在重大错报。</w:t>
      </w:r>
    </w:p>
    <w:p>
      <w:pPr>
        <w:spacing w:line="240" w:lineRule="auto" w:before="6"/>
        <w:rPr>
          <w:rFonts w:ascii="黑体" w:hAnsi="黑体" w:cs="黑体" w:eastAsia="黑体" w:hint="default"/>
          <w:sz w:val="19"/>
          <w:szCs w:val="19"/>
        </w:rPr>
      </w:pPr>
    </w:p>
    <w:p>
      <w:pPr>
        <w:spacing w:line="286" w:lineRule="exact" w:before="0"/>
        <w:ind w:left="138" w:right="111" w:firstLine="419"/>
        <w:jc w:val="both"/>
        <w:rPr>
          <w:rFonts w:ascii="黑体" w:hAnsi="黑体" w:cs="黑体" w:eastAsia="黑体" w:hint="default"/>
          <w:sz w:val="22"/>
          <w:szCs w:val="22"/>
        </w:rPr>
      </w:pPr>
      <w:r>
        <w:rPr>
          <w:rFonts w:ascii="黑体" w:hAnsi="黑体" w:cs="黑体" w:eastAsia="黑体" w:hint="default"/>
          <w:sz w:val="22"/>
          <w:szCs w:val="22"/>
        </w:rPr>
        <w:t>基于我们已执行的工作，如果我们确定其他信息存在重大错报，我们应当报告该事实。</w:t>
      </w:r>
      <w:r>
        <w:rPr>
          <w:rFonts w:ascii="黑体" w:hAnsi="黑体" w:cs="黑体" w:eastAsia="黑体" w:hint="default"/>
          <w:w w:val="100"/>
          <w:sz w:val="22"/>
          <w:szCs w:val="22"/>
        </w:rPr>
        <w:t> </w:t>
      </w:r>
      <w:r>
        <w:rPr>
          <w:rFonts w:ascii="黑体" w:hAnsi="黑体" w:cs="黑体" w:eastAsia="黑体" w:hint="default"/>
          <w:sz w:val="22"/>
          <w:szCs w:val="22"/>
        </w:rPr>
        <w:t>在这方面，我们无任何事项需要报告。</w:t>
      </w:r>
    </w:p>
    <w:p>
      <w:pPr>
        <w:spacing w:line="538" w:lineRule="exact" w:before="50"/>
        <w:ind w:left="577" w:right="0" w:firstLine="9"/>
        <w:jc w:val="left"/>
        <w:rPr>
          <w:rFonts w:ascii="黑体" w:hAnsi="黑体" w:cs="黑体" w:eastAsia="黑体" w:hint="default"/>
          <w:sz w:val="22"/>
          <w:szCs w:val="22"/>
        </w:rPr>
      </w:pPr>
      <w:r>
        <w:rPr>
          <w:rFonts w:ascii="黑体" w:hAnsi="黑体" w:cs="黑体" w:eastAsia="黑体" w:hint="default"/>
          <w:b/>
          <w:bCs/>
          <w:sz w:val="22"/>
          <w:szCs w:val="22"/>
        </w:rPr>
        <w:t>五、管理层和治理层对财务报表的责任</w:t>
      </w:r>
      <w:r>
        <w:rPr>
          <w:rFonts w:ascii="黑体" w:hAnsi="黑体" w:cs="黑体" w:eastAsia="黑体" w:hint="default"/>
          <w:b/>
          <w:bCs/>
          <w:w w:val="99"/>
          <w:sz w:val="22"/>
          <w:szCs w:val="22"/>
        </w:rPr>
        <w:t> </w:t>
      </w:r>
      <w:r>
        <w:rPr>
          <w:rFonts w:ascii="黑体" w:hAnsi="黑体" w:cs="黑体" w:eastAsia="黑体" w:hint="default"/>
          <w:sz w:val="22"/>
          <w:szCs w:val="22"/>
        </w:rPr>
        <w:t>管理层负责按照企业会计准则的规定编制财务报表，使其实现公允反映，并设计、执行</w:t>
      </w:r>
    </w:p>
    <w:p>
      <w:pPr>
        <w:spacing w:line="209" w:lineRule="exact" w:before="0"/>
        <w:ind w:left="138" w:right="0" w:firstLine="0"/>
        <w:jc w:val="left"/>
        <w:rPr>
          <w:rFonts w:ascii="黑体" w:hAnsi="黑体" w:cs="黑体" w:eastAsia="黑体" w:hint="default"/>
          <w:sz w:val="22"/>
          <w:szCs w:val="22"/>
        </w:rPr>
      </w:pPr>
      <w:r>
        <w:rPr>
          <w:rFonts w:ascii="黑体" w:hAnsi="黑体" w:cs="黑体" w:eastAsia="黑体" w:hint="default"/>
          <w:sz w:val="22"/>
          <w:szCs w:val="22"/>
        </w:rPr>
        <w:t>和维护必要的内部控制，以使财务报表不存在由于舞弊或错误导致的重大错报。</w:t>
      </w:r>
    </w:p>
    <w:p>
      <w:pPr>
        <w:spacing w:line="240" w:lineRule="auto" w:before="3"/>
        <w:rPr>
          <w:rFonts w:ascii="黑体" w:hAnsi="黑体" w:cs="黑体" w:eastAsia="黑体" w:hint="default"/>
          <w:sz w:val="21"/>
          <w:szCs w:val="21"/>
        </w:rPr>
      </w:pPr>
    </w:p>
    <w:p>
      <w:pPr>
        <w:spacing w:line="286" w:lineRule="exact" w:before="0"/>
        <w:ind w:left="138" w:right="109" w:firstLine="419"/>
        <w:jc w:val="both"/>
        <w:rPr>
          <w:rFonts w:ascii="黑体" w:hAnsi="黑体" w:cs="黑体" w:eastAsia="黑体" w:hint="default"/>
          <w:sz w:val="22"/>
          <w:szCs w:val="22"/>
        </w:rPr>
      </w:pPr>
      <w:r>
        <w:rPr>
          <w:rFonts w:ascii="黑体" w:hAnsi="黑体" w:cs="黑体" w:eastAsia="黑体" w:hint="default"/>
          <w:sz w:val="22"/>
          <w:szCs w:val="22"/>
        </w:rPr>
        <w:t>在编制财务报表时，管理层负责评估用友网络科技股份有限公司的持续经营能力，披露</w:t>
      </w:r>
      <w:r>
        <w:rPr>
          <w:rFonts w:ascii="黑体" w:hAnsi="黑体" w:cs="黑体" w:eastAsia="黑体" w:hint="default"/>
          <w:w w:val="100"/>
          <w:sz w:val="22"/>
          <w:szCs w:val="22"/>
        </w:rPr>
        <w:t> </w:t>
      </w:r>
      <w:r>
        <w:rPr>
          <w:rFonts w:ascii="黑体" w:hAnsi="黑体" w:cs="黑体" w:eastAsia="黑体" w:hint="default"/>
          <w:sz w:val="22"/>
          <w:szCs w:val="22"/>
        </w:rPr>
        <w:t>与持续经营相关的事项（如适用），并运用持续经营假设，除非计划进行清算、终止运营或</w:t>
      </w:r>
      <w:r>
        <w:rPr>
          <w:rFonts w:ascii="黑体" w:hAnsi="黑体" w:cs="黑体" w:eastAsia="黑体" w:hint="default"/>
          <w:spacing w:val="-79"/>
          <w:sz w:val="22"/>
          <w:szCs w:val="22"/>
        </w:rPr>
        <w:t> </w:t>
      </w:r>
      <w:r>
        <w:rPr>
          <w:rFonts w:ascii="黑体" w:hAnsi="黑体" w:cs="黑体" w:eastAsia="黑体" w:hint="default"/>
          <w:sz w:val="22"/>
          <w:szCs w:val="22"/>
        </w:rPr>
        <w:t>别无其他现实的选择。</w:t>
      </w:r>
    </w:p>
    <w:p>
      <w:pPr>
        <w:spacing w:line="240" w:lineRule="auto" w:before="1"/>
        <w:rPr>
          <w:rFonts w:ascii="黑体" w:hAnsi="黑体" w:cs="黑体" w:eastAsia="黑体" w:hint="default"/>
          <w:sz w:val="17"/>
          <w:szCs w:val="17"/>
        </w:rPr>
      </w:pPr>
    </w:p>
    <w:p>
      <w:pPr>
        <w:spacing w:before="0"/>
        <w:ind w:left="586" w:right="0" w:firstLine="0"/>
        <w:jc w:val="left"/>
        <w:rPr>
          <w:rFonts w:ascii="黑体" w:hAnsi="黑体" w:cs="黑体" w:eastAsia="黑体" w:hint="default"/>
          <w:sz w:val="22"/>
          <w:szCs w:val="22"/>
        </w:rPr>
      </w:pPr>
      <w:r>
        <w:rPr>
          <w:rFonts w:ascii="黑体" w:hAnsi="黑体" w:cs="黑体" w:eastAsia="黑体" w:hint="default"/>
          <w:sz w:val="22"/>
          <w:szCs w:val="22"/>
        </w:rPr>
        <w:t>治理层负责监督用友网络科技股份有限公司的财务报告过程。</w:t>
      </w:r>
    </w:p>
    <w:p>
      <w:pPr>
        <w:spacing w:after="0"/>
        <w:jc w:val="left"/>
        <w:rPr>
          <w:rFonts w:ascii="黑体" w:hAnsi="黑体" w:cs="黑体" w:eastAsia="黑体" w:hint="default"/>
          <w:sz w:val="22"/>
          <w:szCs w:val="22"/>
        </w:rPr>
        <w:sectPr>
          <w:pgSz w:w="11910" w:h="16840"/>
          <w:pgMar w:header="745" w:footer="1195" w:top="1080" w:bottom="1380" w:left="1660" w:right="116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25"/>
          <w:szCs w:val="25"/>
        </w:rPr>
      </w:pPr>
    </w:p>
    <w:p>
      <w:pPr>
        <w:spacing w:before="32"/>
        <w:ind w:left="3910" w:right="4105" w:firstLine="0"/>
        <w:jc w:val="center"/>
        <w:rPr>
          <w:rFonts w:ascii="Arial" w:hAnsi="Arial" w:cs="Arial" w:eastAsia="Arial" w:hint="default"/>
          <w:sz w:val="22"/>
          <w:szCs w:val="22"/>
        </w:rPr>
      </w:pPr>
      <w:r>
        <w:rPr>
          <w:rFonts w:ascii="黑体" w:hAnsi="黑体" w:cs="黑体" w:eastAsia="黑体" w:hint="default"/>
          <w:b/>
          <w:bCs/>
          <w:sz w:val="22"/>
          <w:szCs w:val="22"/>
        </w:rPr>
        <w:t>审计报告</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4"/>
        <w:rPr>
          <w:rFonts w:ascii="Arial" w:hAnsi="Arial" w:cs="Arial" w:eastAsia="Arial" w:hint="default"/>
          <w:b/>
          <w:bCs/>
          <w:sz w:val="20"/>
          <w:szCs w:val="20"/>
        </w:rPr>
      </w:pPr>
    </w:p>
    <w:p>
      <w:pPr>
        <w:spacing w:line="295" w:lineRule="exact" w:before="0"/>
        <w:ind w:left="4789" w:right="0" w:firstLine="0"/>
        <w:jc w:val="left"/>
        <w:rPr>
          <w:rFonts w:ascii="黑体" w:hAnsi="黑体" w:cs="黑体" w:eastAsia="黑体" w:hint="default"/>
          <w:sz w:val="22"/>
          <w:szCs w:val="22"/>
        </w:rPr>
      </w:pPr>
      <w:r>
        <w:rPr>
          <w:rFonts w:ascii="黑体" w:hAnsi="黑体" w:cs="黑体" w:eastAsia="黑体" w:hint="default"/>
          <w:sz w:val="22"/>
          <w:szCs w:val="22"/>
        </w:rPr>
        <w:t>安永华明（</w:t>
      </w:r>
      <w:r>
        <w:rPr>
          <w:rFonts w:ascii="Arial" w:hAnsi="Arial" w:cs="Arial" w:eastAsia="Arial" w:hint="default"/>
          <w:sz w:val="22"/>
          <w:szCs w:val="22"/>
        </w:rPr>
        <w:t>2020</w:t>
      </w:r>
      <w:r>
        <w:rPr>
          <w:rFonts w:ascii="黑体" w:hAnsi="黑体" w:cs="黑体" w:eastAsia="黑体" w:hint="default"/>
          <w:sz w:val="22"/>
          <w:szCs w:val="22"/>
        </w:rPr>
        <w:t>）审字第</w:t>
      </w:r>
      <w:r>
        <w:rPr>
          <w:rFonts w:ascii="Arial" w:hAnsi="Arial" w:cs="Arial" w:eastAsia="Arial" w:hint="default"/>
          <w:sz w:val="22"/>
          <w:szCs w:val="22"/>
        </w:rPr>
        <w:t>60469423_A01</w:t>
      </w:r>
      <w:r>
        <w:rPr>
          <w:rFonts w:ascii="黑体" w:hAnsi="黑体" w:cs="黑体" w:eastAsia="黑体" w:hint="default"/>
          <w:sz w:val="22"/>
          <w:szCs w:val="22"/>
        </w:rPr>
        <w:t>号</w:t>
      </w:r>
    </w:p>
    <w:p>
      <w:pPr>
        <w:spacing w:line="279" w:lineRule="exact" w:before="0"/>
        <w:ind w:left="6331" w:right="0" w:firstLine="0"/>
        <w:jc w:val="left"/>
        <w:rPr>
          <w:rFonts w:ascii="黑体" w:hAnsi="黑体" w:cs="黑体" w:eastAsia="黑体" w:hint="default"/>
          <w:sz w:val="22"/>
          <w:szCs w:val="22"/>
        </w:rPr>
      </w:pPr>
      <w:r>
        <w:rPr>
          <w:rFonts w:ascii="黑体" w:hAnsi="黑体" w:cs="黑体" w:eastAsia="黑体" w:hint="default"/>
          <w:sz w:val="22"/>
          <w:szCs w:val="22"/>
        </w:rPr>
        <w:t>用友网络科技股份有限公司</w:t>
      </w:r>
    </w:p>
    <w:p>
      <w:pPr>
        <w:spacing w:line="240" w:lineRule="auto" w:before="0"/>
        <w:rPr>
          <w:rFonts w:ascii="黑体" w:hAnsi="黑体" w:cs="黑体" w:eastAsia="黑体" w:hint="default"/>
          <w:sz w:val="20"/>
          <w:szCs w:val="20"/>
        </w:rPr>
      </w:pPr>
    </w:p>
    <w:p>
      <w:pPr>
        <w:spacing w:line="530" w:lineRule="atLeast" w:before="0"/>
        <w:ind w:left="584" w:right="0" w:hanging="27"/>
        <w:jc w:val="left"/>
        <w:rPr>
          <w:rFonts w:ascii="黑体" w:hAnsi="黑体" w:cs="黑体" w:eastAsia="黑体" w:hint="default"/>
          <w:sz w:val="22"/>
          <w:szCs w:val="22"/>
        </w:rPr>
      </w:pPr>
      <w:r>
        <w:rPr>
          <w:rFonts w:ascii="黑体" w:hAnsi="黑体" w:cs="黑体" w:eastAsia="黑体" w:hint="default"/>
          <w:b/>
          <w:bCs/>
          <w:sz w:val="22"/>
          <w:szCs w:val="22"/>
        </w:rPr>
        <w:t>六、注册会计师对财务报表审计的责任</w:t>
      </w:r>
      <w:r>
        <w:rPr>
          <w:rFonts w:ascii="黑体" w:hAnsi="黑体" w:cs="黑体" w:eastAsia="黑体" w:hint="default"/>
          <w:b/>
          <w:bCs/>
          <w:w w:val="99"/>
          <w:sz w:val="22"/>
          <w:szCs w:val="22"/>
        </w:rPr>
        <w:t> </w:t>
      </w:r>
      <w:r>
        <w:rPr>
          <w:rFonts w:ascii="黑体" w:hAnsi="黑体" w:cs="黑体" w:eastAsia="黑体" w:hint="default"/>
          <w:sz w:val="22"/>
          <w:szCs w:val="22"/>
        </w:rPr>
        <w:t>我们的目标是对财务报表整体是否不存在由于舞弊或错误导致的重大错报获取合理保证，</w:t>
      </w:r>
    </w:p>
    <w:p>
      <w:pPr>
        <w:spacing w:line="237" w:lineRule="auto" w:before="0"/>
        <w:ind w:left="138" w:right="334" w:firstLine="0"/>
        <w:jc w:val="both"/>
        <w:rPr>
          <w:rFonts w:ascii="黑体" w:hAnsi="黑体" w:cs="黑体" w:eastAsia="黑体" w:hint="default"/>
          <w:sz w:val="22"/>
          <w:szCs w:val="22"/>
        </w:rPr>
      </w:pPr>
      <w:r>
        <w:rPr>
          <w:rFonts w:ascii="黑体" w:hAnsi="黑体" w:cs="黑体" w:eastAsia="黑体" w:hint="default"/>
          <w:sz w:val="22"/>
          <w:szCs w:val="22"/>
        </w:rPr>
        <w:t>并出具包含审计意见的审计报告。合理保证是高水平的保证，但并不能保证按照审计准则执</w:t>
      </w:r>
      <w:r>
        <w:rPr>
          <w:rFonts w:ascii="黑体" w:hAnsi="黑体" w:cs="黑体" w:eastAsia="黑体" w:hint="default"/>
          <w:spacing w:val="-79"/>
          <w:sz w:val="22"/>
          <w:szCs w:val="22"/>
        </w:rPr>
        <w:t> </w:t>
      </w:r>
      <w:r>
        <w:rPr>
          <w:rFonts w:ascii="黑体" w:hAnsi="黑体" w:cs="黑体" w:eastAsia="黑体" w:hint="default"/>
          <w:sz w:val="22"/>
          <w:szCs w:val="22"/>
        </w:rPr>
        <w:t>行的审计在某一重大错报存在时总能发现。错报可能由于舞弊或错误导致，如果合理预期错</w:t>
      </w:r>
      <w:r>
        <w:rPr>
          <w:rFonts w:ascii="黑体" w:hAnsi="黑体" w:cs="黑体" w:eastAsia="黑体" w:hint="default"/>
          <w:spacing w:val="-79"/>
          <w:sz w:val="22"/>
          <w:szCs w:val="22"/>
        </w:rPr>
        <w:t> </w:t>
      </w:r>
      <w:r>
        <w:rPr>
          <w:rFonts w:ascii="黑体" w:hAnsi="黑体" w:cs="黑体" w:eastAsia="黑体" w:hint="default"/>
          <w:sz w:val="22"/>
          <w:szCs w:val="22"/>
        </w:rPr>
        <w:t>报单独或汇总起来可能影响财务报表使用者依据财务报表作出的经济决策，则通常认为错报</w:t>
      </w:r>
      <w:r>
        <w:rPr>
          <w:rFonts w:ascii="黑体" w:hAnsi="黑体" w:cs="黑体" w:eastAsia="黑体" w:hint="default"/>
          <w:spacing w:val="-79"/>
          <w:sz w:val="22"/>
          <w:szCs w:val="22"/>
        </w:rPr>
        <w:t> </w:t>
      </w:r>
      <w:r>
        <w:rPr>
          <w:rFonts w:ascii="黑体" w:hAnsi="黑体" w:cs="黑体" w:eastAsia="黑体" w:hint="default"/>
          <w:sz w:val="22"/>
          <w:szCs w:val="22"/>
        </w:rPr>
        <w:t>是重大的。</w:t>
      </w:r>
    </w:p>
    <w:p>
      <w:pPr>
        <w:spacing w:line="240" w:lineRule="auto" w:before="3"/>
        <w:rPr>
          <w:rFonts w:ascii="黑体" w:hAnsi="黑体" w:cs="黑体" w:eastAsia="黑体" w:hint="default"/>
          <w:sz w:val="21"/>
          <w:szCs w:val="21"/>
        </w:rPr>
      </w:pPr>
    </w:p>
    <w:p>
      <w:pPr>
        <w:spacing w:line="286" w:lineRule="exact" w:before="0"/>
        <w:ind w:left="138" w:right="0" w:firstLine="463"/>
        <w:jc w:val="left"/>
        <w:rPr>
          <w:rFonts w:ascii="黑体" w:hAnsi="黑体" w:cs="黑体" w:eastAsia="黑体" w:hint="default"/>
          <w:sz w:val="22"/>
          <w:szCs w:val="22"/>
        </w:rPr>
      </w:pPr>
      <w:r>
        <w:rPr>
          <w:rFonts w:ascii="黑体" w:hAnsi="黑体" w:cs="黑体" w:eastAsia="黑体" w:hint="default"/>
          <w:spacing w:val="-1"/>
          <w:sz w:val="22"/>
          <w:szCs w:val="22"/>
        </w:rPr>
        <w:t>在按照审计准则执行审计工作的过程中，我们运用职业判断，并保持职业怀疑。同时，</w:t>
      </w:r>
      <w:r>
        <w:rPr>
          <w:rFonts w:ascii="黑体" w:hAnsi="黑体" w:cs="黑体" w:eastAsia="黑体" w:hint="default"/>
          <w:w w:val="100"/>
          <w:sz w:val="22"/>
          <w:szCs w:val="22"/>
        </w:rPr>
        <w:t> </w:t>
      </w:r>
      <w:r>
        <w:rPr>
          <w:rFonts w:ascii="黑体" w:hAnsi="黑体" w:cs="黑体" w:eastAsia="黑体" w:hint="default"/>
          <w:sz w:val="22"/>
          <w:szCs w:val="22"/>
        </w:rPr>
        <w:t>我们也执行以下工作：</w:t>
      </w:r>
    </w:p>
    <w:p>
      <w:pPr>
        <w:spacing w:line="240" w:lineRule="auto" w:before="3"/>
        <w:rPr>
          <w:rFonts w:ascii="黑体" w:hAnsi="黑体" w:cs="黑体" w:eastAsia="黑体" w:hint="default"/>
          <w:sz w:val="19"/>
          <w:szCs w:val="19"/>
        </w:rPr>
      </w:pPr>
    </w:p>
    <w:p>
      <w:pPr>
        <w:spacing w:line="286" w:lineRule="exact" w:before="0"/>
        <w:ind w:left="778" w:right="325" w:hanging="641"/>
        <w:jc w:val="both"/>
        <w:rPr>
          <w:rFonts w:ascii="黑体" w:hAnsi="黑体" w:cs="黑体" w:eastAsia="黑体" w:hint="default"/>
          <w:sz w:val="22"/>
          <w:szCs w:val="22"/>
        </w:rPr>
      </w:pPr>
      <w:r>
        <w:rPr>
          <w:rFonts w:ascii="黑体" w:hAnsi="黑体" w:cs="黑体" w:eastAsia="黑体" w:hint="default"/>
          <w:sz w:val="22"/>
          <w:szCs w:val="22"/>
        </w:rPr>
        <w:t>（</w:t>
      </w:r>
      <w:r>
        <w:rPr>
          <w:rFonts w:ascii="Arial" w:hAnsi="Arial" w:cs="Arial" w:eastAsia="Arial" w:hint="default"/>
          <w:sz w:val="22"/>
          <w:szCs w:val="22"/>
        </w:rPr>
        <w:t>1</w:t>
      </w:r>
      <w:r>
        <w:rPr>
          <w:rFonts w:ascii="黑体" w:hAnsi="黑体" w:cs="黑体" w:eastAsia="黑体" w:hint="default"/>
          <w:sz w:val="22"/>
          <w:szCs w:val="22"/>
        </w:rPr>
        <w:t>） 识别和评估由于舞弊或错误导致的财务报表重大错报风险，设计和实施审计程序以应</w:t>
      </w:r>
      <w:r>
        <w:rPr>
          <w:rFonts w:ascii="黑体" w:hAnsi="黑体" w:cs="黑体" w:eastAsia="黑体" w:hint="default"/>
          <w:spacing w:val="-88"/>
          <w:sz w:val="22"/>
          <w:szCs w:val="22"/>
        </w:rPr>
        <w:t> </w:t>
      </w:r>
      <w:r>
        <w:rPr>
          <w:rFonts w:ascii="黑体" w:hAnsi="黑体" w:cs="黑体" w:eastAsia="黑体" w:hint="default"/>
          <w:spacing w:val="-88"/>
          <w:sz w:val="22"/>
          <w:szCs w:val="22"/>
        </w:rPr>
      </w:r>
      <w:r>
        <w:rPr>
          <w:rFonts w:ascii="黑体" w:hAnsi="黑体" w:cs="黑体" w:eastAsia="黑体" w:hint="default"/>
          <w:sz w:val="22"/>
          <w:szCs w:val="22"/>
        </w:rPr>
        <w:t>对这些风险，并获取充分、适当的审计证据，作为发表审计意见的基础。由于舞弊可</w:t>
      </w:r>
      <w:r>
        <w:rPr>
          <w:rFonts w:ascii="黑体" w:hAnsi="黑体" w:cs="黑体" w:eastAsia="黑体" w:hint="default"/>
          <w:w w:val="100"/>
          <w:sz w:val="22"/>
          <w:szCs w:val="22"/>
        </w:rPr>
        <w:t> </w:t>
      </w:r>
      <w:r>
        <w:rPr>
          <w:rFonts w:ascii="黑体" w:hAnsi="黑体" w:cs="黑体" w:eastAsia="黑体" w:hint="default"/>
          <w:sz w:val="22"/>
          <w:szCs w:val="22"/>
        </w:rPr>
        <w:t>能涉及串通、伪造、故意遗漏、虚假陈述或凌驾于内部控制之上，未能发现由于舞弊</w:t>
      </w:r>
      <w:r>
        <w:rPr>
          <w:rFonts w:ascii="黑体" w:hAnsi="黑体" w:cs="黑体" w:eastAsia="黑体" w:hint="default"/>
          <w:w w:val="100"/>
          <w:sz w:val="22"/>
          <w:szCs w:val="22"/>
        </w:rPr>
        <w:t> </w:t>
      </w:r>
      <w:r>
        <w:rPr>
          <w:rFonts w:ascii="黑体" w:hAnsi="黑体" w:cs="黑体" w:eastAsia="黑体" w:hint="default"/>
          <w:sz w:val="22"/>
          <w:szCs w:val="22"/>
        </w:rPr>
        <w:t>导致的重大错报的风险高于未能发现由于错误导致的重大错报的风险。</w:t>
      </w:r>
    </w:p>
    <w:p>
      <w:pPr>
        <w:spacing w:line="225" w:lineRule="auto" w:before="0"/>
        <w:ind w:left="778" w:right="331" w:hanging="641"/>
        <w:jc w:val="both"/>
        <w:rPr>
          <w:rFonts w:ascii="黑体" w:hAnsi="黑体" w:cs="黑体" w:eastAsia="黑体" w:hint="default"/>
          <w:sz w:val="22"/>
          <w:szCs w:val="22"/>
        </w:rPr>
      </w:pPr>
      <w:r>
        <w:rPr>
          <w:rFonts w:ascii="黑体" w:hAnsi="黑体" w:cs="黑体" w:eastAsia="黑体" w:hint="default"/>
          <w:sz w:val="22"/>
          <w:szCs w:val="22"/>
        </w:rPr>
        <w:t>（</w:t>
      </w:r>
      <w:r>
        <w:rPr>
          <w:rFonts w:ascii="Arial" w:hAnsi="Arial" w:cs="Arial" w:eastAsia="Arial" w:hint="default"/>
          <w:sz w:val="22"/>
          <w:szCs w:val="22"/>
        </w:rPr>
        <w:t>2</w:t>
      </w:r>
      <w:r>
        <w:rPr>
          <w:rFonts w:ascii="黑体" w:hAnsi="黑体" w:cs="黑体" w:eastAsia="黑体" w:hint="default"/>
          <w:sz w:val="22"/>
          <w:szCs w:val="22"/>
        </w:rPr>
        <w:t>） 了解与审计相关的内部控制，以设计恰当的审计程序，但目的并非对内部控制的有效</w:t>
      </w:r>
      <w:r>
        <w:rPr>
          <w:rFonts w:ascii="黑体" w:hAnsi="黑体" w:cs="黑体" w:eastAsia="黑体" w:hint="default"/>
          <w:spacing w:val="-93"/>
          <w:sz w:val="22"/>
          <w:szCs w:val="22"/>
        </w:rPr>
        <w:t> </w:t>
      </w:r>
      <w:r>
        <w:rPr>
          <w:rFonts w:ascii="黑体" w:hAnsi="黑体" w:cs="黑体" w:eastAsia="黑体" w:hint="default"/>
          <w:spacing w:val="-93"/>
          <w:sz w:val="22"/>
          <w:szCs w:val="22"/>
        </w:rPr>
      </w:r>
      <w:r>
        <w:rPr>
          <w:rFonts w:ascii="黑体" w:hAnsi="黑体" w:cs="黑体" w:eastAsia="黑体" w:hint="default"/>
          <w:sz w:val="22"/>
          <w:szCs w:val="22"/>
        </w:rPr>
        <w:t>性发表意见。</w:t>
      </w:r>
    </w:p>
    <w:p>
      <w:pPr>
        <w:spacing w:line="292" w:lineRule="exact" w:before="0"/>
        <w:ind w:left="138" w:right="0" w:firstLine="0"/>
        <w:jc w:val="left"/>
        <w:rPr>
          <w:rFonts w:ascii="黑体" w:hAnsi="黑体" w:cs="黑体" w:eastAsia="黑体" w:hint="default"/>
          <w:sz w:val="22"/>
          <w:szCs w:val="22"/>
        </w:rPr>
      </w:pPr>
      <w:r>
        <w:rPr>
          <w:rFonts w:ascii="黑体" w:hAnsi="黑体" w:cs="黑体" w:eastAsia="黑体" w:hint="default"/>
          <w:sz w:val="22"/>
          <w:szCs w:val="22"/>
        </w:rPr>
        <w:t>（</w:t>
      </w:r>
      <w:r>
        <w:rPr>
          <w:rFonts w:ascii="Arial" w:hAnsi="Arial" w:cs="Arial" w:eastAsia="Arial" w:hint="default"/>
          <w:sz w:val="22"/>
          <w:szCs w:val="22"/>
        </w:rPr>
        <w:t>3</w:t>
      </w:r>
      <w:r>
        <w:rPr>
          <w:rFonts w:ascii="黑体" w:hAnsi="黑体" w:cs="黑体" w:eastAsia="黑体" w:hint="default"/>
          <w:sz w:val="22"/>
          <w:szCs w:val="22"/>
        </w:rPr>
        <w:t>）</w:t>
      </w:r>
      <w:r>
        <w:rPr>
          <w:rFonts w:ascii="黑体" w:hAnsi="黑体" w:cs="黑体" w:eastAsia="黑体" w:hint="default"/>
          <w:spacing w:val="-39"/>
          <w:sz w:val="22"/>
          <w:szCs w:val="22"/>
        </w:rPr>
        <w:t> </w:t>
      </w:r>
      <w:r>
        <w:rPr>
          <w:rFonts w:ascii="黑体" w:hAnsi="黑体" w:cs="黑体" w:eastAsia="黑体" w:hint="default"/>
          <w:sz w:val="22"/>
          <w:szCs w:val="22"/>
        </w:rPr>
        <w:t>评价管理层选用会计政策的恰当性和作出会计估计及相关披露的合理性。</w:t>
      </w:r>
    </w:p>
    <w:p>
      <w:pPr>
        <w:spacing w:line="286" w:lineRule="exact" w:before="19"/>
        <w:ind w:left="778" w:right="331" w:hanging="641"/>
        <w:jc w:val="both"/>
        <w:rPr>
          <w:rFonts w:ascii="黑体" w:hAnsi="黑体" w:cs="黑体" w:eastAsia="黑体" w:hint="default"/>
          <w:sz w:val="22"/>
          <w:szCs w:val="22"/>
        </w:rPr>
      </w:pPr>
      <w:r>
        <w:rPr>
          <w:rFonts w:ascii="黑体" w:hAnsi="黑体" w:cs="黑体" w:eastAsia="黑体" w:hint="default"/>
          <w:sz w:val="22"/>
          <w:szCs w:val="22"/>
        </w:rPr>
        <w:t>（</w:t>
      </w:r>
      <w:r>
        <w:rPr>
          <w:rFonts w:ascii="Arial" w:hAnsi="Arial" w:cs="Arial" w:eastAsia="Arial" w:hint="default"/>
          <w:sz w:val="22"/>
          <w:szCs w:val="22"/>
        </w:rPr>
        <w:t>4</w:t>
      </w:r>
      <w:r>
        <w:rPr>
          <w:rFonts w:ascii="黑体" w:hAnsi="黑体" w:cs="黑体" w:eastAsia="黑体" w:hint="default"/>
          <w:sz w:val="22"/>
          <w:szCs w:val="22"/>
        </w:rPr>
        <w:t>） 对管理层使用持续经营假设的恰当性得出结论。同时，根据获取的审计证据，就可能</w:t>
      </w:r>
      <w:r>
        <w:rPr>
          <w:rFonts w:ascii="黑体" w:hAnsi="黑体" w:cs="黑体" w:eastAsia="黑体" w:hint="default"/>
          <w:spacing w:val="-93"/>
          <w:sz w:val="22"/>
          <w:szCs w:val="22"/>
        </w:rPr>
        <w:t> </w:t>
      </w:r>
      <w:r>
        <w:rPr>
          <w:rFonts w:ascii="黑体" w:hAnsi="黑体" w:cs="黑体" w:eastAsia="黑体" w:hint="default"/>
          <w:spacing w:val="-93"/>
          <w:sz w:val="22"/>
          <w:szCs w:val="22"/>
        </w:rPr>
      </w:r>
      <w:r>
        <w:rPr>
          <w:rFonts w:ascii="黑体" w:hAnsi="黑体" w:cs="黑体" w:eastAsia="黑体" w:hint="default"/>
          <w:sz w:val="22"/>
          <w:szCs w:val="22"/>
        </w:rPr>
        <w:t>导致对用友网络科技股份有限公司持续经营能力产生重大疑虑的事项或情况是否存在</w:t>
      </w:r>
      <w:r>
        <w:rPr>
          <w:rFonts w:ascii="黑体" w:hAnsi="黑体" w:cs="黑体" w:eastAsia="黑体" w:hint="default"/>
          <w:w w:val="100"/>
          <w:sz w:val="22"/>
          <w:szCs w:val="22"/>
        </w:rPr>
        <w:t> </w:t>
      </w:r>
      <w:r>
        <w:rPr>
          <w:rFonts w:ascii="黑体" w:hAnsi="黑体" w:cs="黑体" w:eastAsia="黑体" w:hint="default"/>
          <w:sz w:val="22"/>
          <w:szCs w:val="22"/>
        </w:rPr>
        <w:t>重大不确定性得出结论。如果我们得出结论认为存在重大不确定性，审计准则要求我</w:t>
      </w:r>
      <w:r>
        <w:rPr>
          <w:rFonts w:ascii="黑体" w:hAnsi="黑体" w:cs="黑体" w:eastAsia="黑体" w:hint="default"/>
          <w:w w:val="100"/>
          <w:sz w:val="22"/>
          <w:szCs w:val="22"/>
        </w:rPr>
        <w:t> </w:t>
      </w:r>
      <w:r>
        <w:rPr>
          <w:rFonts w:ascii="黑体" w:hAnsi="黑体" w:cs="黑体" w:eastAsia="黑体" w:hint="default"/>
          <w:sz w:val="22"/>
          <w:szCs w:val="22"/>
        </w:rPr>
        <w:t>们在审计报告中提请报表使用者注意财务报表中的相关披露；如果披露不充分，我们</w:t>
      </w:r>
      <w:r>
        <w:rPr>
          <w:rFonts w:ascii="黑体" w:hAnsi="黑体" w:cs="黑体" w:eastAsia="黑体" w:hint="default"/>
          <w:w w:val="100"/>
          <w:sz w:val="22"/>
          <w:szCs w:val="22"/>
        </w:rPr>
        <w:t> </w:t>
      </w:r>
      <w:r>
        <w:rPr>
          <w:rFonts w:ascii="黑体" w:hAnsi="黑体" w:cs="黑体" w:eastAsia="黑体" w:hint="default"/>
          <w:sz w:val="22"/>
          <w:szCs w:val="22"/>
        </w:rPr>
        <w:t>应当发表非无保留意见。我们的结论基于截至审计报告日可获得的信息。然而，未来</w:t>
      </w:r>
      <w:r>
        <w:rPr>
          <w:rFonts w:ascii="黑体" w:hAnsi="黑体" w:cs="黑体" w:eastAsia="黑体" w:hint="default"/>
          <w:w w:val="100"/>
          <w:sz w:val="22"/>
          <w:szCs w:val="22"/>
        </w:rPr>
        <w:t> </w:t>
      </w:r>
      <w:r>
        <w:rPr>
          <w:rFonts w:ascii="黑体" w:hAnsi="黑体" w:cs="黑体" w:eastAsia="黑体" w:hint="default"/>
          <w:sz w:val="22"/>
          <w:szCs w:val="22"/>
        </w:rPr>
        <w:t>的事项或情况可能导致用友网络科技股份有限公司不能持续经营。</w:t>
      </w:r>
    </w:p>
    <w:p>
      <w:pPr>
        <w:spacing w:line="284" w:lineRule="exact" w:before="1"/>
        <w:ind w:left="778" w:right="331" w:hanging="641"/>
        <w:jc w:val="both"/>
        <w:rPr>
          <w:rFonts w:ascii="黑体" w:hAnsi="黑体" w:cs="黑体" w:eastAsia="黑体" w:hint="default"/>
          <w:sz w:val="22"/>
          <w:szCs w:val="22"/>
        </w:rPr>
      </w:pPr>
      <w:r>
        <w:rPr>
          <w:rFonts w:ascii="黑体" w:hAnsi="黑体" w:cs="黑体" w:eastAsia="黑体" w:hint="default"/>
          <w:sz w:val="22"/>
          <w:szCs w:val="22"/>
        </w:rPr>
        <w:t>（</w:t>
      </w:r>
      <w:r>
        <w:rPr>
          <w:rFonts w:ascii="Arial" w:hAnsi="Arial" w:cs="Arial" w:eastAsia="Arial" w:hint="default"/>
          <w:sz w:val="22"/>
          <w:szCs w:val="22"/>
        </w:rPr>
        <w:t>5</w:t>
      </w:r>
      <w:r>
        <w:rPr>
          <w:rFonts w:ascii="黑体" w:hAnsi="黑体" w:cs="黑体" w:eastAsia="黑体" w:hint="default"/>
          <w:sz w:val="22"/>
          <w:szCs w:val="22"/>
        </w:rPr>
        <w:t>） 评价财务报表的总体列报、结构和内容（包括披露），并评价财务报表是否公允反映</w:t>
      </w:r>
      <w:r>
        <w:rPr>
          <w:rFonts w:ascii="黑体" w:hAnsi="黑体" w:cs="黑体" w:eastAsia="黑体" w:hint="default"/>
          <w:spacing w:val="-93"/>
          <w:sz w:val="22"/>
          <w:szCs w:val="22"/>
        </w:rPr>
        <w:t> </w:t>
      </w:r>
      <w:r>
        <w:rPr>
          <w:rFonts w:ascii="黑体" w:hAnsi="黑体" w:cs="黑体" w:eastAsia="黑体" w:hint="default"/>
          <w:spacing w:val="-93"/>
          <w:sz w:val="22"/>
          <w:szCs w:val="22"/>
        </w:rPr>
      </w:r>
      <w:r>
        <w:rPr>
          <w:rFonts w:ascii="黑体" w:hAnsi="黑体" w:cs="黑体" w:eastAsia="黑体" w:hint="default"/>
          <w:sz w:val="22"/>
          <w:szCs w:val="22"/>
        </w:rPr>
        <w:t>相关交易和事项。</w:t>
      </w:r>
    </w:p>
    <w:p>
      <w:pPr>
        <w:spacing w:after="0" w:line="284" w:lineRule="exact"/>
        <w:jc w:val="both"/>
        <w:rPr>
          <w:rFonts w:ascii="黑体" w:hAnsi="黑体" w:cs="黑体" w:eastAsia="黑体" w:hint="default"/>
          <w:sz w:val="22"/>
          <w:szCs w:val="22"/>
        </w:rPr>
        <w:sectPr>
          <w:pgSz w:w="11910" w:h="16840"/>
          <w:pgMar w:header="745" w:footer="1195" w:top="1080" w:bottom="1380" w:left="1660" w:right="94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25"/>
          <w:szCs w:val="25"/>
        </w:rPr>
      </w:pPr>
    </w:p>
    <w:p>
      <w:pPr>
        <w:spacing w:before="32"/>
        <w:ind w:left="68" w:right="46" w:firstLine="0"/>
        <w:jc w:val="center"/>
        <w:rPr>
          <w:rFonts w:ascii="Arial" w:hAnsi="Arial" w:cs="Arial" w:eastAsia="Arial" w:hint="default"/>
          <w:sz w:val="22"/>
          <w:szCs w:val="22"/>
        </w:rPr>
      </w:pPr>
      <w:r>
        <w:rPr>
          <w:rFonts w:ascii="黑体" w:hAnsi="黑体" w:cs="黑体" w:eastAsia="黑体" w:hint="default"/>
          <w:b/>
          <w:bCs/>
          <w:sz w:val="22"/>
          <w:szCs w:val="22"/>
        </w:rPr>
        <w:t>审计报告</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4"/>
        <w:rPr>
          <w:rFonts w:ascii="Arial" w:hAnsi="Arial" w:cs="Arial" w:eastAsia="Arial" w:hint="default"/>
          <w:b/>
          <w:bCs/>
          <w:sz w:val="20"/>
          <w:szCs w:val="20"/>
        </w:rPr>
      </w:pPr>
    </w:p>
    <w:p>
      <w:pPr>
        <w:spacing w:line="295" w:lineRule="exact" w:before="0"/>
        <w:ind w:left="4789" w:right="0" w:firstLine="0"/>
        <w:jc w:val="left"/>
        <w:rPr>
          <w:rFonts w:ascii="黑体" w:hAnsi="黑体" w:cs="黑体" w:eastAsia="黑体" w:hint="default"/>
          <w:sz w:val="22"/>
          <w:szCs w:val="22"/>
        </w:rPr>
      </w:pPr>
      <w:r>
        <w:rPr>
          <w:rFonts w:ascii="黑体" w:hAnsi="黑体" w:cs="黑体" w:eastAsia="黑体" w:hint="default"/>
          <w:sz w:val="22"/>
          <w:szCs w:val="22"/>
        </w:rPr>
        <w:t>安永华明（</w:t>
      </w:r>
      <w:r>
        <w:rPr>
          <w:rFonts w:ascii="Arial" w:hAnsi="Arial" w:cs="Arial" w:eastAsia="Arial" w:hint="default"/>
          <w:sz w:val="22"/>
          <w:szCs w:val="22"/>
        </w:rPr>
        <w:t>2020</w:t>
      </w:r>
      <w:r>
        <w:rPr>
          <w:rFonts w:ascii="黑体" w:hAnsi="黑体" w:cs="黑体" w:eastAsia="黑体" w:hint="default"/>
          <w:sz w:val="22"/>
          <w:szCs w:val="22"/>
        </w:rPr>
        <w:t>）审字第</w:t>
      </w:r>
      <w:r>
        <w:rPr>
          <w:rFonts w:ascii="Arial" w:hAnsi="Arial" w:cs="Arial" w:eastAsia="Arial" w:hint="default"/>
          <w:sz w:val="22"/>
          <w:szCs w:val="22"/>
        </w:rPr>
        <w:t>60469423_A01</w:t>
      </w:r>
      <w:r>
        <w:rPr>
          <w:rFonts w:ascii="黑体" w:hAnsi="黑体" w:cs="黑体" w:eastAsia="黑体" w:hint="default"/>
          <w:sz w:val="22"/>
          <w:szCs w:val="22"/>
        </w:rPr>
        <w:t>号</w:t>
      </w:r>
    </w:p>
    <w:p>
      <w:pPr>
        <w:spacing w:line="279" w:lineRule="exact" w:before="0"/>
        <w:ind w:left="6331" w:right="0" w:firstLine="0"/>
        <w:jc w:val="left"/>
        <w:rPr>
          <w:rFonts w:ascii="黑体" w:hAnsi="黑体" w:cs="黑体" w:eastAsia="黑体" w:hint="default"/>
          <w:sz w:val="22"/>
          <w:szCs w:val="22"/>
        </w:rPr>
      </w:pPr>
      <w:r>
        <w:rPr>
          <w:rFonts w:ascii="黑体" w:hAnsi="黑体" w:cs="黑体" w:eastAsia="黑体" w:hint="default"/>
          <w:sz w:val="22"/>
          <w:szCs w:val="22"/>
        </w:rPr>
        <w:t>用友网络科技股份有限公司</w:t>
      </w:r>
    </w:p>
    <w:p>
      <w:pPr>
        <w:spacing w:line="240" w:lineRule="auto" w:before="13"/>
        <w:rPr>
          <w:rFonts w:ascii="黑体" w:hAnsi="黑体" w:cs="黑体" w:eastAsia="黑体" w:hint="default"/>
          <w:sz w:val="21"/>
          <w:szCs w:val="21"/>
        </w:rPr>
      </w:pPr>
    </w:p>
    <w:p>
      <w:pPr>
        <w:spacing w:line="520" w:lineRule="atLeast" w:before="0"/>
        <w:ind w:left="601" w:right="0" w:hanging="44"/>
        <w:jc w:val="left"/>
        <w:rPr>
          <w:rFonts w:ascii="黑体" w:hAnsi="黑体" w:cs="黑体" w:eastAsia="黑体" w:hint="default"/>
          <w:sz w:val="22"/>
          <w:szCs w:val="22"/>
        </w:rPr>
      </w:pPr>
      <w:r>
        <w:rPr>
          <w:rFonts w:ascii="黑体" w:hAnsi="黑体" w:cs="黑体" w:eastAsia="黑体" w:hint="default"/>
          <w:b/>
          <w:bCs/>
          <w:sz w:val="22"/>
          <w:szCs w:val="22"/>
        </w:rPr>
        <w:t>六、注册会计师对财务报表审计的责任</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b/>
          <w:bCs/>
          <w:w w:val="100"/>
          <w:sz w:val="22"/>
          <w:szCs w:val="22"/>
        </w:rPr>
        <w:t> </w:t>
      </w:r>
      <w:r>
        <w:rPr>
          <w:rFonts w:ascii="黑体" w:hAnsi="黑体" w:cs="黑体" w:eastAsia="黑体" w:hint="default"/>
          <w:spacing w:val="-1"/>
          <w:sz w:val="22"/>
          <w:szCs w:val="22"/>
        </w:rPr>
        <w:t>在按照审计准则执行审计工作的过程中，我们运用职业判断，并保持职业怀疑。同时，</w:t>
      </w:r>
    </w:p>
    <w:p>
      <w:pPr>
        <w:spacing w:line="301" w:lineRule="exact" w:before="0"/>
        <w:ind w:left="138" w:right="0" w:firstLine="0"/>
        <w:jc w:val="left"/>
        <w:rPr>
          <w:rFonts w:ascii="黑体" w:hAnsi="黑体" w:cs="黑体" w:eastAsia="黑体" w:hint="default"/>
          <w:sz w:val="22"/>
          <w:szCs w:val="22"/>
        </w:rPr>
      </w:pPr>
      <w:r>
        <w:rPr>
          <w:rFonts w:ascii="黑体" w:hAnsi="黑体" w:cs="黑体" w:eastAsia="黑体" w:hint="default"/>
          <w:sz w:val="22"/>
          <w:szCs w:val="22"/>
        </w:rPr>
        <w:t>我们也执行以下工作</w:t>
      </w:r>
      <w:r>
        <w:rPr>
          <w:rFonts w:ascii="Arial" w:hAnsi="Arial" w:cs="Arial" w:eastAsia="Arial" w:hint="default"/>
          <w:sz w:val="22"/>
          <w:szCs w:val="22"/>
        </w:rPr>
        <w:t>(</w:t>
      </w:r>
      <w:r>
        <w:rPr>
          <w:rFonts w:ascii="黑体" w:hAnsi="黑体" w:cs="黑体" w:eastAsia="黑体" w:hint="default"/>
          <w:sz w:val="22"/>
          <w:szCs w:val="22"/>
        </w:rPr>
        <w:t>续</w:t>
      </w:r>
      <w:r>
        <w:rPr>
          <w:rFonts w:ascii="Arial" w:hAnsi="Arial" w:cs="Arial" w:eastAsia="Arial" w:hint="default"/>
          <w:sz w:val="22"/>
          <w:szCs w:val="22"/>
        </w:rPr>
        <w:t>)</w:t>
      </w:r>
      <w:r>
        <w:rPr>
          <w:rFonts w:ascii="黑体" w:hAnsi="黑体" w:cs="黑体" w:eastAsia="黑体" w:hint="default"/>
          <w:sz w:val="22"/>
          <w:szCs w:val="22"/>
        </w:rPr>
        <w:t>：</w:t>
      </w:r>
    </w:p>
    <w:p>
      <w:pPr>
        <w:spacing w:line="240" w:lineRule="auto" w:before="1"/>
        <w:rPr>
          <w:rFonts w:ascii="黑体" w:hAnsi="黑体" w:cs="黑体" w:eastAsia="黑体" w:hint="default"/>
          <w:sz w:val="20"/>
          <w:szCs w:val="20"/>
        </w:rPr>
      </w:pPr>
    </w:p>
    <w:p>
      <w:pPr>
        <w:spacing w:line="286" w:lineRule="exact" w:before="0"/>
        <w:ind w:left="778" w:right="111" w:hanging="641"/>
        <w:jc w:val="both"/>
        <w:rPr>
          <w:rFonts w:ascii="黑体" w:hAnsi="黑体" w:cs="黑体" w:eastAsia="黑体" w:hint="default"/>
          <w:sz w:val="22"/>
          <w:szCs w:val="22"/>
        </w:rPr>
      </w:pPr>
      <w:r>
        <w:rPr>
          <w:rFonts w:ascii="黑体" w:hAnsi="黑体" w:cs="黑体" w:eastAsia="黑体" w:hint="default"/>
          <w:sz w:val="22"/>
          <w:szCs w:val="22"/>
        </w:rPr>
        <w:t>（</w:t>
      </w:r>
      <w:r>
        <w:rPr>
          <w:rFonts w:ascii="Arial" w:hAnsi="Arial" w:cs="Arial" w:eastAsia="Arial" w:hint="default"/>
          <w:sz w:val="22"/>
          <w:szCs w:val="22"/>
        </w:rPr>
        <w:t>6</w:t>
      </w:r>
      <w:r>
        <w:rPr>
          <w:rFonts w:ascii="黑体" w:hAnsi="黑体" w:cs="黑体" w:eastAsia="黑体" w:hint="default"/>
          <w:sz w:val="22"/>
          <w:szCs w:val="22"/>
        </w:rPr>
        <w:t>） 就用友网络科技股份有限公司中实体或业务活动的财务信息获取充分、适当的审计证</w:t>
      </w:r>
      <w:r>
        <w:rPr>
          <w:rFonts w:ascii="黑体" w:hAnsi="黑体" w:cs="黑体" w:eastAsia="黑体" w:hint="default"/>
          <w:spacing w:val="-93"/>
          <w:sz w:val="22"/>
          <w:szCs w:val="22"/>
        </w:rPr>
        <w:t> </w:t>
      </w:r>
      <w:r>
        <w:rPr>
          <w:rFonts w:ascii="黑体" w:hAnsi="黑体" w:cs="黑体" w:eastAsia="黑体" w:hint="default"/>
          <w:spacing w:val="-93"/>
          <w:sz w:val="22"/>
          <w:szCs w:val="22"/>
        </w:rPr>
      </w:r>
      <w:r>
        <w:rPr>
          <w:rFonts w:ascii="黑体" w:hAnsi="黑体" w:cs="黑体" w:eastAsia="黑体" w:hint="default"/>
          <w:sz w:val="22"/>
          <w:szCs w:val="22"/>
        </w:rPr>
        <w:t>据，以对财务报表发表审计意见。我们负责指导、监督和执行集团审计，并对审计意</w:t>
      </w:r>
      <w:r>
        <w:rPr>
          <w:rFonts w:ascii="黑体" w:hAnsi="黑体" w:cs="黑体" w:eastAsia="黑体" w:hint="default"/>
          <w:w w:val="100"/>
          <w:sz w:val="22"/>
          <w:szCs w:val="22"/>
        </w:rPr>
        <w:t> </w:t>
      </w:r>
      <w:r>
        <w:rPr>
          <w:rFonts w:ascii="黑体" w:hAnsi="黑体" w:cs="黑体" w:eastAsia="黑体" w:hint="default"/>
          <w:sz w:val="22"/>
          <w:szCs w:val="22"/>
        </w:rPr>
        <w:t>见承担全部责任。</w:t>
      </w:r>
    </w:p>
    <w:p>
      <w:pPr>
        <w:spacing w:line="240" w:lineRule="auto" w:before="3"/>
        <w:rPr>
          <w:rFonts w:ascii="黑体" w:hAnsi="黑体" w:cs="黑体" w:eastAsia="黑体" w:hint="default"/>
          <w:sz w:val="19"/>
          <w:szCs w:val="19"/>
        </w:rPr>
      </w:pPr>
    </w:p>
    <w:p>
      <w:pPr>
        <w:spacing w:line="286" w:lineRule="exact" w:before="0"/>
        <w:ind w:left="138" w:right="112" w:firstLine="446"/>
        <w:jc w:val="both"/>
        <w:rPr>
          <w:rFonts w:ascii="黑体" w:hAnsi="黑体" w:cs="黑体" w:eastAsia="黑体" w:hint="default"/>
          <w:sz w:val="22"/>
          <w:szCs w:val="22"/>
        </w:rPr>
      </w:pPr>
      <w:r>
        <w:rPr>
          <w:rFonts w:ascii="黑体" w:hAnsi="黑体" w:cs="黑体" w:eastAsia="黑体" w:hint="default"/>
          <w:sz w:val="22"/>
          <w:szCs w:val="22"/>
        </w:rPr>
        <w:t>我们与治理层就计划的审计范围、时间安排和重大审计发现等事项进行沟通，包括沟通</w:t>
      </w:r>
      <w:r>
        <w:rPr>
          <w:rFonts w:ascii="黑体" w:hAnsi="黑体" w:cs="黑体" w:eastAsia="黑体" w:hint="default"/>
          <w:w w:val="100"/>
          <w:sz w:val="22"/>
          <w:szCs w:val="22"/>
        </w:rPr>
        <w:t> </w:t>
      </w:r>
      <w:r>
        <w:rPr>
          <w:rFonts w:ascii="黑体" w:hAnsi="黑体" w:cs="黑体" w:eastAsia="黑体" w:hint="default"/>
          <w:sz w:val="22"/>
          <w:szCs w:val="22"/>
        </w:rPr>
        <w:t>我们在审计中识别出的值得关注的内部控制缺陷。</w:t>
      </w:r>
    </w:p>
    <w:p>
      <w:pPr>
        <w:spacing w:line="240" w:lineRule="auto" w:before="7"/>
        <w:rPr>
          <w:rFonts w:ascii="黑体" w:hAnsi="黑体" w:cs="黑体" w:eastAsia="黑体" w:hint="default"/>
          <w:sz w:val="19"/>
          <w:szCs w:val="19"/>
        </w:rPr>
      </w:pPr>
    </w:p>
    <w:p>
      <w:pPr>
        <w:spacing w:line="284" w:lineRule="exact" w:before="0"/>
        <w:ind w:left="138" w:right="113" w:firstLine="431"/>
        <w:jc w:val="both"/>
        <w:rPr>
          <w:rFonts w:ascii="黑体" w:hAnsi="黑体" w:cs="黑体" w:eastAsia="黑体" w:hint="default"/>
          <w:sz w:val="22"/>
          <w:szCs w:val="22"/>
        </w:rPr>
      </w:pPr>
      <w:r>
        <w:rPr>
          <w:rFonts w:ascii="黑体" w:hAnsi="黑体" w:cs="黑体" w:eastAsia="黑体" w:hint="default"/>
          <w:sz w:val="22"/>
          <w:szCs w:val="22"/>
        </w:rPr>
        <w:t>我们还就已遵守与独立性相关的职业道德要求向治理层提供声明，并与治理层沟通可能</w:t>
      </w:r>
      <w:r>
        <w:rPr>
          <w:rFonts w:ascii="黑体" w:hAnsi="黑体" w:cs="黑体" w:eastAsia="黑体" w:hint="default"/>
          <w:w w:val="100"/>
          <w:sz w:val="22"/>
          <w:szCs w:val="22"/>
        </w:rPr>
        <w:t> </w:t>
      </w:r>
      <w:r>
        <w:rPr>
          <w:rFonts w:ascii="黑体" w:hAnsi="黑体" w:cs="黑体" w:eastAsia="黑体" w:hint="default"/>
          <w:sz w:val="22"/>
          <w:szCs w:val="22"/>
        </w:rPr>
        <w:t>被合理认为影响我们独立性的所有关系和其他事项，以及相关的防范措施（如适用）。</w:t>
      </w:r>
    </w:p>
    <w:p>
      <w:pPr>
        <w:spacing w:line="240" w:lineRule="auto" w:before="6"/>
        <w:rPr>
          <w:rFonts w:ascii="黑体" w:hAnsi="黑体" w:cs="黑体" w:eastAsia="黑体" w:hint="default"/>
          <w:sz w:val="17"/>
          <w:szCs w:val="17"/>
        </w:rPr>
      </w:pPr>
    </w:p>
    <w:p>
      <w:pPr>
        <w:spacing w:line="237" w:lineRule="auto" w:before="0"/>
        <w:ind w:left="138" w:right="112" w:firstLine="431"/>
        <w:jc w:val="both"/>
        <w:rPr>
          <w:rFonts w:ascii="黑体" w:hAnsi="黑体" w:cs="黑体" w:eastAsia="黑体" w:hint="default"/>
          <w:sz w:val="22"/>
          <w:szCs w:val="22"/>
        </w:rPr>
      </w:pPr>
      <w:r>
        <w:rPr>
          <w:rFonts w:ascii="黑体" w:hAnsi="黑体" w:cs="黑体" w:eastAsia="黑体" w:hint="default"/>
          <w:sz w:val="22"/>
          <w:szCs w:val="22"/>
        </w:rPr>
        <w:t>从与治理层沟通过的事项中，我们确定哪些事项对本期财务报表审计最为重要，因而构</w:t>
      </w:r>
      <w:r>
        <w:rPr>
          <w:rFonts w:ascii="黑体" w:hAnsi="黑体" w:cs="黑体" w:eastAsia="黑体" w:hint="default"/>
          <w:w w:val="100"/>
          <w:sz w:val="22"/>
          <w:szCs w:val="22"/>
        </w:rPr>
        <w:t> </w:t>
      </w:r>
      <w:r>
        <w:rPr>
          <w:rFonts w:ascii="黑体" w:hAnsi="黑体" w:cs="黑体" w:eastAsia="黑体" w:hint="default"/>
          <w:sz w:val="22"/>
          <w:szCs w:val="22"/>
        </w:rPr>
        <w:t>成关键审计事项。我们在审计报告中描述这些事项，除非法律法规禁止公开披露这些事项，</w:t>
      </w:r>
      <w:r>
        <w:rPr>
          <w:rFonts w:ascii="黑体" w:hAnsi="黑体" w:cs="黑体" w:eastAsia="黑体" w:hint="default"/>
          <w:spacing w:val="-79"/>
          <w:sz w:val="22"/>
          <w:szCs w:val="22"/>
        </w:rPr>
        <w:t> </w:t>
      </w:r>
      <w:r>
        <w:rPr>
          <w:rFonts w:ascii="黑体" w:hAnsi="黑体" w:cs="黑体" w:eastAsia="黑体" w:hint="default"/>
          <w:sz w:val="22"/>
          <w:szCs w:val="22"/>
        </w:rPr>
        <w:t>或在极少数情形下，如果合理预期在审计报告中沟通某事项造成的负面后果超过在公众利益</w:t>
      </w:r>
      <w:r>
        <w:rPr>
          <w:rFonts w:ascii="黑体" w:hAnsi="黑体" w:cs="黑体" w:eastAsia="黑体" w:hint="default"/>
          <w:spacing w:val="-78"/>
          <w:sz w:val="22"/>
          <w:szCs w:val="22"/>
        </w:rPr>
        <w:t> </w:t>
      </w:r>
      <w:r>
        <w:rPr>
          <w:rFonts w:ascii="黑体" w:hAnsi="黑体" w:cs="黑体" w:eastAsia="黑体" w:hint="default"/>
          <w:spacing w:val="-78"/>
          <w:sz w:val="22"/>
          <w:szCs w:val="22"/>
        </w:rPr>
      </w:r>
      <w:r>
        <w:rPr>
          <w:rFonts w:ascii="黑体" w:hAnsi="黑体" w:cs="黑体" w:eastAsia="黑体" w:hint="default"/>
          <w:sz w:val="22"/>
          <w:szCs w:val="22"/>
        </w:rPr>
        <w:t>方面产生的益处，我们确定不应在审计报告中沟通该事项。</w:t>
      </w:r>
    </w:p>
    <w:p>
      <w:pPr>
        <w:spacing w:after="0" w:line="237" w:lineRule="auto"/>
        <w:jc w:val="both"/>
        <w:rPr>
          <w:rFonts w:ascii="黑体" w:hAnsi="黑体" w:cs="黑体" w:eastAsia="黑体" w:hint="default"/>
          <w:sz w:val="22"/>
          <w:szCs w:val="22"/>
        </w:rPr>
        <w:sectPr>
          <w:pgSz w:w="11910" w:h="16840"/>
          <w:pgMar w:header="745" w:footer="1195" w:top="1080" w:bottom="1380" w:left="1660" w:right="1160"/>
        </w:sectPr>
      </w:pPr>
    </w:p>
    <w:p>
      <w:pPr>
        <w:spacing w:line="240" w:lineRule="auto" w:before="4"/>
        <w:rPr>
          <w:rFonts w:ascii="黑体" w:hAnsi="黑体" w:cs="黑体" w:eastAsia="黑体" w:hint="default"/>
          <w:sz w:val="28"/>
          <w:szCs w:val="28"/>
        </w:rPr>
      </w:pPr>
    </w:p>
    <w:p>
      <w:pPr>
        <w:spacing w:before="32"/>
        <w:ind w:left="202" w:right="0" w:firstLine="0"/>
        <w:jc w:val="center"/>
        <w:rPr>
          <w:rFonts w:ascii="Arial" w:hAnsi="Arial" w:cs="Arial" w:eastAsia="Arial" w:hint="default"/>
          <w:sz w:val="22"/>
          <w:szCs w:val="22"/>
        </w:rPr>
      </w:pPr>
      <w:r>
        <w:rPr>
          <w:rFonts w:ascii="黑体" w:hAnsi="黑体" w:cs="黑体" w:eastAsia="黑体" w:hint="default"/>
          <w:b/>
          <w:bCs/>
          <w:sz w:val="22"/>
          <w:szCs w:val="22"/>
        </w:rPr>
        <w:t>审计报告</w:t>
      </w:r>
      <w:r>
        <w:rPr>
          <w:rFonts w:ascii="Arial" w:hAnsi="Arial" w:cs="Arial" w:eastAsia="Arial" w:hint="default"/>
          <w:b/>
          <w:bCs/>
          <w:sz w:val="22"/>
          <w:szCs w:val="22"/>
        </w:rPr>
        <w:t>(</w:t>
      </w:r>
      <w:r>
        <w:rPr>
          <w:rFonts w:ascii="黑体" w:hAnsi="黑体" w:cs="黑体" w:eastAsia="黑体" w:hint="default"/>
          <w:b/>
          <w:bCs/>
          <w:sz w:val="22"/>
          <w:szCs w:val="22"/>
        </w:rPr>
        <w:t>续</w:t>
      </w:r>
      <w:r>
        <w:rPr>
          <w:rFonts w:ascii="Arial" w:hAnsi="Arial" w:cs="Arial" w:eastAsia="Arial" w:hint="default"/>
          <w:b/>
          <w:bCs/>
          <w:sz w:val="22"/>
          <w:szCs w:val="22"/>
        </w:rPr>
        <w:t>)</w:t>
      </w:r>
      <w:r>
        <w:rPr>
          <w:rFonts w:ascii="Arial" w:hAnsi="Arial" w:cs="Arial" w:eastAsia="Arial" w:hint="default"/>
          <w:sz w:val="22"/>
          <w:szCs w:val="22"/>
        </w:rPr>
      </w:r>
    </w:p>
    <w:p>
      <w:pPr>
        <w:spacing w:line="240" w:lineRule="auto" w:before="7"/>
        <w:rPr>
          <w:rFonts w:ascii="Arial" w:hAnsi="Arial" w:cs="Arial" w:eastAsia="Arial" w:hint="default"/>
          <w:b/>
          <w:bCs/>
          <w:sz w:val="20"/>
          <w:szCs w:val="20"/>
        </w:rPr>
      </w:pPr>
    </w:p>
    <w:p>
      <w:pPr>
        <w:spacing w:line="295" w:lineRule="exact" w:before="0"/>
        <w:ind w:left="0" w:right="110" w:firstLine="0"/>
        <w:jc w:val="right"/>
        <w:rPr>
          <w:rFonts w:ascii="黑体" w:hAnsi="黑体" w:cs="黑体" w:eastAsia="黑体" w:hint="default"/>
          <w:sz w:val="22"/>
          <w:szCs w:val="22"/>
        </w:rPr>
      </w:pPr>
      <w:r>
        <w:rPr>
          <w:rFonts w:ascii="黑体" w:hAnsi="黑体" w:cs="黑体" w:eastAsia="黑体" w:hint="default"/>
          <w:spacing w:val="-1"/>
          <w:sz w:val="22"/>
          <w:szCs w:val="22"/>
        </w:rPr>
        <w:t>安永华明（</w:t>
      </w:r>
      <w:r>
        <w:rPr>
          <w:rFonts w:ascii="Arial" w:hAnsi="Arial" w:cs="Arial" w:eastAsia="Arial" w:hint="default"/>
          <w:spacing w:val="-1"/>
          <w:sz w:val="22"/>
          <w:szCs w:val="22"/>
        </w:rPr>
        <w:t>2020</w:t>
      </w:r>
      <w:r>
        <w:rPr>
          <w:rFonts w:ascii="黑体" w:hAnsi="黑体" w:cs="黑体" w:eastAsia="黑体" w:hint="default"/>
          <w:spacing w:val="-1"/>
          <w:sz w:val="22"/>
          <w:szCs w:val="22"/>
        </w:rPr>
        <w:t>）审字第</w:t>
      </w:r>
      <w:r>
        <w:rPr>
          <w:rFonts w:ascii="Arial" w:hAnsi="Arial" w:cs="Arial" w:eastAsia="Arial" w:hint="default"/>
          <w:spacing w:val="-1"/>
          <w:sz w:val="22"/>
          <w:szCs w:val="22"/>
        </w:rPr>
        <w:t>60469423_A01</w:t>
      </w:r>
      <w:r>
        <w:rPr>
          <w:rFonts w:ascii="黑体" w:hAnsi="黑体" w:cs="黑体" w:eastAsia="黑体" w:hint="default"/>
          <w:spacing w:val="-1"/>
          <w:sz w:val="22"/>
          <w:szCs w:val="22"/>
        </w:rPr>
        <w:t>号</w:t>
      </w:r>
    </w:p>
    <w:p>
      <w:pPr>
        <w:spacing w:line="279" w:lineRule="exact" w:before="0"/>
        <w:ind w:left="0" w:right="113" w:firstLine="0"/>
        <w:jc w:val="right"/>
        <w:rPr>
          <w:rFonts w:ascii="黑体" w:hAnsi="黑体" w:cs="黑体" w:eastAsia="黑体" w:hint="default"/>
          <w:sz w:val="22"/>
          <w:szCs w:val="22"/>
        </w:rPr>
      </w:pPr>
      <w:r>
        <w:rPr>
          <w:rFonts w:ascii="黑体" w:hAnsi="黑体" w:cs="黑体" w:eastAsia="黑体" w:hint="default"/>
          <w:spacing w:val="-1"/>
          <w:sz w:val="22"/>
          <w:szCs w:val="22"/>
        </w:rPr>
        <w:t>用友网络科技股份有限公司</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15"/>
          <w:szCs w:val="15"/>
        </w:rPr>
      </w:pPr>
    </w:p>
    <w:p>
      <w:pPr>
        <w:spacing w:before="32"/>
        <w:ind w:left="757" w:right="97" w:firstLine="0"/>
        <w:jc w:val="left"/>
        <w:rPr>
          <w:rFonts w:ascii="黑体" w:hAnsi="黑体" w:cs="黑体" w:eastAsia="黑体" w:hint="default"/>
          <w:sz w:val="22"/>
          <w:szCs w:val="22"/>
        </w:rPr>
      </w:pPr>
      <w:r>
        <w:rPr>
          <w:rFonts w:ascii="黑体" w:hAnsi="黑体" w:cs="黑体" w:eastAsia="黑体" w:hint="default"/>
          <w:sz w:val="22"/>
          <w:szCs w:val="22"/>
        </w:rPr>
        <w:t>（本页无正文）</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13"/>
          <w:szCs w:val="13"/>
        </w:rPr>
      </w:pPr>
    </w:p>
    <w:tbl>
      <w:tblPr>
        <w:tblW w:w="0" w:type="auto"/>
        <w:jc w:val="left"/>
        <w:tblInd w:w="118" w:type="dxa"/>
        <w:tblLayout w:type="fixed"/>
        <w:tblCellMar>
          <w:top w:w="0" w:type="dxa"/>
          <w:left w:w="0" w:type="dxa"/>
          <w:bottom w:w="0" w:type="dxa"/>
          <w:right w:w="0" w:type="dxa"/>
        </w:tblCellMar>
        <w:tblLook w:val="01E0"/>
      </w:tblPr>
      <w:tblGrid>
        <w:gridCol w:w="4961"/>
        <w:gridCol w:w="3538"/>
      </w:tblGrid>
      <w:tr>
        <w:trPr>
          <w:trHeight w:val="1299" w:hRule="exact"/>
        </w:trPr>
        <w:tc>
          <w:tcPr>
            <w:tcW w:w="4961" w:type="dxa"/>
            <w:tcBorders>
              <w:top w:val="nil" w:sz="6" w:space="0" w:color="auto"/>
              <w:left w:val="nil" w:sz="6" w:space="0" w:color="auto"/>
              <w:bottom w:val="nil" w:sz="6" w:space="0" w:color="auto"/>
              <w:right w:val="nil" w:sz="6" w:space="0" w:color="auto"/>
            </w:tcBorders>
          </w:tcPr>
          <w:p>
            <w:pPr>
              <w:pStyle w:val="TableParagraph"/>
              <w:spacing w:line="221" w:lineRule="exact"/>
              <w:ind w:left="200" w:right="0"/>
              <w:jc w:val="left"/>
              <w:rPr>
                <w:rFonts w:ascii="黑体" w:hAnsi="黑体" w:cs="黑体" w:eastAsia="黑体" w:hint="default"/>
                <w:sz w:val="22"/>
                <w:szCs w:val="22"/>
              </w:rPr>
            </w:pPr>
            <w:r>
              <w:rPr>
                <w:rFonts w:ascii="黑体" w:hAnsi="黑体" w:cs="黑体" w:eastAsia="黑体" w:hint="default"/>
                <w:sz w:val="22"/>
                <w:szCs w:val="22"/>
              </w:rPr>
              <w:t>安永华明会计师事务所（特殊普通合伙）</w:t>
            </w:r>
          </w:p>
        </w:tc>
        <w:tc>
          <w:tcPr>
            <w:tcW w:w="3538" w:type="dxa"/>
            <w:tcBorders>
              <w:top w:val="nil" w:sz="6" w:space="0" w:color="auto"/>
              <w:left w:val="nil" w:sz="6" w:space="0" w:color="auto"/>
              <w:bottom w:val="nil" w:sz="6" w:space="0" w:color="auto"/>
              <w:right w:val="nil" w:sz="6" w:space="0" w:color="auto"/>
            </w:tcBorders>
          </w:tcPr>
          <w:p>
            <w:pPr>
              <w:pStyle w:val="TableParagraph"/>
              <w:tabs>
                <w:tab w:pos="3117" w:val="left" w:leader="none"/>
              </w:tabs>
              <w:spacing w:line="220" w:lineRule="exact"/>
              <w:ind w:left="798" w:right="0"/>
              <w:jc w:val="left"/>
              <w:rPr>
                <w:rFonts w:ascii="黑体" w:hAnsi="黑体" w:cs="黑体" w:eastAsia="黑体" w:hint="default"/>
                <w:sz w:val="22"/>
                <w:szCs w:val="22"/>
              </w:rPr>
            </w:pPr>
            <w:r>
              <w:rPr>
                <w:rFonts w:ascii="黑体" w:hAnsi="黑体" w:cs="黑体" w:eastAsia="黑体" w:hint="default"/>
                <w:sz w:val="22"/>
                <w:szCs w:val="22"/>
              </w:rPr>
              <w:t>中国注册会计师：王</w:t>
              <w:tab/>
              <w:t>静</w:t>
            </w:r>
          </w:p>
          <w:p>
            <w:pPr>
              <w:pStyle w:val="TableParagraph"/>
              <w:spacing w:line="287" w:lineRule="exact"/>
              <w:ind w:left="798" w:right="0"/>
              <w:jc w:val="left"/>
              <w:rPr>
                <w:rFonts w:ascii="黑体" w:hAnsi="黑体" w:cs="黑体" w:eastAsia="黑体" w:hint="default"/>
                <w:sz w:val="22"/>
                <w:szCs w:val="22"/>
              </w:rPr>
            </w:pPr>
            <w:r>
              <w:rPr>
                <w:rFonts w:ascii="黑体" w:hAnsi="黑体" w:cs="黑体" w:eastAsia="黑体" w:hint="default"/>
                <w:sz w:val="22"/>
                <w:szCs w:val="22"/>
              </w:rPr>
              <w:t>（项目合伙人）</w:t>
            </w:r>
          </w:p>
        </w:tc>
      </w:tr>
      <w:tr>
        <w:trPr>
          <w:trHeight w:val="1804" w:hRule="exact"/>
        </w:trPr>
        <w:tc>
          <w:tcPr>
            <w:tcW w:w="4961" w:type="dxa"/>
            <w:tcBorders>
              <w:top w:val="nil" w:sz="6" w:space="0" w:color="auto"/>
              <w:left w:val="nil" w:sz="6" w:space="0" w:color="auto"/>
              <w:bottom w:val="nil" w:sz="6" w:space="0" w:color="auto"/>
              <w:right w:val="nil" w:sz="6" w:space="0" w:color="auto"/>
            </w:tcBorders>
          </w:tcPr>
          <w:p>
            <w:pPr/>
          </w:p>
        </w:tc>
        <w:tc>
          <w:tcPr>
            <w:tcW w:w="35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2"/>
                <w:szCs w:val="22"/>
              </w:rPr>
            </w:pPr>
          </w:p>
          <w:p>
            <w:pPr>
              <w:pStyle w:val="TableParagraph"/>
              <w:spacing w:line="240" w:lineRule="auto"/>
              <w:ind w:right="0"/>
              <w:jc w:val="left"/>
              <w:rPr>
                <w:rFonts w:ascii="黑体" w:hAnsi="黑体" w:cs="黑体" w:eastAsia="黑体" w:hint="default"/>
                <w:sz w:val="22"/>
                <w:szCs w:val="22"/>
              </w:rPr>
            </w:pPr>
          </w:p>
          <w:p>
            <w:pPr>
              <w:pStyle w:val="TableParagraph"/>
              <w:spacing w:line="240" w:lineRule="auto" w:before="149"/>
              <w:ind w:left="798" w:right="0"/>
              <w:jc w:val="left"/>
              <w:rPr>
                <w:rFonts w:ascii="黑体" w:hAnsi="黑体" w:cs="黑体" w:eastAsia="黑体" w:hint="default"/>
                <w:sz w:val="22"/>
                <w:szCs w:val="22"/>
              </w:rPr>
            </w:pPr>
            <w:r>
              <w:rPr>
                <w:rFonts w:ascii="黑体" w:hAnsi="黑体" w:cs="黑体" w:eastAsia="黑体" w:hint="default"/>
                <w:sz w:val="22"/>
                <w:szCs w:val="22"/>
              </w:rPr>
              <w:t>中国注册会计师： 章晓亮</w:t>
            </w:r>
          </w:p>
        </w:tc>
      </w:tr>
      <w:tr>
        <w:trPr>
          <w:trHeight w:val="1022" w:hRule="exact"/>
        </w:trPr>
        <w:tc>
          <w:tcPr>
            <w:tcW w:w="49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2"/>
                <w:szCs w:val="22"/>
              </w:rPr>
            </w:pPr>
          </w:p>
          <w:p>
            <w:pPr>
              <w:pStyle w:val="TableParagraph"/>
              <w:spacing w:line="240" w:lineRule="auto"/>
              <w:ind w:right="0"/>
              <w:jc w:val="left"/>
              <w:rPr>
                <w:rFonts w:ascii="黑体" w:hAnsi="黑体" w:cs="黑体" w:eastAsia="黑体" w:hint="default"/>
                <w:sz w:val="22"/>
                <w:szCs w:val="22"/>
              </w:rPr>
            </w:pPr>
          </w:p>
          <w:p>
            <w:pPr>
              <w:pStyle w:val="TableParagraph"/>
              <w:tabs>
                <w:tab w:pos="662" w:val="left" w:leader="none"/>
              </w:tabs>
              <w:spacing w:line="240" w:lineRule="auto" w:before="148"/>
              <w:ind w:right="99"/>
              <w:jc w:val="center"/>
              <w:rPr>
                <w:rFonts w:ascii="黑体" w:hAnsi="黑体" w:cs="黑体" w:eastAsia="黑体" w:hint="default"/>
                <w:sz w:val="22"/>
                <w:szCs w:val="22"/>
              </w:rPr>
            </w:pPr>
            <w:r>
              <w:rPr>
                <w:rFonts w:ascii="黑体" w:hAnsi="黑体" w:cs="黑体" w:eastAsia="黑体" w:hint="default"/>
                <w:sz w:val="22"/>
                <w:szCs w:val="22"/>
              </w:rPr>
              <w:t>中国</w:t>
              <w:tab/>
            </w:r>
            <w:r>
              <w:rPr>
                <w:rFonts w:ascii="黑体" w:hAnsi="黑体" w:cs="黑体" w:eastAsia="黑体" w:hint="default"/>
                <w:spacing w:val="-3"/>
                <w:sz w:val="22"/>
                <w:szCs w:val="22"/>
              </w:rPr>
              <w:t>北京</w:t>
            </w:r>
            <w:r>
              <w:rPr>
                <w:rFonts w:ascii="黑体" w:hAnsi="黑体" w:cs="黑体" w:eastAsia="黑体" w:hint="default"/>
                <w:sz w:val="22"/>
                <w:szCs w:val="22"/>
              </w:rPr>
            </w:r>
          </w:p>
        </w:tc>
        <w:tc>
          <w:tcPr>
            <w:tcW w:w="35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22"/>
                <w:szCs w:val="22"/>
              </w:rPr>
            </w:pPr>
          </w:p>
          <w:p>
            <w:pPr>
              <w:pStyle w:val="TableParagraph"/>
              <w:spacing w:line="240" w:lineRule="auto"/>
              <w:ind w:right="0"/>
              <w:jc w:val="left"/>
              <w:rPr>
                <w:rFonts w:ascii="黑体" w:hAnsi="黑体" w:cs="黑体" w:eastAsia="黑体" w:hint="default"/>
                <w:sz w:val="22"/>
                <w:szCs w:val="22"/>
              </w:rPr>
            </w:pPr>
          </w:p>
          <w:p>
            <w:pPr>
              <w:pStyle w:val="TableParagraph"/>
              <w:spacing w:line="240" w:lineRule="auto" w:before="148"/>
              <w:ind w:left="884" w:right="0"/>
              <w:jc w:val="left"/>
              <w:rPr>
                <w:rFonts w:ascii="黑体" w:hAnsi="黑体" w:cs="黑体" w:eastAsia="黑体" w:hint="default"/>
                <w:sz w:val="22"/>
                <w:szCs w:val="22"/>
              </w:rPr>
            </w:pPr>
            <w:r>
              <w:rPr>
                <w:rFonts w:ascii="Arial" w:hAnsi="Arial" w:cs="Arial" w:eastAsia="Arial" w:hint="default"/>
                <w:sz w:val="22"/>
                <w:szCs w:val="22"/>
              </w:rPr>
              <w:t>2020</w:t>
            </w:r>
            <w:r>
              <w:rPr>
                <w:rFonts w:ascii="黑体" w:hAnsi="黑体" w:cs="黑体" w:eastAsia="黑体" w:hint="default"/>
                <w:sz w:val="22"/>
                <w:szCs w:val="22"/>
              </w:rPr>
              <w:t>年</w:t>
            </w:r>
            <w:r>
              <w:rPr>
                <w:rFonts w:ascii="Arial" w:hAnsi="Arial" w:cs="Arial" w:eastAsia="Arial" w:hint="default"/>
                <w:sz w:val="22"/>
                <w:szCs w:val="22"/>
              </w:rPr>
              <w:t>3</w:t>
            </w:r>
            <w:r>
              <w:rPr>
                <w:rFonts w:ascii="黑体" w:hAnsi="黑体" w:cs="黑体" w:eastAsia="黑体" w:hint="default"/>
                <w:sz w:val="22"/>
                <w:szCs w:val="22"/>
              </w:rPr>
              <w:t>月</w:t>
            </w:r>
            <w:r>
              <w:rPr>
                <w:rFonts w:ascii="Arial" w:hAnsi="Arial" w:cs="Arial" w:eastAsia="Arial" w:hint="default"/>
                <w:sz w:val="22"/>
                <w:szCs w:val="22"/>
              </w:rPr>
              <w:t>27</w:t>
            </w:r>
            <w:r>
              <w:rPr>
                <w:rFonts w:ascii="黑体" w:hAnsi="黑体" w:cs="黑体" w:eastAsia="黑体" w:hint="default"/>
                <w:sz w:val="22"/>
                <w:szCs w:val="22"/>
              </w:rPr>
              <w:t>日</w:t>
            </w:r>
          </w:p>
        </w:tc>
      </w:tr>
    </w:tbl>
    <w:p>
      <w:pPr>
        <w:spacing w:after="0" w:line="240" w:lineRule="auto"/>
        <w:jc w:val="left"/>
        <w:rPr>
          <w:rFonts w:ascii="黑体" w:hAnsi="黑体" w:cs="黑体" w:eastAsia="黑体" w:hint="default"/>
          <w:sz w:val="22"/>
          <w:szCs w:val="22"/>
        </w:rPr>
        <w:sectPr>
          <w:pgSz w:w="11910" w:h="16840"/>
          <w:pgMar w:header="745" w:footer="1195" w:top="1080" w:bottom="1380" w:left="1480" w:right="1160"/>
        </w:sectPr>
      </w:pPr>
    </w:p>
    <w:p>
      <w:pPr>
        <w:spacing w:line="240" w:lineRule="auto" w:before="10"/>
        <w:rPr>
          <w:rFonts w:ascii="黑体" w:hAnsi="黑体" w:cs="黑体" w:eastAsia="黑体" w:hint="default"/>
          <w:sz w:val="28"/>
          <w:szCs w:val="28"/>
        </w:rPr>
      </w:pPr>
    </w:p>
    <w:p>
      <w:pPr>
        <w:spacing w:after="0" w:line="240" w:lineRule="auto"/>
        <w:rPr>
          <w:rFonts w:ascii="黑体" w:hAnsi="黑体" w:cs="黑体" w:eastAsia="黑体" w:hint="default"/>
          <w:sz w:val="28"/>
          <w:szCs w:val="28"/>
        </w:rPr>
        <w:sectPr>
          <w:pgSz w:w="11910" w:h="16840"/>
          <w:pgMar w:header="745" w:footer="1195" w:top="1080" w:bottom="1380" w:left="1580" w:right="1160"/>
        </w:sectPr>
      </w:pPr>
    </w:p>
    <w:p>
      <w:pPr>
        <w:pStyle w:val="Heading2"/>
        <w:tabs>
          <w:tab w:pos="1057" w:val="left" w:leader="none"/>
        </w:tabs>
        <w:spacing w:line="240" w:lineRule="auto" w:before="26"/>
        <w:ind w:left="218" w:right="0"/>
        <w:jc w:val="left"/>
        <w:rPr>
          <w:rFonts w:ascii="宋体" w:hAnsi="宋体" w:cs="宋体" w:eastAsia="宋体" w:hint="default"/>
          <w:b w:val="0"/>
          <w:bCs w:val="0"/>
        </w:rPr>
      </w:pPr>
      <w:r>
        <w:rPr>
          <w:w w:val="95"/>
        </w:rPr>
        <w:t>二、</w:t>
      </w:r>
      <w:r>
        <w:rPr>
          <w:rFonts w:ascii="宋体" w:hAnsi="宋体" w:cs="宋体" w:eastAsia="宋体" w:hint="default"/>
          <w:w w:val="95"/>
        </w:rPr>
        <w:tab/>
      </w:r>
      <w:r>
        <w:rPr/>
        <w:t>财务报表</w:t>
      </w:r>
      <w:r>
        <w:rPr>
          <w:rFonts w:ascii="宋体" w:hAnsi="宋体" w:cs="宋体" w:eastAsia="宋体" w:hint="default"/>
          <w:w w:val="99"/>
        </w:rPr>
        <w:t> </w:t>
      </w:r>
      <w:r>
        <w:rPr>
          <w:rFonts w:ascii="宋体" w:hAnsi="宋体" w:cs="宋体" w:eastAsia="宋体" w:hint="default"/>
          <w:b w:val="0"/>
          <w:bCs w:val="0"/>
        </w:rPr>
      </w:r>
    </w:p>
    <w:p>
      <w:pPr>
        <w:spacing w:line="240" w:lineRule="auto" w:before="5"/>
        <w:rPr>
          <w:rFonts w:ascii="宋体" w:hAnsi="宋体" w:cs="宋体" w:eastAsia="宋体" w:hint="default"/>
          <w:b/>
          <w:bCs/>
          <w:sz w:val="30"/>
          <w:szCs w:val="30"/>
        </w:rPr>
      </w:pPr>
      <w:r>
        <w:rPr/>
        <w:br w:type="column"/>
      </w:r>
      <w:r>
        <w:rPr>
          <w:rFonts w:ascii="宋体"/>
          <w:b/>
          <w:sz w:val="30"/>
        </w:rPr>
      </w:r>
    </w:p>
    <w:p>
      <w:pPr>
        <w:pStyle w:val="Heading2"/>
        <w:spacing w:line="240" w:lineRule="auto"/>
        <w:ind w:left="198" w:right="3521"/>
        <w:jc w:val="center"/>
        <w:rPr>
          <w:b w:val="0"/>
          <w:bCs w:val="0"/>
        </w:rPr>
      </w:pPr>
      <w:r>
        <w:rPr/>
        <w:t>合并资产负债表</w:t>
      </w:r>
      <w:r>
        <w:rPr>
          <w:b w:val="0"/>
          <w:bCs w:val="0"/>
        </w:rPr>
      </w:r>
    </w:p>
    <w:p>
      <w:pPr>
        <w:pStyle w:val="BodyText"/>
        <w:spacing w:line="240" w:lineRule="auto" w:before="58"/>
        <w:ind w:left="199" w:right="3521"/>
        <w:jc w:val="center"/>
      </w:pP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p>
    <w:p>
      <w:pPr>
        <w:spacing w:after="0" w:line="240" w:lineRule="auto"/>
        <w:jc w:val="center"/>
        <w:sectPr>
          <w:type w:val="continuous"/>
          <w:pgSz w:w="11910" w:h="16840"/>
          <w:pgMar w:top="1120" w:bottom="1380" w:left="1580" w:right="1160"/>
          <w:cols w:num="2" w:equalWidth="0">
            <w:col w:w="2143" w:space="1282"/>
            <w:col w:w="5745"/>
          </w:cols>
        </w:sectPr>
      </w:pPr>
    </w:p>
    <w:p>
      <w:pPr>
        <w:pStyle w:val="BodyText"/>
        <w:spacing w:line="299" w:lineRule="exact"/>
        <w:ind w:left="218" w:right="2450"/>
        <w:jc w:val="left"/>
      </w:pPr>
      <w:r>
        <w:rPr/>
        <w:t>编制单位</w:t>
      </w:r>
      <w:r>
        <w:rPr>
          <w:rFonts w:ascii="Times New Roman" w:hAnsi="Times New Roman" w:cs="Times New Roman" w:eastAsia="Times New Roman" w:hint="default"/>
        </w:rPr>
        <w:t>:</w:t>
      </w:r>
      <w:r>
        <w:rPr>
          <w:rFonts w:ascii="Times New Roman" w:hAnsi="Times New Roman" w:cs="Times New Roman" w:eastAsia="Times New Roman" w:hint="default"/>
          <w:spacing w:val="59"/>
        </w:rPr>
        <w:t> </w:t>
      </w:r>
      <w:r>
        <w:rPr/>
        <w:t>用友网络科技股份有限公司</w:t>
      </w:r>
    </w:p>
    <w:p>
      <w:pPr>
        <w:pStyle w:val="BodyText"/>
        <w:tabs>
          <w:tab w:pos="1027" w:val="left" w:leader="none"/>
        </w:tabs>
        <w:spacing w:line="322" w:lineRule="exact"/>
        <w:ind w:left="0" w:right="112"/>
        <w:jc w:val="righ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tbl>
      <w:tblPr>
        <w:tblW w:w="0" w:type="auto"/>
        <w:jc w:val="left"/>
        <w:tblInd w:w="102" w:type="dxa"/>
        <w:tblLayout w:type="fixed"/>
        <w:tblCellMar>
          <w:top w:w="0" w:type="dxa"/>
          <w:left w:w="0" w:type="dxa"/>
          <w:bottom w:w="0" w:type="dxa"/>
          <w:right w:w="0" w:type="dxa"/>
        </w:tblCellMar>
        <w:tblLook w:val="01E0"/>
      </w:tblPr>
      <w:tblGrid>
        <w:gridCol w:w="2513"/>
        <w:gridCol w:w="1262"/>
        <w:gridCol w:w="2456"/>
        <w:gridCol w:w="2636"/>
      </w:tblGrid>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79" w:right="0"/>
              <w:jc w:val="left"/>
              <w:rPr>
                <w:rFonts w:ascii="宋体" w:hAnsi="宋体" w:cs="宋体" w:eastAsia="宋体" w:hint="default"/>
                <w:sz w:val="24"/>
                <w:szCs w:val="24"/>
              </w:rPr>
            </w:pPr>
            <w:r>
              <w:rPr>
                <w:rFonts w:ascii="宋体" w:hAnsi="宋体" w:cs="宋体" w:eastAsia="宋体" w:hint="default"/>
                <w:b/>
                <w:bCs/>
                <w:sz w:val="24"/>
                <w:szCs w:val="24"/>
              </w:rPr>
              <w:t>附注</w:t>
            </w:r>
            <w:r>
              <w:rPr>
                <w:rFonts w:ascii="宋体" w:hAnsi="宋体" w:cs="宋体" w:eastAsia="宋体" w:hint="default"/>
                <w:sz w:val="24"/>
                <w:szCs w:val="24"/>
              </w:rPr>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227"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2019</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年</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月</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31</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日</w:t>
            </w:r>
            <w:r>
              <w:rPr>
                <w:rFonts w:ascii="宋体" w:hAnsi="宋体" w:cs="宋体" w:eastAsia="宋体" w:hint="default"/>
                <w:sz w:val="24"/>
                <w:szCs w:val="24"/>
              </w:rPr>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316"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2018</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年</w:t>
            </w:r>
            <w:r>
              <w:rPr>
                <w:rFonts w:ascii="宋体" w:hAnsi="宋体" w:cs="宋体" w:eastAsia="宋体" w:hint="default"/>
                <w:b/>
                <w:bCs/>
                <w:spacing w:val="-59"/>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月</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31</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日</w:t>
            </w:r>
            <w:r>
              <w:rPr>
                <w:rFonts w:ascii="宋体" w:hAnsi="宋体" w:cs="宋体" w:eastAsia="宋体" w:hint="default"/>
                <w:sz w:val="24"/>
                <w:szCs w:val="24"/>
              </w:rPr>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流动资产：</w:t>
            </w:r>
            <w:r>
              <w:rPr>
                <w:rFonts w:ascii="宋体" w:hAnsi="宋体" w:cs="宋体" w:eastAsia="宋体" w:hint="default"/>
                <w:sz w:val="24"/>
                <w:szCs w:val="24"/>
              </w:rPr>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b/>
                <w:color w:val="FF00FF"/>
                <w:w w:val="99"/>
                <w:sz w:val="24"/>
              </w:rPr>
              <w:t> </w:t>
            </w:r>
            <w:r>
              <w:rPr>
                <w:rFonts w:ascii="宋体"/>
                <w:sz w:val="24"/>
              </w:rPr>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b/>
                <w:color w:val="FF00FF"/>
                <w:w w:val="99"/>
                <w:sz w:val="24"/>
              </w:rPr>
              <w:t> </w:t>
            </w:r>
            <w:r>
              <w:rPr>
                <w:rFonts w:ascii="宋体"/>
                <w:sz w:val="24"/>
              </w:rPr>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货币资金</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w:t>
            </w:r>
          </w:p>
        </w:tc>
        <w:tc>
          <w:tcPr>
            <w:tcW w:w="2456" w:type="dxa"/>
            <w:tcBorders>
              <w:top w:val="single" w:sz="6" w:space="0" w:color="000000"/>
              <w:left w:val="single" w:sz="6"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7,147,448,420 </w:t>
            </w:r>
          </w:p>
        </w:tc>
        <w:tc>
          <w:tcPr>
            <w:tcW w:w="2636" w:type="dxa"/>
            <w:tcBorders>
              <w:top w:val="single" w:sz="6" w:space="0" w:color="000000"/>
              <w:left w:val="single" w:sz="4" w:space="0" w:color="000000"/>
              <w:bottom w:val="single" w:sz="4" w:space="0" w:color="000000"/>
              <w:right w:val="single" w:sz="4" w:space="0" w:color="000000"/>
            </w:tcBorders>
          </w:tcPr>
          <w:p>
            <w:pPr>
              <w:pStyle w:val="TableParagraph"/>
              <w:spacing w:line="274" w:lineRule="exact"/>
              <w:ind w:right="43"/>
              <w:jc w:val="right"/>
              <w:rPr>
                <w:rFonts w:ascii="宋体" w:hAnsi="宋体" w:cs="宋体" w:eastAsia="宋体" w:hint="default"/>
                <w:sz w:val="24"/>
                <w:szCs w:val="24"/>
              </w:rPr>
            </w:pPr>
            <w:r>
              <w:rPr>
                <w:rFonts w:ascii="宋体"/>
                <w:sz w:val="24"/>
              </w:rPr>
              <w:t>5,530,811,375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结算备付金</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拆出资金</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4"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交易性金融资产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221,059,354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951"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firstLine="239"/>
              <w:jc w:val="left"/>
              <w:rPr>
                <w:rFonts w:ascii="宋体" w:hAnsi="宋体" w:cs="宋体" w:eastAsia="宋体" w:hint="default"/>
                <w:sz w:val="24"/>
                <w:szCs w:val="24"/>
              </w:rPr>
            </w:pPr>
            <w:r>
              <w:rPr>
                <w:rFonts w:ascii="宋体" w:hAnsi="宋体" w:cs="宋体" w:eastAsia="宋体" w:hint="default"/>
                <w:sz w:val="24"/>
                <w:szCs w:val="24"/>
              </w:rPr>
              <w:t>以公允价值计量且</w:t>
            </w:r>
          </w:p>
          <w:p>
            <w:pPr>
              <w:pStyle w:val="TableParagraph"/>
              <w:spacing w:line="312" w:lineRule="exact" w:before="28"/>
              <w:ind w:left="100" w:right="236"/>
              <w:jc w:val="left"/>
              <w:rPr>
                <w:rFonts w:ascii="宋体" w:hAnsi="宋体" w:cs="宋体" w:eastAsia="宋体" w:hint="default"/>
                <w:sz w:val="24"/>
                <w:szCs w:val="24"/>
              </w:rPr>
            </w:pPr>
            <w:r>
              <w:rPr>
                <w:rFonts w:ascii="宋体" w:hAnsi="宋体" w:cs="宋体" w:eastAsia="宋体" w:hint="default"/>
                <w:sz w:val="24"/>
                <w:szCs w:val="24"/>
              </w:rPr>
              <w:t>其变动计入当期损益 的金融资产</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衍生金融资产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应收票据</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2"/>
              <w:jc w:val="right"/>
              <w:rPr>
                <w:rFonts w:ascii="宋体" w:hAnsi="宋体" w:cs="宋体" w:eastAsia="宋体" w:hint="default"/>
                <w:sz w:val="24"/>
                <w:szCs w:val="24"/>
              </w:rPr>
            </w:pPr>
            <w:r>
              <w:rPr>
                <w:rFonts w:ascii="宋体"/>
                <w:sz w:val="24"/>
              </w:rPr>
              <w:t>133,306,487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115,302,348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1,234,210,969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1,389,930,749 </w:t>
            </w:r>
          </w:p>
        </w:tc>
      </w:tr>
      <w:tr>
        <w:trPr>
          <w:trHeight w:val="602"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应收款项融资</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99"/>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7"/>
              <w:jc w:val="right"/>
              <w:rPr>
                <w:rFonts w:ascii="宋体" w:hAnsi="宋体" w:cs="宋体" w:eastAsia="宋体" w:hint="default"/>
                <w:sz w:val="24"/>
                <w:szCs w:val="24"/>
              </w:rPr>
            </w:pPr>
            <w:r>
              <w:rPr>
                <w:rFonts w:ascii="宋体"/>
                <w:sz w:val="24"/>
              </w:rPr>
              <w:t> </w:t>
            </w:r>
          </w:p>
        </w:tc>
      </w:tr>
      <w:tr>
        <w:trPr>
          <w:trHeight w:val="324"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预付款项</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90,457,997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65,643,720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应收保费</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9"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应收分保账款</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9"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17"/>
              <w:jc w:val="right"/>
              <w:rPr>
                <w:rFonts w:ascii="宋体" w:hAnsi="宋体" w:cs="宋体" w:eastAsia="宋体" w:hint="default"/>
                <w:sz w:val="24"/>
                <w:szCs w:val="24"/>
              </w:rPr>
            </w:pPr>
            <w:r>
              <w:rPr>
                <w:rFonts w:ascii="宋体"/>
                <w:sz w:val="24"/>
              </w:rPr>
              <w:t> </w:t>
            </w:r>
          </w:p>
        </w:tc>
      </w:tr>
      <w:tr>
        <w:trPr>
          <w:trHeight w:val="639"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应收分保合同准备</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金</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18"/>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8</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456,289,435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393,441,377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其中：应收利息</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2,958,695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60" w:right="0"/>
              <w:jc w:val="left"/>
              <w:rPr>
                <w:rFonts w:ascii="宋体" w:hAnsi="宋体" w:cs="宋体" w:eastAsia="宋体" w:hint="default"/>
                <w:sz w:val="24"/>
                <w:szCs w:val="24"/>
              </w:rPr>
            </w:pPr>
            <w:r>
              <w:rPr>
                <w:rFonts w:ascii="宋体" w:hAnsi="宋体" w:cs="宋体" w:eastAsia="宋体" w:hint="default"/>
                <w:sz w:val="24"/>
                <w:szCs w:val="24"/>
              </w:rPr>
              <w:t>应收股利</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36"/>
              <w:jc w:val="right"/>
              <w:rPr>
                <w:rFonts w:ascii="宋体" w:hAnsi="宋体" w:cs="宋体" w:eastAsia="宋体" w:hint="default"/>
                <w:sz w:val="24"/>
                <w:szCs w:val="24"/>
              </w:rPr>
            </w:pPr>
            <w:r>
              <w:rPr>
                <w:rFonts w:ascii="宋体" w:hAnsi="宋体" w:cs="宋体" w:eastAsia="宋体" w:hint="default"/>
                <w:sz w:val="24"/>
                <w:szCs w:val="24"/>
              </w:rPr>
              <w:t>买入返售金融资产</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存货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9</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22,859,468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21,767,989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持有待售资产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10</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53,557,307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63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340" w:right="0"/>
              <w:jc w:val="left"/>
              <w:rPr>
                <w:rFonts w:ascii="宋体" w:hAnsi="宋体" w:cs="宋体" w:eastAsia="宋体" w:hint="default"/>
                <w:sz w:val="24"/>
                <w:szCs w:val="24"/>
              </w:rPr>
            </w:pPr>
            <w:r>
              <w:rPr>
                <w:rFonts w:ascii="宋体" w:hAnsi="宋体" w:cs="宋体" w:eastAsia="宋体" w:hint="default"/>
                <w:sz w:val="24"/>
                <w:szCs w:val="24"/>
              </w:rPr>
              <w:t>一年内到期的非流</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动资产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11</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18"/>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其他流动资产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12</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809,127,224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823,208,213 </w:t>
            </w:r>
          </w:p>
        </w:tc>
      </w:tr>
      <w:tr>
        <w:trPr>
          <w:trHeight w:val="327"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580" w:right="0"/>
              <w:jc w:val="left"/>
              <w:rPr>
                <w:rFonts w:ascii="宋体" w:hAnsi="宋体" w:cs="宋体" w:eastAsia="宋体" w:hint="default"/>
                <w:sz w:val="24"/>
                <w:szCs w:val="24"/>
              </w:rPr>
            </w:pPr>
            <w:r>
              <w:rPr>
                <w:rFonts w:ascii="宋体" w:hAnsi="宋体" w:cs="宋体" w:eastAsia="宋体" w:hint="default"/>
                <w:sz w:val="24"/>
                <w:szCs w:val="24"/>
              </w:rPr>
              <w:t>流动资产合计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10,168,316,661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8,340,105,771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非流动资产：</w:t>
            </w:r>
            <w:r>
              <w:rPr>
                <w:rFonts w:ascii="宋体" w:hAnsi="宋体" w:cs="宋体" w:eastAsia="宋体" w:hint="default"/>
                <w:sz w:val="24"/>
                <w:szCs w:val="24"/>
              </w:rPr>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nil" w:sz="6" w:space="0" w:color="auto"/>
            </w:tcBorders>
          </w:tcPr>
          <w:p>
            <w:pPr>
              <w:pStyle w:val="TableParagraph"/>
              <w:spacing w:line="276" w:lineRule="exact"/>
              <w:ind w:left="100" w:right="0"/>
              <w:jc w:val="left"/>
              <w:rPr>
                <w:rFonts w:ascii="宋体" w:hAnsi="宋体" w:cs="宋体" w:eastAsia="宋体" w:hint="default"/>
                <w:sz w:val="24"/>
                <w:szCs w:val="24"/>
              </w:rPr>
            </w:pPr>
            <w:r>
              <w:rPr>
                <w:rFonts w:ascii="宋体"/>
                <w:color w:val="008000"/>
                <w:sz w:val="24"/>
              </w:rPr>
              <w:t> </w:t>
            </w:r>
            <w:r>
              <w:rPr>
                <w:rFonts w:ascii="宋体"/>
                <w:sz w:val="24"/>
              </w:rPr>
            </w:r>
          </w:p>
        </w:tc>
        <w:tc>
          <w:tcPr>
            <w:tcW w:w="2636" w:type="dxa"/>
            <w:tcBorders>
              <w:top w:val="single" w:sz="4" w:space="0" w:color="000000"/>
              <w:left w:val="nil" w:sz="6" w:space="0" w:color="auto"/>
              <w:bottom w:val="single" w:sz="4" w:space="0" w:color="000000"/>
              <w:right w:val="single" w:sz="4" w:space="0" w:color="000000"/>
            </w:tcBorders>
          </w:tcPr>
          <w:p>
            <w:pPr>
              <w:pStyle w:val="TableParagraph"/>
              <w:spacing w:line="276" w:lineRule="exact"/>
              <w:ind w:left="107" w:right="0"/>
              <w:jc w:val="left"/>
              <w:rPr>
                <w:rFonts w:ascii="宋体" w:hAnsi="宋体" w:cs="宋体" w:eastAsia="宋体" w:hint="default"/>
                <w:sz w:val="24"/>
                <w:szCs w:val="24"/>
              </w:rPr>
            </w:pPr>
            <w:r>
              <w:rPr>
                <w:rFonts w:ascii="宋体"/>
                <w:color w:val="008000"/>
                <w:sz w:val="24"/>
              </w:rPr>
              <w:t> </w:t>
            </w:r>
            <w:r>
              <w:rPr>
                <w:rFonts w:ascii="宋体"/>
                <w:sz w:val="24"/>
              </w:rPr>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发放贷款和垫款</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债权投资</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13</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36"/>
              <w:jc w:val="right"/>
              <w:rPr>
                <w:rFonts w:ascii="宋体" w:hAnsi="宋体" w:cs="宋体" w:eastAsia="宋体" w:hint="default"/>
                <w:sz w:val="24"/>
                <w:szCs w:val="24"/>
              </w:rPr>
            </w:pPr>
            <w:r>
              <w:rPr>
                <w:rFonts w:ascii="宋体" w:hAnsi="宋体" w:cs="宋体" w:eastAsia="宋体" w:hint="default"/>
                <w:sz w:val="24"/>
                <w:szCs w:val="24"/>
              </w:rPr>
              <w:t>可供出售金融资产</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677,081,266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其他债权投资</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14</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持有至到期投资</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长期应收款</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15</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26,029,129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长期股权投资</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16</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1,781,941,480 </w:t>
            </w:r>
          </w:p>
        </w:tc>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1,702,892,459 </w:t>
            </w:r>
          </w:p>
        </w:tc>
      </w:tr>
    </w:tbl>
    <w:p>
      <w:pPr>
        <w:spacing w:after="0" w:line="276" w:lineRule="exact"/>
        <w:jc w:val="right"/>
        <w:rPr>
          <w:rFonts w:ascii="宋体" w:hAnsi="宋体" w:cs="宋体" w:eastAsia="宋体" w:hint="default"/>
          <w:sz w:val="24"/>
          <w:szCs w:val="24"/>
        </w:rPr>
        <w:sectPr>
          <w:type w:val="continuous"/>
          <w:pgSz w:w="11910" w:h="16840"/>
          <w:pgMar w:top="1120" w:bottom="1380" w:left="1580" w:right="11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2" w:type="dxa"/>
        <w:tblLayout w:type="fixed"/>
        <w:tblCellMar>
          <w:top w:w="0" w:type="dxa"/>
          <w:left w:w="0" w:type="dxa"/>
          <w:bottom w:w="0" w:type="dxa"/>
          <w:right w:w="0" w:type="dxa"/>
        </w:tblCellMar>
        <w:tblLook w:val="01E0"/>
      </w:tblPr>
      <w:tblGrid>
        <w:gridCol w:w="2513"/>
        <w:gridCol w:w="1262"/>
        <w:gridCol w:w="2456"/>
        <w:gridCol w:w="2635"/>
      </w:tblGrid>
      <w:tr>
        <w:trPr>
          <w:trHeight w:val="327"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236"/>
              <w:jc w:val="right"/>
              <w:rPr>
                <w:rFonts w:ascii="宋体" w:hAnsi="宋体" w:cs="宋体" w:eastAsia="宋体" w:hint="default"/>
                <w:sz w:val="24"/>
                <w:szCs w:val="24"/>
              </w:rPr>
            </w:pPr>
            <w:r>
              <w:rPr>
                <w:rFonts w:ascii="宋体" w:hAnsi="宋体" w:cs="宋体" w:eastAsia="宋体" w:hint="default"/>
                <w:sz w:val="24"/>
                <w:szCs w:val="24"/>
              </w:rPr>
              <w:t>其他权益工具投资</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5"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17</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9"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9" w:lineRule="exact"/>
              <w:ind w:right="-20"/>
              <w:jc w:val="right"/>
              <w:rPr>
                <w:rFonts w:ascii="宋体" w:hAnsi="宋体" w:cs="宋体" w:eastAsia="宋体" w:hint="default"/>
                <w:sz w:val="24"/>
                <w:szCs w:val="24"/>
              </w:rPr>
            </w:pPr>
            <w:r>
              <w:rPr>
                <w:rFonts w:ascii="宋体"/>
                <w:sz w:val="24"/>
              </w:rPr>
              <w:t> </w:t>
            </w:r>
          </w:p>
        </w:tc>
      </w:tr>
      <w:tr>
        <w:trPr>
          <w:trHeight w:val="638"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其他非流动金融资</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18</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18"/>
              <w:ind w:right="-17"/>
              <w:jc w:val="right"/>
              <w:rPr>
                <w:rFonts w:ascii="宋体" w:hAnsi="宋体" w:cs="宋体" w:eastAsia="宋体" w:hint="default"/>
                <w:sz w:val="24"/>
                <w:szCs w:val="24"/>
              </w:rPr>
            </w:pPr>
            <w:r>
              <w:rPr>
                <w:rFonts w:ascii="宋体"/>
                <w:sz w:val="24"/>
              </w:rPr>
              <w:t>1,069,298,248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18"/>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投资性房地产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19</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20</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2,509,501,286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2,073,150,867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在建工程</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21</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446,130,020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生产性生物资产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22</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油气资产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23</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使用权资产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24</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无形资产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25</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870,242,780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875,919,137 </w:t>
            </w:r>
          </w:p>
        </w:tc>
      </w:tr>
      <w:tr>
        <w:trPr>
          <w:trHeight w:val="324"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开发支出</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26</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41,091,121 </w:t>
            </w:r>
          </w:p>
        </w:tc>
      </w:tr>
      <w:tr>
        <w:trPr>
          <w:trHeight w:val="327"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340" w:right="0"/>
              <w:jc w:val="left"/>
              <w:rPr>
                <w:rFonts w:ascii="宋体" w:hAnsi="宋体" w:cs="宋体" w:eastAsia="宋体" w:hint="default"/>
                <w:sz w:val="24"/>
                <w:szCs w:val="24"/>
              </w:rPr>
            </w:pPr>
            <w:r>
              <w:rPr>
                <w:rFonts w:ascii="宋体" w:hAnsi="宋体" w:cs="宋体" w:eastAsia="宋体" w:hint="default"/>
                <w:sz w:val="24"/>
                <w:szCs w:val="24"/>
              </w:rPr>
              <w:t>商誉</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5"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27</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9" w:lineRule="exact"/>
              <w:ind w:right="-17"/>
              <w:jc w:val="right"/>
              <w:rPr>
                <w:rFonts w:ascii="宋体" w:hAnsi="宋体" w:cs="宋体" w:eastAsia="宋体" w:hint="default"/>
                <w:sz w:val="24"/>
                <w:szCs w:val="24"/>
              </w:rPr>
            </w:pPr>
            <w:r>
              <w:rPr>
                <w:rFonts w:ascii="宋体"/>
                <w:sz w:val="24"/>
              </w:rPr>
              <w:t>890,890,412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9" w:lineRule="exact"/>
              <w:ind w:right="-20"/>
              <w:jc w:val="right"/>
              <w:rPr>
                <w:rFonts w:ascii="宋体" w:hAnsi="宋体" w:cs="宋体" w:eastAsia="宋体" w:hint="default"/>
                <w:sz w:val="24"/>
                <w:szCs w:val="24"/>
              </w:rPr>
            </w:pPr>
            <w:r>
              <w:rPr>
                <w:rFonts w:ascii="宋体"/>
                <w:sz w:val="24"/>
              </w:rPr>
              <w:t>925,021,513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长期待摊费用</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28</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9" w:lineRule="exact"/>
              <w:ind w:right="-17"/>
              <w:jc w:val="right"/>
              <w:rPr>
                <w:rFonts w:ascii="宋体" w:hAnsi="宋体" w:cs="宋体" w:eastAsia="宋体" w:hint="default"/>
                <w:sz w:val="24"/>
                <w:szCs w:val="24"/>
              </w:rPr>
            </w:pPr>
            <w:r>
              <w:rPr>
                <w:rFonts w:ascii="宋体"/>
                <w:sz w:val="24"/>
              </w:rPr>
              <w:t>18,185,090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9" w:lineRule="exact"/>
              <w:ind w:right="-20"/>
              <w:jc w:val="right"/>
              <w:rPr>
                <w:rFonts w:ascii="宋体" w:hAnsi="宋体" w:cs="宋体" w:eastAsia="宋体" w:hint="default"/>
                <w:sz w:val="24"/>
                <w:szCs w:val="24"/>
              </w:rPr>
            </w:pPr>
            <w:r>
              <w:rPr>
                <w:rFonts w:ascii="宋体"/>
                <w:sz w:val="24"/>
              </w:rPr>
              <w:t>25,628,708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递延所得税资产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29</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9" w:lineRule="exact"/>
              <w:ind w:right="-17"/>
              <w:jc w:val="right"/>
              <w:rPr>
                <w:rFonts w:ascii="宋体" w:hAnsi="宋体" w:cs="宋体" w:eastAsia="宋体" w:hint="default"/>
                <w:sz w:val="24"/>
                <w:szCs w:val="24"/>
              </w:rPr>
            </w:pPr>
            <w:r>
              <w:rPr>
                <w:rFonts w:ascii="宋体"/>
                <w:sz w:val="24"/>
              </w:rPr>
              <w:t>134,488,481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9" w:lineRule="exact"/>
              <w:ind w:right="-20"/>
              <w:jc w:val="right"/>
              <w:rPr>
                <w:rFonts w:ascii="宋体" w:hAnsi="宋体" w:cs="宋体" w:eastAsia="宋体" w:hint="default"/>
                <w:sz w:val="24"/>
                <w:szCs w:val="24"/>
              </w:rPr>
            </w:pPr>
            <w:r>
              <w:rPr>
                <w:rFonts w:ascii="宋体"/>
                <w:sz w:val="24"/>
              </w:rPr>
              <w:t>113,875,732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其他非流动资产</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30</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9" w:lineRule="exact"/>
              <w:ind w:right="-17"/>
              <w:jc w:val="right"/>
              <w:rPr>
                <w:rFonts w:ascii="宋体" w:hAnsi="宋体" w:cs="宋体" w:eastAsia="宋体" w:hint="default"/>
                <w:sz w:val="24"/>
                <w:szCs w:val="24"/>
              </w:rPr>
            </w:pPr>
            <w:r>
              <w:rPr>
                <w:rFonts w:ascii="宋体"/>
                <w:sz w:val="24"/>
              </w:rPr>
              <w:t>69,489,140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9"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36"/>
              <w:jc w:val="right"/>
              <w:rPr>
                <w:rFonts w:ascii="宋体" w:hAnsi="宋体" w:cs="宋体" w:eastAsia="宋体" w:hint="default"/>
                <w:sz w:val="24"/>
                <w:szCs w:val="24"/>
              </w:rPr>
            </w:pPr>
            <w:r>
              <w:rPr>
                <w:rFonts w:ascii="宋体" w:hAnsi="宋体" w:cs="宋体" w:eastAsia="宋体" w:hint="default"/>
                <w:sz w:val="24"/>
                <w:szCs w:val="24"/>
              </w:rPr>
              <w:t>非流动资产合计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7,370,066,046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6,880,790,823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820" w:right="0"/>
              <w:jc w:val="left"/>
              <w:rPr>
                <w:rFonts w:ascii="宋体" w:hAnsi="宋体" w:cs="宋体" w:eastAsia="宋体" w:hint="default"/>
                <w:sz w:val="24"/>
                <w:szCs w:val="24"/>
              </w:rPr>
            </w:pPr>
            <w:r>
              <w:rPr>
                <w:rFonts w:ascii="宋体" w:hAnsi="宋体" w:cs="宋体" w:eastAsia="宋体" w:hint="default"/>
                <w:sz w:val="24"/>
                <w:szCs w:val="24"/>
              </w:rPr>
              <w:t>资产总计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6"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17,538,382,707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15,220,896,594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流动负债：</w:t>
            </w:r>
            <w:r>
              <w:rPr>
                <w:rFonts w:ascii="宋体" w:hAnsi="宋体" w:cs="宋体" w:eastAsia="宋体" w:hint="default"/>
                <w:sz w:val="24"/>
                <w:szCs w:val="24"/>
              </w:rPr>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color w:val="FF00FF"/>
                <w:sz w:val="24"/>
              </w:rPr>
              <w:t> </w:t>
            </w:r>
            <w:r>
              <w:rPr>
                <w:rFonts w:ascii="宋体"/>
                <w:sz w:val="24"/>
              </w:rPr>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color w:val="FF00FF"/>
                <w:sz w:val="24"/>
              </w:rPr>
              <w:t> </w:t>
            </w:r>
            <w:r>
              <w:rPr>
                <w:rFonts w:ascii="宋体"/>
                <w:sz w:val="24"/>
              </w:rPr>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短期借款</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31</w:t>
            </w:r>
          </w:p>
        </w:tc>
        <w:tc>
          <w:tcPr>
            <w:tcW w:w="2456" w:type="dxa"/>
            <w:tcBorders>
              <w:top w:val="single" w:sz="6" w:space="0" w:color="000000"/>
              <w:left w:val="single" w:sz="6"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4,235,544,650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3,156,404,000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向中央银行借款</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拆入资金</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交易性金融负债</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32</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6,658,487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948"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100" w:right="0" w:firstLine="239"/>
              <w:jc w:val="left"/>
              <w:rPr>
                <w:rFonts w:ascii="宋体" w:hAnsi="宋体" w:cs="宋体" w:eastAsia="宋体" w:hint="default"/>
                <w:sz w:val="24"/>
                <w:szCs w:val="24"/>
              </w:rPr>
            </w:pPr>
            <w:r>
              <w:rPr>
                <w:rFonts w:ascii="宋体" w:hAnsi="宋体" w:cs="宋体" w:eastAsia="宋体" w:hint="default"/>
                <w:sz w:val="24"/>
                <w:szCs w:val="24"/>
              </w:rPr>
              <w:t>以公允价值计量且</w:t>
            </w:r>
          </w:p>
          <w:p>
            <w:pPr>
              <w:pStyle w:val="TableParagraph"/>
              <w:spacing w:line="310" w:lineRule="exact" w:before="31"/>
              <w:ind w:left="100" w:right="236"/>
              <w:jc w:val="left"/>
              <w:rPr>
                <w:rFonts w:ascii="宋体" w:hAnsi="宋体" w:cs="宋体" w:eastAsia="宋体" w:hint="default"/>
                <w:sz w:val="24"/>
                <w:szCs w:val="24"/>
              </w:rPr>
            </w:pPr>
            <w:r>
              <w:rPr>
                <w:rFonts w:ascii="宋体" w:hAnsi="宋体" w:cs="宋体" w:eastAsia="宋体" w:hint="default"/>
                <w:sz w:val="24"/>
                <w:szCs w:val="24"/>
              </w:rPr>
              <w:t>其变动计入当期损益 的金融负债</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衍生金融负债</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33</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应付票据</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34</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应付账款</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35</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597,049,158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455,622,484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36</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1,267,738,456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1,079,683,098 </w:t>
            </w:r>
          </w:p>
        </w:tc>
      </w:tr>
      <w:tr>
        <w:trPr>
          <w:trHeight w:val="63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340" w:right="0"/>
              <w:jc w:val="left"/>
              <w:rPr>
                <w:rFonts w:ascii="宋体" w:hAnsi="宋体" w:cs="宋体" w:eastAsia="宋体" w:hint="default"/>
                <w:sz w:val="24"/>
                <w:szCs w:val="24"/>
              </w:rPr>
            </w:pPr>
            <w:r>
              <w:rPr>
                <w:rFonts w:ascii="宋体" w:hAnsi="宋体" w:cs="宋体" w:eastAsia="宋体" w:hint="default"/>
                <w:sz w:val="24"/>
                <w:szCs w:val="24"/>
              </w:rPr>
              <w:t>卖出回购金融资产</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款</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18"/>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18"/>
              <w:ind w:right="-20"/>
              <w:jc w:val="right"/>
              <w:rPr>
                <w:rFonts w:ascii="宋体" w:hAnsi="宋体" w:cs="宋体" w:eastAsia="宋体" w:hint="default"/>
                <w:sz w:val="24"/>
                <w:szCs w:val="24"/>
              </w:rPr>
            </w:pPr>
            <w:r>
              <w:rPr>
                <w:rFonts w:ascii="宋体"/>
                <w:sz w:val="24"/>
              </w:rPr>
              <w:t> </w:t>
            </w:r>
          </w:p>
        </w:tc>
      </w:tr>
      <w:tr>
        <w:trPr>
          <w:trHeight w:val="638"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吸收存款及同业存</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放</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20"/>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20"/>
              <w:ind w:right="-20"/>
              <w:jc w:val="right"/>
              <w:rPr>
                <w:rFonts w:ascii="宋体" w:hAnsi="宋体" w:cs="宋体" w:eastAsia="宋体" w:hint="default"/>
                <w:sz w:val="24"/>
                <w:szCs w:val="24"/>
              </w:rPr>
            </w:pPr>
            <w:r>
              <w:rPr>
                <w:rFonts w:ascii="宋体"/>
                <w:sz w:val="24"/>
              </w:rPr>
              <w:t> </w:t>
            </w:r>
          </w:p>
        </w:tc>
      </w:tr>
      <w:tr>
        <w:trPr>
          <w:trHeight w:val="327"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代理买卖证券款</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代理承销证券款</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应付职工薪酬</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37</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1,158,983,615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1,160,402,569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应交税费</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38</w:t>
            </w:r>
          </w:p>
        </w:tc>
        <w:tc>
          <w:tcPr>
            <w:tcW w:w="2456" w:type="dxa"/>
            <w:tcBorders>
              <w:top w:val="single" w:sz="4" w:space="0" w:color="000000"/>
              <w:left w:val="single" w:sz="6"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299,898,103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315,521,063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其他应付款</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39</w:t>
            </w:r>
          </w:p>
        </w:tc>
        <w:tc>
          <w:tcPr>
            <w:tcW w:w="2456" w:type="dxa"/>
            <w:tcBorders>
              <w:top w:val="single" w:sz="4" w:space="0" w:color="000000"/>
              <w:left w:val="single" w:sz="6" w:space="0" w:color="000000"/>
              <w:bottom w:val="single" w:sz="6"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1,332,754,020 </w:t>
            </w:r>
          </w:p>
        </w:tc>
        <w:tc>
          <w:tcPr>
            <w:tcW w:w="2635"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840,741,172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其中：应付利息</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5" w:type="dxa"/>
            <w:tcBorders>
              <w:top w:val="single" w:sz="4" w:space="0" w:color="000000"/>
              <w:left w:val="single" w:sz="6" w:space="0" w:color="000000"/>
              <w:bottom w:val="single" w:sz="6" w:space="0" w:color="000000"/>
              <w:right w:val="single" w:sz="6" w:space="0" w:color="000000"/>
            </w:tcBorders>
          </w:tcPr>
          <w:p>
            <w:pPr>
              <w:pStyle w:val="TableParagraph"/>
              <w:spacing w:line="276" w:lineRule="exact"/>
              <w:ind w:right="-21"/>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60" w:right="0"/>
              <w:jc w:val="left"/>
              <w:rPr>
                <w:rFonts w:ascii="宋体" w:hAnsi="宋体" w:cs="宋体" w:eastAsia="宋体" w:hint="default"/>
                <w:sz w:val="24"/>
                <w:szCs w:val="24"/>
              </w:rPr>
            </w:pPr>
            <w:r>
              <w:rPr>
                <w:rFonts w:ascii="宋体" w:hAnsi="宋体" w:cs="宋体" w:eastAsia="宋体" w:hint="default"/>
                <w:sz w:val="24"/>
                <w:szCs w:val="24"/>
              </w:rPr>
              <w:t>应付股利</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1"/>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36"/>
              <w:jc w:val="right"/>
              <w:rPr>
                <w:rFonts w:ascii="宋体" w:hAnsi="宋体" w:cs="宋体" w:eastAsia="宋体" w:hint="default"/>
                <w:sz w:val="24"/>
                <w:szCs w:val="24"/>
              </w:rPr>
            </w:pPr>
            <w:r>
              <w:rPr>
                <w:rFonts w:ascii="宋体" w:hAnsi="宋体" w:cs="宋体" w:eastAsia="宋体" w:hint="default"/>
                <w:sz w:val="24"/>
                <w:szCs w:val="24"/>
              </w:rPr>
              <w:t>应付手续费及佣金</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1"/>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应付分保账款</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1"/>
              <w:jc w:val="right"/>
              <w:rPr>
                <w:rFonts w:ascii="宋体" w:hAnsi="宋体" w:cs="宋体" w:eastAsia="宋体" w:hint="default"/>
                <w:sz w:val="24"/>
                <w:szCs w:val="24"/>
              </w:rPr>
            </w:pPr>
            <w:r>
              <w:rPr>
                <w:rFonts w:ascii="宋体"/>
                <w:sz w:val="24"/>
              </w:rPr>
              <w:t> </w:t>
            </w:r>
          </w:p>
        </w:tc>
      </w:tr>
    </w:tbl>
    <w:p>
      <w:pPr>
        <w:spacing w:after="0" w:line="274" w:lineRule="exact"/>
        <w:jc w:val="right"/>
        <w:rPr>
          <w:rFonts w:ascii="宋体" w:hAnsi="宋体" w:cs="宋体" w:eastAsia="宋体" w:hint="default"/>
          <w:sz w:val="24"/>
          <w:szCs w:val="24"/>
        </w:rPr>
        <w:sectPr>
          <w:footerReference w:type="default" r:id="rId44"/>
          <w:pgSz w:w="11910" w:h="16840"/>
          <w:pgMar w:footer="1195" w:header="745" w:top="1080" w:bottom="1380" w:left="1580" w:right="11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2" w:type="dxa"/>
        <w:tblLayout w:type="fixed"/>
        <w:tblCellMar>
          <w:top w:w="0" w:type="dxa"/>
          <w:left w:w="0" w:type="dxa"/>
          <w:bottom w:w="0" w:type="dxa"/>
          <w:right w:w="0" w:type="dxa"/>
        </w:tblCellMar>
        <w:tblLook w:val="01E0"/>
      </w:tblPr>
      <w:tblGrid>
        <w:gridCol w:w="2513"/>
        <w:gridCol w:w="1262"/>
        <w:gridCol w:w="2456"/>
        <w:gridCol w:w="2636"/>
      </w:tblGrid>
      <w:tr>
        <w:trPr>
          <w:trHeight w:val="327"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340" w:right="0"/>
              <w:jc w:val="left"/>
              <w:rPr>
                <w:rFonts w:ascii="宋体" w:hAnsi="宋体" w:cs="宋体" w:eastAsia="宋体" w:hint="default"/>
                <w:sz w:val="24"/>
                <w:szCs w:val="24"/>
              </w:rPr>
            </w:pPr>
            <w:r>
              <w:rPr>
                <w:rFonts w:ascii="宋体" w:hAnsi="宋体" w:cs="宋体" w:eastAsia="宋体" w:hint="default"/>
                <w:sz w:val="24"/>
                <w:szCs w:val="24"/>
              </w:rPr>
              <w:t>持有待售负债</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5"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40</w:t>
            </w:r>
          </w:p>
        </w:tc>
        <w:tc>
          <w:tcPr>
            <w:tcW w:w="2456" w:type="dxa"/>
            <w:tcBorders>
              <w:top w:val="single" w:sz="6" w:space="0" w:color="000000"/>
              <w:left w:val="single" w:sz="6" w:space="0" w:color="000000"/>
              <w:bottom w:val="single" w:sz="4" w:space="0" w:color="000000"/>
              <w:right w:val="single" w:sz="6"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4" w:space="0" w:color="000000"/>
              <w:right w:val="single" w:sz="6"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 </w:t>
            </w:r>
          </w:p>
        </w:tc>
      </w:tr>
      <w:tr>
        <w:trPr>
          <w:trHeight w:val="638"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一年内到期的非流</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动负债</w:t>
            </w:r>
          </w:p>
        </w:tc>
        <w:tc>
          <w:tcPr>
            <w:tcW w:w="1262" w:type="dxa"/>
            <w:tcBorders>
              <w:top w:val="single" w:sz="6" w:space="0" w:color="000000"/>
              <w:left w:val="single" w:sz="6" w:space="0" w:color="000000"/>
              <w:bottom w:val="single" w:sz="6" w:space="0" w:color="000000"/>
              <w:right w:val="single" w:sz="4"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41</w:t>
            </w:r>
          </w:p>
        </w:tc>
        <w:tc>
          <w:tcPr>
            <w:tcW w:w="2456"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118"/>
              <w:ind w:right="-19"/>
              <w:jc w:val="right"/>
              <w:rPr>
                <w:rFonts w:ascii="宋体" w:hAnsi="宋体" w:cs="宋体" w:eastAsia="宋体" w:hint="default"/>
                <w:sz w:val="24"/>
                <w:szCs w:val="24"/>
              </w:rPr>
            </w:pPr>
            <w:r>
              <w:rPr>
                <w:rFonts w:ascii="宋体"/>
                <w:sz w:val="24"/>
              </w:rPr>
              <w:t>90,000,000 </w:t>
            </w:r>
          </w:p>
        </w:tc>
        <w:tc>
          <w:tcPr>
            <w:tcW w:w="2636" w:type="dxa"/>
            <w:tcBorders>
              <w:top w:val="single" w:sz="4" w:space="0" w:color="000000"/>
              <w:left w:val="single" w:sz="5" w:space="0" w:color="000000"/>
              <w:bottom w:val="single" w:sz="4" w:space="0" w:color="000000"/>
              <w:right w:val="single" w:sz="5" w:space="0" w:color="000000"/>
            </w:tcBorders>
          </w:tcPr>
          <w:p>
            <w:pPr>
              <w:pStyle w:val="TableParagraph"/>
              <w:spacing w:line="240" w:lineRule="auto" w:before="118"/>
              <w:ind w:right="-19"/>
              <w:jc w:val="right"/>
              <w:rPr>
                <w:rFonts w:ascii="宋体" w:hAnsi="宋体" w:cs="宋体" w:eastAsia="宋体" w:hint="default"/>
                <w:sz w:val="24"/>
                <w:szCs w:val="24"/>
              </w:rPr>
            </w:pPr>
            <w:r>
              <w:rPr>
                <w:rFonts w:ascii="宋体"/>
                <w:sz w:val="24"/>
              </w:rPr>
              <w:t>133,471,227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其他流动负债</w:t>
            </w:r>
          </w:p>
        </w:tc>
        <w:tc>
          <w:tcPr>
            <w:tcW w:w="1262" w:type="dxa"/>
            <w:tcBorders>
              <w:top w:val="single" w:sz="6" w:space="0" w:color="000000"/>
              <w:left w:val="single" w:sz="6" w:space="0" w:color="000000"/>
              <w:bottom w:val="single" w:sz="6" w:space="0" w:color="000000"/>
              <w:right w:val="single" w:sz="4"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42</w:t>
            </w:r>
          </w:p>
        </w:tc>
        <w:tc>
          <w:tcPr>
            <w:tcW w:w="2456"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19"/>
              <w:jc w:val="right"/>
              <w:rPr>
                <w:rFonts w:ascii="宋体" w:hAnsi="宋体" w:cs="宋体" w:eastAsia="宋体" w:hint="default"/>
                <w:sz w:val="24"/>
                <w:szCs w:val="24"/>
              </w:rPr>
            </w:pPr>
            <w:r>
              <w:rPr>
                <w:rFonts w:ascii="宋体"/>
                <w:sz w:val="24"/>
              </w:rPr>
              <w:t>123,771,936 </w:t>
            </w:r>
          </w:p>
        </w:tc>
        <w:tc>
          <w:tcPr>
            <w:tcW w:w="2636" w:type="dxa"/>
            <w:tcBorders>
              <w:top w:val="single" w:sz="4" w:space="0" w:color="000000"/>
              <w:left w:val="single" w:sz="5" w:space="0" w:color="000000"/>
              <w:bottom w:val="single" w:sz="4" w:space="0" w:color="000000"/>
              <w:right w:val="single" w:sz="5" w:space="0" w:color="000000"/>
            </w:tcBorders>
          </w:tcPr>
          <w:p>
            <w:pPr>
              <w:pStyle w:val="TableParagraph"/>
              <w:spacing w:line="276" w:lineRule="exact"/>
              <w:ind w:right="-19"/>
              <w:jc w:val="right"/>
              <w:rPr>
                <w:rFonts w:ascii="宋体" w:hAnsi="宋体" w:cs="宋体" w:eastAsia="宋体" w:hint="default"/>
                <w:sz w:val="24"/>
                <w:szCs w:val="24"/>
              </w:rPr>
            </w:pPr>
            <w:r>
              <w:rPr>
                <w:rFonts w:ascii="宋体"/>
                <w:sz w:val="24"/>
              </w:rPr>
              <w:t>182,312,101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580" w:right="0"/>
              <w:jc w:val="left"/>
              <w:rPr>
                <w:rFonts w:ascii="宋体" w:hAnsi="宋体" w:cs="宋体" w:eastAsia="宋体" w:hint="default"/>
                <w:sz w:val="24"/>
                <w:szCs w:val="24"/>
              </w:rPr>
            </w:pPr>
            <w:r>
              <w:rPr>
                <w:rFonts w:ascii="宋体" w:hAnsi="宋体" w:cs="宋体" w:eastAsia="宋体" w:hint="default"/>
                <w:sz w:val="24"/>
                <w:szCs w:val="24"/>
              </w:rPr>
              <w:t>流动负债合计</w:t>
            </w:r>
          </w:p>
        </w:tc>
        <w:tc>
          <w:tcPr>
            <w:tcW w:w="1262" w:type="dxa"/>
            <w:tcBorders>
              <w:top w:val="single" w:sz="6" w:space="0" w:color="000000"/>
              <w:left w:val="single" w:sz="6" w:space="0" w:color="000000"/>
              <w:bottom w:val="single" w:sz="6" w:space="0" w:color="000000"/>
              <w:right w:val="single" w:sz="4" w:space="0" w:color="000000"/>
            </w:tcBorders>
          </w:tcPr>
          <w:p>
            <w:pPr/>
          </w:p>
        </w:tc>
        <w:tc>
          <w:tcPr>
            <w:tcW w:w="2456"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19"/>
              <w:jc w:val="right"/>
              <w:rPr>
                <w:rFonts w:ascii="宋体" w:hAnsi="宋体" w:cs="宋体" w:eastAsia="宋体" w:hint="default"/>
                <w:sz w:val="24"/>
                <w:szCs w:val="24"/>
              </w:rPr>
            </w:pPr>
            <w:r>
              <w:rPr>
                <w:rFonts w:ascii="宋体"/>
                <w:sz w:val="24"/>
              </w:rPr>
              <w:t>9,112,398,425 </w:t>
            </w:r>
          </w:p>
        </w:tc>
        <w:tc>
          <w:tcPr>
            <w:tcW w:w="2636" w:type="dxa"/>
            <w:tcBorders>
              <w:top w:val="single" w:sz="4" w:space="0" w:color="000000"/>
              <w:left w:val="single" w:sz="5" w:space="0" w:color="000000"/>
              <w:bottom w:val="single" w:sz="4" w:space="0" w:color="000000"/>
              <w:right w:val="single" w:sz="5" w:space="0" w:color="000000"/>
            </w:tcBorders>
          </w:tcPr>
          <w:p>
            <w:pPr>
              <w:pStyle w:val="TableParagraph"/>
              <w:spacing w:line="276" w:lineRule="exact"/>
              <w:ind w:right="-19"/>
              <w:jc w:val="right"/>
              <w:rPr>
                <w:rFonts w:ascii="宋体" w:hAnsi="宋体" w:cs="宋体" w:eastAsia="宋体" w:hint="default"/>
                <w:sz w:val="24"/>
                <w:szCs w:val="24"/>
              </w:rPr>
            </w:pPr>
            <w:r>
              <w:rPr>
                <w:rFonts w:ascii="宋体"/>
                <w:sz w:val="24"/>
              </w:rPr>
              <w:t>7,324,157,714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非流动负债：</w:t>
            </w:r>
            <w:r>
              <w:rPr>
                <w:rFonts w:ascii="宋体" w:hAnsi="宋体" w:cs="宋体" w:eastAsia="宋体" w:hint="default"/>
                <w:sz w:val="24"/>
                <w:szCs w:val="24"/>
              </w:rPr>
            </w:r>
          </w:p>
        </w:tc>
        <w:tc>
          <w:tcPr>
            <w:tcW w:w="1262" w:type="dxa"/>
            <w:tcBorders>
              <w:top w:val="single" w:sz="6" w:space="0" w:color="000000"/>
              <w:left w:val="single" w:sz="6" w:space="0" w:color="000000"/>
              <w:bottom w:val="single" w:sz="6" w:space="0" w:color="000000"/>
              <w:right w:val="single" w:sz="4" w:space="0" w:color="000000"/>
            </w:tcBorders>
          </w:tcPr>
          <w:p>
            <w:pPr/>
          </w:p>
        </w:tc>
        <w:tc>
          <w:tcPr>
            <w:tcW w:w="2456"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188"/>
              <w:jc w:val="right"/>
              <w:rPr>
                <w:rFonts w:ascii="宋体" w:hAnsi="宋体" w:cs="宋体" w:eastAsia="宋体" w:hint="default"/>
                <w:sz w:val="24"/>
                <w:szCs w:val="24"/>
              </w:rPr>
            </w:pPr>
            <w:r>
              <w:rPr>
                <w:rFonts w:ascii="宋体"/>
                <w:color w:val="008000"/>
                <w:sz w:val="24"/>
              </w:rPr>
              <w:t> </w:t>
            </w:r>
            <w:r>
              <w:rPr>
                <w:rFonts w:ascii="宋体"/>
                <w:sz w:val="24"/>
              </w:rPr>
            </w:r>
          </w:p>
        </w:tc>
        <w:tc>
          <w:tcPr>
            <w:tcW w:w="2636" w:type="dxa"/>
            <w:tcBorders>
              <w:top w:val="single" w:sz="4" w:space="0" w:color="000000"/>
              <w:left w:val="single" w:sz="5" w:space="0" w:color="000000"/>
              <w:bottom w:val="single" w:sz="4" w:space="0" w:color="000000"/>
              <w:right w:val="single" w:sz="5" w:space="0" w:color="000000"/>
            </w:tcBorders>
          </w:tcPr>
          <w:p>
            <w:pPr>
              <w:pStyle w:val="TableParagraph"/>
              <w:spacing w:line="276" w:lineRule="exact"/>
              <w:ind w:right="-19"/>
              <w:jc w:val="right"/>
              <w:rPr>
                <w:rFonts w:ascii="宋体" w:hAnsi="宋体" w:cs="宋体" w:eastAsia="宋体" w:hint="default"/>
                <w:sz w:val="24"/>
                <w:szCs w:val="24"/>
              </w:rPr>
            </w:pPr>
            <w:r>
              <w:rPr>
                <w:rFonts w:ascii="宋体"/>
                <w:color w:val="008000"/>
                <w:sz w:val="24"/>
              </w:rPr>
              <w:t> </w:t>
            </w:r>
            <w:r>
              <w:rPr>
                <w:rFonts w:ascii="宋体"/>
                <w:sz w:val="24"/>
              </w:rPr>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保险合同准备金</w:t>
            </w:r>
          </w:p>
        </w:tc>
        <w:tc>
          <w:tcPr>
            <w:tcW w:w="1262" w:type="dxa"/>
            <w:tcBorders>
              <w:top w:val="single" w:sz="6" w:space="0" w:color="000000"/>
              <w:left w:val="single" w:sz="6" w:space="0" w:color="000000"/>
              <w:bottom w:val="single" w:sz="6" w:space="0" w:color="000000"/>
              <w:right w:val="single" w:sz="4" w:space="0" w:color="000000"/>
            </w:tcBorders>
          </w:tcPr>
          <w:p>
            <w:pPr/>
          </w:p>
        </w:tc>
        <w:tc>
          <w:tcPr>
            <w:tcW w:w="2456" w:type="dxa"/>
            <w:tcBorders>
              <w:top w:val="single" w:sz="4" w:space="0" w:color="000000"/>
              <w:left w:val="single" w:sz="4" w:space="0" w:color="000000"/>
              <w:bottom w:val="single" w:sz="4" w:space="0" w:color="000000"/>
              <w:right w:val="single" w:sz="5" w:space="0" w:color="000000"/>
            </w:tcBorders>
          </w:tcPr>
          <w:p>
            <w:pPr>
              <w:pStyle w:val="TableParagraph"/>
              <w:spacing w:line="276" w:lineRule="exact"/>
              <w:ind w:right="-19"/>
              <w:jc w:val="right"/>
              <w:rPr>
                <w:rFonts w:ascii="宋体" w:hAnsi="宋体" w:cs="宋体" w:eastAsia="宋体" w:hint="default"/>
                <w:sz w:val="24"/>
                <w:szCs w:val="24"/>
              </w:rPr>
            </w:pPr>
            <w:r>
              <w:rPr>
                <w:rFonts w:ascii="宋体"/>
                <w:sz w:val="24"/>
              </w:rPr>
              <w:t> </w:t>
            </w:r>
          </w:p>
        </w:tc>
        <w:tc>
          <w:tcPr>
            <w:tcW w:w="2636" w:type="dxa"/>
            <w:tcBorders>
              <w:top w:val="single" w:sz="4" w:space="0" w:color="000000"/>
              <w:left w:val="single" w:sz="5" w:space="0" w:color="000000"/>
              <w:bottom w:val="single" w:sz="4" w:space="0" w:color="000000"/>
              <w:right w:val="single" w:sz="5" w:space="0" w:color="000000"/>
            </w:tcBorders>
          </w:tcPr>
          <w:p>
            <w:pPr>
              <w:pStyle w:val="TableParagraph"/>
              <w:spacing w:line="276" w:lineRule="exact"/>
              <w:ind w:right="-19"/>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长期借款</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43</w:t>
            </w:r>
          </w:p>
        </w:tc>
        <w:tc>
          <w:tcPr>
            <w:tcW w:w="2456" w:type="dxa"/>
            <w:tcBorders>
              <w:top w:val="single" w:sz="4"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45,000,000 </w:t>
            </w:r>
          </w:p>
        </w:tc>
        <w:tc>
          <w:tcPr>
            <w:tcW w:w="2636" w:type="dxa"/>
            <w:tcBorders>
              <w:top w:val="single" w:sz="4"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171,666,664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应付债券</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44</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其中：优先股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r>
      <w:tr>
        <w:trPr>
          <w:trHeight w:val="324"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60" w:right="0"/>
              <w:jc w:val="left"/>
              <w:rPr>
                <w:rFonts w:ascii="宋体" w:hAnsi="宋体" w:cs="宋体" w:eastAsia="宋体" w:hint="default"/>
                <w:sz w:val="24"/>
                <w:szCs w:val="24"/>
              </w:rPr>
            </w:pPr>
            <w:r>
              <w:rPr>
                <w:rFonts w:ascii="宋体" w:hAnsi="宋体" w:cs="宋体" w:eastAsia="宋体" w:hint="default"/>
                <w:sz w:val="24"/>
                <w:szCs w:val="24"/>
              </w:rPr>
              <w:t>永续债</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r>
      <w:tr>
        <w:trPr>
          <w:trHeight w:val="327"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340" w:right="0"/>
              <w:jc w:val="left"/>
              <w:rPr>
                <w:rFonts w:ascii="宋体" w:hAnsi="宋体" w:cs="宋体" w:eastAsia="宋体" w:hint="default"/>
                <w:sz w:val="24"/>
                <w:szCs w:val="24"/>
              </w:rPr>
            </w:pPr>
            <w:r>
              <w:rPr>
                <w:rFonts w:ascii="宋体" w:hAnsi="宋体" w:cs="宋体" w:eastAsia="宋体" w:hint="default"/>
                <w:sz w:val="24"/>
                <w:szCs w:val="24"/>
              </w:rPr>
              <w:t>租赁负债</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5"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45</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长期应付款</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46</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长期应付职工薪酬</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47</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预计负债</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48</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递延收益</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49</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68,572,162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55,426,928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递延所得税负债</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18,222,197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17,682,143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其他非流动负债</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50</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580" w:right="0"/>
              <w:jc w:val="left"/>
              <w:rPr>
                <w:rFonts w:ascii="宋体" w:hAnsi="宋体" w:cs="宋体" w:eastAsia="宋体" w:hint="default"/>
                <w:sz w:val="24"/>
                <w:szCs w:val="24"/>
              </w:rPr>
            </w:pPr>
            <w:r>
              <w:rPr>
                <w:rFonts w:ascii="宋体" w:hAnsi="宋体" w:cs="宋体" w:eastAsia="宋体" w:hint="default"/>
                <w:sz w:val="24"/>
                <w:szCs w:val="24"/>
              </w:rPr>
              <w:t>非流动负债合计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131,794,359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244,775,735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820" w:right="0"/>
              <w:jc w:val="left"/>
              <w:rPr>
                <w:rFonts w:ascii="宋体" w:hAnsi="宋体" w:cs="宋体" w:eastAsia="宋体" w:hint="default"/>
                <w:sz w:val="24"/>
                <w:szCs w:val="24"/>
              </w:rPr>
            </w:pPr>
            <w:r>
              <w:rPr>
                <w:rFonts w:ascii="宋体" w:hAnsi="宋体" w:cs="宋体" w:eastAsia="宋体" w:hint="default"/>
                <w:sz w:val="24"/>
                <w:szCs w:val="24"/>
              </w:rPr>
              <w:t>负债合计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9,244,192,784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7,568,933,449 </w:t>
            </w:r>
          </w:p>
        </w:tc>
      </w:tr>
      <w:tr>
        <w:trPr>
          <w:trHeight w:val="638"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b/>
                <w:bCs/>
                <w:spacing w:val="2"/>
                <w:w w:val="99"/>
                <w:sz w:val="24"/>
                <w:szCs w:val="24"/>
              </w:rPr>
              <w:t>所</w:t>
            </w:r>
            <w:r>
              <w:rPr>
                <w:rFonts w:ascii="宋体" w:hAnsi="宋体" w:cs="宋体" w:eastAsia="宋体" w:hint="default"/>
                <w:b/>
                <w:bCs/>
                <w:w w:val="99"/>
                <w:sz w:val="24"/>
                <w:szCs w:val="24"/>
              </w:rPr>
              <w:t>有</w:t>
            </w:r>
            <w:r>
              <w:rPr>
                <w:rFonts w:ascii="宋体" w:hAnsi="宋体" w:cs="宋体" w:eastAsia="宋体" w:hint="default"/>
                <w:b/>
                <w:bCs/>
                <w:spacing w:val="2"/>
                <w:w w:val="99"/>
                <w:sz w:val="24"/>
                <w:szCs w:val="24"/>
              </w:rPr>
              <w:t>者</w:t>
            </w:r>
            <w:r>
              <w:rPr>
                <w:rFonts w:ascii="宋体" w:hAnsi="宋体" w:cs="宋体" w:eastAsia="宋体" w:hint="default"/>
                <w:b/>
                <w:bCs/>
                <w:w w:val="99"/>
                <w:sz w:val="24"/>
                <w:szCs w:val="24"/>
              </w:rPr>
              <w:t>权</w:t>
            </w:r>
            <w:r>
              <w:rPr>
                <w:rFonts w:ascii="宋体" w:hAnsi="宋体" w:cs="宋体" w:eastAsia="宋体" w:hint="default"/>
                <w:b/>
                <w:bCs/>
                <w:spacing w:val="-113"/>
                <w:w w:val="99"/>
                <w:sz w:val="24"/>
                <w:szCs w:val="24"/>
              </w:rPr>
              <w:t>益</w:t>
            </w:r>
            <w:r>
              <w:rPr>
                <w:rFonts w:ascii="宋体" w:hAnsi="宋体" w:cs="宋体" w:eastAsia="宋体" w:hint="default"/>
                <w:b/>
                <w:bCs/>
                <w:spacing w:val="2"/>
                <w:w w:val="99"/>
                <w:sz w:val="24"/>
                <w:szCs w:val="24"/>
              </w:rPr>
              <w:t>（</w:t>
            </w:r>
            <w:r>
              <w:rPr>
                <w:rFonts w:ascii="宋体" w:hAnsi="宋体" w:cs="宋体" w:eastAsia="宋体" w:hint="default"/>
                <w:b/>
                <w:bCs/>
                <w:w w:val="99"/>
                <w:sz w:val="24"/>
                <w:szCs w:val="24"/>
              </w:rPr>
              <w:t>或股</w:t>
            </w:r>
            <w:r>
              <w:rPr>
                <w:rFonts w:ascii="宋体" w:hAnsi="宋体" w:cs="宋体" w:eastAsia="宋体" w:hint="default"/>
                <w:b/>
                <w:bCs/>
                <w:spacing w:val="2"/>
                <w:w w:val="99"/>
                <w:sz w:val="24"/>
                <w:szCs w:val="24"/>
              </w:rPr>
              <w:t>东</w:t>
            </w:r>
            <w:r>
              <w:rPr>
                <w:rFonts w:ascii="宋体" w:hAnsi="宋体" w:cs="宋体" w:eastAsia="宋体" w:hint="default"/>
                <w:b/>
                <w:bCs/>
                <w:w w:val="99"/>
                <w:sz w:val="24"/>
                <w:szCs w:val="24"/>
              </w:rPr>
              <w:t>权</w:t>
            </w:r>
            <w:r>
              <w:rPr>
                <w:rFonts w:ascii="宋体" w:hAnsi="宋体" w:cs="宋体" w:eastAsia="宋体" w:hint="default"/>
                <w:sz w:val="24"/>
                <w:szCs w:val="24"/>
              </w:rPr>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益）：</w:t>
            </w:r>
            <w:r>
              <w:rPr>
                <w:rFonts w:ascii="宋体" w:hAnsi="宋体" w:cs="宋体" w:eastAsia="宋体" w:hint="default"/>
                <w:sz w:val="24"/>
                <w:szCs w:val="24"/>
              </w:rPr>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color w:val="008000"/>
                <w:sz w:val="24"/>
              </w:rPr>
              <w:t> </w:t>
            </w:r>
            <w:r>
              <w:rPr>
                <w:rFonts w:ascii="宋体"/>
                <w:sz w:val="24"/>
              </w:rPr>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color w:val="008000"/>
                <w:sz w:val="24"/>
              </w:rPr>
              <w:t> </w:t>
            </w:r>
            <w:r>
              <w:rPr>
                <w:rFonts w:ascii="宋体"/>
                <w:sz w:val="24"/>
              </w:rPr>
            </w:r>
          </w:p>
        </w:tc>
      </w:tr>
      <w:tr>
        <w:trPr>
          <w:trHeight w:val="324"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2"/>
              <w:jc w:val="left"/>
              <w:rPr>
                <w:rFonts w:ascii="宋体" w:hAnsi="宋体" w:cs="宋体" w:eastAsia="宋体" w:hint="default"/>
                <w:sz w:val="24"/>
                <w:szCs w:val="24"/>
              </w:rPr>
            </w:pPr>
            <w:r>
              <w:rPr>
                <w:rFonts w:ascii="宋体" w:hAnsi="宋体" w:cs="宋体" w:eastAsia="宋体" w:hint="default"/>
                <w:sz w:val="24"/>
                <w:szCs w:val="24"/>
              </w:rPr>
              <w:t>实收资本（或股本）</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51</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2,503,898,164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1,917,832,792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其他权益工具</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52</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其中：优先股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060" w:right="0"/>
              <w:jc w:val="left"/>
              <w:rPr>
                <w:rFonts w:ascii="宋体" w:hAnsi="宋体" w:cs="宋体" w:eastAsia="宋体" w:hint="default"/>
                <w:sz w:val="24"/>
                <w:szCs w:val="24"/>
              </w:rPr>
            </w:pPr>
            <w:r>
              <w:rPr>
                <w:rFonts w:ascii="宋体" w:hAnsi="宋体" w:cs="宋体" w:eastAsia="宋体" w:hint="default"/>
                <w:sz w:val="24"/>
                <w:szCs w:val="24"/>
              </w:rPr>
              <w:t>永续债</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资本公积</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53</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1,762,111,795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2,120,758,790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减：库存股</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54</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482,696,342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55,787,910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其他综合收益</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55</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-2,494,297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-25,234,857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专项储备</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56</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盈余公积</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57</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997,252,171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827,153,655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一般风险准备</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r>
      <w:tr>
        <w:trPr>
          <w:trHeight w:val="327"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未分配利润</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9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58</w:t>
            </w: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2,394,562,400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1,785,975,033 </w:t>
            </w:r>
          </w:p>
        </w:tc>
      </w:tr>
      <w:tr>
        <w:trPr>
          <w:trHeight w:val="948"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100" w:right="-2" w:firstLine="239"/>
              <w:jc w:val="left"/>
              <w:rPr>
                <w:rFonts w:ascii="宋体" w:hAnsi="宋体" w:cs="宋体" w:eastAsia="宋体" w:hint="default"/>
                <w:sz w:val="24"/>
                <w:szCs w:val="24"/>
              </w:rPr>
            </w:pPr>
            <w:r>
              <w:rPr>
                <w:rFonts w:ascii="宋体" w:hAnsi="宋体" w:cs="宋体" w:eastAsia="宋体" w:hint="default"/>
                <w:sz w:val="24"/>
                <w:szCs w:val="24"/>
              </w:rPr>
              <w:t>归属于母公司所有</w:t>
            </w:r>
          </w:p>
          <w:p>
            <w:pPr>
              <w:pStyle w:val="TableParagraph"/>
              <w:spacing w:line="310" w:lineRule="exact" w:before="31"/>
              <w:ind w:left="100" w:right="-2"/>
              <w:jc w:val="left"/>
              <w:rPr>
                <w:rFonts w:ascii="宋体" w:hAnsi="宋体" w:cs="宋体" w:eastAsia="宋体" w:hint="default"/>
                <w:sz w:val="24"/>
                <w:szCs w:val="24"/>
              </w:rPr>
            </w:pPr>
            <w:r>
              <w:rPr>
                <w:rFonts w:ascii="宋体" w:hAnsi="宋体" w:cs="宋体" w:eastAsia="宋体" w:hint="default"/>
                <w:sz w:val="24"/>
                <w:szCs w:val="24"/>
              </w:rPr>
              <w:t>者权益（或股东权益） 合计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7,172,633,891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6,570,697,503 </w:t>
            </w:r>
          </w:p>
        </w:tc>
      </w:tr>
      <w:tr>
        <w:trPr>
          <w:trHeight w:val="326"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少数股东权益</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1,121,556,032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1,081,265,642 </w:t>
            </w:r>
          </w:p>
        </w:tc>
      </w:tr>
      <w:tr>
        <w:trPr>
          <w:trHeight w:val="638"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580" w:right="0"/>
              <w:jc w:val="left"/>
              <w:rPr>
                <w:rFonts w:ascii="宋体" w:hAnsi="宋体" w:cs="宋体" w:eastAsia="宋体" w:hint="default"/>
                <w:sz w:val="24"/>
                <w:szCs w:val="24"/>
              </w:rPr>
            </w:pPr>
            <w:r>
              <w:rPr>
                <w:rFonts w:ascii="宋体" w:hAnsi="宋体" w:cs="宋体" w:eastAsia="宋体" w:hint="default"/>
                <w:sz w:val="24"/>
                <w:szCs w:val="24"/>
              </w:rPr>
              <w:t>所有者权</w:t>
            </w:r>
            <w:r>
              <w:rPr>
                <w:rFonts w:ascii="宋体" w:hAnsi="宋体" w:cs="宋体" w:eastAsia="宋体" w:hint="default"/>
                <w:spacing w:val="-104"/>
                <w:sz w:val="24"/>
                <w:szCs w:val="24"/>
              </w:rPr>
              <w:t>益</w:t>
            </w:r>
            <w:r>
              <w:rPr>
                <w:rFonts w:ascii="宋体" w:hAnsi="宋体" w:cs="宋体" w:eastAsia="宋体" w:hint="default"/>
                <w:sz w:val="24"/>
                <w:szCs w:val="24"/>
              </w:rPr>
              <w:t>（或股</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东权益）合计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8,294,189,923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7,651,963,145 </w:t>
            </w:r>
          </w:p>
        </w:tc>
      </w:tr>
      <w:tr>
        <w:trPr>
          <w:trHeight w:val="948" w:hRule="exact"/>
        </w:trPr>
        <w:tc>
          <w:tcPr>
            <w:tcW w:w="2513"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820" w:right="0"/>
              <w:jc w:val="left"/>
              <w:rPr>
                <w:rFonts w:ascii="宋体" w:hAnsi="宋体" w:cs="宋体" w:eastAsia="宋体" w:hint="default"/>
                <w:sz w:val="24"/>
                <w:szCs w:val="24"/>
              </w:rPr>
            </w:pPr>
            <w:r>
              <w:rPr>
                <w:rFonts w:ascii="宋体" w:hAnsi="宋体" w:cs="宋体" w:eastAsia="宋体" w:hint="default"/>
                <w:sz w:val="24"/>
                <w:szCs w:val="24"/>
              </w:rPr>
              <w:t>负债和所有者</w:t>
            </w:r>
          </w:p>
          <w:p>
            <w:pPr>
              <w:pStyle w:val="TableParagraph"/>
              <w:spacing w:line="310" w:lineRule="exact" w:before="31"/>
              <w:ind w:left="100" w:right="101"/>
              <w:jc w:val="left"/>
              <w:rPr>
                <w:rFonts w:ascii="宋体" w:hAnsi="宋体" w:cs="宋体" w:eastAsia="宋体" w:hint="default"/>
                <w:sz w:val="24"/>
                <w:szCs w:val="24"/>
              </w:rPr>
            </w:pPr>
            <w:r>
              <w:rPr>
                <w:rFonts w:ascii="宋体" w:hAnsi="宋体" w:cs="宋体" w:eastAsia="宋体" w:hint="default"/>
                <w:spacing w:val="-11"/>
                <w:sz w:val="24"/>
                <w:szCs w:val="24"/>
              </w:rPr>
              <w:t>权益（或股东权益）总</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计</w:t>
            </w:r>
          </w:p>
        </w:tc>
        <w:tc>
          <w:tcPr>
            <w:tcW w:w="1262" w:type="dxa"/>
            <w:tcBorders>
              <w:top w:val="single" w:sz="6" w:space="0" w:color="000000"/>
              <w:left w:val="single" w:sz="6" w:space="0" w:color="000000"/>
              <w:bottom w:val="single" w:sz="6" w:space="0" w:color="000000"/>
              <w:right w:val="single" w:sz="6" w:space="0" w:color="000000"/>
            </w:tcBorders>
          </w:tcPr>
          <w:p>
            <w:pPr/>
          </w:p>
        </w:tc>
        <w:tc>
          <w:tcPr>
            <w:tcW w:w="245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17,538,382,707 </w:t>
            </w:r>
          </w:p>
        </w:tc>
        <w:tc>
          <w:tcPr>
            <w:tcW w:w="263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15,220,896,594 </w:t>
            </w:r>
          </w:p>
        </w:tc>
      </w:tr>
    </w:tbl>
    <w:p>
      <w:pPr>
        <w:spacing w:after="0" w:line="274" w:lineRule="exact"/>
        <w:jc w:val="right"/>
        <w:rPr>
          <w:rFonts w:ascii="宋体" w:hAnsi="宋体" w:cs="宋体" w:eastAsia="宋体" w:hint="default"/>
          <w:sz w:val="24"/>
          <w:szCs w:val="24"/>
        </w:rPr>
        <w:sectPr>
          <w:footerReference w:type="default" r:id="rId45"/>
          <w:pgSz w:w="11910" w:h="16840"/>
          <w:pgMar w:footer="1195" w:header="745" w:top="1080" w:bottom="1380" w:left="1580" w:right="1160"/>
          <w:pgNumType w:start="11"/>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6"/>
          <w:szCs w:val="16"/>
        </w:rPr>
      </w:pPr>
    </w:p>
    <w:p>
      <w:pPr>
        <w:pStyle w:val="BodyText"/>
        <w:spacing w:line="240" w:lineRule="auto" w:before="26"/>
        <w:ind w:left="218" w:right="97"/>
        <w:jc w:val="left"/>
      </w:pPr>
      <w:r>
        <w:rPr/>
        <w:t>法定代表人：王文京 主管会计工作负责人：章培林</w:t>
      </w:r>
      <w:r>
        <w:rPr>
          <w:spacing w:val="-1"/>
        </w:rPr>
        <w:t> </w:t>
      </w:r>
      <w:r>
        <w:rPr/>
        <w:t>会计机构负责人：孙淑嫔</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745" w:footer="1195" w:top="1080" w:bottom="1380" w:left="1580" w:right="1060"/>
        </w:sectPr>
      </w:pPr>
    </w:p>
    <w:p>
      <w:pPr>
        <w:spacing w:line="283" w:lineRule="auto" w:before="26"/>
        <w:ind w:left="3643" w:right="0" w:firstLine="26"/>
        <w:jc w:val="left"/>
        <w:rPr>
          <w:rFonts w:ascii="宋体" w:hAnsi="宋体" w:cs="宋体" w:eastAsia="宋体" w:hint="default"/>
          <w:sz w:val="24"/>
          <w:szCs w:val="24"/>
        </w:rPr>
      </w:pPr>
      <w:r>
        <w:rPr>
          <w:rFonts w:ascii="宋体" w:hAnsi="宋体" w:cs="宋体" w:eastAsia="宋体" w:hint="default"/>
          <w:b/>
          <w:bCs/>
          <w:sz w:val="24"/>
          <w:szCs w:val="24"/>
        </w:rPr>
        <w:t>母公司资产负债表</w:t>
      </w:r>
      <w:r>
        <w:rPr>
          <w:rFonts w:ascii="宋体" w:hAnsi="宋体" w:cs="宋体" w:eastAsia="宋体" w:hint="default"/>
          <w:b/>
          <w:bCs/>
          <w:w w:val="99"/>
          <w:sz w:val="24"/>
          <w:szCs w:val="24"/>
        </w:rPr>
        <w:t> </w:t>
      </w:r>
      <w:r>
        <w:rPr>
          <w:rFonts w:ascii="宋体" w:hAnsi="宋体" w:cs="宋体" w:eastAsia="宋体" w:hint="default"/>
          <w:sz w:val="24"/>
          <w:szCs w:val="24"/>
        </w:rPr>
        <w:t>2019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w:t>
      </w:r>
      <w:r>
        <w:rPr>
          <w:rFonts w:ascii="宋体" w:hAnsi="宋体" w:cs="宋体" w:eastAsia="宋体" w:hint="default"/>
          <w:b/>
          <w:bCs/>
          <w:w w:val="99"/>
          <w:sz w:val="24"/>
          <w:szCs w:val="24"/>
        </w:rPr>
        <w:t> </w:t>
      </w:r>
      <w:r>
        <w:rPr>
          <w:rFonts w:ascii="宋体" w:hAnsi="宋体" w:cs="宋体" w:eastAsia="宋体" w:hint="default"/>
          <w:sz w:val="24"/>
          <w:szCs w:val="24"/>
        </w:rPr>
      </w:r>
    </w:p>
    <w:p>
      <w:pPr>
        <w:pStyle w:val="BodyText"/>
        <w:spacing w:line="285" w:lineRule="exact"/>
        <w:ind w:left="218" w:right="0"/>
        <w:jc w:val="left"/>
      </w:pPr>
      <w:r>
        <w:rPr/>
        <w:t>编制单位</w:t>
      </w:r>
      <w:r>
        <w:rPr>
          <w:rFonts w:ascii="Times New Roman" w:hAnsi="Times New Roman" w:cs="Times New Roman" w:eastAsia="Times New Roman" w:hint="default"/>
        </w:rPr>
        <w:t>:</w:t>
      </w:r>
      <w:r>
        <w:rPr/>
        <w:t>用友网络科技股份有限公司</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9"/>
          <w:szCs w:val="29"/>
        </w:rPr>
      </w:pPr>
    </w:p>
    <w:p>
      <w:pPr>
        <w:pStyle w:val="BodyText"/>
        <w:tabs>
          <w:tab w:pos="1245" w:val="left" w:leader="none"/>
        </w:tabs>
        <w:spacing w:line="240" w:lineRule="auto"/>
        <w:ind w:left="218"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120" w:bottom="1380" w:left="1580" w:right="1060"/>
          <w:cols w:num="2" w:equalWidth="0">
            <w:col w:w="5744" w:space="794"/>
            <w:col w:w="2732"/>
          </w:cols>
        </w:sectPr>
      </w:pPr>
    </w:p>
    <w:tbl>
      <w:tblPr>
        <w:tblW w:w="0" w:type="auto"/>
        <w:jc w:val="left"/>
        <w:tblInd w:w="102" w:type="dxa"/>
        <w:tblLayout w:type="fixed"/>
        <w:tblCellMar>
          <w:top w:w="0" w:type="dxa"/>
          <w:left w:w="0" w:type="dxa"/>
          <w:bottom w:w="0" w:type="dxa"/>
          <w:right w:w="0" w:type="dxa"/>
        </w:tblCellMar>
        <w:tblLook w:val="01E0"/>
      </w:tblPr>
      <w:tblGrid>
        <w:gridCol w:w="2945"/>
        <w:gridCol w:w="1133"/>
        <w:gridCol w:w="2552"/>
        <w:gridCol w:w="2410"/>
      </w:tblGrid>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b/>
                <w:bCs/>
                <w:sz w:val="24"/>
                <w:szCs w:val="24"/>
              </w:rPr>
              <w:t>附注</w:t>
            </w:r>
            <w:r>
              <w:rPr>
                <w:rFonts w:ascii="宋体" w:hAnsi="宋体" w:cs="宋体" w:eastAsia="宋体" w:hint="default"/>
                <w:sz w:val="24"/>
                <w:szCs w:val="24"/>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71" w:right="0"/>
              <w:jc w:val="left"/>
              <w:rPr>
                <w:rFonts w:ascii="宋体" w:hAnsi="宋体" w:cs="宋体" w:eastAsia="宋体" w:hint="default"/>
                <w:sz w:val="24"/>
                <w:szCs w:val="24"/>
              </w:rPr>
            </w:pPr>
            <w:r>
              <w:rPr>
                <w:rFonts w:ascii="宋体" w:hAnsi="宋体" w:cs="宋体" w:eastAsia="宋体" w:hint="default"/>
                <w:b/>
                <w:bCs/>
                <w:sz w:val="24"/>
                <w:szCs w:val="24"/>
              </w:rPr>
              <w:t>2019</w:t>
            </w:r>
            <w:r>
              <w:rPr>
                <w:rFonts w:ascii="宋体" w:hAnsi="宋体" w:cs="宋体" w:eastAsia="宋体" w:hint="default"/>
                <w:b/>
                <w:bCs/>
                <w:spacing w:val="-63"/>
                <w:sz w:val="24"/>
                <w:szCs w:val="24"/>
              </w:rPr>
              <w:t> </w:t>
            </w:r>
            <w:r>
              <w:rPr>
                <w:rFonts w:ascii="宋体" w:hAnsi="宋体" w:cs="宋体" w:eastAsia="宋体" w:hint="default"/>
                <w:b/>
                <w:bCs/>
                <w:sz w:val="24"/>
                <w:szCs w:val="24"/>
              </w:rPr>
              <w:t>年</w:t>
            </w:r>
            <w:r>
              <w:rPr>
                <w:rFonts w:ascii="宋体" w:hAnsi="宋体" w:cs="宋体" w:eastAsia="宋体" w:hint="default"/>
                <w:b/>
                <w:bCs/>
                <w:spacing w:val="-61"/>
                <w:sz w:val="24"/>
                <w:szCs w:val="24"/>
              </w:rPr>
              <w:t> </w:t>
            </w:r>
            <w:r>
              <w:rPr>
                <w:rFonts w:ascii="宋体" w:hAnsi="宋体" w:cs="宋体" w:eastAsia="宋体" w:hint="default"/>
                <w:b/>
                <w:bCs/>
                <w:sz w:val="24"/>
                <w:szCs w:val="24"/>
              </w:rPr>
              <w:t>12</w:t>
            </w:r>
            <w:r>
              <w:rPr>
                <w:rFonts w:ascii="宋体" w:hAnsi="宋体" w:cs="宋体" w:eastAsia="宋体" w:hint="default"/>
                <w:b/>
                <w:bCs/>
                <w:spacing w:val="-61"/>
                <w:sz w:val="24"/>
                <w:szCs w:val="24"/>
              </w:rPr>
              <w:t> </w:t>
            </w:r>
            <w:r>
              <w:rPr>
                <w:rFonts w:ascii="宋体" w:hAnsi="宋体" w:cs="宋体" w:eastAsia="宋体" w:hint="default"/>
                <w:b/>
                <w:bCs/>
                <w:sz w:val="24"/>
                <w:szCs w:val="24"/>
              </w:rPr>
              <w:t>月</w:t>
            </w:r>
            <w:r>
              <w:rPr>
                <w:rFonts w:ascii="宋体" w:hAnsi="宋体" w:cs="宋体" w:eastAsia="宋体" w:hint="default"/>
                <w:b/>
                <w:bCs/>
                <w:spacing w:val="-63"/>
                <w:sz w:val="24"/>
                <w:szCs w:val="24"/>
              </w:rPr>
              <w:t> </w:t>
            </w:r>
            <w:r>
              <w:rPr>
                <w:rFonts w:ascii="宋体" w:hAnsi="宋体" w:cs="宋体" w:eastAsia="宋体" w:hint="default"/>
                <w:b/>
                <w:bCs/>
                <w:sz w:val="24"/>
                <w:szCs w:val="24"/>
              </w:rPr>
              <w:t>31</w:t>
            </w:r>
            <w:r>
              <w:rPr>
                <w:rFonts w:ascii="宋体" w:hAnsi="宋体" w:cs="宋体" w:eastAsia="宋体" w:hint="default"/>
                <w:b/>
                <w:bCs/>
                <w:spacing w:val="-61"/>
                <w:sz w:val="24"/>
                <w:szCs w:val="24"/>
              </w:rPr>
              <w:t> </w:t>
            </w:r>
            <w:r>
              <w:rPr>
                <w:rFonts w:ascii="宋体" w:hAnsi="宋体" w:cs="宋体" w:eastAsia="宋体" w:hint="default"/>
                <w:b/>
                <w:bCs/>
                <w:sz w:val="24"/>
                <w:szCs w:val="24"/>
              </w:rPr>
              <w:t>日</w:t>
            </w:r>
            <w:r>
              <w:rPr>
                <w:rFonts w:ascii="宋体" w:hAnsi="宋体" w:cs="宋体" w:eastAsia="宋体" w:hint="default"/>
                <w:b/>
                <w:bCs/>
                <w:w w:val="99"/>
                <w:sz w:val="24"/>
                <w:szCs w:val="24"/>
              </w:rPr>
              <w:t> </w:t>
            </w:r>
            <w:r>
              <w:rPr>
                <w:rFonts w:ascii="宋体" w:hAnsi="宋体" w:cs="宋体" w:eastAsia="宋体" w:hint="default"/>
                <w:sz w:val="24"/>
                <w:szCs w:val="24"/>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99" w:right="0"/>
              <w:jc w:val="left"/>
              <w:rPr>
                <w:rFonts w:ascii="宋体" w:hAnsi="宋体" w:cs="宋体" w:eastAsia="宋体" w:hint="default"/>
                <w:sz w:val="24"/>
                <w:szCs w:val="24"/>
              </w:rPr>
            </w:pPr>
            <w:r>
              <w:rPr>
                <w:rFonts w:ascii="宋体" w:hAnsi="宋体" w:cs="宋体" w:eastAsia="宋体" w:hint="default"/>
                <w:b/>
                <w:bCs/>
                <w:sz w:val="24"/>
                <w:szCs w:val="24"/>
              </w:rPr>
              <w:t>2018</w:t>
            </w:r>
            <w:r>
              <w:rPr>
                <w:rFonts w:ascii="宋体" w:hAnsi="宋体" w:cs="宋体" w:eastAsia="宋体" w:hint="default"/>
                <w:b/>
                <w:bCs/>
                <w:spacing w:val="-62"/>
                <w:sz w:val="24"/>
                <w:szCs w:val="24"/>
              </w:rPr>
              <w:t> </w:t>
            </w:r>
            <w:r>
              <w:rPr>
                <w:rFonts w:ascii="宋体" w:hAnsi="宋体" w:cs="宋体" w:eastAsia="宋体" w:hint="default"/>
                <w:b/>
                <w:bCs/>
                <w:sz w:val="24"/>
                <w:szCs w:val="24"/>
              </w:rPr>
              <w:t>年</w:t>
            </w:r>
            <w:r>
              <w:rPr>
                <w:rFonts w:ascii="宋体" w:hAnsi="宋体" w:cs="宋体" w:eastAsia="宋体" w:hint="default"/>
                <w:b/>
                <w:bCs/>
                <w:spacing w:val="-61"/>
                <w:sz w:val="24"/>
                <w:szCs w:val="24"/>
              </w:rPr>
              <w:t> </w:t>
            </w:r>
            <w:r>
              <w:rPr>
                <w:rFonts w:ascii="宋体" w:hAnsi="宋体" w:cs="宋体" w:eastAsia="宋体" w:hint="default"/>
                <w:b/>
                <w:bCs/>
                <w:sz w:val="24"/>
                <w:szCs w:val="24"/>
              </w:rPr>
              <w:t>12</w:t>
            </w:r>
            <w:r>
              <w:rPr>
                <w:rFonts w:ascii="宋体" w:hAnsi="宋体" w:cs="宋体" w:eastAsia="宋体" w:hint="default"/>
                <w:b/>
                <w:bCs/>
                <w:spacing w:val="-61"/>
                <w:sz w:val="24"/>
                <w:szCs w:val="24"/>
              </w:rPr>
              <w:t> </w:t>
            </w:r>
            <w:r>
              <w:rPr>
                <w:rFonts w:ascii="宋体" w:hAnsi="宋体" w:cs="宋体" w:eastAsia="宋体" w:hint="default"/>
                <w:b/>
                <w:bCs/>
                <w:sz w:val="24"/>
                <w:szCs w:val="24"/>
              </w:rPr>
              <w:t>月</w:t>
            </w:r>
            <w:r>
              <w:rPr>
                <w:rFonts w:ascii="宋体" w:hAnsi="宋体" w:cs="宋体" w:eastAsia="宋体" w:hint="default"/>
                <w:b/>
                <w:bCs/>
                <w:spacing w:val="-63"/>
                <w:sz w:val="24"/>
                <w:szCs w:val="24"/>
              </w:rPr>
              <w:t> </w:t>
            </w:r>
            <w:r>
              <w:rPr>
                <w:rFonts w:ascii="宋体" w:hAnsi="宋体" w:cs="宋体" w:eastAsia="宋体" w:hint="default"/>
                <w:b/>
                <w:bCs/>
                <w:sz w:val="24"/>
                <w:szCs w:val="24"/>
              </w:rPr>
              <w:t>31</w:t>
            </w:r>
            <w:r>
              <w:rPr>
                <w:rFonts w:ascii="宋体" w:hAnsi="宋体" w:cs="宋体" w:eastAsia="宋体" w:hint="default"/>
                <w:b/>
                <w:bCs/>
                <w:spacing w:val="-61"/>
                <w:sz w:val="24"/>
                <w:szCs w:val="24"/>
              </w:rPr>
              <w:t> </w:t>
            </w:r>
            <w:r>
              <w:rPr>
                <w:rFonts w:ascii="宋体" w:hAnsi="宋体" w:cs="宋体" w:eastAsia="宋体" w:hint="default"/>
                <w:b/>
                <w:bCs/>
                <w:sz w:val="24"/>
                <w:szCs w:val="24"/>
              </w:rPr>
              <w:t>日</w:t>
            </w:r>
            <w:r>
              <w:rPr>
                <w:rFonts w:ascii="宋体" w:hAnsi="宋体" w:cs="宋体" w:eastAsia="宋体" w:hint="default"/>
                <w:b/>
                <w:bCs/>
                <w:w w:val="99"/>
                <w:sz w:val="24"/>
                <w:szCs w:val="24"/>
              </w:rPr>
              <w:t> </w:t>
            </w:r>
            <w:r>
              <w:rPr>
                <w:rFonts w:ascii="宋体" w:hAnsi="宋体" w:cs="宋体" w:eastAsia="宋体" w:hint="default"/>
                <w:sz w:val="24"/>
                <w:szCs w:val="24"/>
              </w:rPr>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流动资产：</w:t>
            </w:r>
            <w:r>
              <w:rPr>
                <w:rFonts w:ascii="宋体" w:hAnsi="宋体" w:cs="宋体" w:eastAsia="宋体" w:hint="default"/>
                <w:sz w:val="24"/>
                <w:szCs w:val="24"/>
              </w:rPr>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货币资金</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2,593,116,650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1,762,980,607 </w:t>
            </w:r>
          </w:p>
        </w:tc>
      </w:tr>
      <w:tr>
        <w:trPr>
          <w:trHeight w:val="327"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交易性金融资产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84,692,678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94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100" w:right="0" w:firstLine="239"/>
              <w:jc w:val="left"/>
              <w:rPr>
                <w:rFonts w:ascii="宋体" w:hAnsi="宋体" w:cs="宋体" w:eastAsia="宋体" w:hint="default"/>
                <w:sz w:val="24"/>
                <w:szCs w:val="24"/>
              </w:rPr>
            </w:pPr>
            <w:r>
              <w:rPr>
                <w:rFonts w:ascii="宋体" w:hAnsi="宋体" w:cs="宋体" w:eastAsia="宋体" w:hint="default"/>
                <w:sz w:val="24"/>
                <w:szCs w:val="24"/>
              </w:rPr>
              <w:t>以公允价值计量且其变</w:t>
            </w:r>
          </w:p>
          <w:p>
            <w:pPr>
              <w:pStyle w:val="TableParagraph"/>
              <w:spacing w:line="310" w:lineRule="exact" w:before="31"/>
              <w:ind w:left="100" w:right="188"/>
              <w:jc w:val="left"/>
              <w:rPr>
                <w:rFonts w:ascii="宋体" w:hAnsi="宋体" w:cs="宋体" w:eastAsia="宋体" w:hint="default"/>
                <w:sz w:val="24"/>
                <w:szCs w:val="24"/>
              </w:rPr>
            </w:pPr>
            <w:r>
              <w:rPr>
                <w:rFonts w:ascii="宋体" w:hAnsi="宋体" w:cs="宋体" w:eastAsia="宋体" w:hint="default"/>
                <w:sz w:val="24"/>
                <w:szCs w:val="24"/>
              </w:rPr>
              <w:t>动计入当期损益的金融资 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衍生金融资产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应收票据</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87,047,257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89,998,500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right="79"/>
              <w:jc w:val="center"/>
              <w:rPr>
                <w:rFonts w:ascii="Times New Roman" w:hAnsi="Times New Roman" w:cs="Times New Roman" w:eastAsia="Times New Roman" w:hint="default"/>
                <w:sz w:val="24"/>
                <w:szCs w:val="24"/>
              </w:rPr>
            </w:pPr>
            <w:r>
              <w:rPr>
                <w:rFonts w:ascii="宋体" w:hAnsi="宋体" w:cs="宋体" w:eastAsia="宋体" w:hint="default"/>
                <w:sz w:val="24"/>
                <w:szCs w:val="24"/>
              </w:rPr>
              <w:t>十七、</w:t>
            </w:r>
            <w:r>
              <w:rPr>
                <w:rFonts w:ascii="Times New Roman" w:hAnsi="Times New Roman" w:cs="Times New Roman" w:eastAsia="Times New Roman" w:hint="default"/>
                <w:sz w:val="24"/>
                <w:szCs w:val="24"/>
              </w:rPr>
              <w:t>1</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513,581,159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606,199,417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应收款项融资</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预付款项</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24,693,969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16,724,897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right="79"/>
              <w:jc w:val="center"/>
              <w:rPr>
                <w:rFonts w:ascii="Times New Roman" w:hAnsi="Times New Roman" w:cs="Times New Roman" w:eastAsia="Times New Roman" w:hint="default"/>
                <w:sz w:val="24"/>
                <w:szCs w:val="24"/>
              </w:rPr>
            </w:pPr>
            <w:r>
              <w:rPr>
                <w:rFonts w:ascii="宋体" w:hAnsi="宋体" w:cs="宋体" w:eastAsia="宋体" w:hint="default"/>
                <w:sz w:val="24"/>
                <w:szCs w:val="24"/>
              </w:rPr>
              <w:t>十七、</w:t>
            </w:r>
            <w:r>
              <w:rPr>
                <w:rFonts w:ascii="Times New Roman" w:hAnsi="Times New Roman" w:cs="Times New Roman" w:eastAsia="Times New Roman" w:hint="default"/>
                <w:sz w:val="24"/>
                <w:szCs w:val="24"/>
              </w:rPr>
              <w:t>2</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1,251,362,117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922,376,813 </w:t>
            </w:r>
          </w:p>
        </w:tc>
      </w:tr>
      <w:tr>
        <w:trPr>
          <w:trHeight w:val="324"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其中：应收利息</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7"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60" w:right="0"/>
              <w:jc w:val="left"/>
              <w:rPr>
                <w:rFonts w:ascii="宋体" w:hAnsi="宋体" w:cs="宋体" w:eastAsia="宋体" w:hint="default"/>
                <w:sz w:val="24"/>
                <w:szCs w:val="24"/>
              </w:rPr>
            </w:pPr>
            <w:r>
              <w:rPr>
                <w:rFonts w:ascii="宋体" w:hAnsi="宋体" w:cs="宋体" w:eastAsia="宋体" w:hint="default"/>
                <w:sz w:val="24"/>
                <w:szCs w:val="24"/>
              </w:rPr>
              <w:t>应收股利</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存货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15,172,614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7,782,625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持有待售资产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63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一年内到期的非流动资</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其他流动资产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52,722,495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250,536,934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580" w:right="0"/>
              <w:jc w:val="left"/>
              <w:rPr>
                <w:rFonts w:ascii="宋体" w:hAnsi="宋体" w:cs="宋体" w:eastAsia="宋体" w:hint="default"/>
                <w:sz w:val="24"/>
                <w:szCs w:val="24"/>
              </w:rPr>
            </w:pPr>
            <w:r>
              <w:rPr>
                <w:rFonts w:ascii="宋体" w:hAnsi="宋体" w:cs="宋体" w:eastAsia="宋体" w:hint="default"/>
                <w:sz w:val="24"/>
                <w:szCs w:val="24"/>
              </w:rPr>
              <w:t>流动资产合计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4,622,388,939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3,656,599,793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非流动资产：</w:t>
            </w:r>
            <w:r>
              <w:rPr>
                <w:rFonts w:ascii="宋体" w:hAnsi="宋体" w:cs="宋体" w:eastAsia="宋体" w:hint="default"/>
                <w:sz w:val="24"/>
                <w:szCs w:val="24"/>
              </w:rPr>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color w:val="008000"/>
                <w:sz w:val="24"/>
              </w:rPr>
              <w:t> </w:t>
            </w:r>
            <w:r>
              <w:rPr>
                <w:rFonts w:ascii="宋体"/>
                <w:sz w:val="24"/>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98" w:right="0"/>
              <w:jc w:val="left"/>
              <w:rPr>
                <w:rFonts w:ascii="宋体" w:hAnsi="宋体" w:cs="宋体" w:eastAsia="宋体" w:hint="default"/>
                <w:sz w:val="24"/>
                <w:szCs w:val="24"/>
              </w:rPr>
            </w:pPr>
            <w:r>
              <w:rPr>
                <w:rFonts w:ascii="宋体"/>
                <w:color w:val="008000"/>
                <w:sz w:val="24"/>
              </w:rPr>
              <w:t> </w:t>
            </w:r>
            <w:r>
              <w:rPr>
                <w:rFonts w:ascii="宋体"/>
                <w:sz w:val="24"/>
              </w:rPr>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债权投资</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可供出售金融资产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585,401,962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其他债权投资</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5"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持有至到期投资</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长期应收款</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19,740,000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长期股权投资</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right="79"/>
              <w:jc w:val="center"/>
              <w:rPr>
                <w:rFonts w:ascii="Times New Roman" w:hAnsi="Times New Roman" w:cs="Times New Roman" w:eastAsia="Times New Roman" w:hint="default"/>
                <w:sz w:val="24"/>
                <w:szCs w:val="24"/>
              </w:rPr>
            </w:pPr>
            <w:r>
              <w:rPr>
                <w:rFonts w:ascii="宋体" w:hAnsi="宋体" w:cs="宋体" w:eastAsia="宋体" w:hint="default"/>
                <w:sz w:val="24"/>
                <w:szCs w:val="24"/>
              </w:rPr>
              <w:t>十七、</w:t>
            </w:r>
            <w:r>
              <w:rPr>
                <w:rFonts w:ascii="Times New Roman" w:hAnsi="Times New Roman" w:cs="Times New Roman" w:eastAsia="Times New Roman" w:hint="default"/>
                <w:sz w:val="24"/>
                <w:szCs w:val="24"/>
              </w:rPr>
              <w:t>3</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4,734,751,851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4,610,304,544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其他权益工具投资</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其他非流动金融资产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934,580,933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投资性房地产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1,639,236,072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1,648,380,701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在建工程</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生产性生物资产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bl>
    <w:p>
      <w:pPr>
        <w:spacing w:after="0" w:line="274" w:lineRule="exact"/>
        <w:jc w:val="right"/>
        <w:rPr>
          <w:rFonts w:ascii="宋体" w:hAnsi="宋体" w:cs="宋体" w:eastAsia="宋体" w:hint="default"/>
          <w:sz w:val="24"/>
          <w:szCs w:val="24"/>
        </w:rPr>
        <w:sectPr>
          <w:type w:val="continuous"/>
          <w:pgSz w:w="11910" w:h="16840"/>
          <w:pgMar w:top="1120" w:bottom="1380" w:left="1580" w:right="10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2" w:type="dxa"/>
        <w:tblLayout w:type="fixed"/>
        <w:tblCellMar>
          <w:top w:w="0" w:type="dxa"/>
          <w:left w:w="0" w:type="dxa"/>
          <w:bottom w:w="0" w:type="dxa"/>
          <w:right w:w="0" w:type="dxa"/>
        </w:tblCellMar>
        <w:tblLook w:val="01E0"/>
      </w:tblPr>
      <w:tblGrid>
        <w:gridCol w:w="2945"/>
        <w:gridCol w:w="1133"/>
        <w:gridCol w:w="2552"/>
        <w:gridCol w:w="2410"/>
      </w:tblGrid>
      <w:tr>
        <w:trPr>
          <w:trHeight w:val="327"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340" w:right="0"/>
              <w:jc w:val="left"/>
              <w:rPr>
                <w:rFonts w:ascii="宋体" w:hAnsi="宋体" w:cs="宋体" w:eastAsia="宋体" w:hint="default"/>
                <w:sz w:val="24"/>
                <w:szCs w:val="24"/>
              </w:rPr>
            </w:pPr>
            <w:r>
              <w:rPr>
                <w:rFonts w:ascii="宋体" w:hAnsi="宋体" w:cs="宋体" w:eastAsia="宋体" w:hint="default"/>
                <w:sz w:val="24"/>
                <w:szCs w:val="24"/>
              </w:rPr>
              <w:t>油气资产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使用权资产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无形资产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562,023,905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506,269,673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开发支出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商誉</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89,790,002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96,914,448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长期待摊费用</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6,146,483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6,112,786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递延所得税资产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50,949,113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48,397,636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其他非流动资产</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27,539,433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668"/>
              <w:jc w:val="right"/>
              <w:rPr>
                <w:rFonts w:ascii="宋体" w:hAnsi="宋体" w:cs="宋体" w:eastAsia="宋体" w:hint="default"/>
                <w:sz w:val="24"/>
                <w:szCs w:val="24"/>
              </w:rPr>
            </w:pPr>
            <w:r>
              <w:rPr>
                <w:rFonts w:ascii="宋体" w:hAnsi="宋体" w:cs="宋体" w:eastAsia="宋体" w:hint="default"/>
                <w:sz w:val="24"/>
                <w:szCs w:val="24"/>
              </w:rPr>
              <w:t>非流动资产合计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8,064,757,792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7,501,781,750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820" w:right="0"/>
              <w:jc w:val="left"/>
              <w:rPr>
                <w:rFonts w:ascii="宋体" w:hAnsi="宋体" w:cs="宋体" w:eastAsia="宋体" w:hint="default"/>
                <w:sz w:val="24"/>
                <w:szCs w:val="24"/>
              </w:rPr>
            </w:pPr>
            <w:r>
              <w:rPr>
                <w:rFonts w:ascii="宋体" w:hAnsi="宋体" w:cs="宋体" w:eastAsia="宋体" w:hint="default"/>
                <w:sz w:val="24"/>
                <w:szCs w:val="24"/>
              </w:rPr>
              <w:t>资产总计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12,687,146,731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11,158,381,543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流动负债：</w:t>
            </w:r>
            <w:r>
              <w:rPr>
                <w:rFonts w:ascii="宋体" w:hAnsi="宋体" w:cs="宋体" w:eastAsia="宋体" w:hint="default"/>
                <w:sz w:val="24"/>
                <w:szCs w:val="24"/>
              </w:rPr>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color w:val="FF00FF"/>
                <w:sz w:val="24"/>
              </w:rPr>
              <w:t> </w:t>
            </w:r>
            <w:r>
              <w:rPr>
                <w:rFonts w:ascii="宋体"/>
                <w:sz w:val="24"/>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98" w:right="0"/>
              <w:jc w:val="left"/>
              <w:rPr>
                <w:rFonts w:ascii="宋体" w:hAnsi="宋体" w:cs="宋体" w:eastAsia="宋体" w:hint="default"/>
                <w:sz w:val="24"/>
                <w:szCs w:val="24"/>
              </w:rPr>
            </w:pPr>
            <w:r>
              <w:rPr>
                <w:rFonts w:ascii="宋体"/>
                <w:color w:val="FF00FF"/>
                <w:sz w:val="24"/>
              </w:rPr>
              <w:t> </w:t>
            </w:r>
            <w:r>
              <w:rPr>
                <w:rFonts w:ascii="宋体"/>
                <w:sz w:val="24"/>
              </w:rPr>
            </w:r>
          </w:p>
        </w:tc>
      </w:tr>
      <w:tr>
        <w:trPr>
          <w:trHeight w:val="327"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短期借款</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4,475,996,840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3,399,927,278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交易性金融负债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6,658,487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94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100" w:right="0" w:firstLine="239"/>
              <w:jc w:val="left"/>
              <w:rPr>
                <w:rFonts w:ascii="宋体" w:hAnsi="宋体" w:cs="宋体" w:eastAsia="宋体" w:hint="default"/>
                <w:sz w:val="24"/>
                <w:szCs w:val="24"/>
              </w:rPr>
            </w:pPr>
            <w:r>
              <w:rPr>
                <w:rFonts w:ascii="宋体" w:hAnsi="宋体" w:cs="宋体" w:eastAsia="宋体" w:hint="default"/>
                <w:sz w:val="24"/>
                <w:szCs w:val="24"/>
              </w:rPr>
              <w:t>以公允价值计量且其变</w:t>
            </w:r>
          </w:p>
          <w:p>
            <w:pPr>
              <w:pStyle w:val="TableParagraph"/>
              <w:spacing w:line="310" w:lineRule="exact" w:before="31"/>
              <w:ind w:left="100" w:right="188"/>
              <w:jc w:val="left"/>
              <w:rPr>
                <w:rFonts w:ascii="宋体" w:hAnsi="宋体" w:cs="宋体" w:eastAsia="宋体" w:hint="default"/>
                <w:sz w:val="24"/>
                <w:szCs w:val="24"/>
              </w:rPr>
            </w:pPr>
            <w:r>
              <w:rPr>
                <w:rFonts w:ascii="宋体" w:hAnsi="宋体" w:cs="宋体" w:eastAsia="宋体" w:hint="default"/>
                <w:sz w:val="24"/>
                <w:szCs w:val="24"/>
              </w:rPr>
              <w:t>动计入当期损益的金融负 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衍生金融负债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应付票据</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应付账款</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163,538,868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171,967,237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551,763,854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429,741,602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应付职工薪酬</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498,501,415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485,835,578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应交税费</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115,667,121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117,402,749 </w:t>
            </w:r>
          </w:p>
        </w:tc>
      </w:tr>
      <w:tr>
        <w:trPr>
          <w:trHeight w:val="324"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其他应付款</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358,248,511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441,749,100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其中：应付利息</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060" w:right="0"/>
              <w:jc w:val="left"/>
              <w:rPr>
                <w:rFonts w:ascii="宋体" w:hAnsi="宋体" w:cs="宋体" w:eastAsia="宋体" w:hint="default"/>
                <w:sz w:val="24"/>
                <w:szCs w:val="24"/>
              </w:rPr>
            </w:pPr>
            <w:r>
              <w:rPr>
                <w:rFonts w:ascii="宋体" w:hAnsi="宋体" w:cs="宋体" w:eastAsia="宋体" w:hint="default"/>
                <w:sz w:val="24"/>
                <w:szCs w:val="24"/>
              </w:rPr>
              <w:t>应付股利</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持有待售负债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63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一年内到期的非流动负</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58,471,227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其他流动负债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54,666,027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91,170,839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580" w:right="0"/>
              <w:jc w:val="left"/>
              <w:rPr>
                <w:rFonts w:ascii="宋体" w:hAnsi="宋体" w:cs="宋体" w:eastAsia="宋体" w:hint="default"/>
                <w:sz w:val="24"/>
                <w:szCs w:val="24"/>
              </w:rPr>
            </w:pPr>
            <w:r>
              <w:rPr>
                <w:rFonts w:ascii="宋体" w:hAnsi="宋体" w:cs="宋体" w:eastAsia="宋体" w:hint="default"/>
                <w:sz w:val="24"/>
                <w:szCs w:val="24"/>
              </w:rPr>
              <w:t>流动负债合计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6,225,041,123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5,196,265,610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非流动负债：</w:t>
            </w:r>
            <w:r>
              <w:rPr>
                <w:rFonts w:ascii="宋体" w:hAnsi="宋体" w:cs="宋体" w:eastAsia="宋体" w:hint="default"/>
                <w:sz w:val="24"/>
                <w:szCs w:val="24"/>
              </w:rPr>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91"/>
              <w:jc w:val="right"/>
              <w:rPr>
                <w:rFonts w:ascii="宋体" w:hAnsi="宋体" w:cs="宋体" w:eastAsia="宋体" w:hint="default"/>
                <w:sz w:val="24"/>
                <w:szCs w:val="24"/>
              </w:rPr>
            </w:pPr>
            <w:r>
              <w:rPr>
                <w:rFonts w:ascii="宋体"/>
                <w:color w:val="008000"/>
                <w:sz w:val="24"/>
              </w:rPr>
              <w:t> </w:t>
            </w:r>
            <w:r>
              <w:rPr>
                <w:rFonts w:ascii="宋体"/>
                <w:sz w:val="24"/>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color w:val="008000"/>
                <w:sz w:val="24"/>
              </w:rPr>
              <w:t> </w:t>
            </w:r>
            <w:r>
              <w:rPr>
                <w:rFonts w:ascii="宋体"/>
                <w:sz w:val="24"/>
              </w:rPr>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长期借款</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36,666,664 </w:t>
            </w:r>
          </w:p>
        </w:tc>
      </w:tr>
      <w:tr>
        <w:trPr>
          <w:trHeight w:val="327"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应付债券</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其中：优先股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4"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87"/>
              <w:jc w:val="center"/>
              <w:rPr>
                <w:rFonts w:ascii="宋体" w:hAnsi="宋体" w:cs="宋体" w:eastAsia="宋体" w:hint="default"/>
                <w:sz w:val="24"/>
                <w:szCs w:val="24"/>
              </w:rPr>
            </w:pPr>
            <w:r>
              <w:rPr>
                <w:rFonts w:ascii="宋体" w:hAnsi="宋体" w:cs="宋体" w:eastAsia="宋体" w:hint="default"/>
                <w:sz w:val="24"/>
                <w:szCs w:val="24"/>
              </w:rPr>
              <w:t>永续债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租赁负债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长期应付款</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668"/>
              <w:jc w:val="right"/>
              <w:rPr>
                <w:rFonts w:ascii="宋体" w:hAnsi="宋体" w:cs="宋体" w:eastAsia="宋体" w:hint="default"/>
                <w:sz w:val="24"/>
                <w:szCs w:val="24"/>
              </w:rPr>
            </w:pPr>
            <w:r>
              <w:rPr>
                <w:rFonts w:ascii="宋体" w:hAnsi="宋体" w:cs="宋体" w:eastAsia="宋体" w:hint="default"/>
                <w:sz w:val="24"/>
                <w:szCs w:val="24"/>
              </w:rPr>
              <w:t>长期应付职工薪酬</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预计负债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递延收益</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62,733,750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48,150,000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递延所得税负债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4,156,055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其他非流动负债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bl>
    <w:p>
      <w:pPr>
        <w:spacing w:after="0" w:line="274" w:lineRule="exact"/>
        <w:jc w:val="right"/>
        <w:rPr>
          <w:rFonts w:ascii="宋体" w:hAnsi="宋体" w:cs="宋体" w:eastAsia="宋体" w:hint="default"/>
          <w:sz w:val="24"/>
          <w:szCs w:val="24"/>
        </w:rPr>
        <w:sectPr>
          <w:pgSz w:w="11910" w:h="16840"/>
          <w:pgMar w:header="745" w:footer="1195" w:top="1080" w:bottom="1380" w:left="1580" w:right="10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2" w:type="dxa"/>
        <w:tblLayout w:type="fixed"/>
        <w:tblCellMar>
          <w:top w:w="0" w:type="dxa"/>
          <w:left w:w="0" w:type="dxa"/>
          <w:bottom w:w="0" w:type="dxa"/>
          <w:right w:w="0" w:type="dxa"/>
        </w:tblCellMar>
        <w:tblLook w:val="01E0"/>
      </w:tblPr>
      <w:tblGrid>
        <w:gridCol w:w="2945"/>
        <w:gridCol w:w="1133"/>
        <w:gridCol w:w="2552"/>
        <w:gridCol w:w="2410"/>
      </w:tblGrid>
      <w:tr>
        <w:trPr>
          <w:trHeight w:val="327"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580" w:right="0"/>
              <w:jc w:val="left"/>
              <w:rPr>
                <w:rFonts w:ascii="宋体" w:hAnsi="宋体" w:cs="宋体" w:eastAsia="宋体" w:hint="default"/>
                <w:sz w:val="24"/>
                <w:szCs w:val="24"/>
              </w:rPr>
            </w:pPr>
            <w:r>
              <w:rPr>
                <w:rFonts w:ascii="宋体" w:hAnsi="宋体" w:cs="宋体" w:eastAsia="宋体" w:hint="default"/>
                <w:sz w:val="24"/>
                <w:szCs w:val="24"/>
              </w:rPr>
              <w:t>非流动负债合计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62,733,750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88,972,719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820" w:right="0"/>
              <w:jc w:val="left"/>
              <w:rPr>
                <w:rFonts w:ascii="宋体" w:hAnsi="宋体" w:cs="宋体" w:eastAsia="宋体" w:hint="default"/>
                <w:sz w:val="24"/>
                <w:szCs w:val="24"/>
              </w:rPr>
            </w:pPr>
            <w:r>
              <w:rPr>
                <w:rFonts w:ascii="宋体" w:hAnsi="宋体" w:cs="宋体" w:eastAsia="宋体" w:hint="default"/>
                <w:sz w:val="24"/>
                <w:szCs w:val="24"/>
              </w:rPr>
              <w:t>负债合计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6,287,774,873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5,285,238,329 </w:t>
            </w:r>
          </w:p>
        </w:tc>
      </w:tr>
      <w:tr>
        <w:trPr>
          <w:trHeight w:val="63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所有者权益（或股东权</w:t>
            </w:r>
            <w:r>
              <w:rPr>
                <w:rFonts w:ascii="宋体" w:hAnsi="宋体" w:cs="宋体" w:eastAsia="宋体" w:hint="default"/>
                <w:sz w:val="24"/>
                <w:szCs w:val="24"/>
              </w:rPr>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b/>
                <w:bCs/>
                <w:sz w:val="24"/>
                <w:szCs w:val="24"/>
              </w:rPr>
              <w:t>益）：</w:t>
            </w:r>
            <w:r>
              <w:rPr>
                <w:rFonts w:ascii="宋体" w:hAnsi="宋体" w:cs="宋体" w:eastAsia="宋体" w:hint="default"/>
                <w:sz w:val="24"/>
                <w:szCs w:val="24"/>
              </w:rPr>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color w:val="008000"/>
                <w:sz w:val="24"/>
              </w:rPr>
              <w:t> </w:t>
            </w:r>
            <w:r>
              <w:rPr>
                <w:rFonts w:ascii="宋体"/>
                <w:sz w:val="24"/>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98" w:right="0"/>
              <w:jc w:val="left"/>
              <w:rPr>
                <w:rFonts w:ascii="宋体" w:hAnsi="宋体" w:cs="宋体" w:eastAsia="宋体" w:hint="default"/>
                <w:sz w:val="24"/>
                <w:szCs w:val="24"/>
              </w:rPr>
            </w:pPr>
            <w:r>
              <w:rPr>
                <w:rFonts w:ascii="宋体"/>
                <w:color w:val="008000"/>
                <w:sz w:val="24"/>
              </w:rPr>
              <w:t> </w:t>
            </w:r>
            <w:r>
              <w:rPr>
                <w:rFonts w:ascii="宋体"/>
                <w:sz w:val="24"/>
              </w:rPr>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实收资本（或股本）</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2,503,898,164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1,917,832,792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其他权益工具</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其中：优先股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87"/>
              <w:jc w:val="center"/>
              <w:rPr>
                <w:rFonts w:ascii="宋体" w:hAnsi="宋体" w:cs="宋体" w:eastAsia="宋体" w:hint="default"/>
                <w:sz w:val="24"/>
                <w:szCs w:val="24"/>
              </w:rPr>
            </w:pPr>
            <w:r>
              <w:rPr>
                <w:rFonts w:ascii="宋体" w:hAnsi="宋体" w:cs="宋体" w:eastAsia="宋体" w:hint="default"/>
                <w:sz w:val="24"/>
                <w:szCs w:val="24"/>
              </w:rPr>
              <w:t>永续债</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资本公积</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1,274,661,278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1,619,007,491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减：库存股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482,696,342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55,787,910 </w:t>
            </w:r>
          </w:p>
        </w:tc>
      </w:tr>
      <w:tr>
        <w:trPr>
          <w:trHeight w:val="324"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40" w:right="0"/>
              <w:jc w:val="left"/>
              <w:rPr>
                <w:rFonts w:ascii="宋体" w:hAnsi="宋体" w:cs="宋体" w:eastAsia="宋体" w:hint="default"/>
                <w:sz w:val="24"/>
                <w:szCs w:val="24"/>
              </w:rPr>
            </w:pPr>
            <w:r>
              <w:rPr>
                <w:rFonts w:ascii="宋体" w:hAnsi="宋体" w:cs="宋体" w:eastAsia="宋体" w:hint="default"/>
                <w:sz w:val="24"/>
                <w:szCs w:val="24"/>
              </w:rPr>
              <w:t>其他综合收益</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-49,462,234 </w:t>
            </w:r>
          </w:p>
        </w:tc>
      </w:tr>
      <w:tr>
        <w:trPr>
          <w:trHeight w:val="327"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340" w:right="0"/>
              <w:jc w:val="left"/>
              <w:rPr>
                <w:rFonts w:ascii="宋体" w:hAnsi="宋体" w:cs="宋体" w:eastAsia="宋体" w:hint="default"/>
                <w:sz w:val="24"/>
                <w:szCs w:val="24"/>
              </w:rPr>
            </w:pPr>
            <w:r>
              <w:rPr>
                <w:rFonts w:ascii="宋体" w:hAnsi="宋体" w:cs="宋体" w:eastAsia="宋体" w:hint="default"/>
                <w:sz w:val="24"/>
                <w:szCs w:val="24"/>
              </w:rPr>
              <w:t>专项储备</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盈余公积</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997,252,171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827,153,655 </w:t>
            </w:r>
          </w:p>
        </w:tc>
      </w:tr>
      <w:tr>
        <w:trPr>
          <w:trHeight w:val="32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340" w:right="0"/>
              <w:jc w:val="left"/>
              <w:rPr>
                <w:rFonts w:ascii="宋体" w:hAnsi="宋体" w:cs="宋体" w:eastAsia="宋体" w:hint="default"/>
                <w:sz w:val="24"/>
                <w:szCs w:val="24"/>
              </w:rPr>
            </w:pPr>
            <w:r>
              <w:rPr>
                <w:rFonts w:ascii="宋体" w:hAnsi="宋体" w:cs="宋体" w:eastAsia="宋体" w:hint="default"/>
                <w:sz w:val="24"/>
                <w:szCs w:val="24"/>
              </w:rPr>
              <w:t>未分配利润</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2,106,256,587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1,614,399,420 </w:t>
            </w:r>
          </w:p>
        </w:tc>
      </w:tr>
      <w:tr>
        <w:trPr>
          <w:trHeight w:val="63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580" w:right="0"/>
              <w:jc w:val="left"/>
              <w:rPr>
                <w:rFonts w:ascii="宋体" w:hAnsi="宋体" w:cs="宋体" w:eastAsia="宋体" w:hint="default"/>
                <w:sz w:val="24"/>
                <w:szCs w:val="24"/>
              </w:rPr>
            </w:pPr>
            <w:r>
              <w:rPr>
                <w:rFonts w:ascii="宋体" w:hAnsi="宋体" w:cs="宋体" w:eastAsia="宋体" w:hint="default"/>
                <w:sz w:val="24"/>
                <w:szCs w:val="24"/>
              </w:rPr>
              <w:t>所有者权益（或股东</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权益）合计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6,399,371,858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5,873,143,214 </w:t>
            </w:r>
          </w:p>
        </w:tc>
      </w:tr>
      <w:tr>
        <w:trPr>
          <w:trHeight w:val="63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820" w:right="0"/>
              <w:jc w:val="left"/>
              <w:rPr>
                <w:rFonts w:ascii="宋体" w:hAnsi="宋体" w:cs="宋体" w:eastAsia="宋体" w:hint="default"/>
                <w:sz w:val="24"/>
                <w:szCs w:val="24"/>
              </w:rPr>
            </w:pPr>
            <w:r>
              <w:rPr>
                <w:rFonts w:ascii="宋体" w:hAnsi="宋体" w:cs="宋体" w:eastAsia="宋体" w:hint="default"/>
                <w:sz w:val="24"/>
                <w:szCs w:val="24"/>
              </w:rPr>
              <w:t>负债和所有者权益</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（或股东权益）总计</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12,687,146,731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11,158,381,543 </w:t>
            </w:r>
          </w:p>
        </w:tc>
      </w:tr>
    </w:tbl>
    <w:p>
      <w:pPr>
        <w:spacing w:line="240" w:lineRule="auto" w:before="3"/>
        <w:rPr>
          <w:rFonts w:ascii="Times New Roman" w:hAnsi="Times New Roman" w:cs="Times New Roman" w:eastAsia="Times New Roman" w:hint="default"/>
          <w:sz w:val="18"/>
          <w:szCs w:val="18"/>
        </w:rPr>
      </w:pPr>
    </w:p>
    <w:p>
      <w:pPr>
        <w:pStyle w:val="BodyText"/>
        <w:spacing w:line="240" w:lineRule="auto" w:before="26"/>
        <w:ind w:left="218" w:right="0"/>
        <w:jc w:val="left"/>
      </w:pPr>
      <w:r>
        <w:rPr/>
        <w:t>法定代表人：王文京 主管会计工作负责人：章培林</w:t>
      </w:r>
      <w:r>
        <w:rPr>
          <w:spacing w:val="-1"/>
        </w:rPr>
        <w:t> </w:t>
      </w:r>
      <w:r>
        <w:rPr/>
        <w:t>会计机构负责人：孙淑嫔</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745" w:footer="1195" w:top="1080" w:bottom="1380" w:left="1580" w:right="1040"/>
        </w:sectPr>
      </w:pPr>
    </w:p>
    <w:p>
      <w:pPr>
        <w:pStyle w:val="Heading2"/>
        <w:spacing w:line="240" w:lineRule="auto" w:before="26"/>
        <w:ind w:left="0" w:right="265"/>
        <w:jc w:val="right"/>
        <w:rPr>
          <w:b w:val="0"/>
          <w:bCs w:val="0"/>
        </w:rPr>
      </w:pPr>
      <w:r>
        <w:rPr>
          <w:w w:val="95"/>
        </w:rPr>
        <w:t>合并利润表</w:t>
      </w:r>
      <w:r>
        <w:rPr>
          <w:b w:val="0"/>
          <w:bCs w:val="0"/>
        </w:rPr>
      </w:r>
    </w:p>
    <w:p>
      <w:pPr>
        <w:pStyle w:val="BodyText"/>
        <w:spacing w:line="240" w:lineRule="auto" w:before="58"/>
        <w:ind w:left="0" w:right="0"/>
        <w:jc w:val="right"/>
      </w:pP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 </w:t>
      </w:r>
      <w:r>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2240" w:val="left" w:leader="none"/>
        </w:tabs>
        <w:spacing w:line="240" w:lineRule="auto"/>
        <w:ind w:left="1212"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120" w:bottom="1380" w:left="1580" w:right="1040"/>
          <w:cols w:num="2" w:equalWidth="0">
            <w:col w:w="5504" w:space="40"/>
            <w:col w:w="3746"/>
          </w:cols>
        </w:sectPr>
      </w:pPr>
    </w:p>
    <w:tbl>
      <w:tblPr>
        <w:tblW w:w="0" w:type="auto"/>
        <w:jc w:val="left"/>
        <w:tblInd w:w="105" w:type="dxa"/>
        <w:tblLayout w:type="fixed"/>
        <w:tblCellMar>
          <w:top w:w="0" w:type="dxa"/>
          <w:left w:w="0" w:type="dxa"/>
          <w:bottom w:w="0" w:type="dxa"/>
          <w:right w:w="0" w:type="dxa"/>
        </w:tblCellMar>
        <w:tblLook w:val="01E0"/>
      </w:tblPr>
      <w:tblGrid>
        <w:gridCol w:w="3507"/>
        <w:gridCol w:w="1517"/>
        <w:gridCol w:w="2009"/>
        <w:gridCol w:w="2017"/>
      </w:tblGrid>
      <w:tr>
        <w:trPr>
          <w:trHeight w:val="319"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44"/>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b/>
                <w:bCs/>
                <w:sz w:val="24"/>
                <w:szCs w:val="24"/>
              </w:rPr>
              <w:t>附注</w:t>
            </w:r>
            <w:r>
              <w:rPr>
                <w:rFonts w:ascii="宋体" w:hAnsi="宋体" w:cs="宋体" w:eastAsia="宋体" w:hint="default"/>
                <w:sz w:val="24"/>
                <w:szCs w:val="24"/>
              </w:rPr>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487"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2019</w:t>
            </w:r>
            <w:r>
              <w:rPr>
                <w:rFonts w:ascii="Times New Roman" w:hAnsi="Times New Roman" w:cs="Times New Roman" w:eastAsia="Times New Roman" w:hint="default"/>
                <w:b/>
                <w:bCs/>
                <w:spacing w:val="2"/>
                <w:sz w:val="24"/>
                <w:szCs w:val="24"/>
              </w:rPr>
              <w:t> </w:t>
            </w:r>
            <w:r>
              <w:rPr>
                <w:rFonts w:ascii="宋体" w:hAnsi="宋体" w:cs="宋体" w:eastAsia="宋体" w:hint="default"/>
                <w:b/>
                <w:bCs/>
                <w:sz w:val="24"/>
                <w:szCs w:val="24"/>
              </w:rPr>
              <w:t>年度</w:t>
            </w:r>
            <w:r>
              <w:rPr>
                <w:rFonts w:ascii="宋体" w:hAnsi="宋体" w:cs="宋体" w:eastAsia="宋体" w:hint="default"/>
                <w:sz w:val="24"/>
                <w:szCs w:val="24"/>
              </w:rPr>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492"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2018</w:t>
            </w:r>
            <w:r>
              <w:rPr>
                <w:rFonts w:ascii="Times New Roman" w:hAnsi="Times New Roman" w:cs="Times New Roman" w:eastAsia="Times New Roman" w:hint="default"/>
                <w:b/>
                <w:bCs/>
                <w:spacing w:val="2"/>
                <w:sz w:val="24"/>
                <w:szCs w:val="24"/>
              </w:rPr>
              <w:t> </w:t>
            </w:r>
            <w:r>
              <w:rPr>
                <w:rFonts w:ascii="宋体" w:hAnsi="宋体" w:cs="宋体" w:eastAsia="宋体" w:hint="default"/>
                <w:b/>
                <w:bCs/>
                <w:sz w:val="24"/>
                <w:szCs w:val="24"/>
              </w:rPr>
              <w:t>年度</w:t>
            </w:r>
            <w:r>
              <w:rPr>
                <w:rFonts w:ascii="宋体" w:hAnsi="宋体" w:cs="宋体" w:eastAsia="宋体" w:hint="default"/>
                <w:sz w:val="24"/>
                <w:szCs w:val="24"/>
              </w:rPr>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一、营业总收入</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8,509,659,748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7,703,495,046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其中：营业收入</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59</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8,509,659,748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7,703,495,046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利息收入</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已赚保费</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52"/>
              <w:jc w:val="right"/>
              <w:rPr>
                <w:rFonts w:ascii="宋体" w:hAnsi="宋体" w:cs="宋体" w:eastAsia="宋体" w:hint="default"/>
                <w:sz w:val="24"/>
                <w:szCs w:val="24"/>
              </w:rPr>
            </w:pPr>
            <w:r>
              <w:rPr>
                <w:rFonts w:ascii="宋体" w:hAnsi="宋体" w:cs="宋体" w:eastAsia="宋体" w:hint="default"/>
                <w:sz w:val="24"/>
                <w:szCs w:val="24"/>
              </w:rPr>
              <w:t>手续费及佣金收入</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19"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二、营业总成本</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7,825,561,972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6,949,209,092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其中：营业成本</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59</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2,942,232,116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2,314,825,198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823" w:right="0"/>
              <w:jc w:val="left"/>
              <w:rPr>
                <w:rFonts w:ascii="宋体" w:hAnsi="宋体" w:cs="宋体" w:eastAsia="宋体" w:hint="default"/>
                <w:sz w:val="24"/>
                <w:szCs w:val="24"/>
              </w:rPr>
            </w:pPr>
            <w:r>
              <w:rPr>
                <w:rFonts w:ascii="宋体" w:hAnsi="宋体" w:cs="宋体" w:eastAsia="宋体" w:hint="default"/>
                <w:sz w:val="24"/>
                <w:szCs w:val="24"/>
              </w:rPr>
              <w:t>利息支出</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52"/>
              <w:jc w:val="right"/>
              <w:rPr>
                <w:rFonts w:ascii="宋体" w:hAnsi="宋体" w:cs="宋体" w:eastAsia="宋体" w:hint="default"/>
                <w:sz w:val="24"/>
                <w:szCs w:val="24"/>
              </w:rPr>
            </w:pPr>
            <w:r>
              <w:rPr>
                <w:rFonts w:ascii="宋体" w:hAnsi="宋体" w:cs="宋体" w:eastAsia="宋体" w:hint="default"/>
                <w:sz w:val="24"/>
                <w:szCs w:val="24"/>
              </w:rPr>
              <w:t>手续费及佣金支出</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退保金</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赔付支出净额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提取保险责任准备金净</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保单红利支出</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分保费用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税金及附加</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60</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112,619,643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110,290,107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销售费用</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61</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1,633,777,585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1,648,802,131 </w:t>
            </w:r>
          </w:p>
        </w:tc>
      </w:tr>
    </w:tbl>
    <w:p>
      <w:pPr>
        <w:spacing w:after="0" w:line="274" w:lineRule="exact"/>
        <w:jc w:val="right"/>
        <w:rPr>
          <w:rFonts w:ascii="宋体" w:hAnsi="宋体" w:cs="宋体" w:eastAsia="宋体" w:hint="default"/>
          <w:sz w:val="24"/>
          <w:szCs w:val="24"/>
        </w:rPr>
        <w:sectPr>
          <w:type w:val="continuous"/>
          <w:pgSz w:w="11910" w:h="16840"/>
          <w:pgMar w:top="1120" w:bottom="1380" w:left="1580" w:right="104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5" w:type="dxa"/>
        <w:tblLayout w:type="fixed"/>
        <w:tblCellMar>
          <w:top w:w="0" w:type="dxa"/>
          <w:left w:w="0" w:type="dxa"/>
          <w:bottom w:w="0" w:type="dxa"/>
          <w:right w:w="0" w:type="dxa"/>
        </w:tblCellMar>
        <w:tblLook w:val="01E0"/>
      </w:tblPr>
      <w:tblGrid>
        <w:gridCol w:w="3507"/>
        <w:gridCol w:w="1517"/>
        <w:gridCol w:w="2009"/>
        <w:gridCol w:w="2017"/>
      </w:tblGrid>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823" w:right="0"/>
              <w:jc w:val="left"/>
              <w:rPr>
                <w:rFonts w:ascii="宋体" w:hAnsi="宋体" w:cs="宋体" w:eastAsia="宋体" w:hint="default"/>
                <w:sz w:val="24"/>
                <w:szCs w:val="24"/>
              </w:rPr>
            </w:pPr>
            <w:r>
              <w:rPr>
                <w:rFonts w:ascii="宋体" w:hAnsi="宋体" w:cs="宋体" w:eastAsia="宋体" w:hint="default"/>
                <w:sz w:val="24"/>
                <w:szCs w:val="24"/>
              </w:rPr>
              <w:t>管理费用</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5"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62</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1,389,010,908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1,375,436,146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研发费用</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63</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1,630,127,520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1,390,242,512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财务费用</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64</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117,794,200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109,612,998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992"/>
              <w:jc w:val="right"/>
              <w:rPr>
                <w:rFonts w:ascii="宋体" w:hAnsi="宋体" w:cs="宋体" w:eastAsia="宋体" w:hint="default"/>
                <w:sz w:val="24"/>
                <w:szCs w:val="24"/>
              </w:rPr>
            </w:pPr>
            <w:r>
              <w:rPr>
                <w:rFonts w:ascii="宋体" w:hAnsi="宋体" w:cs="宋体" w:eastAsia="宋体" w:hint="default"/>
                <w:sz w:val="24"/>
                <w:szCs w:val="24"/>
              </w:rPr>
              <w:t>其中：利息费用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190,995,832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190,304,536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992"/>
              <w:jc w:val="right"/>
              <w:rPr>
                <w:rFonts w:ascii="宋体" w:hAnsi="宋体" w:cs="宋体" w:eastAsia="宋体" w:hint="default"/>
                <w:sz w:val="24"/>
                <w:szCs w:val="24"/>
              </w:rPr>
            </w:pPr>
            <w:r>
              <w:rPr>
                <w:rFonts w:ascii="宋体" w:hAnsi="宋体" w:cs="宋体" w:eastAsia="宋体" w:hint="default"/>
                <w:sz w:val="24"/>
                <w:szCs w:val="24"/>
              </w:rPr>
              <w:t>利息收入</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76,758,328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85,247,849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加：其他收益</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65</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369,540,301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382,163,936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823" w:right="0"/>
              <w:jc w:val="left"/>
              <w:rPr>
                <w:rFonts w:ascii="宋体" w:hAnsi="宋体" w:cs="宋体" w:eastAsia="宋体" w:hint="default"/>
                <w:sz w:val="24"/>
                <w:szCs w:val="24"/>
              </w:rPr>
            </w:pPr>
            <w:r>
              <w:rPr>
                <w:rFonts w:ascii="宋体" w:hAnsi="宋体" w:cs="宋体" w:eastAsia="宋体" w:hint="default"/>
                <w:sz w:val="24"/>
                <w:szCs w:val="24"/>
              </w:rPr>
              <w:t>投资收益（损失以“－”</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66</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287,203,202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100,555,748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pacing w:val="-7"/>
                <w:sz w:val="24"/>
                <w:szCs w:val="24"/>
              </w:rPr>
              <w:t>其中：对联营企业和合营</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企业的投资收益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22,472,096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27,632,868 </w:t>
            </w:r>
          </w:p>
        </w:tc>
      </w:tr>
      <w:tr>
        <w:trPr>
          <w:trHeight w:val="63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423" w:right="0"/>
              <w:jc w:val="left"/>
              <w:rPr>
                <w:rFonts w:ascii="宋体" w:hAnsi="宋体" w:cs="宋体" w:eastAsia="宋体" w:hint="default"/>
                <w:sz w:val="24"/>
                <w:szCs w:val="24"/>
              </w:rPr>
            </w:pPr>
            <w:r>
              <w:rPr>
                <w:rFonts w:ascii="宋体" w:hAnsi="宋体" w:cs="宋体" w:eastAsia="宋体" w:hint="default"/>
                <w:sz w:val="24"/>
                <w:szCs w:val="24"/>
              </w:rPr>
              <w:t>以摊余成本计量的</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金融资产终止确认收益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汇兑收益（损失以“－”</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pacing w:val="-7"/>
                <w:sz w:val="24"/>
                <w:szCs w:val="24"/>
              </w:rPr>
              <w:t>净敞口套期收益（损失以</w:t>
            </w:r>
          </w:p>
          <w:p>
            <w:pPr>
              <w:pStyle w:val="TableParagraph"/>
              <w:spacing w:line="331" w:lineRule="exact"/>
              <w:ind w:left="10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pacing w:val="-7"/>
                <w:sz w:val="24"/>
                <w:szCs w:val="24"/>
              </w:rPr>
              <w:t>公允价值变动收益（损失</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以“－”号填列）</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68</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235,091,744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信用减值损失（损失以</w:t>
            </w:r>
          </w:p>
          <w:p>
            <w:pPr>
              <w:pStyle w:val="TableParagraph"/>
              <w:spacing w:line="331" w:lineRule="exact"/>
              <w:ind w:left="10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69</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7"/>
              <w:jc w:val="right"/>
              <w:rPr>
                <w:rFonts w:ascii="宋体" w:hAnsi="宋体" w:cs="宋体" w:eastAsia="宋体" w:hint="default"/>
                <w:sz w:val="24"/>
                <w:szCs w:val="24"/>
              </w:rPr>
            </w:pPr>
            <w:r>
              <w:rPr>
                <w:rFonts w:ascii="宋体"/>
                <w:sz w:val="24"/>
              </w:rPr>
              <w:t>-136,112,298 </w:t>
            </w:r>
          </w:p>
          <w:p>
            <w:pPr>
              <w:pStyle w:val="TableParagraph"/>
              <w:spacing w:line="313"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资产减值损失（损失以</w:t>
            </w:r>
          </w:p>
          <w:p>
            <w:pPr>
              <w:pStyle w:val="TableParagraph"/>
              <w:spacing w:line="330" w:lineRule="exact"/>
              <w:ind w:left="10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70</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-36,104,309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-294,127,327 </w:t>
            </w:r>
          </w:p>
        </w:tc>
      </w:tr>
      <w:tr>
        <w:trPr>
          <w:trHeight w:val="63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资产处置收益（损失以</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71</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905,946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237,405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5"/>
                <w:sz w:val="24"/>
                <w:szCs w:val="24"/>
              </w:rPr>
              <w:t>三、营业利润（亏损以“－”号</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1,404,622,362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943,115,716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加：营业外收入</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72</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8,755,786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16,229,176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减：营业外支出</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73</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9,528,960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9,010,805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pacing w:val="-3"/>
                <w:sz w:val="24"/>
                <w:szCs w:val="24"/>
              </w:rPr>
              <w:t>四、利润总额（亏损总额以</w:t>
            </w:r>
            <w:r>
              <w:rPr>
                <w:rFonts w:ascii="Times New Roman" w:hAnsi="Times New Roman" w:cs="Times New Roman" w:eastAsia="Times New Roman" w:hint="default"/>
                <w:spacing w:val="-3"/>
                <w:sz w:val="24"/>
                <w:szCs w:val="24"/>
              </w:rPr>
              <w:t>“</w:t>
            </w:r>
            <w:r>
              <w:rPr>
                <w:rFonts w:ascii="宋体" w:hAnsi="宋体" w:cs="宋体" w:eastAsia="宋体" w:hint="default"/>
                <w:spacing w:val="-3"/>
                <w:sz w:val="24"/>
                <w:szCs w:val="24"/>
              </w:rPr>
              <w:t>－</w:t>
            </w:r>
            <w:r>
              <w:rPr>
                <w:rFonts w:ascii="Times New Roman" w:hAnsi="Times New Roman" w:cs="Times New Roman" w:eastAsia="Times New Roman" w:hint="default"/>
                <w:spacing w:val="-3"/>
                <w:sz w:val="24"/>
                <w:szCs w:val="24"/>
              </w:rPr>
              <w:t>”</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1,403,849,188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950,334,087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减：所得税费用</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74</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82,540,199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140,147,008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五、净利润（净亏损以</w:t>
            </w:r>
            <w:r>
              <w:rPr>
                <w:rFonts w:ascii="Times New Roman" w:hAnsi="Times New Roman" w:cs="Times New Roman" w:eastAsia="Times New Roman" w:hint="default"/>
                <w:spacing w:val="-3"/>
                <w:sz w:val="24"/>
                <w:szCs w:val="24"/>
              </w:rPr>
              <w:t>“</w:t>
            </w:r>
            <w:r>
              <w:rPr>
                <w:rFonts w:ascii="宋体" w:hAnsi="宋体" w:cs="宋体" w:eastAsia="宋体" w:hint="default"/>
                <w:spacing w:val="-3"/>
                <w:sz w:val="24"/>
                <w:szCs w:val="24"/>
              </w:rPr>
              <w:t>－</w:t>
            </w:r>
            <w:r>
              <w:rPr>
                <w:rFonts w:ascii="Times New Roman" w:hAnsi="Times New Roman" w:cs="Times New Roman" w:eastAsia="Times New Roman" w:hint="default"/>
                <w:spacing w:val="-3"/>
                <w:sz w:val="24"/>
                <w:szCs w:val="24"/>
              </w:rPr>
              <w:t>”</w:t>
            </w:r>
            <w:r>
              <w:rPr>
                <w:rFonts w:ascii="宋体" w:hAnsi="宋体" w:cs="宋体" w:eastAsia="宋体" w:hint="default"/>
                <w:spacing w:val="-3"/>
                <w:sz w:val="24"/>
                <w:szCs w:val="24"/>
              </w:rPr>
              <w:t>号填</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1,321,308,989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810,187,079 </w:t>
            </w:r>
          </w:p>
        </w:tc>
      </w:tr>
      <w:tr>
        <w:trPr>
          <w:trHeight w:val="320"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（一）按经营持续性分类</w:t>
            </w:r>
            <w:r>
              <w:rPr>
                <w:rFonts w:ascii="宋体" w:hAnsi="宋体" w:cs="宋体" w:eastAsia="宋体" w:hint="default"/>
                <w:sz w:val="24"/>
                <w:szCs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持续经营净利润（净亏损</w:t>
            </w:r>
          </w:p>
          <w:p>
            <w:pPr>
              <w:pStyle w:val="TableParagraph"/>
              <w:spacing w:line="321" w:lineRule="exact"/>
              <w:ind w:left="103" w:right="0"/>
              <w:jc w:val="left"/>
              <w:rPr>
                <w:rFonts w:ascii="宋体" w:hAnsi="宋体" w:cs="宋体" w:eastAsia="宋体" w:hint="default"/>
                <w:sz w:val="24"/>
                <w:szCs w:val="24"/>
              </w:rPr>
            </w:pPr>
            <w:r>
              <w:rPr>
                <w:rFonts w:ascii="宋体" w:hAnsi="宋体" w:cs="宋体" w:eastAsia="宋体" w:hint="default"/>
                <w:sz w:val="24"/>
                <w:szCs w:val="24"/>
              </w:rPr>
              <w:t>以</w:t>
            </w: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1,321,308,989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810,187,079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终止经营净利润（净亏损</w:t>
            </w:r>
          </w:p>
          <w:p>
            <w:pPr>
              <w:pStyle w:val="TableParagraph"/>
              <w:spacing w:line="322" w:lineRule="exact"/>
              <w:ind w:left="103" w:right="0"/>
              <w:jc w:val="left"/>
              <w:rPr>
                <w:rFonts w:ascii="宋体" w:hAnsi="宋体" w:cs="宋体" w:eastAsia="宋体" w:hint="default"/>
                <w:sz w:val="24"/>
                <w:szCs w:val="24"/>
              </w:rPr>
            </w:pPr>
            <w:r>
              <w:rPr>
                <w:rFonts w:ascii="宋体" w:hAnsi="宋体" w:cs="宋体" w:eastAsia="宋体" w:hint="default"/>
                <w:sz w:val="24"/>
                <w:szCs w:val="24"/>
              </w:rPr>
              <w:t>以</w:t>
            </w: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19"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（二）按所有权归属分类</w:t>
            </w:r>
            <w:r>
              <w:rPr>
                <w:rFonts w:ascii="宋体" w:hAnsi="宋体" w:cs="宋体" w:eastAsia="宋体" w:hint="default"/>
                <w:sz w:val="24"/>
                <w:szCs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3" w:right="0" w:firstLine="479"/>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归属于母公司股东的净</w:t>
            </w:r>
          </w:p>
          <w:p>
            <w:pPr>
              <w:pStyle w:val="TableParagraph"/>
              <w:spacing w:line="321" w:lineRule="exact"/>
              <w:ind w:left="103" w:right="0"/>
              <w:jc w:val="left"/>
              <w:rPr>
                <w:rFonts w:ascii="宋体" w:hAnsi="宋体" w:cs="宋体" w:eastAsia="宋体" w:hint="default"/>
                <w:sz w:val="24"/>
                <w:szCs w:val="24"/>
              </w:rPr>
            </w:pPr>
            <w:r>
              <w:rPr>
                <w:rFonts w:ascii="宋体" w:hAnsi="宋体" w:cs="宋体" w:eastAsia="宋体" w:hint="default"/>
                <w:sz w:val="24"/>
                <w:szCs w:val="24"/>
              </w:rPr>
              <w:t>利润（净亏损以“</w:t>
            </w:r>
            <w:r>
              <w:rPr>
                <w:rFonts w:ascii="Times New Roman" w:hAnsi="Times New Roman" w:cs="Times New Roman" w:eastAsia="Times New Roman"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1,182,989,733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612,130,382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少数股东损益（净亏损以</w:t>
            </w:r>
          </w:p>
          <w:p>
            <w:pPr>
              <w:pStyle w:val="TableParagraph"/>
              <w:spacing w:line="322" w:lineRule="exact"/>
              <w:ind w:left="10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138,319,256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198,056,697 </w:t>
            </w:r>
          </w:p>
        </w:tc>
      </w:tr>
    </w:tbl>
    <w:p>
      <w:pPr>
        <w:spacing w:after="0" w:line="274" w:lineRule="exact"/>
        <w:jc w:val="right"/>
        <w:rPr>
          <w:rFonts w:ascii="宋体" w:hAnsi="宋体" w:cs="宋体" w:eastAsia="宋体" w:hint="default"/>
          <w:sz w:val="24"/>
          <w:szCs w:val="24"/>
        </w:rPr>
        <w:sectPr>
          <w:pgSz w:w="11910" w:h="16840"/>
          <w:pgMar w:header="745" w:footer="1195" w:top="1080" w:bottom="1380" w:left="1580" w:right="104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5" w:type="dxa"/>
        <w:tblLayout w:type="fixed"/>
        <w:tblCellMar>
          <w:top w:w="0" w:type="dxa"/>
          <w:left w:w="0" w:type="dxa"/>
          <w:bottom w:w="0" w:type="dxa"/>
          <w:right w:w="0" w:type="dxa"/>
        </w:tblCellMar>
        <w:tblLook w:val="01E0"/>
      </w:tblPr>
      <w:tblGrid>
        <w:gridCol w:w="3507"/>
        <w:gridCol w:w="1517"/>
        <w:gridCol w:w="2009"/>
        <w:gridCol w:w="2017"/>
      </w:tblGrid>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六、其他综合收益的税后净额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5"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75</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-7,357,561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-75,008,706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pacing w:val="-6"/>
                <w:sz w:val="24"/>
                <w:szCs w:val="24"/>
              </w:rPr>
              <w:t>（一）归属母公司所有者的其</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他综合收益的税后净额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-6,921,569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-73,181,424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．不能重分类进损益的其</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他综合收益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）重新计量设定受益计划</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变动额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）权益法下不能转损益的</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3</w:t>
            </w:r>
            <w:r>
              <w:rPr>
                <w:rFonts w:ascii="宋体" w:hAnsi="宋体" w:cs="宋体" w:eastAsia="宋体" w:hint="default"/>
                <w:sz w:val="24"/>
                <w:szCs w:val="24"/>
              </w:rPr>
              <w:t>）其他权益工具投资公允</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价值变动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4</w:t>
            </w:r>
            <w:r>
              <w:rPr>
                <w:rFonts w:ascii="宋体" w:hAnsi="宋体" w:cs="宋体" w:eastAsia="宋体" w:hint="default"/>
                <w:sz w:val="24"/>
                <w:szCs w:val="24"/>
              </w:rPr>
              <w:t>）企业自身信用风险公允</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价值变动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．将重分类进损益的其他</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-6,921,569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-73,181,424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）权益法下可转损益的其</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他综合收益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）其他债权投资公允价值</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变动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3</w:t>
            </w:r>
            <w:r>
              <w:rPr>
                <w:rFonts w:ascii="宋体" w:hAnsi="宋体" w:cs="宋体" w:eastAsia="宋体" w:hint="default"/>
                <w:sz w:val="24"/>
                <w:szCs w:val="24"/>
              </w:rPr>
              <w:t>）可供出售金融资产公允</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价值变动损益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-77,658,602 </w:t>
            </w:r>
          </w:p>
        </w:tc>
      </w:tr>
      <w:tr>
        <w:trPr>
          <w:trHeight w:val="63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4</w:t>
            </w:r>
            <w:r>
              <w:rPr>
                <w:rFonts w:ascii="宋体" w:hAnsi="宋体" w:cs="宋体" w:eastAsia="宋体" w:hint="default"/>
                <w:sz w:val="24"/>
                <w:szCs w:val="24"/>
              </w:rPr>
              <w:t>）金融资产重分类计入其</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他综合收益的金额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5</w:t>
            </w:r>
            <w:r>
              <w:rPr>
                <w:rFonts w:ascii="宋体" w:hAnsi="宋体" w:cs="宋体" w:eastAsia="宋体" w:hint="default"/>
                <w:sz w:val="24"/>
                <w:szCs w:val="24"/>
              </w:rPr>
              <w:t>）持有至到期投资重分类</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为可供出售金融资产损益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6</w:t>
            </w:r>
            <w:r>
              <w:rPr>
                <w:rFonts w:ascii="宋体" w:hAnsi="宋体" w:cs="宋体" w:eastAsia="宋体" w:hint="default"/>
                <w:sz w:val="24"/>
                <w:szCs w:val="24"/>
              </w:rPr>
              <w:t>）其他债权投资信用减值</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准备</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7</w:t>
            </w:r>
            <w:r>
              <w:rPr>
                <w:rFonts w:ascii="宋体" w:hAnsi="宋体" w:cs="宋体" w:eastAsia="宋体" w:hint="default"/>
                <w:sz w:val="24"/>
                <w:szCs w:val="24"/>
              </w:rPr>
              <w:t>）现金流量套期储备（现</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金流量套期损益的有效部分）</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8</w:t>
            </w:r>
            <w:r>
              <w:rPr>
                <w:rFonts w:ascii="宋体" w:hAnsi="宋体" w:cs="宋体" w:eastAsia="宋体" w:hint="default"/>
                <w:sz w:val="24"/>
                <w:szCs w:val="24"/>
              </w:rPr>
              <w:t>）外币财务报表折算差额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-6,921,569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4,477,178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34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9</w:t>
            </w:r>
            <w:r>
              <w:rPr>
                <w:rFonts w:ascii="宋体" w:hAnsi="宋体" w:cs="宋体" w:eastAsia="宋体" w:hint="default"/>
                <w:sz w:val="24"/>
                <w:szCs w:val="24"/>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43" w:right="0"/>
              <w:jc w:val="left"/>
              <w:rPr>
                <w:rFonts w:ascii="宋体" w:hAnsi="宋体" w:cs="宋体" w:eastAsia="宋体" w:hint="default"/>
                <w:sz w:val="24"/>
                <w:szCs w:val="24"/>
              </w:rPr>
            </w:pPr>
            <w:r>
              <w:rPr>
                <w:rFonts w:ascii="宋体" w:hAnsi="宋体" w:cs="宋体" w:eastAsia="宋体" w:hint="default"/>
                <w:spacing w:val="-6"/>
                <w:sz w:val="24"/>
                <w:szCs w:val="24"/>
              </w:rPr>
              <w:t>（二）归属于少数股东的其他</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综合收益的税后净额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-435,992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-1,827,282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七、综合收益总额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1,313,951,428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735,178,373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pacing w:val="-6"/>
                <w:sz w:val="24"/>
                <w:szCs w:val="24"/>
              </w:rPr>
              <w:t>（一）归属于母公司所有者的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综合收益总额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7"/>
              <w:jc w:val="right"/>
              <w:rPr>
                <w:rFonts w:ascii="宋体" w:hAnsi="宋体" w:cs="宋体" w:eastAsia="宋体" w:hint="default"/>
                <w:sz w:val="24"/>
                <w:szCs w:val="24"/>
              </w:rPr>
            </w:pPr>
            <w:r>
              <w:rPr>
                <w:rFonts w:ascii="Times New Roman"/>
                <w:sz w:val="24"/>
              </w:rPr>
              <w:t>1,176,068,164</w:t>
            </w: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538,948,958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43" w:right="0"/>
              <w:jc w:val="left"/>
              <w:rPr>
                <w:rFonts w:ascii="宋体" w:hAnsi="宋体" w:cs="宋体" w:eastAsia="宋体" w:hint="default"/>
                <w:sz w:val="24"/>
                <w:szCs w:val="24"/>
              </w:rPr>
            </w:pPr>
            <w:r>
              <w:rPr>
                <w:rFonts w:ascii="宋体" w:hAnsi="宋体" w:cs="宋体" w:eastAsia="宋体" w:hint="default"/>
                <w:spacing w:val="-6"/>
                <w:sz w:val="24"/>
                <w:szCs w:val="24"/>
              </w:rPr>
              <w:t>（二）归属于少数股东的综合</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收益总额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7"/>
              <w:jc w:val="right"/>
              <w:rPr>
                <w:rFonts w:ascii="宋体" w:hAnsi="宋体" w:cs="宋体" w:eastAsia="宋体" w:hint="default"/>
                <w:sz w:val="24"/>
                <w:szCs w:val="24"/>
              </w:rPr>
            </w:pPr>
            <w:r>
              <w:rPr>
                <w:rFonts w:ascii="Times New Roman"/>
                <w:sz w:val="24"/>
              </w:rPr>
              <w:t>137,883,264</w:t>
            </w: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196,229,415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八、每股收益：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color w:val="008000"/>
                <w:sz w:val="24"/>
              </w:rPr>
              <w:t> </w:t>
            </w:r>
            <w:r>
              <w:rPr>
                <w:rFonts w:ascii="宋体"/>
                <w:sz w:val="24"/>
              </w:rPr>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color w:val="008000"/>
                <w:sz w:val="24"/>
              </w:rPr>
              <w:t> </w:t>
            </w:r>
            <w:r>
              <w:rPr>
                <w:rFonts w:ascii="宋体"/>
                <w:sz w:val="24"/>
              </w:rPr>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34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（一）基本每股收益</w:t>
            </w:r>
            <w:r>
              <w:rPr>
                <w:rFonts w:ascii="Times New Roman" w:hAnsi="Times New Roman" w:cs="Times New Roman" w:eastAsia="Times New Roman" w:hint="default"/>
                <w:sz w:val="24"/>
                <w:szCs w:val="24"/>
              </w:rPr>
              <w:t>(</w:t>
            </w:r>
            <w:r>
              <w:rPr>
                <w:rFonts w:ascii="宋体" w:hAnsi="宋体" w:cs="宋体" w:eastAsia="宋体" w:hint="default"/>
                <w:sz w:val="24"/>
                <w:szCs w:val="24"/>
              </w:rPr>
              <w:t>元</w:t>
            </w:r>
            <w:r>
              <w:rPr>
                <w:rFonts w:ascii="Times New Roman" w:hAnsi="Times New Roman" w:cs="Times New Roman" w:eastAsia="Times New Roman" w:hint="default"/>
                <w:sz w:val="24"/>
                <w:szCs w:val="24"/>
              </w:rPr>
              <w:t>/</w:t>
            </w:r>
            <w:r>
              <w:rPr>
                <w:rFonts w:ascii="宋体" w:hAnsi="宋体" w:cs="宋体" w:eastAsia="宋体" w:hint="default"/>
                <w:sz w:val="24"/>
                <w:szCs w:val="24"/>
              </w:rPr>
              <w:t>股</w:t>
            </w:r>
            <w:r>
              <w:rPr>
                <w:rFonts w:ascii="Times New Roman" w:hAnsi="Times New Roman" w:cs="Times New Roman" w:eastAsia="Times New Roman" w:hint="default"/>
                <w:sz w:val="24"/>
                <w:szCs w:val="24"/>
              </w:rPr>
              <w:t>)</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0.48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0.25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34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（二）稀释每股收益</w:t>
            </w:r>
            <w:r>
              <w:rPr>
                <w:rFonts w:ascii="Times New Roman" w:hAnsi="Times New Roman" w:cs="Times New Roman" w:eastAsia="Times New Roman" w:hint="default"/>
                <w:sz w:val="24"/>
                <w:szCs w:val="24"/>
              </w:rPr>
              <w:t>(</w:t>
            </w:r>
            <w:r>
              <w:rPr>
                <w:rFonts w:ascii="宋体" w:hAnsi="宋体" w:cs="宋体" w:eastAsia="宋体" w:hint="default"/>
                <w:sz w:val="24"/>
                <w:szCs w:val="24"/>
              </w:rPr>
              <w:t>元</w:t>
            </w:r>
            <w:r>
              <w:rPr>
                <w:rFonts w:ascii="Times New Roman" w:hAnsi="Times New Roman" w:cs="Times New Roman" w:eastAsia="Times New Roman" w:hint="default"/>
                <w:sz w:val="24"/>
                <w:szCs w:val="24"/>
              </w:rPr>
              <w:t>/</w:t>
            </w:r>
            <w:r>
              <w:rPr>
                <w:rFonts w:ascii="宋体" w:hAnsi="宋体" w:cs="宋体" w:eastAsia="宋体" w:hint="default"/>
                <w:sz w:val="24"/>
                <w:szCs w:val="24"/>
              </w:rPr>
              <w:t>股</w:t>
            </w:r>
            <w:r>
              <w:rPr>
                <w:rFonts w:ascii="Times New Roman" w:hAnsi="Times New Roman" w:cs="Times New Roman" w:eastAsia="Times New Roman" w:hint="default"/>
                <w:sz w:val="24"/>
                <w:szCs w:val="24"/>
              </w:rPr>
              <w:t>)</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0.48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0.25 </w:t>
            </w:r>
          </w:p>
        </w:tc>
      </w:tr>
    </w:tbl>
    <w:p>
      <w:pPr>
        <w:spacing w:after="0" w:line="274" w:lineRule="exact"/>
        <w:jc w:val="right"/>
        <w:rPr>
          <w:rFonts w:ascii="宋体" w:hAnsi="宋体" w:cs="宋体" w:eastAsia="宋体" w:hint="default"/>
          <w:sz w:val="24"/>
          <w:szCs w:val="24"/>
        </w:rPr>
        <w:sectPr>
          <w:pgSz w:w="11910" w:h="16840"/>
          <w:pgMar w:header="745" w:footer="1195" w:top="1080" w:bottom="1380" w:left="1580" w:right="1040"/>
        </w:sectPr>
      </w:pPr>
    </w:p>
    <w:p>
      <w:pPr>
        <w:spacing w:line="240" w:lineRule="auto" w:before="0"/>
        <w:rPr>
          <w:rFonts w:ascii="Times New Roman" w:hAnsi="Times New Roman" w:cs="Times New Roman" w:eastAsia="Times New Roman" w:hint="default"/>
          <w:sz w:val="20"/>
          <w:szCs w:val="20"/>
        </w:rPr>
      </w:pPr>
    </w:p>
    <w:p>
      <w:pPr>
        <w:pStyle w:val="BodyText"/>
        <w:spacing w:line="312" w:lineRule="exact" w:before="203"/>
        <w:ind w:left="218" w:right="0"/>
        <w:jc w:val="left"/>
      </w:pPr>
      <w:r>
        <w:rPr/>
        <w:t>本期发生同一控制下企业合并的，被合并方在合并前实现的净利润为：</w:t>
      </w:r>
      <w:r>
        <w:rPr>
          <w:rFonts w:ascii="Times New Roman" w:hAnsi="Times New Roman" w:cs="Times New Roman" w:eastAsia="Times New Roman" w:hint="default"/>
        </w:rPr>
        <w:t>0 </w:t>
      </w:r>
      <w:r>
        <w:rPr/>
        <w:t>元</w:t>
      </w:r>
      <w:r>
        <w:rPr>
          <w:rFonts w:ascii="Times New Roman" w:hAnsi="Times New Roman" w:cs="Times New Roman" w:eastAsia="Times New Roman" w:hint="default"/>
        </w:rPr>
        <w:t>, </w:t>
      </w:r>
      <w:r>
        <w:rPr/>
        <w:t>上期被 合并方实现的净利润为： </w:t>
      </w:r>
      <w:r>
        <w:rPr>
          <w:rFonts w:ascii="Times New Roman" w:hAnsi="Times New Roman" w:cs="Times New Roman" w:eastAsia="Times New Roman" w:hint="default"/>
        </w:rPr>
        <w:t>0  </w:t>
      </w:r>
      <w:r>
        <w:rPr/>
        <w:t>元。</w:t>
      </w:r>
    </w:p>
    <w:p>
      <w:pPr>
        <w:pStyle w:val="BodyText"/>
        <w:spacing w:line="283" w:lineRule="exact"/>
        <w:ind w:left="218" w:right="0"/>
        <w:jc w:val="left"/>
      </w:pPr>
      <w:r>
        <w:rPr/>
        <w:t>法定代表人：王文京 主管会计工作负责人：章培林</w:t>
      </w:r>
      <w:r>
        <w:rPr>
          <w:spacing w:val="-1"/>
        </w:rPr>
        <w:t> </w:t>
      </w:r>
      <w:r>
        <w:rPr/>
        <w:t>会计机构负责人：孙淑嫔</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745" w:footer="1195" w:top="1080" w:bottom="1380" w:left="1580" w:right="1040"/>
        </w:sectPr>
      </w:pPr>
    </w:p>
    <w:p>
      <w:pPr>
        <w:pStyle w:val="Heading2"/>
        <w:spacing w:line="240" w:lineRule="auto" w:before="26"/>
        <w:ind w:left="0" w:right="144"/>
        <w:jc w:val="right"/>
        <w:rPr>
          <w:b w:val="0"/>
          <w:bCs w:val="0"/>
        </w:rPr>
      </w:pPr>
      <w:r>
        <w:rPr>
          <w:w w:val="95"/>
        </w:rPr>
        <w:t>母公司利润表</w:t>
      </w:r>
      <w:r>
        <w:rPr>
          <w:b w:val="0"/>
          <w:bCs w:val="0"/>
        </w:rPr>
      </w:r>
    </w:p>
    <w:p>
      <w:pPr>
        <w:pStyle w:val="BodyText"/>
        <w:spacing w:line="240" w:lineRule="auto" w:before="58"/>
        <w:ind w:left="0" w:right="0"/>
        <w:jc w:val="right"/>
      </w:pP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 </w:t>
      </w:r>
      <w:r>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2240" w:val="left" w:leader="none"/>
        </w:tabs>
        <w:spacing w:line="240" w:lineRule="auto"/>
        <w:ind w:left="1212"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120" w:bottom="1380" w:left="1580" w:right="1040"/>
          <w:cols w:num="2" w:equalWidth="0">
            <w:col w:w="5504" w:space="40"/>
            <w:col w:w="3746"/>
          </w:cols>
        </w:sectPr>
      </w:pPr>
    </w:p>
    <w:tbl>
      <w:tblPr>
        <w:tblW w:w="0" w:type="auto"/>
        <w:jc w:val="left"/>
        <w:tblInd w:w="105" w:type="dxa"/>
        <w:tblLayout w:type="fixed"/>
        <w:tblCellMar>
          <w:top w:w="0" w:type="dxa"/>
          <w:left w:w="0" w:type="dxa"/>
          <w:bottom w:w="0" w:type="dxa"/>
          <w:right w:w="0" w:type="dxa"/>
        </w:tblCellMar>
        <w:tblLook w:val="01E0"/>
      </w:tblPr>
      <w:tblGrid>
        <w:gridCol w:w="3507"/>
        <w:gridCol w:w="1517"/>
        <w:gridCol w:w="2009"/>
        <w:gridCol w:w="2017"/>
      </w:tblGrid>
      <w:tr>
        <w:trPr>
          <w:trHeight w:val="319"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44"/>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09"/>
              <w:jc w:val="right"/>
              <w:rPr>
                <w:rFonts w:ascii="宋体" w:hAnsi="宋体" w:cs="宋体" w:eastAsia="宋体" w:hint="default"/>
                <w:sz w:val="24"/>
                <w:szCs w:val="24"/>
              </w:rPr>
            </w:pPr>
            <w:r>
              <w:rPr>
                <w:rFonts w:ascii="宋体" w:hAnsi="宋体" w:cs="宋体" w:eastAsia="宋体" w:hint="default"/>
                <w:b/>
                <w:bCs/>
                <w:sz w:val="24"/>
                <w:szCs w:val="24"/>
              </w:rPr>
              <w:t>附注</w:t>
            </w:r>
            <w:r>
              <w:rPr>
                <w:rFonts w:ascii="宋体" w:hAnsi="宋体" w:cs="宋体" w:eastAsia="宋体" w:hint="default"/>
                <w:sz w:val="24"/>
                <w:szCs w:val="24"/>
              </w:rPr>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487"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2019</w:t>
            </w:r>
            <w:r>
              <w:rPr>
                <w:rFonts w:ascii="Times New Roman" w:hAnsi="Times New Roman" w:cs="Times New Roman" w:eastAsia="Times New Roman" w:hint="default"/>
                <w:b/>
                <w:bCs/>
                <w:spacing w:val="2"/>
                <w:sz w:val="24"/>
                <w:szCs w:val="24"/>
              </w:rPr>
              <w:t> </w:t>
            </w:r>
            <w:r>
              <w:rPr>
                <w:rFonts w:ascii="宋体" w:hAnsi="宋体" w:cs="宋体" w:eastAsia="宋体" w:hint="default"/>
                <w:b/>
                <w:bCs/>
                <w:sz w:val="24"/>
                <w:szCs w:val="24"/>
              </w:rPr>
              <w:t>年度</w:t>
            </w:r>
            <w:r>
              <w:rPr>
                <w:rFonts w:ascii="宋体" w:hAnsi="宋体" w:cs="宋体" w:eastAsia="宋体" w:hint="default"/>
                <w:sz w:val="24"/>
                <w:szCs w:val="24"/>
              </w:rPr>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492"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2018</w:t>
            </w:r>
            <w:r>
              <w:rPr>
                <w:rFonts w:ascii="Times New Roman" w:hAnsi="Times New Roman" w:cs="Times New Roman" w:eastAsia="Times New Roman" w:hint="default"/>
                <w:b/>
                <w:bCs/>
                <w:spacing w:val="2"/>
                <w:sz w:val="24"/>
                <w:szCs w:val="24"/>
              </w:rPr>
              <w:t> </w:t>
            </w:r>
            <w:r>
              <w:rPr>
                <w:rFonts w:ascii="宋体" w:hAnsi="宋体" w:cs="宋体" w:eastAsia="宋体" w:hint="default"/>
                <w:b/>
                <w:bCs/>
                <w:sz w:val="24"/>
                <w:szCs w:val="24"/>
              </w:rPr>
              <w:t>年度</w:t>
            </w:r>
            <w:r>
              <w:rPr>
                <w:rFonts w:ascii="宋体" w:hAnsi="宋体" w:cs="宋体" w:eastAsia="宋体" w:hint="default"/>
                <w:sz w:val="24"/>
                <w:szCs w:val="24"/>
              </w:rPr>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4" w:right="0"/>
              <w:jc w:val="left"/>
              <w:rPr>
                <w:rFonts w:ascii="宋体" w:hAnsi="宋体" w:cs="宋体" w:eastAsia="宋体" w:hint="default"/>
                <w:sz w:val="24"/>
                <w:szCs w:val="24"/>
              </w:rPr>
            </w:pPr>
            <w:r>
              <w:rPr>
                <w:rFonts w:ascii="宋体" w:hAnsi="宋体" w:cs="宋体" w:eastAsia="宋体" w:hint="default"/>
                <w:sz w:val="24"/>
                <w:szCs w:val="24"/>
              </w:rPr>
              <w:t>一、营业收入</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right="562"/>
              <w:jc w:val="right"/>
              <w:rPr>
                <w:rFonts w:ascii="Times New Roman" w:hAnsi="Times New Roman" w:cs="Times New Roman" w:eastAsia="Times New Roman" w:hint="default"/>
                <w:sz w:val="24"/>
                <w:szCs w:val="24"/>
              </w:rPr>
            </w:pPr>
            <w:r>
              <w:rPr>
                <w:rFonts w:ascii="宋体" w:hAnsi="宋体" w:cs="宋体" w:eastAsia="宋体" w:hint="default"/>
                <w:sz w:val="24"/>
                <w:szCs w:val="24"/>
              </w:rPr>
              <w:t>十七、</w:t>
            </w:r>
            <w:r>
              <w:rPr>
                <w:rFonts w:ascii="Times New Roman" w:hAnsi="Times New Roman" w:cs="Times New Roman" w:eastAsia="Times New Roman" w:hint="default"/>
                <w:sz w:val="24"/>
                <w:szCs w:val="24"/>
              </w:rPr>
              <w:t>4</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3,371,985,764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3,057,657,762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减：营业成本</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562"/>
              <w:jc w:val="right"/>
              <w:rPr>
                <w:rFonts w:ascii="Times New Roman" w:hAnsi="Times New Roman" w:cs="Times New Roman" w:eastAsia="Times New Roman" w:hint="default"/>
                <w:sz w:val="24"/>
                <w:szCs w:val="24"/>
              </w:rPr>
            </w:pPr>
            <w:r>
              <w:rPr>
                <w:rFonts w:ascii="宋体" w:hAnsi="宋体" w:cs="宋体" w:eastAsia="宋体" w:hint="default"/>
                <w:sz w:val="24"/>
                <w:szCs w:val="24"/>
              </w:rPr>
              <w:t>十七、</w:t>
            </w:r>
            <w:r>
              <w:rPr>
                <w:rFonts w:ascii="Times New Roman" w:hAnsi="Times New Roman" w:cs="Times New Roman" w:eastAsia="Times New Roman" w:hint="default"/>
                <w:sz w:val="24"/>
                <w:szCs w:val="24"/>
              </w:rPr>
              <w:t>4</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930,780,626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843,109,516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税金及附加</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69,256,769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66,424,533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销售费用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576,725,642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497,415,773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管理费用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600,154,559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673,891,207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研发费用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732,602,591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608,505,057 </w:t>
            </w:r>
          </w:p>
        </w:tc>
      </w:tr>
      <w:tr>
        <w:trPr>
          <w:trHeight w:val="319"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财务费用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183,765,096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182,946,175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992"/>
              <w:jc w:val="right"/>
              <w:rPr>
                <w:rFonts w:ascii="宋体" w:hAnsi="宋体" w:cs="宋体" w:eastAsia="宋体" w:hint="default"/>
                <w:sz w:val="24"/>
                <w:szCs w:val="24"/>
              </w:rPr>
            </w:pPr>
            <w:r>
              <w:rPr>
                <w:rFonts w:ascii="宋体" w:hAnsi="宋体" w:cs="宋体" w:eastAsia="宋体" w:hint="default"/>
                <w:sz w:val="24"/>
                <w:szCs w:val="24"/>
              </w:rPr>
              <w:t>其中：利息费用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195,807,355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180,641,613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992"/>
              <w:jc w:val="right"/>
              <w:rPr>
                <w:rFonts w:ascii="宋体" w:hAnsi="宋体" w:cs="宋体" w:eastAsia="宋体" w:hint="default"/>
                <w:sz w:val="24"/>
                <w:szCs w:val="24"/>
              </w:rPr>
            </w:pPr>
            <w:r>
              <w:rPr>
                <w:rFonts w:ascii="宋体" w:hAnsi="宋体" w:cs="宋体" w:eastAsia="宋体" w:hint="default"/>
                <w:sz w:val="24"/>
                <w:szCs w:val="24"/>
              </w:rPr>
              <w:t>利息收入</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16,858,497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6,311,188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加：其他收益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211,391,854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234,676,354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投资收益（损失以“－”</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562"/>
              <w:jc w:val="right"/>
              <w:rPr>
                <w:rFonts w:ascii="Times New Roman" w:hAnsi="Times New Roman" w:cs="Times New Roman" w:eastAsia="Times New Roman" w:hint="default"/>
                <w:sz w:val="24"/>
                <w:szCs w:val="24"/>
              </w:rPr>
            </w:pPr>
            <w:r>
              <w:rPr>
                <w:rFonts w:ascii="宋体" w:hAnsi="宋体" w:cs="宋体" w:eastAsia="宋体" w:hint="default"/>
                <w:sz w:val="24"/>
                <w:szCs w:val="24"/>
              </w:rPr>
              <w:t>十七、</w:t>
            </w:r>
            <w:r>
              <w:rPr>
                <w:rFonts w:ascii="Times New Roman" w:hAnsi="Times New Roman" w:cs="Times New Roman" w:eastAsia="Times New Roman" w:hint="default"/>
                <w:sz w:val="24"/>
                <w:szCs w:val="24"/>
              </w:rPr>
              <w:t>5</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467,147,088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395,618,533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pacing w:val="-7"/>
                <w:sz w:val="24"/>
                <w:szCs w:val="24"/>
              </w:rPr>
              <w:t>其中：对联营企业和合营</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企业的投资收益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16,548,415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27,857,604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423" w:right="0"/>
              <w:jc w:val="left"/>
              <w:rPr>
                <w:rFonts w:ascii="宋体" w:hAnsi="宋体" w:cs="宋体" w:eastAsia="宋体" w:hint="default"/>
                <w:sz w:val="24"/>
                <w:szCs w:val="24"/>
              </w:rPr>
            </w:pPr>
            <w:r>
              <w:rPr>
                <w:rFonts w:ascii="宋体" w:hAnsi="宋体" w:cs="宋体" w:eastAsia="宋体" w:hint="default"/>
                <w:sz w:val="24"/>
                <w:szCs w:val="24"/>
              </w:rPr>
              <w:t>以摊余成本计量的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金融资产终止确认收益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823" w:right="0"/>
              <w:jc w:val="left"/>
              <w:rPr>
                <w:rFonts w:ascii="宋体" w:hAnsi="宋体" w:cs="宋体" w:eastAsia="宋体" w:hint="default"/>
                <w:sz w:val="24"/>
                <w:szCs w:val="24"/>
              </w:rPr>
            </w:pPr>
            <w:r>
              <w:rPr>
                <w:rFonts w:ascii="宋体" w:hAnsi="宋体" w:cs="宋体" w:eastAsia="宋体" w:hint="default"/>
                <w:spacing w:val="-7"/>
                <w:sz w:val="24"/>
                <w:szCs w:val="24"/>
              </w:rPr>
              <w:t>净敞口套期收益（损失以</w:t>
            </w:r>
          </w:p>
          <w:p>
            <w:pPr>
              <w:pStyle w:val="TableParagraph"/>
              <w:spacing w:line="330" w:lineRule="exact"/>
              <w:ind w:left="10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pacing w:val="-7"/>
                <w:sz w:val="24"/>
                <w:szCs w:val="24"/>
              </w:rPr>
              <w:t>公允价值变动收益（损失</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以“－”号填列）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191,316,469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823" w:right="0"/>
              <w:jc w:val="left"/>
              <w:rPr>
                <w:rFonts w:ascii="宋体" w:hAnsi="宋体" w:cs="宋体" w:eastAsia="宋体" w:hint="default"/>
                <w:sz w:val="24"/>
                <w:szCs w:val="24"/>
              </w:rPr>
            </w:pPr>
            <w:r>
              <w:rPr>
                <w:rFonts w:ascii="宋体" w:hAnsi="宋体" w:cs="宋体" w:eastAsia="宋体" w:hint="default"/>
                <w:sz w:val="24"/>
                <w:szCs w:val="24"/>
              </w:rPr>
              <w:t>信用减值损失（损失以</w:t>
            </w:r>
          </w:p>
          <w:p>
            <w:pPr>
              <w:pStyle w:val="TableParagraph"/>
              <w:spacing w:line="330" w:lineRule="exact"/>
              <w:ind w:left="10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-33,609,655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资产减值损失（损失以</w:t>
            </w:r>
          </w:p>
          <w:p>
            <w:pPr>
              <w:pStyle w:val="TableParagraph"/>
              <w:spacing w:line="331" w:lineRule="exact"/>
              <w:ind w:left="10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-33,681,647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-139,157,152 </w:t>
            </w:r>
          </w:p>
        </w:tc>
      </w:tr>
      <w:tr>
        <w:trPr>
          <w:trHeight w:val="63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资产处置收益（损失以</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492,308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282,382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4" w:right="0"/>
              <w:jc w:val="left"/>
              <w:rPr>
                <w:rFonts w:ascii="宋体" w:hAnsi="宋体" w:cs="宋体" w:eastAsia="宋体" w:hint="default"/>
                <w:sz w:val="24"/>
                <w:szCs w:val="24"/>
              </w:rPr>
            </w:pPr>
            <w:r>
              <w:rPr>
                <w:rFonts w:ascii="宋体" w:hAnsi="宋体" w:cs="宋体" w:eastAsia="宋体" w:hint="default"/>
                <w:spacing w:val="-4"/>
                <w:sz w:val="24"/>
                <w:szCs w:val="24"/>
              </w:rPr>
              <w:t>二、营业利润（亏损以“－”号</w:t>
            </w:r>
          </w:p>
          <w:p>
            <w:pPr>
              <w:pStyle w:val="TableParagraph"/>
              <w:spacing w:line="313" w:lineRule="exact"/>
              <w:ind w:left="84" w:right="0"/>
              <w:jc w:val="left"/>
              <w:rPr>
                <w:rFonts w:ascii="宋体" w:hAnsi="宋体" w:cs="宋体" w:eastAsia="宋体" w:hint="default"/>
                <w:sz w:val="24"/>
                <w:szCs w:val="24"/>
              </w:rPr>
            </w:pPr>
            <w:r>
              <w:rPr>
                <w:rFonts w:ascii="宋体" w:hAnsi="宋体" w:cs="宋体" w:eastAsia="宋体" w:hint="default"/>
                <w:sz w:val="24"/>
                <w:szCs w:val="24"/>
              </w:rPr>
              <w:t>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1,081,756,898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676,785,618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加：营业外收入</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1,255,144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3,098,339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减：营业外支出</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2,988,973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4,716,377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84" w:right="-17"/>
              <w:jc w:val="left"/>
              <w:rPr>
                <w:rFonts w:ascii="宋体" w:hAnsi="宋体" w:cs="宋体" w:eastAsia="宋体" w:hint="default"/>
                <w:sz w:val="24"/>
                <w:szCs w:val="24"/>
              </w:rPr>
            </w:pPr>
            <w:r>
              <w:rPr>
                <w:rFonts w:ascii="宋体" w:hAnsi="宋体" w:cs="宋体" w:eastAsia="宋体" w:hint="default"/>
                <w:spacing w:val="-12"/>
                <w:sz w:val="24"/>
                <w:szCs w:val="24"/>
              </w:rPr>
              <w:t>三、利润总额（亏损总额以“－”</w:t>
            </w:r>
          </w:p>
          <w:p>
            <w:pPr>
              <w:pStyle w:val="TableParagraph"/>
              <w:spacing w:line="312" w:lineRule="exact"/>
              <w:ind w:left="84" w:right="0"/>
              <w:jc w:val="left"/>
              <w:rPr>
                <w:rFonts w:ascii="宋体" w:hAnsi="宋体" w:cs="宋体" w:eastAsia="宋体" w:hint="default"/>
                <w:sz w:val="24"/>
                <w:szCs w:val="24"/>
              </w:rPr>
            </w:pP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1,080,023,069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675,167,580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63" w:right="0"/>
              <w:jc w:val="left"/>
              <w:rPr>
                <w:rFonts w:ascii="宋体" w:hAnsi="宋体" w:cs="宋体" w:eastAsia="宋体" w:hint="default"/>
                <w:sz w:val="24"/>
                <w:szCs w:val="24"/>
              </w:rPr>
            </w:pPr>
            <w:r>
              <w:rPr>
                <w:rFonts w:ascii="宋体" w:hAnsi="宋体" w:cs="宋体" w:eastAsia="宋体" w:hint="default"/>
                <w:sz w:val="24"/>
                <w:szCs w:val="24"/>
              </w:rPr>
              <w:t>减：所得税费用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-21,768,466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-4,868,077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4" w:right="0"/>
              <w:jc w:val="left"/>
              <w:rPr>
                <w:rFonts w:ascii="宋体" w:hAnsi="宋体" w:cs="宋体" w:eastAsia="宋体" w:hint="default"/>
                <w:sz w:val="24"/>
                <w:szCs w:val="24"/>
              </w:rPr>
            </w:pPr>
            <w:r>
              <w:rPr>
                <w:rFonts w:ascii="宋体" w:hAnsi="宋体" w:cs="宋体" w:eastAsia="宋体" w:hint="default"/>
                <w:spacing w:val="-4"/>
                <w:sz w:val="24"/>
                <w:szCs w:val="24"/>
              </w:rPr>
              <w:t>四、净利润（净亏损以“－”号</w:t>
            </w:r>
          </w:p>
          <w:p>
            <w:pPr>
              <w:pStyle w:val="TableParagraph"/>
              <w:spacing w:line="313" w:lineRule="exact"/>
              <w:ind w:left="84" w:right="0"/>
              <w:jc w:val="left"/>
              <w:rPr>
                <w:rFonts w:ascii="宋体" w:hAnsi="宋体" w:cs="宋体" w:eastAsia="宋体" w:hint="default"/>
                <w:sz w:val="24"/>
                <w:szCs w:val="24"/>
              </w:rPr>
            </w:pPr>
            <w:r>
              <w:rPr>
                <w:rFonts w:ascii="宋体" w:hAnsi="宋体" w:cs="宋体" w:eastAsia="宋体" w:hint="default"/>
                <w:sz w:val="24"/>
                <w:szCs w:val="24"/>
              </w:rPr>
              <w:t>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1,101,791,535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680,035,657 </w:t>
            </w:r>
          </w:p>
        </w:tc>
      </w:tr>
    </w:tbl>
    <w:p>
      <w:pPr>
        <w:spacing w:after="0" w:line="274" w:lineRule="exact"/>
        <w:jc w:val="right"/>
        <w:rPr>
          <w:rFonts w:ascii="宋体" w:hAnsi="宋体" w:cs="宋体" w:eastAsia="宋体" w:hint="default"/>
          <w:sz w:val="24"/>
          <w:szCs w:val="24"/>
        </w:rPr>
        <w:sectPr>
          <w:type w:val="continuous"/>
          <w:pgSz w:w="11910" w:h="16840"/>
          <w:pgMar w:top="1120" w:bottom="1380" w:left="1580" w:right="104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tbl>
      <w:tblPr>
        <w:tblW w:w="0" w:type="auto"/>
        <w:jc w:val="left"/>
        <w:tblInd w:w="105" w:type="dxa"/>
        <w:tblLayout w:type="fixed"/>
        <w:tblCellMar>
          <w:top w:w="0" w:type="dxa"/>
          <w:left w:w="0" w:type="dxa"/>
          <w:bottom w:w="0" w:type="dxa"/>
          <w:right w:w="0" w:type="dxa"/>
        </w:tblCellMar>
        <w:tblLook w:val="01E0"/>
      </w:tblPr>
      <w:tblGrid>
        <w:gridCol w:w="3507"/>
        <w:gridCol w:w="1517"/>
        <w:gridCol w:w="2009"/>
        <w:gridCol w:w="2017"/>
      </w:tblGrid>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62" w:right="0"/>
              <w:jc w:val="left"/>
              <w:rPr>
                <w:rFonts w:ascii="宋体" w:hAnsi="宋体" w:cs="宋体" w:eastAsia="宋体" w:hint="default"/>
                <w:sz w:val="24"/>
                <w:szCs w:val="24"/>
              </w:rPr>
            </w:pPr>
            <w:r>
              <w:rPr>
                <w:rFonts w:ascii="宋体" w:hAnsi="宋体" w:cs="宋体" w:eastAsia="宋体" w:hint="default"/>
                <w:spacing w:val="-7"/>
                <w:sz w:val="24"/>
                <w:szCs w:val="24"/>
              </w:rPr>
              <w:t>（一）持续经营净利润（净亏</w:t>
            </w:r>
          </w:p>
          <w:p>
            <w:pPr>
              <w:pStyle w:val="TableParagraph"/>
              <w:spacing w:line="330" w:lineRule="exact"/>
              <w:ind w:left="103" w:right="0"/>
              <w:jc w:val="left"/>
              <w:rPr>
                <w:rFonts w:ascii="宋体" w:hAnsi="宋体" w:cs="宋体" w:eastAsia="宋体" w:hint="default"/>
                <w:sz w:val="24"/>
                <w:szCs w:val="24"/>
              </w:rPr>
            </w:pPr>
            <w:r>
              <w:rPr>
                <w:rFonts w:ascii="宋体" w:hAnsi="宋体" w:cs="宋体" w:eastAsia="宋体" w:hint="default"/>
                <w:sz w:val="24"/>
                <w:szCs w:val="24"/>
              </w:rPr>
              <w:t>损以</w:t>
            </w: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1,101,791,535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680,035,657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62" w:right="0"/>
              <w:jc w:val="left"/>
              <w:rPr>
                <w:rFonts w:ascii="宋体" w:hAnsi="宋体" w:cs="宋体" w:eastAsia="宋体" w:hint="default"/>
                <w:sz w:val="24"/>
                <w:szCs w:val="24"/>
              </w:rPr>
            </w:pPr>
            <w:r>
              <w:rPr>
                <w:rFonts w:ascii="宋体" w:hAnsi="宋体" w:cs="宋体" w:eastAsia="宋体" w:hint="default"/>
                <w:spacing w:val="-7"/>
                <w:sz w:val="24"/>
                <w:szCs w:val="24"/>
              </w:rPr>
              <w:t>（二）终止经营净利润（净亏</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损以“－”号填列）</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19"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7" w:right="0"/>
              <w:jc w:val="left"/>
              <w:rPr>
                <w:rFonts w:ascii="宋体" w:hAnsi="宋体" w:cs="宋体" w:eastAsia="宋体" w:hint="default"/>
                <w:sz w:val="24"/>
                <w:szCs w:val="24"/>
              </w:rPr>
            </w:pPr>
            <w:r>
              <w:rPr>
                <w:rFonts w:ascii="宋体" w:hAnsi="宋体" w:cs="宋体" w:eastAsia="宋体" w:hint="default"/>
                <w:sz w:val="24"/>
                <w:szCs w:val="24"/>
              </w:rPr>
              <w:t>五、其他综合收益的税后净额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-49,462,234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pacing w:val="-6"/>
                <w:sz w:val="24"/>
                <w:szCs w:val="24"/>
              </w:rPr>
              <w:t>（一）不能重分类进损益的其</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他综合收益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重新计量设定受益计划</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变动额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权益法下不能转损益的</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其他权益工具投资公允</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价值变动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w:t>
            </w:r>
            <w:r>
              <w:rPr>
                <w:rFonts w:ascii="宋体" w:hAnsi="宋体" w:cs="宋体" w:eastAsia="宋体" w:hint="default"/>
                <w:sz w:val="24"/>
                <w:szCs w:val="24"/>
              </w:rPr>
              <w:t>企业自身信用风险公允</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价值变动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pacing w:val="-6"/>
                <w:sz w:val="24"/>
                <w:szCs w:val="24"/>
              </w:rPr>
              <w:t>（二）将重分类进损益的其他</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-49,462,234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权益法下可转损益的其</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他综合收益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其他债权投资公允价值</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变动</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可供出售金融资产公允</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价值变动损益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-49,462,234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w:t>
            </w:r>
            <w:r>
              <w:rPr>
                <w:rFonts w:ascii="宋体" w:hAnsi="宋体" w:cs="宋体" w:eastAsia="宋体" w:hint="default"/>
                <w:sz w:val="24"/>
                <w:szCs w:val="24"/>
              </w:rPr>
              <w:t>金融资产重分类计入其</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他综合收益的金额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5.</w:t>
            </w:r>
            <w:r>
              <w:rPr>
                <w:rFonts w:ascii="宋体" w:hAnsi="宋体" w:cs="宋体" w:eastAsia="宋体" w:hint="default"/>
                <w:sz w:val="24"/>
                <w:szCs w:val="24"/>
              </w:rPr>
              <w:t>持有至到期投资重分类</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为可供出售金融资产损益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6.</w:t>
            </w:r>
            <w:r>
              <w:rPr>
                <w:rFonts w:ascii="宋体" w:hAnsi="宋体" w:cs="宋体" w:eastAsia="宋体" w:hint="default"/>
                <w:sz w:val="24"/>
                <w:szCs w:val="24"/>
              </w:rPr>
              <w:t>其他债权投资信用减值</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准备</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7.</w:t>
            </w:r>
            <w:r>
              <w:rPr>
                <w:rFonts w:ascii="宋体" w:hAnsi="宋体" w:cs="宋体" w:eastAsia="宋体" w:hint="default"/>
                <w:sz w:val="24"/>
                <w:szCs w:val="24"/>
              </w:rPr>
              <w:t>现金流量套期储备（现金</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流量套期损益的有效部分）</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8.</w:t>
            </w:r>
            <w:r>
              <w:rPr>
                <w:rFonts w:ascii="宋体" w:hAnsi="宋体" w:cs="宋体" w:eastAsia="宋体" w:hint="default"/>
                <w:sz w:val="24"/>
                <w:szCs w:val="24"/>
              </w:rPr>
              <w:t>外币财务报表折算差额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9.</w:t>
            </w:r>
            <w:r>
              <w:rPr>
                <w:rFonts w:ascii="宋体" w:hAnsi="宋体" w:cs="宋体" w:eastAsia="宋体" w:hint="default"/>
                <w:sz w:val="24"/>
                <w:szCs w:val="24"/>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4" w:right="0"/>
              <w:jc w:val="left"/>
              <w:rPr>
                <w:rFonts w:ascii="宋体" w:hAnsi="宋体" w:cs="宋体" w:eastAsia="宋体" w:hint="default"/>
                <w:sz w:val="24"/>
                <w:szCs w:val="24"/>
              </w:rPr>
            </w:pPr>
            <w:r>
              <w:rPr>
                <w:rFonts w:ascii="宋体" w:hAnsi="宋体" w:cs="宋体" w:eastAsia="宋体" w:hint="default"/>
                <w:sz w:val="24"/>
                <w:szCs w:val="24"/>
              </w:rPr>
              <w:t>六、综合收益总额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1,101,791,535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630,573,423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7" w:right="0"/>
              <w:jc w:val="left"/>
              <w:rPr>
                <w:rFonts w:ascii="宋体" w:hAnsi="宋体" w:cs="宋体" w:eastAsia="宋体" w:hint="default"/>
                <w:sz w:val="24"/>
                <w:szCs w:val="24"/>
              </w:rPr>
            </w:pPr>
            <w:r>
              <w:rPr>
                <w:rFonts w:ascii="宋体" w:hAnsi="宋体" w:cs="宋体" w:eastAsia="宋体" w:hint="default"/>
                <w:sz w:val="24"/>
                <w:szCs w:val="24"/>
              </w:rPr>
              <w:t>七、每股收益：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00"/>
              <w:jc w:val="right"/>
              <w:rPr>
                <w:rFonts w:ascii="Times New Roman" w:hAnsi="Times New Roman" w:cs="Times New Roman" w:eastAsia="Times New Roman" w:hint="default"/>
                <w:sz w:val="24"/>
                <w:szCs w:val="24"/>
              </w:rPr>
            </w:pPr>
            <w:r>
              <w:rPr>
                <w:rFonts w:ascii="宋体" w:hAnsi="宋体" w:cs="宋体" w:eastAsia="宋体" w:hint="default"/>
                <w:spacing w:val="-3"/>
                <w:sz w:val="24"/>
                <w:szCs w:val="24"/>
              </w:rPr>
              <w:t>（一）基本每股收益</w:t>
            </w:r>
            <w:r>
              <w:rPr>
                <w:rFonts w:ascii="Times New Roman" w:hAnsi="Times New Roman" w:cs="Times New Roman" w:eastAsia="Times New Roman" w:hint="default"/>
                <w:spacing w:val="-3"/>
                <w:sz w:val="24"/>
                <w:szCs w:val="24"/>
              </w:rPr>
              <w:t>(</w:t>
            </w:r>
            <w:r>
              <w:rPr>
                <w:rFonts w:ascii="宋体" w:hAnsi="宋体" w:cs="宋体" w:eastAsia="宋体" w:hint="default"/>
                <w:spacing w:val="-3"/>
                <w:sz w:val="24"/>
                <w:szCs w:val="24"/>
              </w:rPr>
              <w:t>元</w:t>
            </w:r>
            <w:r>
              <w:rPr>
                <w:rFonts w:ascii="Times New Roman" w:hAnsi="Times New Roman" w:cs="Times New Roman" w:eastAsia="Times New Roman" w:hint="default"/>
                <w:spacing w:val="-3"/>
                <w:sz w:val="24"/>
                <w:szCs w:val="24"/>
              </w:rPr>
              <w:t>/</w:t>
            </w:r>
            <w:r>
              <w:rPr>
                <w:rFonts w:ascii="宋体" w:hAnsi="宋体" w:cs="宋体" w:eastAsia="宋体" w:hint="default"/>
                <w:spacing w:val="-3"/>
                <w:sz w:val="24"/>
                <w:szCs w:val="24"/>
              </w:rPr>
              <w:t>股</w:t>
            </w:r>
            <w:r>
              <w:rPr>
                <w:rFonts w:ascii="Times New Roman" w:hAnsi="Times New Roman" w:cs="Times New Roman" w:eastAsia="Times New Roman" w:hint="default"/>
                <w:spacing w:val="-3"/>
                <w:sz w:val="24"/>
                <w:szCs w:val="24"/>
              </w:rPr>
              <w:t>)</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00"/>
              <w:jc w:val="right"/>
              <w:rPr>
                <w:rFonts w:ascii="Times New Roman" w:hAnsi="Times New Roman" w:cs="Times New Roman" w:eastAsia="Times New Roman" w:hint="default"/>
                <w:sz w:val="24"/>
                <w:szCs w:val="24"/>
              </w:rPr>
            </w:pPr>
            <w:r>
              <w:rPr>
                <w:rFonts w:ascii="宋体" w:hAnsi="宋体" w:cs="宋体" w:eastAsia="宋体" w:hint="default"/>
                <w:spacing w:val="-3"/>
                <w:sz w:val="24"/>
                <w:szCs w:val="24"/>
              </w:rPr>
              <w:t>（二）稀释每股收益</w:t>
            </w:r>
            <w:r>
              <w:rPr>
                <w:rFonts w:ascii="Times New Roman" w:hAnsi="Times New Roman" w:cs="Times New Roman" w:eastAsia="Times New Roman" w:hint="default"/>
                <w:spacing w:val="-3"/>
                <w:sz w:val="24"/>
                <w:szCs w:val="24"/>
              </w:rPr>
              <w:t>(</w:t>
            </w:r>
            <w:r>
              <w:rPr>
                <w:rFonts w:ascii="宋体" w:hAnsi="宋体" w:cs="宋体" w:eastAsia="宋体" w:hint="default"/>
                <w:spacing w:val="-3"/>
                <w:sz w:val="24"/>
                <w:szCs w:val="24"/>
              </w:rPr>
              <w:t>元</w:t>
            </w:r>
            <w:r>
              <w:rPr>
                <w:rFonts w:ascii="Times New Roman" w:hAnsi="Times New Roman" w:cs="Times New Roman" w:eastAsia="Times New Roman" w:hint="default"/>
                <w:spacing w:val="-3"/>
                <w:sz w:val="24"/>
                <w:szCs w:val="24"/>
              </w:rPr>
              <w:t>/</w:t>
            </w:r>
            <w:r>
              <w:rPr>
                <w:rFonts w:ascii="宋体" w:hAnsi="宋体" w:cs="宋体" w:eastAsia="宋体" w:hint="default"/>
                <w:spacing w:val="-3"/>
                <w:sz w:val="24"/>
                <w:szCs w:val="24"/>
              </w:rPr>
              <w:t>股</w:t>
            </w:r>
            <w:r>
              <w:rPr>
                <w:rFonts w:ascii="Times New Roman" w:hAnsi="Times New Roman" w:cs="Times New Roman" w:eastAsia="Times New Roman" w:hint="default"/>
                <w:spacing w:val="-3"/>
                <w:sz w:val="24"/>
                <w:szCs w:val="24"/>
              </w:rPr>
              <w:t>)</w:t>
            </w:r>
          </w:p>
        </w:tc>
        <w:tc>
          <w:tcPr>
            <w:tcW w:w="1517"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201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16"/>
          <w:szCs w:val="16"/>
        </w:rPr>
      </w:pPr>
    </w:p>
    <w:p>
      <w:pPr>
        <w:pStyle w:val="BodyText"/>
        <w:spacing w:line="240" w:lineRule="auto" w:before="26"/>
        <w:ind w:left="218" w:right="0"/>
        <w:jc w:val="left"/>
      </w:pPr>
      <w:r>
        <w:rPr/>
        <w:t>法定代表人：王文京 主管会计工作负责人：章培林</w:t>
      </w:r>
      <w:r>
        <w:rPr>
          <w:spacing w:val="-1"/>
        </w:rPr>
        <w:t> </w:t>
      </w:r>
      <w:r>
        <w:rPr/>
        <w:t>会计机构负责人：孙淑嫔</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Heading2"/>
        <w:spacing w:line="313" w:lineRule="exact" w:before="195"/>
        <w:ind w:left="3653" w:right="3671"/>
        <w:jc w:val="center"/>
        <w:rPr>
          <w:b w:val="0"/>
          <w:bCs w:val="0"/>
        </w:rPr>
      </w:pPr>
      <w:r>
        <w:rPr/>
        <w:t>合并现金流量表</w:t>
      </w:r>
      <w:r>
        <w:rPr>
          <w:b w:val="0"/>
          <w:bCs w:val="0"/>
        </w:rPr>
      </w:r>
    </w:p>
    <w:p>
      <w:pPr>
        <w:pStyle w:val="BodyText"/>
        <w:spacing w:line="331" w:lineRule="exact"/>
        <w:ind w:left="3654" w:right="3671"/>
        <w:jc w:val="center"/>
      </w:pP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 </w:t>
      </w:r>
      <w:r>
        <w:rPr/>
        <w:t>月</w:t>
      </w:r>
    </w:p>
    <w:p>
      <w:pPr>
        <w:spacing w:after="0" w:line="331" w:lineRule="exact"/>
        <w:jc w:val="center"/>
        <w:sectPr>
          <w:pgSz w:w="11910" w:h="16840"/>
          <w:pgMar w:header="745" w:footer="1195" w:top="1080" w:bottom="1380" w:left="1580" w:right="1040"/>
        </w:sectPr>
      </w:pPr>
    </w:p>
    <w:p>
      <w:pPr>
        <w:spacing w:line="240" w:lineRule="auto" w:before="10"/>
        <w:rPr>
          <w:rFonts w:ascii="宋体" w:hAnsi="宋体" w:cs="宋体" w:eastAsia="宋体" w:hint="default"/>
          <w:sz w:val="28"/>
          <w:szCs w:val="28"/>
        </w:rPr>
      </w:pPr>
    </w:p>
    <w:p>
      <w:pPr>
        <w:pStyle w:val="BodyText"/>
        <w:tabs>
          <w:tab w:pos="1200" w:val="left" w:leader="none"/>
        </w:tabs>
        <w:spacing w:line="240" w:lineRule="auto" w:before="26"/>
        <w:ind w:left="0" w:right="232"/>
        <w:jc w:val="right"/>
      </w:pPr>
      <w:r>
        <w:rPr/>
        <w:t>单位：元</w:t>
        <w:tab/>
        <w:t>币种：人民币</w:t>
      </w:r>
    </w:p>
    <w:p>
      <w:pPr>
        <w:spacing w:line="240" w:lineRule="auto" w:before="12"/>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142"/>
        <w:gridCol w:w="1567"/>
        <w:gridCol w:w="2175"/>
        <w:gridCol w:w="2165"/>
      </w:tblGrid>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 w:right="0"/>
              <w:jc w:val="center"/>
              <w:rPr>
                <w:rFonts w:ascii="宋体" w:hAnsi="宋体" w:cs="宋体" w:eastAsia="宋体" w:hint="default"/>
                <w:sz w:val="24"/>
                <w:szCs w:val="24"/>
              </w:rPr>
            </w:pPr>
            <w:r>
              <w:rPr>
                <w:rFonts w:ascii="宋体" w:hAnsi="宋体" w:cs="宋体" w:eastAsia="宋体" w:hint="default"/>
                <w:b/>
                <w:bCs/>
                <w:sz w:val="24"/>
                <w:szCs w:val="24"/>
              </w:rPr>
              <w:t>附注</w:t>
            </w:r>
            <w:r>
              <w:rPr>
                <w:rFonts w:ascii="宋体" w:hAnsi="宋体" w:cs="宋体" w:eastAsia="宋体" w:hint="default"/>
                <w:sz w:val="24"/>
                <w:szCs w:val="24"/>
              </w:rPr>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600"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2019</w:t>
            </w:r>
            <w:r>
              <w:rPr>
                <w:rFonts w:ascii="宋体" w:hAnsi="宋体" w:cs="宋体" w:eastAsia="宋体" w:hint="default"/>
                <w:b/>
                <w:bCs/>
                <w:sz w:val="24"/>
                <w:szCs w:val="24"/>
              </w:rPr>
              <w:t>年度</w:t>
            </w:r>
            <w:r>
              <w:rPr>
                <w:rFonts w:ascii="宋体" w:hAnsi="宋体" w:cs="宋体" w:eastAsia="宋体" w:hint="default"/>
                <w:sz w:val="24"/>
                <w:szCs w:val="24"/>
              </w:rPr>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598"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2018</w:t>
            </w:r>
            <w:r>
              <w:rPr>
                <w:rFonts w:ascii="宋体" w:hAnsi="宋体" w:cs="宋体" w:eastAsia="宋体" w:hint="default"/>
                <w:b/>
                <w:bCs/>
                <w:sz w:val="24"/>
                <w:szCs w:val="24"/>
              </w:rPr>
              <w:t>年度</w:t>
            </w:r>
            <w:r>
              <w:rPr>
                <w:rFonts w:ascii="宋体" w:hAnsi="宋体" w:cs="宋体" w:eastAsia="宋体" w:hint="default"/>
                <w:sz w:val="24"/>
                <w:szCs w:val="24"/>
              </w:rPr>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一、经营活动产生的现金流</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量：</w:t>
            </w:r>
            <w:r>
              <w:rPr>
                <w:rFonts w:ascii="宋体" w:hAnsi="宋体" w:cs="宋体" w:eastAsia="宋体" w:hint="default"/>
                <w:sz w:val="24"/>
                <w:szCs w:val="24"/>
              </w:rPr>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43" w:right="0"/>
              <w:jc w:val="left"/>
              <w:rPr>
                <w:rFonts w:ascii="宋体" w:hAnsi="宋体" w:cs="宋体" w:eastAsia="宋体" w:hint="default"/>
                <w:sz w:val="24"/>
                <w:szCs w:val="24"/>
              </w:rPr>
            </w:pPr>
            <w:r>
              <w:rPr>
                <w:rFonts w:ascii="宋体" w:hAnsi="宋体" w:cs="宋体" w:eastAsia="宋体" w:hint="default"/>
                <w:sz w:val="24"/>
                <w:szCs w:val="24"/>
              </w:rPr>
              <w:t>销售商品、提供劳务收到</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8,891,957,759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8,262,705,579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客户存款和同业存放款项</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净增加额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7"/>
              <w:jc w:val="right"/>
              <w:rPr>
                <w:rFonts w:ascii="宋体" w:hAnsi="宋体" w:cs="宋体" w:eastAsia="宋体" w:hint="default"/>
                <w:sz w:val="24"/>
                <w:szCs w:val="24"/>
              </w:rPr>
            </w:pPr>
            <w:r>
              <w:rPr>
                <w:rFonts w:ascii="宋体" w:hAnsi="宋体" w:cs="宋体" w:eastAsia="宋体" w:hint="default"/>
                <w:sz w:val="24"/>
                <w:szCs w:val="24"/>
              </w:rPr>
              <w:t>向中央银行借款净增加额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向其他金融机构拆入资金</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净增加额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收到原保险合同保费取得</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收到再保业务现金净额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保户储金及投资款净增加</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收取利息、手续费及佣金</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拆入资金净增加额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回购业务资金净增加额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代理买卖证券收到的现金</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净额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收到的税费返还</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289,333,563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335,093,043 </w:t>
            </w: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收到其他与经营活动有关</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76</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363,013,454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346,967,060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7"/>
              <w:jc w:val="right"/>
              <w:rPr>
                <w:rFonts w:ascii="宋体" w:hAnsi="宋体" w:cs="宋体" w:eastAsia="宋体" w:hint="default"/>
                <w:sz w:val="24"/>
                <w:szCs w:val="24"/>
              </w:rPr>
            </w:pPr>
            <w:r>
              <w:rPr>
                <w:rFonts w:ascii="宋体" w:hAnsi="宋体" w:cs="宋体" w:eastAsia="宋体" w:hint="default"/>
                <w:sz w:val="24"/>
                <w:szCs w:val="24"/>
              </w:rPr>
              <w:t>经营活动现金流入小计</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9,544,304,776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8,944,765,682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购买商品、接受劳务支付</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1,371,072,568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1,280,138,438 </w:t>
            </w:r>
          </w:p>
        </w:tc>
      </w:tr>
      <w:tr>
        <w:trPr>
          <w:trHeight w:val="319"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7"/>
              <w:jc w:val="right"/>
              <w:rPr>
                <w:rFonts w:ascii="宋体" w:hAnsi="宋体" w:cs="宋体" w:eastAsia="宋体" w:hint="default"/>
                <w:sz w:val="24"/>
                <w:szCs w:val="24"/>
              </w:rPr>
            </w:pPr>
            <w:r>
              <w:rPr>
                <w:rFonts w:ascii="宋体" w:hAnsi="宋体" w:cs="宋体" w:eastAsia="宋体" w:hint="default"/>
                <w:sz w:val="24"/>
                <w:szCs w:val="24"/>
              </w:rPr>
              <w:t>客户贷款及垫款净增加额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存放中央银行和同业款项</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净增加额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支付原保险合同赔付款项</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343" w:right="0"/>
              <w:jc w:val="left"/>
              <w:rPr>
                <w:rFonts w:ascii="宋体" w:hAnsi="宋体" w:cs="宋体" w:eastAsia="宋体" w:hint="default"/>
                <w:sz w:val="24"/>
                <w:szCs w:val="24"/>
              </w:rPr>
            </w:pPr>
            <w:r>
              <w:rPr>
                <w:rFonts w:ascii="宋体" w:hAnsi="宋体" w:cs="宋体" w:eastAsia="宋体" w:hint="default"/>
                <w:sz w:val="24"/>
                <w:szCs w:val="24"/>
              </w:rPr>
              <w:t>拆出资金净增加额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支付利息、手续费及佣金</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支付保单红利的现金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支付给职工及为职工支付</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4,292,352,498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3,725,231,777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支付的各项税费</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977,305,624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854,391,544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支付其他与经营活动有关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76</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1,370,532,030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1,042,350,832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7"/>
              <w:jc w:val="right"/>
              <w:rPr>
                <w:rFonts w:ascii="宋体" w:hAnsi="宋体" w:cs="宋体" w:eastAsia="宋体" w:hint="default"/>
                <w:sz w:val="24"/>
                <w:szCs w:val="24"/>
              </w:rPr>
            </w:pPr>
            <w:r>
              <w:rPr>
                <w:rFonts w:ascii="宋体" w:hAnsi="宋体" w:cs="宋体" w:eastAsia="宋体" w:hint="default"/>
                <w:sz w:val="24"/>
                <w:szCs w:val="24"/>
              </w:rPr>
              <w:t>经营活动现金流出小计</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8,011,262,720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6,902,112,591 </w:t>
            </w:r>
          </w:p>
        </w:tc>
      </w:tr>
    </w:tbl>
    <w:p>
      <w:pPr>
        <w:spacing w:after="0" w:line="274" w:lineRule="exact"/>
        <w:jc w:val="right"/>
        <w:rPr>
          <w:rFonts w:ascii="宋体" w:hAnsi="宋体" w:cs="宋体" w:eastAsia="宋体" w:hint="default"/>
          <w:sz w:val="24"/>
          <w:szCs w:val="24"/>
        </w:rPr>
        <w:sectPr>
          <w:pgSz w:w="11910" w:h="16840"/>
          <w:pgMar w:header="745" w:footer="1195" w:top="1080" w:bottom="1380" w:left="1580" w:right="104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5" w:type="dxa"/>
        <w:tblLayout w:type="fixed"/>
        <w:tblCellMar>
          <w:top w:w="0" w:type="dxa"/>
          <w:left w:w="0" w:type="dxa"/>
          <w:bottom w:w="0" w:type="dxa"/>
          <w:right w:w="0" w:type="dxa"/>
        </w:tblCellMar>
        <w:tblLook w:val="01E0"/>
      </w:tblPr>
      <w:tblGrid>
        <w:gridCol w:w="3142"/>
        <w:gridCol w:w="1567"/>
        <w:gridCol w:w="2175"/>
        <w:gridCol w:w="2165"/>
      </w:tblGrid>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经营活动产生的现金</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流量净额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1,533,042,056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2,042,653,091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二、投资活动产生的现金流</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量：</w:t>
            </w:r>
            <w:r>
              <w:rPr>
                <w:rFonts w:ascii="宋体" w:hAnsi="宋体" w:cs="宋体" w:eastAsia="宋体" w:hint="default"/>
                <w:sz w:val="24"/>
                <w:szCs w:val="24"/>
              </w:rPr>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color w:val="008000"/>
                <w:sz w:val="24"/>
              </w:rPr>
              <w:t> </w:t>
            </w:r>
            <w:r>
              <w:rPr>
                <w:rFonts w:ascii="宋体"/>
                <w:sz w:val="24"/>
              </w:rPr>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color w:val="008000"/>
                <w:sz w:val="24"/>
              </w:rPr>
              <w:t> </w:t>
            </w:r>
            <w:r>
              <w:rPr>
                <w:rFonts w:ascii="宋体"/>
                <w:sz w:val="24"/>
              </w:rPr>
            </w:r>
          </w:p>
        </w:tc>
      </w:tr>
      <w:tr>
        <w:trPr>
          <w:trHeight w:val="319"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收回投资收到的现金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3,891,280,479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3,442,425,889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47"/>
              <w:jc w:val="right"/>
              <w:rPr>
                <w:rFonts w:ascii="宋体" w:hAnsi="宋体" w:cs="宋体" w:eastAsia="宋体" w:hint="default"/>
                <w:sz w:val="24"/>
                <w:szCs w:val="24"/>
              </w:rPr>
            </w:pPr>
            <w:r>
              <w:rPr>
                <w:rFonts w:ascii="宋体" w:hAnsi="宋体" w:cs="宋体" w:eastAsia="宋体" w:hint="default"/>
                <w:sz w:val="24"/>
                <w:szCs w:val="24"/>
              </w:rPr>
              <w:t>取得投资收益收到的现金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244,542,617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74,687,187 </w:t>
            </w:r>
          </w:p>
        </w:tc>
      </w:tr>
      <w:tr>
        <w:trPr>
          <w:trHeight w:val="94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firstLine="239"/>
              <w:jc w:val="left"/>
              <w:rPr>
                <w:rFonts w:ascii="宋体" w:hAnsi="宋体" w:cs="宋体" w:eastAsia="宋体" w:hint="default"/>
                <w:sz w:val="24"/>
                <w:szCs w:val="24"/>
              </w:rPr>
            </w:pPr>
            <w:r>
              <w:rPr>
                <w:rFonts w:ascii="宋体" w:hAnsi="宋体" w:cs="宋体" w:eastAsia="宋体" w:hint="default"/>
                <w:sz w:val="24"/>
                <w:szCs w:val="24"/>
              </w:rPr>
              <w:t>处置固定资产、无形资产</w:t>
            </w:r>
          </w:p>
          <w:p>
            <w:pPr>
              <w:pStyle w:val="TableParagraph"/>
              <w:spacing w:line="312" w:lineRule="exact" w:before="29"/>
              <w:ind w:left="103" w:right="147"/>
              <w:jc w:val="left"/>
              <w:rPr>
                <w:rFonts w:ascii="宋体" w:hAnsi="宋体" w:cs="宋体" w:eastAsia="宋体" w:hint="default"/>
                <w:sz w:val="24"/>
                <w:szCs w:val="24"/>
              </w:rPr>
            </w:pPr>
            <w:r>
              <w:rPr>
                <w:rFonts w:ascii="宋体" w:hAnsi="宋体" w:cs="宋体" w:eastAsia="宋体" w:hint="default"/>
                <w:sz w:val="24"/>
                <w:szCs w:val="24"/>
              </w:rPr>
              <w:t>和其他长期资产收回的现金 净额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79,669,667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4,107,209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处置子公司及其他营业单</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位收到的现金净额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10,326,153 </w:t>
            </w: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收到其他与投资活动有关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76</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38,278,922</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102,781,844 </w:t>
            </w:r>
          </w:p>
        </w:tc>
      </w:tr>
      <w:tr>
        <w:trPr>
          <w:trHeight w:val="319"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7"/>
              <w:jc w:val="right"/>
              <w:rPr>
                <w:rFonts w:ascii="宋体" w:hAnsi="宋体" w:cs="宋体" w:eastAsia="宋体" w:hint="default"/>
                <w:sz w:val="24"/>
                <w:szCs w:val="24"/>
              </w:rPr>
            </w:pPr>
            <w:r>
              <w:rPr>
                <w:rFonts w:ascii="宋体" w:hAnsi="宋体" w:cs="宋体" w:eastAsia="宋体" w:hint="default"/>
                <w:sz w:val="24"/>
                <w:szCs w:val="24"/>
              </w:rPr>
              <w:t>投资活动现金流入小计</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4,264,097,838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3,624,002,129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firstLine="239"/>
              <w:jc w:val="left"/>
              <w:rPr>
                <w:rFonts w:ascii="宋体" w:hAnsi="宋体" w:cs="宋体" w:eastAsia="宋体" w:hint="default"/>
                <w:sz w:val="24"/>
                <w:szCs w:val="24"/>
              </w:rPr>
            </w:pPr>
            <w:r>
              <w:rPr>
                <w:rFonts w:ascii="宋体" w:hAnsi="宋体" w:cs="宋体" w:eastAsia="宋体" w:hint="default"/>
                <w:sz w:val="24"/>
                <w:szCs w:val="24"/>
              </w:rPr>
              <w:t>购建固定资产、无形资产</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和其他长期资产支付的现金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375,715,568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486,956,462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投资支付的现金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4,071,339,939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2,956,731,610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质押贷款净增加额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43" w:right="0"/>
              <w:jc w:val="left"/>
              <w:rPr>
                <w:rFonts w:ascii="宋体" w:hAnsi="宋体" w:cs="宋体" w:eastAsia="宋体" w:hint="default"/>
                <w:sz w:val="24"/>
                <w:szCs w:val="24"/>
              </w:rPr>
            </w:pPr>
            <w:r>
              <w:rPr>
                <w:rFonts w:ascii="宋体" w:hAnsi="宋体" w:cs="宋体" w:eastAsia="宋体" w:hint="default"/>
                <w:sz w:val="24"/>
                <w:szCs w:val="24"/>
              </w:rPr>
              <w:t>取得子公司及其他营业单</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位支付的现金净额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支付其他与投资活动有关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76</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28,670,518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7"/>
              <w:jc w:val="right"/>
              <w:rPr>
                <w:rFonts w:ascii="宋体" w:hAnsi="宋体" w:cs="宋体" w:eastAsia="宋体" w:hint="default"/>
                <w:sz w:val="24"/>
                <w:szCs w:val="24"/>
              </w:rPr>
            </w:pPr>
            <w:r>
              <w:rPr>
                <w:rFonts w:ascii="宋体" w:hAnsi="宋体" w:cs="宋体" w:eastAsia="宋体" w:hint="default"/>
                <w:sz w:val="24"/>
                <w:szCs w:val="24"/>
              </w:rPr>
              <w:t>投资活动现金流出小计</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4,447,055,507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3,472,358,590 </w:t>
            </w: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823" w:right="0"/>
              <w:jc w:val="left"/>
              <w:rPr>
                <w:rFonts w:ascii="宋体" w:hAnsi="宋体" w:cs="宋体" w:eastAsia="宋体" w:hint="default"/>
                <w:sz w:val="24"/>
                <w:szCs w:val="24"/>
              </w:rPr>
            </w:pPr>
            <w:r>
              <w:rPr>
                <w:rFonts w:ascii="宋体" w:hAnsi="宋体" w:cs="宋体" w:eastAsia="宋体" w:hint="default"/>
                <w:sz w:val="24"/>
                <w:szCs w:val="24"/>
              </w:rPr>
              <w:t>投资活动产生的现金</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流量净额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-182,957,669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151,643,539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三、筹资活动产生的现金流</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量：</w:t>
            </w:r>
            <w:r>
              <w:rPr>
                <w:rFonts w:ascii="宋体" w:hAnsi="宋体" w:cs="宋体" w:eastAsia="宋体" w:hint="default"/>
                <w:sz w:val="24"/>
                <w:szCs w:val="24"/>
              </w:rPr>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吸收投资收到的现金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166,957,683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232,343,640 </w:t>
            </w: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其中：子公司吸收少数股</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东投资收到的现金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取得借款收到的现金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4,618,500,260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4,115,135,000 </w:t>
            </w: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收到其他与筹资活动有关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76</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36,244,206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44,269,373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47"/>
              <w:jc w:val="right"/>
              <w:rPr>
                <w:rFonts w:ascii="宋体" w:hAnsi="宋体" w:cs="宋体" w:eastAsia="宋体" w:hint="default"/>
                <w:sz w:val="24"/>
                <w:szCs w:val="24"/>
              </w:rPr>
            </w:pPr>
            <w:r>
              <w:rPr>
                <w:rFonts w:ascii="宋体" w:hAnsi="宋体" w:cs="宋体" w:eastAsia="宋体" w:hint="default"/>
                <w:sz w:val="24"/>
                <w:szCs w:val="24"/>
              </w:rPr>
              <w:t>筹资活动现金流入小计</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4,821,702,149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20"/>
              <w:jc w:val="right"/>
              <w:rPr>
                <w:rFonts w:ascii="宋体" w:hAnsi="宋体" w:cs="宋体" w:eastAsia="宋体" w:hint="default"/>
                <w:sz w:val="24"/>
                <w:szCs w:val="24"/>
              </w:rPr>
            </w:pPr>
            <w:r>
              <w:rPr>
                <w:rFonts w:ascii="宋体"/>
                <w:sz w:val="24"/>
              </w:rPr>
              <w:t>4,391,748,013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偿还债务支付的现金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3,709,497,501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4,577,361,331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分配股利、利润或偿付利</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息支付的现金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797,725,502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529,001,039 </w:t>
            </w: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其中：子公司支付给少数</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股东的股利、利润</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124,463,301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108,460,902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支付其他与筹资活动有关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76</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469,077,017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51,988,863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7"/>
              <w:jc w:val="right"/>
              <w:rPr>
                <w:rFonts w:ascii="宋体" w:hAnsi="宋体" w:cs="宋体" w:eastAsia="宋体" w:hint="default"/>
                <w:sz w:val="24"/>
                <w:szCs w:val="24"/>
              </w:rPr>
            </w:pPr>
            <w:r>
              <w:rPr>
                <w:rFonts w:ascii="宋体" w:hAnsi="宋体" w:cs="宋体" w:eastAsia="宋体" w:hint="default"/>
                <w:sz w:val="24"/>
                <w:szCs w:val="24"/>
              </w:rPr>
              <w:t>筹资活动现金流出小计</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4,976,300,020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5,158,351,233 </w:t>
            </w:r>
          </w:p>
        </w:tc>
      </w:tr>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7"/>
              <w:jc w:val="right"/>
              <w:rPr>
                <w:rFonts w:ascii="宋体" w:hAnsi="宋体" w:cs="宋体" w:eastAsia="宋体" w:hint="default"/>
                <w:sz w:val="24"/>
                <w:szCs w:val="24"/>
              </w:rPr>
            </w:pPr>
            <w:r>
              <w:rPr>
                <w:rFonts w:ascii="宋体" w:hAnsi="宋体" w:cs="宋体" w:eastAsia="宋体" w:hint="default"/>
                <w:sz w:val="24"/>
                <w:szCs w:val="24"/>
              </w:rPr>
              <w:t>筹资活动产生的现金</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-154,597,871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-766,603,220 </w:t>
            </w:r>
          </w:p>
        </w:tc>
      </w:tr>
    </w:tbl>
    <w:p>
      <w:pPr>
        <w:spacing w:after="0" w:line="274" w:lineRule="exact"/>
        <w:jc w:val="right"/>
        <w:rPr>
          <w:rFonts w:ascii="宋体" w:hAnsi="宋体" w:cs="宋体" w:eastAsia="宋体" w:hint="default"/>
          <w:sz w:val="24"/>
          <w:szCs w:val="24"/>
        </w:rPr>
        <w:sectPr>
          <w:footerReference w:type="default" r:id="rId46"/>
          <w:pgSz w:w="11910" w:h="16840"/>
          <w:pgMar w:footer="1195" w:header="745" w:top="1080" w:bottom="1380" w:left="1580" w:right="104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tbl>
      <w:tblPr>
        <w:tblW w:w="0" w:type="auto"/>
        <w:jc w:val="left"/>
        <w:tblInd w:w="105" w:type="dxa"/>
        <w:tblLayout w:type="fixed"/>
        <w:tblCellMar>
          <w:top w:w="0" w:type="dxa"/>
          <w:left w:w="0" w:type="dxa"/>
          <w:bottom w:w="0" w:type="dxa"/>
          <w:right w:w="0" w:type="dxa"/>
        </w:tblCellMar>
        <w:tblLook w:val="01E0"/>
      </w:tblPr>
      <w:tblGrid>
        <w:gridCol w:w="3142"/>
        <w:gridCol w:w="1567"/>
        <w:gridCol w:w="2175"/>
        <w:gridCol w:w="2165"/>
      </w:tblGrid>
      <w:tr>
        <w:trPr>
          <w:trHeight w:val="322"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流量净额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四、汇率变动对现金及现金</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等价物的影响</w:t>
            </w:r>
            <w:r>
              <w:rPr>
                <w:rFonts w:ascii="宋体" w:hAnsi="宋体" w:cs="宋体" w:eastAsia="宋体" w:hint="default"/>
                <w:sz w:val="24"/>
                <w:szCs w:val="24"/>
              </w:rPr>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-6,921,569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6,123,223 </w:t>
            </w:r>
          </w:p>
        </w:tc>
      </w:tr>
      <w:tr>
        <w:trPr>
          <w:trHeight w:val="63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五、现金及现金等价物净增</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加额</w:t>
            </w:r>
            <w:r>
              <w:rPr>
                <w:rFonts w:ascii="宋体" w:hAnsi="宋体" w:cs="宋体" w:eastAsia="宋体" w:hint="default"/>
                <w:sz w:val="24"/>
                <w:szCs w:val="24"/>
              </w:rPr>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1,188,564,947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1,433,816,633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加：期初现金及现金等价</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物余额</w:t>
            </w:r>
          </w:p>
        </w:tc>
        <w:tc>
          <w:tcPr>
            <w:tcW w:w="1567" w:type="dxa"/>
            <w:tcBorders>
              <w:top w:val="single" w:sz="4" w:space="0" w:color="000000"/>
              <w:left w:val="single" w:sz="4" w:space="0" w:color="000000"/>
              <w:bottom w:val="single" w:sz="4" w:space="0" w:color="000000"/>
              <w:right w:val="single" w:sz="4" w:space="0" w:color="000000"/>
            </w:tcBorders>
          </w:tcPr>
          <w:p>
            <w:pP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01" w:right="-17"/>
              <w:jc w:val="left"/>
              <w:rPr>
                <w:rFonts w:ascii="宋体" w:hAnsi="宋体" w:cs="宋体" w:eastAsia="宋体" w:hint="default"/>
                <w:sz w:val="24"/>
                <w:szCs w:val="24"/>
              </w:rPr>
            </w:pPr>
            <w:r>
              <w:rPr>
                <w:rFonts w:ascii="宋体"/>
                <w:sz w:val="24"/>
              </w:rPr>
              <w:t>4,849,879,509 </w:t>
            </w:r>
          </w:p>
          <w:p>
            <w:pPr>
              <w:pStyle w:val="TableParagraph"/>
              <w:spacing w:line="312" w:lineRule="exact"/>
              <w:ind w:left="120" w:right="0"/>
              <w:jc w:val="center"/>
              <w:rPr>
                <w:rFonts w:ascii="宋体" w:hAnsi="宋体" w:cs="宋体" w:eastAsia="宋体" w:hint="default"/>
                <w:sz w:val="24"/>
                <w:szCs w:val="24"/>
              </w:rPr>
            </w:pPr>
            <w:r>
              <w:rPr>
                <w:rFonts w:ascii="宋体"/>
                <w:sz w:val="24"/>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0"/>
              <w:jc w:val="right"/>
              <w:rPr>
                <w:rFonts w:ascii="宋体" w:hAnsi="宋体" w:cs="宋体" w:eastAsia="宋体" w:hint="default"/>
                <w:sz w:val="24"/>
                <w:szCs w:val="24"/>
              </w:rPr>
            </w:pPr>
            <w:r>
              <w:rPr>
                <w:rFonts w:ascii="宋体"/>
                <w:sz w:val="24"/>
              </w:rPr>
              <w:t>3,416,062,876 </w:t>
            </w:r>
          </w:p>
        </w:tc>
      </w:tr>
      <w:tr>
        <w:trPr>
          <w:trHeight w:val="63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六、期末现金及现金等价物</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余额</w:t>
            </w:r>
            <w:r>
              <w:rPr>
                <w:rFonts w:ascii="宋体" w:hAnsi="宋体" w:cs="宋体" w:eastAsia="宋体" w:hint="default"/>
                <w:sz w:val="24"/>
                <w:szCs w:val="24"/>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77</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6,038,444,456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
              <w:jc w:val="right"/>
              <w:rPr>
                <w:rFonts w:ascii="宋体" w:hAnsi="宋体" w:cs="宋体" w:eastAsia="宋体" w:hint="default"/>
                <w:sz w:val="24"/>
                <w:szCs w:val="24"/>
              </w:rPr>
            </w:pPr>
            <w:r>
              <w:rPr>
                <w:rFonts w:ascii="宋体"/>
                <w:sz w:val="24"/>
              </w:rPr>
              <w:t>4,849,879,509 </w:t>
            </w:r>
          </w:p>
        </w:tc>
      </w:tr>
    </w:tbl>
    <w:p>
      <w:pPr>
        <w:spacing w:line="240" w:lineRule="auto" w:before="3"/>
        <w:rPr>
          <w:rFonts w:ascii="Times New Roman" w:hAnsi="Times New Roman" w:cs="Times New Roman" w:eastAsia="Times New Roman" w:hint="default"/>
          <w:sz w:val="18"/>
          <w:szCs w:val="18"/>
        </w:rPr>
      </w:pPr>
    </w:p>
    <w:p>
      <w:pPr>
        <w:pStyle w:val="BodyText"/>
        <w:spacing w:line="240" w:lineRule="auto" w:before="26"/>
        <w:ind w:left="218" w:right="0"/>
        <w:jc w:val="left"/>
      </w:pPr>
      <w:r>
        <w:rPr/>
        <w:t>法定代表人：王文京 主管会计工作负责人：章培林</w:t>
      </w:r>
      <w:r>
        <w:rPr>
          <w:spacing w:val="-1"/>
        </w:rPr>
        <w:t> </w:t>
      </w:r>
      <w:r>
        <w:rPr/>
        <w:t>会计机构负责人：孙淑嫔</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footerReference w:type="default" r:id="rId47"/>
          <w:pgSz w:w="11910" w:h="16840"/>
          <w:pgMar w:footer="1195" w:header="745" w:top="1080" w:bottom="1380" w:left="1580" w:right="1040"/>
          <w:pgNumType w:start="21"/>
        </w:sectPr>
      </w:pPr>
    </w:p>
    <w:p>
      <w:pPr>
        <w:pStyle w:val="Heading2"/>
        <w:spacing w:line="313" w:lineRule="exact" w:before="26"/>
        <w:ind w:left="0" w:right="0"/>
        <w:jc w:val="right"/>
        <w:rPr>
          <w:b w:val="0"/>
          <w:bCs w:val="0"/>
        </w:rPr>
      </w:pPr>
      <w:r>
        <w:rPr>
          <w:w w:val="95"/>
        </w:rPr>
        <w:t>母公司现金流量表</w:t>
      </w:r>
      <w:r>
        <w:rPr>
          <w:b w:val="0"/>
          <w:bCs w:val="0"/>
        </w:rPr>
      </w:r>
    </w:p>
    <w:p>
      <w:pPr>
        <w:pStyle w:val="BodyText"/>
        <w:spacing w:line="331" w:lineRule="exact"/>
        <w:ind w:left="0" w:right="90"/>
        <w:jc w:val="right"/>
      </w:pP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 </w:t>
      </w:r>
      <w:r>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9"/>
        <w:rPr>
          <w:rFonts w:ascii="宋体" w:hAnsi="宋体" w:cs="宋体" w:eastAsia="宋体" w:hint="default"/>
          <w:sz w:val="25"/>
          <w:szCs w:val="25"/>
        </w:rPr>
      </w:pPr>
    </w:p>
    <w:p>
      <w:pPr>
        <w:pStyle w:val="BodyText"/>
        <w:tabs>
          <w:tab w:pos="2147" w:val="left" w:leader="none"/>
        </w:tabs>
        <w:spacing w:line="240" w:lineRule="auto"/>
        <w:ind w:left="1119"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120" w:bottom="1380" w:left="1580" w:right="1040"/>
          <w:cols w:num="2" w:equalWidth="0">
            <w:col w:w="5597" w:space="40"/>
            <w:col w:w="3653"/>
          </w:cols>
        </w:sectPr>
      </w:pPr>
    </w:p>
    <w:tbl>
      <w:tblPr>
        <w:tblW w:w="0" w:type="auto"/>
        <w:jc w:val="left"/>
        <w:tblInd w:w="105" w:type="dxa"/>
        <w:tblLayout w:type="fixed"/>
        <w:tblCellMar>
          <w:top w:w="0" w:type="dxa"/>
          <w:left w:w="0" w:type="dxa"/>
          <w:bottom w:w="0" w:type="dxa"/>
          <w:right w:w="0" w:type="dxa"/>
        </w:tblCellMar>
        <w:tblLook w:val="01E0"/>
      </w:tblPr>
      <w:tblGrid>
        <w:gridCol w:w="3145"/>
        <w:gridCol w:w="1570"/>
        <w:gridCol w:w="2172"/>
        <w:gridCol w:w="2163"/>
      </w:tblGrid>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b/>
                <w:bCs/>
                <w:sz w:val="24"/>
                <w:szCs w:val="24"/>
              </w:rPr>
              <w:t>附注</w:t>
            </w:r>
            <w:r>
              <w:rPr>
                <w:rFonts w:ascii="宋体" w:hAnsi="宋体" w:cs="宋体" w:eastAsia="宋体" w:hint="default"/>
                <w:sz w:val="24"/>
                <w:szCs w:val="24"/>
              </w:rPr>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600"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2019</w:t>
            </w:r>
            <w:r>
              <w:rPr>
                <w:rFonts w:ascii="宋体" w:hAnsi="宋体" w:cs="宋体" w:eastAsia="宋体" w:hint="default"/>
                <w:b/>
                <w:bCs/>
                <w:sz w:val="24"/>
                <w:szCs w:val="24"/>
              </w:rPr>
              <w:t>年度</w:t>
            </w:r>
            <w:r>
              <w:rPr>
                <w:rFonts w:ascii="宋体" w:hAnsi="宋体" w:cs="宋体" w:eastAsia="宋体" w:hint="default"/>
                <w:sz w:val="24"/>
                <w:szCs w:val="24"/>
              </w:rPr>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595"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2018</w:t>
            </w:r>
            <w:r>
              <w:rPr>
                <w:rFonts w:ascii="宋体" w:hAnsi="宋体" w:cs="宋体" w:eastAsia="宋体" w:hint="default"/>
                <w:b/>
                <w:bCs/>
                <w:sz w:val="24"/>
                <w:szCs w:val="24"/>
              </w:rPr>
              <w:t>年度</w:t>
            </w:r>
            <w:r>
              <w:rPr>
                <w:rFonts w:ascii="宋体" w:hAnsi="宋体" w:cs="宋体" w:eastAsia="宋体" w:hint="default"/>
                <w:sz w:val="24"/>
                <w:szCs w:val="24"/>
              </w:rPr>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一、经营活动产生的现金流</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量：</w:t>
            </w:r>
            <w:r>
              <w:rPr>
                <w:rFonts w:ascii="宋体" w:hAnsi="宋体" w:cs="宋体" w:eastAsia="宋体" w:hint="default"/>
                <w:sz w:val="24"/>
                <w:szCs w:val="24"/>
              </w:rPr>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
        </w:tc>
        <w:tc>
          <w:tcPr>
            <w:tcW w:w="2163"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销售商品、提供劳务收到</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3,486,639,335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3,107,597,189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收到的税费返还</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166,647,051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191,952,713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收到其他与经营活动有关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435,758,430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354,932,020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9"/>
              <w:jc w:val="right"/>
              <w:rPr>
                <w:rFonts w:ascii="宋体" w:hAnsi="宋体" w:cs="宋体" w:eastAsia="宋体" w:hint="default"/>
                <w:sz w:val="24"/>
                <w:szCs w:val="24"/>
              </w:rPr>
            </w:pPr>
            <w:r>
              <w:rPr>
                <w:rFonts w:ascii="宋体" w:hAnsi="宋体" w:cs="宋体" w:eastAsia="宋体" w:hint="default"/>
                <w:sz w:val="24"/>
                <w:szCs w:val="24"/>
              </w:rPr>
              <w:t>经营活动现金流入小计</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4,089,044,816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3,654,481,922 </w:t>
            </w:r>
          </w:p>
        </w:tc>
      </w:tr>
      <w:tr>
        <w:trPr>
          <w:trHeight w:val="63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43" w:right="0"/>
              <w:jc w:val="left"/>
              <w:rPr>
                <w:rFonts w:ascii="宋体" w:hAnsi="宋体" w:cs="宋体" w:eastAsia="宋体" w:hint="default"/>
                <w:sz w:val="24"/>
                <w:szCs w:val="24"/>
              </w:rPr>
            </w:pPr>
            <w:r>
              <w:rPr>
                <w:rFonts w:ascii="宋体" w:hAnsi="宋体" w:cs="宋体" w:eastAsia="宋体" w:hint="default"/>
                <w:sz w:val="24"/>
                <w:szCs w:val="24"/>
              </w:rPr>
              <w:t>购买商品、接受劳务支付</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338,261,017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330,701,340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支付给职工及为职工支付</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1,884,414,280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1,556,835,344 </w:t>
            </w:r>
          </w:p>
        </w:tc>
      </w:tr>
      <w:tr>
        <w:trPr>
          <w:trHeight w:val="319"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支付的各项税费</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440,846,212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347,791,451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支付其他与经营活动有关</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699,789,829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490,287,096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9"/>
              <w:jc w:val="right"/>
              <w:rPr>
                <w:rFonts w:ascii="宋体" w:hAnsi="宋体" w:cs="宋体" w:eastAsia="宋体" w:hint="default"/>
                <w:sz w:val="24"/>
                <w:szCs w:val="24"/>
              </w:rPr>
            </w:pPr>
            <w:r>
              <w:rPr>
                <w:rFonts w:ascii="宋体" w:hAnsi="宋体" w:cs="宋体" w:eastAsia="宋体" w:hint="default"/>
                <w:sz w:val="24"/>
                <w:szCs w:val="24"/>
              </w:rPr>
              <w:t>经营活动现金流出小计</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3,363,311,338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2,725,615,231 </w:t>
            </w:r>
          </w:p>
        </w:tc>
      </w:tr>
      <w:tr>
        <w:trPr>
          <w:trHeight w:val="63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经营活动产生的现金流量</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净额</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725,733,478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928,866,691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二、投资活动产生的现金流</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量：</w:t>
            </w:r>
            <w:r>
              <w:rPr>
                <w:rFonts w:ascii="宋体" w:hAnsi="宋体" w:cs="宋体" w:eastAsia="宋体" w:hint="default"/>
                <w:sz w:val="24"/>
                <w:szCs w:val="24"/>
              </w:rPr>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color w:val="008000"/>
                <w:sz w:val="24"/>
              </w:rPr>
              <w:t> </w:t>
            </w:r>
            <w:r>
              <w:rPr>
                <w:rFonts w:ascii="宋体"/>
                <w:sz w:val="24"/>
              </w:rPr>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color w:val="008000"/>
                <w:sz w:val="24"/>
              </w:rPr>
              <w:t> </w:t>
            </w:r>
            <w:r>
              <w:rPr>
                <w:rFonts w:ascii="宋体"/>
                <w:sz w:val="24"/>
              </w:rPr>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收回投资收到的现金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258,835,098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430,491,683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9"/>
              <w:jc w:val="right"/>
              <w:rPr>
                <w:rFonts w:ascii="宋体" w:hAnsi="宋体" w:cs="宋体" w:eastAsia="宋体" w:hint="default"/>
                <w:sz w:val="24"/>
                <w:szCs w:val="24"/>
              </w:rPr>
            </w:pPr>
            <w:r>
              <w:rPr>
                <w:rFonts w:ascii="宋体" w:hAnsi="宋体" w:cs="宋体" w:eastAsia="宋体" w:hint="default"/>
                <w:sz w:val="24"/>
                <w:szCs w:val="24"/>
              </w:rPr>
              <w:t>取得投资收益收到的现金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425,081,542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378,980,536 </w:t>
            </w:r>
          </w:p>
        </w:tc>
      </w:tr>
      <w:tr>
        <w:trPr>
          <w:trHeight w:val="94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firstLine="239"/>
              <w:jc w:val="left"/>
              <w:rPr>
                <w:rFonts w:ascii="宋体" w:hAnsi="宋体" w:cs="宋体" w:eastAsia="宋体" w:hint="default"/>
                <w:sz w:val="24"/>
                <w:szCs w:val="24"/>
              </w:rPr>
            </w:pPr>
            <w:r>
              <w:rPr>
                <w:rFonts w:ascii="宋体" w:hAnsi="宋体" w:cs="宋体" w:eastAsia="宋体" w:hint="default"/>
                <w:sz w:val="24"/>
                <w:szCs w:val="24"/>
              </w:rPr>
              <w:t>处置固定资产、无形资产</w:t>
            </w:r>
          </w:p>
          <w:p>
            <w:pPr>
              <w:pStyle w:val="TableParagraph"/>
              <w:spacing w:line="312" w:lineRule="exact" w:before="28"/>
              <w:ind w:left="103" w:right="149"/>
              <w:jc w:val="left"/>
              <w:rPr>
                <w:rFonts w:ascii="宋体" w:hAnsi="宋体" w:cs="宋体" w:eastAsia="宋体" w:hint="default"/>
                <w:sz w:val="24"/>
                <w:szCs w:val="24"/>
              </w:rPr>
            </w:pPr>
            <w:r>
              <w:rPr>
                <w:rFonts w:ascii="宋体" w:hAnsi="宋体" w:cs="宋体" w:eastAsia="宋体" w:hint="default"/>
                <w:sz w:val="24"/>
                <w:szCs w:val="24"/>
              </w:rPr>
              <w:t>和其他长期资产收回的现金 净额</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7,428,636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2,070,738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处置子公司及其他营业单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位收到的现金净额</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bl>
    <w:p>
      <w:pPr>
        <w:spacing w:after="0" w:line="274" w:lineRule="exact"/>
        <w:jc w:val="right"/>
        <w:rPr>
          <w:rFonts w:ascii="宋体" w:hAnsi="宋体" w:cs="宋体" w:eastAsia="宋体" w:hint="default"/>
          <w:sz w:val="24"/>
          <w:szCs w:val="24"/>
        </w:rPr>
        <w:sectPr>
          <w:type w:val="continuous"/>
          <w:pgSz w:w="11910" w:h="16840"/>
          <w:pgMar w:top="1120" w:bottom="1380" w:left="1580" w:right="104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tbl>
      <w:tblPr>
        <w:tblW w:w="0" w:type="auto"/>
        <w:jc w:val="left"/>
        <w:tblInd w:w="105" w:type="dxa"/>
        <w:tblLayout w:type="fixed"/>
        <w:tblCellMar>
          <w:top w:w="0" w:type="dxa"/>
          <w:left w:w="0" w:type="dxa"/>
          <w:bottom w:w="0" w:type="dxa"/>
          <w:right w:w="0" w:type="dxa"/>
        </w:tblCellMar>
        <w:tblLook w:val="01E0"/>
      </w:tblPr>
      <w:tblGrid>
        <w:gridCol w:w="3145"/>
        <w:gridCol w:w="1570"/>
        <w:gridCol w:w="2172"/>
        <w:gridCol w:w="2163"/>
      </w:tblGrid>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收到其他与投资活动有关</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240,082,767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7"/>
              <w:jc w:val="right"/>
              <w:rPr>
                <w:rFonts w:ascii="宋体" w:hAnsi="宋体" w:cs="宋体" w:eastAsia="宋体" w:hint="default"/>
                <w:sz w:val="24"/>
                <w:szCs w:val="24"/>
              </w:rPr>
            </w:pPr>
            <w:r>
              <w:rPr>
                <w:rFonts w:ascii="宋体"/>
                <w:sz w:val="24"/>
              </w:rPr>
              <w:t>30,843,837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9"/>
              <w:jc w:val="right"/>
              <w:rPr>
                <w:rFonts w:ascii="宋体" w:hAnsi="宋体" w:cs="宋体" w:eastAsia="宋体" w:hint="default"/>
                <w:sz w:val="24"/>
                <w:szCs w:val="24"/>
              </w:rPr>
            </w:pPr>
            <w:r>
              <w:rPr>
                <w:rFonts w:ascii="宋体" w:hAnsi="宋体" w:cs="宋体" w:eastAsia="宋体" w:hint="default"/>
                <w:sz w:val="24"/>
                <w:szCs w:val="24"/>
              </w:rPr>
              <w:t>投资活动现金流入小计</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931,428,043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842,386,794 </w:t>
            </w:r>
          </w:p>
        </w:tc>
      </w:tr>
      <w:tr>
        <w:trPr>
          <w:trHeight w:val="63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firstLine="239"/>
              <w:jc w:val="left"/>
              <w:rPr>
                <w:rFonts w:ascii="宋体" w:hAnsi="宋体" w:cs="宋体" w:eastAsia="宋体" w:hint="default"/>
                <w:sz w:val="24"/>
                <w:szCs w:val="24"/>
              </w:rPr>
            </w:pPr>
            <w:r>
              <w:rPr>
                <w:rFonts w:ascii="宋体" w:hAnsi="宋体" w:cs="宋体" w:eastAsia="宋体" w:hint="default"/>
                <w:sz w:val="24"/>
                <w:szCs w:val="24"/>
              </w:rPr>
              <w:t>购建固定资产、无形资产</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和其他长期资产支付的现金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282,820,532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173,415,397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投资支付的现金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502,177,569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752,880,736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取得子公司及其他营业单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位支付的现金净额</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支付其他与投资活动有关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七、</w:t>
            </w:r>
            <w:r>
              <w:rPr>
                <w:rFonts w:ascii="Times New Roman" w:hAnsi="Times New Roman" w:cs="Times New Roman" w:eastAsia="Times New Roman" w:hint="default"/>
                <w:sz w:val="24"/>
                <w:szCs w:val="24"/>
              </w:rPr>
              <w:t>75</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55,219,184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24,390,486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9"/>
              <w:jc w:val="right"/>
              <w:rPr>
                <w:rFonts w:ascii="宋体" w:hAnsi="宋体" w:cs="宋体" w:eastAsia="宋体" w:hint="default"/>
                <w:sz w:val="24"/>
                <w:szCs w:val="24"/>
              </w:rPr>
            </w:pPr>
            <w:r>
              <w:rPr>
                <w:rFonts w:ascii="宋体" w:hAnsi="宋体" w:cs="宋体" w:eastAsia="宋体" w:hint="default"/>
                <w:sz w:val="24"/>
                <w:szCs w:val="24"/>
              </w:rPr>
              <w:t>投资活动现金流出小计</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840,217,285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950,686,619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投资活动产生的现金</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流量净额</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91,210,758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-108,299,825 </w:t>
            </w:r>
          </w:p>
        </w:tc>
      </w:tr>
      <w:tr>
        <w:trPr>
          <w:trHeight w:val="63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三、筹资活动产生的现金流</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量：</w:t>
            </w:r>
            <w:r>
              <w:rPr>
                <w:rFonts w:ascii="宋体" w:hAnsi="宋体" w:cs="宋体" w:eastAsia="宋体" w:hint="default"/>
                <w:sz w:val="24"/>
                <w:szCs w:val="24"/>
              </w:rPr>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color w:val="008000"/>
                <w:sz w:val="24"/>
              </w:rPr>
              <w:t> </w:t>
            </w:r>
            <w:r>
              <w:rPr>
                <w:rFonts w:ascii="宋体"/>
                <w:sz w:val="24"/>
              </w:rPr>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color w:val="008000"/>
                <w:sz w:val="24"/>
              </w:rPr>
              <w:t> </w:t>
            </w:r>
            <w:r>
              <w:rPr>
                <w:rFonts w:ascii="宋体"/>
                <w:sz w:val="24"/>
              </w:rPr>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吸收投资收到的现金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166,957,683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232,343,640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取得借款收到的现金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5,016,441,481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4,462,365,657 </w:t>
            </w:r>
          </w:p>
        </w:tc>
      </w:tr>
      <w:tr>
        <w:trPr>
          <w:trHeight w:val="63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收到其他与筹资活动有关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2,647,760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49"/>
              <w:jc w:val="right"/>
              <w:rPr>
                <w:rFonts w:ascii="宋体" w:hAnsi="宋体" w:cs="宋体" w:eastAsia="宋体" w:hint="default"/>
                <w:sz w:val="24"/>
                <w:szCs w:val="24"/>
              </w:rPr>
            </w:pPr>
            <w:r>
              <w:rPr>
                <w:rFonts w:ascii="宋体" w:hAnsi="宋体" w:cs="宋体" w:eastAsia="宋体" w:hint="default"/>
                <w:sz w:val="24"/>
                <w:szCs w:val="24"/>
              </w:rPr>
              <w:t>筹资活动现金流入小计</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5,183,399,164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4,697,357,057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偿还债务支付的现金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4,012,235,756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5,286,926,351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分配股利、利润或偿付利</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息支付的现金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670,958,802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399,825,547 </w:t>
            </w:r>
          </w:p>
        </w:tc>
      </w:tr>
      <w:tr>
        <w:trPr>
          <w:trHeight w:val="63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支付其他与筹资活动有关</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的现金</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469,077,017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15,557,978 </w:t>
            </w:r>
          </w:p>
        </w:tc>
      </w:tr>
      <w:tr>
        <w:trPr>
          <w:trHeight w:val="32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9"/>
              <w:jc w:val="right"/>
              <w:rPr>
                <w:rFonts w:ascii="宋体" w:hAnsi="宋体" w:cs="宋体" w:eastAsia="宋体" w:hint="default"/>
                <w:sz w:val="24"/>
                <w:szCs w:val="24"/>
              </w:rPr>
            </w:pPr>
            <w:r>
              <w:rPr>
                <w:rFonts w:ascii="宋体" w:hAnsi="宋体" w:cs="宋体" w:eastAsia="宋体" w:hint="default"/>
                <w:sz w:val="24"/>
                <w:szCs w:val="24"/>
              </w:rPr>
              <w:t>筹资活动现金流出小计</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5,152,271,575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5,702,309,876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筹资活动产生的现金</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流量净额</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31,127,589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-1,004,952,819 </w:t>
            </w:r>
          </w:p>
        </w:tc>
      </w:tr>
      <w:tr>
        <w:trPr>
          <w:trHeight w:val="63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四、汇率变动对现金及现金</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等价物的影响</w:t>
            </w:r>
            <w:r>
              <w:rPr>
                <w:rFonts w:ascii="宋体" w:hAnsi="宋体" w:cs="宋体" w:eastAsia="宋体" w:hint="default"/>
                <w:sz w:val="24"/>
                <w:szCs w:val="24"/>
              </w:rPr>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107,650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84,638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五、现金及现金等价物净增</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加额</w:t>
            </w:r>
            <w:r>
              <w:rPr>
                <w:rFonts w:ascii="宋体" w:hAnsi="宋体" w:cs="宋体" w:eastAsia="宋体" w:hint="default"/>
                <w:sz w:val="24"/>
                <w:szCs w:val="24"/>
              </w:rPr>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848,179,475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-184,301,315 </w:t>
            </w:r>
          </w:p>
        </w:tc>
      </w:tr>
      <w:tr>
        <w:trPr>
          <w:trHeight w:val="632"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加：期初现金及现金等价</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物余额</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1,723,227,308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1,907,528,623 </w:t>
            </w:r>
          </w:p>
        </w:tc>
      </w:tr>
      <w:tr>
        <w:trPr>
          <w:trHeight w:val="63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六、期末现金及现金等价物</w:t>
            </w:r>
            <w:r>
              <w:rPr>
                <w:rFonts w:ascii="宋体" w:hAnsi="宋体" w:cs="宋体" w:eastAsia="宋体" w:hint="default"/>
                <w:sz w:val="24"/>
                <w:szCs w:val="24"/>
              </w:rPr>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余额</w:t>
            </w:r>
            <w:r>
              <w:rPr>
                <w:rFonts w:ascii="宋体" w:hAnsi="宋体" w:cs="宋体" w:eastAsia="宋体" w:hint="default"/>
                <w:sz w:val="24"/>
                <w:szCs w:val="24"/>
              </w:rPr>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2,571,406,783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1,723,227,308 </w:t>
            </w:r>
          </w:p>
        </w:tc>
      </w:tr>
    </w:tbl>
    <w:p>
      <w:pPr>
        <w:spacing w:line="240" w:lineRule="auto" w:before="0"/>
        <w:rPr>
          <w:rFonts w:ascii="宋体" w:hAnsi="宋体" w:cs="宋体" w:eastAsia="宋体" w:hint="default"/>
          <w:sz w:val="16"/>
          <w:szCs w:val="16"/>
        </w:rPr>
      </w:pPr>
    </w:p>
    <w:p>
      <w:pPr>
        <w:pStyle w:val="BodyText"/>
        <w:spacing w:line="240" w:lineRule="auto" w:before="26"/>
        <w:ind w:left="218" w:right="0"/>
        <w:jc w:val="left"/>
      </w:pPr>
      <w:r>
        <w:rPr/>
        <w:t>法定代表人：王文京 主管会计工作负责人：章培林</w:t>
      </w:r>
      <w:r>
        <w:rPr>
          <w:spacing w:val="-1"/>
        </w:rPr>
        <w:t> </w:t>
      </w:r>
      <w:r>
        <w:rPr/>
        <w:t>会计机构负责人：孙淑嫔</w:t>
      </w:r>
    </w:p>
    <w:p>
      <w:pPr>
        <w:spacing w:after="0" w:line="240" w:lineRule="auto"/>
        <w:jc w:val="left"/>
        <w:sectPr>
          <w:pgSz w:w="11910" w:h="16840"/>
          <w:pgMar w:header="745" w:footer="1195" w:top="1080" w:bottom="1380" w:left="1580" w:right="1040"/>
        </w:sectPr>
      </w:pPr>
    </w:p>
    <w:p>
      <w:pPr>
        <w:spacing w:line="240" w:lineRule="auto" w:before="8"/>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headerReference w:type="default" r:id="rId48"/>
          <w:footerReference w:type="default" r:id="rId49"/>
          <w:pgSz w:w="16840" w:h="11910" w:orient="landscape"/>
          <w:pgMar w:header="882" w:footer="1195" w:top="1120" w:bottom="1380" w:left="1300" w:right="1220"/>
          <w:pgNumType w:start="23"/>
        </w:sectPr>
      </w:pPr>
    </w:p>
    <w:p>
      <w:pPr>
        <w:pStyle w:val="Heading2"/>
        <w:spacing w:line="312" w:lineRule="exact" w:before="26"/>
        <w:ind w:left="0" w:right="0"/>
        <w:jc w:val="right"/>
        <w:rPr>
          <w:b w:val="0"/>
          <w:bCs w:val="0"/>
        </w:rPr>
      </w:pPr>
      <w:r>
        <w:rPr>
          <w:w w:val="95"/>
        </w:rPr>
        <w:t>合并所有者权益变动表</w:t>
      </w:r>
      <w:r>
        <w:rPr>
          <w:b w:val="0"/>
          <w:bCs w:val="0"/>
        </w:rPr>
      </w:r>
    </w:p>
    <w:p>
      <w:pPr>
        <w:pStyle w:val="BodyText"/>
        <w:spacing w:line="330" w:lineRule="exact"/>
        <w:ind w:left="0" w:right="332"/>
        <w:jc w:val="right"/>
      </w:pP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 </w:t>
      </w:r>
      <w:r>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5"/>
          <w:szCs w:val="25"/>
        </w:rPr>
      </w:pPr>
    </w:p>
    <w:p>
      <w:pPr>
        <w:pStyle w:val="BodyText"/>
        <w:tabs>
          <w:tab w:pos="4440" w:val="left" w:leader="none"/>
        </w:tabs>
        <w:spacing w:line="240" w:lineRule="auto"/>
        <w:ind w:left="3412"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6840" w:h="11910" w:orient="landscape"/>
          <w:pgMar w:top="1120" w:bottom="1380" w:left="1300" w:right="1220"/>
          <w:cols w:num="2" w:equalWidth="0">
            <w:col w:w="8351" w:space="40"/>
            <w:col w:w="5929"/>
          </w:cols>
        </w:sect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250" w:hRule="exact"/>
        </w:trPr>
        <w:tc>
          <w:tcPr>
            <w:tcW w:w="71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3379" w:type="dxa"/>
            <w:gridSpan w:val="15"/>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94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550" w:hRule="exact"/>
        </w:trPr>
        <w:tc>
          <w:tcPr>
            <w:tcW w:w="711" w:type="dxa"/>
            <w:vMerge/>
            <w:tcBorders>
              <w:left w:val="single" w:sz="4" w:space="0" w:color="000000"/>
              <w:right w:val="single" w:sz="4" w:space="0" w:color="000000"/>
            </w:tcBorders>
          </w:tcPr>
          <w:p>
            <w:pPr/>
          </w:p>
        </w:tc>
        <w:tc>
          <w:tcPr>
            <w:tcW w:w="10804"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549" w:right="187"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28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458" w:right="185" w:hanging="269"/>
              <w:jc w:val="left"/>
              <w:rPr>
                <w:rFonts w:ascii="宋体" w:hAnsi="宋体" w:cs="宋体" w:eastAsia="宋体" w:hint="default"/>
                <w:sz w:val="18"/>
                <w:szCs w:val="18"/>
              </w:rPr>
            </w:pPr>
            <w:r>
              <w:rPr>
                <w:rFonts w:ascii="宋体" w:hAnsi="宋体" w:cs="宋体" w:eastAsia="宋体" w:hint="default"/>
                <w:sz w:val="18"/>
                <w:szCs w:val="18"/>
              </w:rPr>
              <w:t>所有者权益 合计</w:t>
            </w:r>
          </w:p>
        </w:tc>
      </w:tr>
      <w:tr>
        <w:trPr>
          <w:trHeight w:val="490" w:hRule="exact"/>
        </w:trPr>
        <w:tc>
          <w:tcPr>
            <w:tcW w:w="711" w:type="dxa"/>
            <w:vMerge/>
            <w:tcBorders>
              <w:left w:val="single" w:sz="4" w:space="0" w:color="000000"/>
              <w:right w:val="single" w:sz="4" w:space="0" w:color="000000"/>
            </w:tcBorders>
          </w:tcPr>
          <w:p>
            <w:pPr/>
          </w:p>
        </w:tc>
        <w:tc>
          <w:tcPr>
            <w:tcW w:w="128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exact"/>
              <w:ind w:left="427" w:right="156" w:hanging="269"/>
              <w:jc w:val="left"/>
              <w:rPr>
                <w:rFonts w:ascii="Times New Roman" w:hAnsi="Times New Roman" w:cs="Times New Roman" w:eastAsia="Times New Roman" w:hint="default"/>
                <w:sz w:val="18"/>
                <w:szCs w:val="18"/>
              </w:rPr>
            </w:pPr>
            <w:r>
              <w:rPr>
                <w:rFonts w:ascii="宋体" w:hAnsi="宋体" w:cs="宋体" w:eastAsia="宋体" w:hint="default"/>
                <w:sz w:val="18"/>
                <w:szCs w:val="18"/>
              </w:rPr>
              <w:t>实收资本</w:t>
            </w:r>
            <w:r>
              <w:rPr>
                <w:rFonts w:ascii="Times New Roman" w:hAnsi="Times New Roman" w:cs="Times New Roman" w:eastAsia="Times New Roman" w:hint="default"/>
                <w:sz w:val="18"/>
                <w:szCs w:val="18"/>
              </w:rPr>
              <w:t>(</w:t>
            </w:r>
            <w:r>
              <w:rPr>
                <w:rFonts w:ascii="宋体" w:hAnsi="宋体" w:cs="宋体" w:eastAsia="宋体" w:hint="default"/>
                <w:sz w:val="18"/>
                <w:szCs w:val="18"/>
              </w:rPr>
              <w:t>或 股本</w:t>
            </w:r>
            <w:r>
              <w:rPr>
                <w:rFonts w:ascii="Times New Roman" w:hAnsi="Times New Roman" w:cs="Times New Roman" w:eastAsia="Times New Roman" w:hint="default"/>
                <w:sz w:val="18"/>
                <w:szCs w:val="18"/>
              </w:rPr>
              <w:t>)</w:t>
            </w:r>
          </w:p>
        </w:tc>
        <w:tc>
          <w:tcPr>
            <w:tcW w:w="11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z w:val="18"/>
                <w:szCs w:val="18"/>
              </w:rPr>
              <w:t>其他权益工</w:t>
            </w:r>
          </w:p>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具</w:t>
            </w:r>
          </w:p>
        </w:tc>
        <w:tc>
          <w:tcPr>
            <w:tcW w:w="12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2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2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6"/>
                <w:szCs w:val="16"/>
              </w:rPr>
            </w:pPr>
          </w:p>
          <w:p>
            <w:pPr>
              <w:pStyle w:val="TableParagraph"/>
              <w:spacing w:line="244" w:lineRule="auto"/>
              <w:ind w:left="465" w:right="107"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379"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4" w:lineRule="auto"/>
              <w:ind w:left="103" w:right="84"/>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12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82" w:type="dxa"/>
            <w:vMerge w:val="restart"/>
            <w:tcBorders>
              <w:top w:val="single" w:sz="4" w:space="0" w:color="000000"/>
              <w:left w:val="single" w:sz="4" w:space="0" w:color="000000"/>
              <w:right w:val="single" w:sz="4" w:space="0" w:color="000000"/>
            </w:tcBorders>
          </w:tcPr>
          <w:p>
            <w:pPr>
              <w:pStyle w:val="TableParagraph"/>
              <w:spacing w:line="213" w:lineRule="exact"/>
              <w:ind w:left="105" w:right="0"/>
              <w:jc w:val="both"/>
              <w:rPr>
                <w:rFonts w:ascii="宋体" w:hAnsi="宋体" w:cs="宋体" w:eastAsia="宋体" w:hint="default"/>
                <w:sz w:val="18"/>
                <w:szCs w:val="18"/>
              </w:rPr>
            </w:pPr>
            <w:r>
              <w:rPr>
                <w:rFonts w:ascii="宋体" w:hAnsi="宋体" w:cs="宋体" w:eastAsia="宋体" w:hint="default"/>
                <w:sz w:val="18"/>
                <w:szCs w:val="18"/>
              </w:rPr>
              <w:t>一</w:t>
            </w:r>
          </w:p>
          <w:p>
            <w:pPr>
              <w:pStyle w:val="TableParagraph"/>
              <w:spacing w:line="244" w:lineRule="auto" w:before="4"/>
              <w:ind w:left="105" w:right="84"/>
              <w:jc w:val="both"/>
              <w:rPr>
                <w:rFonts w:ascii="宋体" w:hAnsi="宋体" w:cs="宋体" w:eastAsia="宋体" w:hint="default"/>
                <w:sz w:val="18"/>
                <w:szCs w:val="18"/>
              </w:rPr>
            </w:pPr>
            <w:r>
              <w:rPr>
                <w:rFonts w:ascii="宋体" w:hAnsi="宋体" w:cs="宋体" w:eastAsia="宋体" w:hint="default"/>
                <w:sz w:val="18"/>
                <w:szCs w:val="18"/>
              </w:rPr>
              <w:t>般 风 险 准 备</w:t>
            </w:r>
          </w:p>
        </w:tc>
        <w:tc>
          <w:tcPr>
            <w:tcW w:w="12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32" w:lineRule="exact"/>
              <w:ind w:left="103" w:right="84"/>
              <w:jc w:val="left"/>
              <w:rPr>
                <w:rFonts w:ascii="宋体" w:hAnsi="宋体" w:cs="宋体" w:eastAsia="宋体" w:hint="default"/>
                <w:sz w:val="18"/>
                <w:szCs w:val="18"/>
              </w:rPr>
            </w:pPr>
            <w:r>
              <w:rPr>
                <w:rFonts w:ascii="宋体" w:hAnsi="宋体" w:cs="宋体" w:eastAsia="宋体" w:hint="default"/>
                <w:sz w:val="18"/>
                <w:szCs w:val="18"/>
              </w:rPr>
              <w:t>其 他</w:t>
            </w:r>
          </w:p>
        </w:tc>
        <w:tc>
          <w:tcPr>
            <w:tcW w:w="12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89" w:type="dxa"/>
            <w:vMerge/>
            <w:tcBorders>
              <w:left w:val="single" w:sz="4" w:space="0" w:color="000000"/>
              <w:right w:val="single" w:sz="4" w:space="0" w:color="000000"/>
            </w:tcBorders>
          </w:tcPr>
          <w:p>
            <w:pPr/>
          </w:p>
        </w:tc>
        <w:tc>
          <w:tcPr>
            <w:tcW w:w="1286" w:type="dxa"/>
            <w:vMerge/>
            <w:tcBorders>
              <w:left w:val="single" w:sz="4" w:space="0" w:color="000000"/>
              <w:right w:val="single" w:sz="4" w:space="0" w:color="000000"/>
            </w:tcBorders>
          </w:tcPr>
          <w:p>
            <w:pPr/>
          </w:p>
        </w:tc>
      </w:tr>
      <w:tr>
        <w:trPr>
          <w:trHeight w:val="961" w:hRule="exact"/>
        </w:trPr>
        <w:tc>
          <w:tcPr>
            <w:tcW w:w="711" w:type="dxa"/>
            <w:vMerge/>
            <w:tcBorders>
              <w:left w:val="single" w:sz="4" w:space="0" w:color="000000"/>
              <w:bottom w:val="single" w:sz="4" w:space="0" w:color="000000"/>
              <w:right w:val="single" w:sz="4" w:space="0" w:color="000000"/>
            </w:tcBorders>
          </w:tcPr>
          <w:p>
            <w:pPr/>
          </w:p>
        </w:tc>
        <w:tc>
          <w:tcPr>
            <w:tcW w:w="1286" w:type="dxa"/>
            <w:vMerge/>
            <w:tcBorders>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2"/>
              <w:ind w:left="103" w:right="84"/>
              <w:jc w:val="both"/>
              <w:rPr>
                <w:rFonts w:ascii="宋体" w:hAnsi="宋体" w:cs="宋体" w:eastAsia="宋体" w:hint="default"/>
                <w:sz w:val="18"/>
                <w:szCs w:val="18"/>
              </w:rPr>
            </w:pPr>
            <w:r>
              <w:rPr>
                <w:rFonts w:ascii="宋体" w:hAnsi="宋体" w:cs="宋体" w:eastAsia="宋体" w:hint="default"/>
                <w:sz w:val="18"/>
                <w:szCs w:val="18"/>
              </w:rPr>
              <w:t>优 先 股</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2"/>
              <w:ind w:left="105" w:right="84"/>
              <w:jc w:val="both"/>
              <w:rPr>
                <w:rFonts w:ascii="宋体" w:hAnsi="宋体" w:cs="宋体" w:eastAsia="宋体" w:hint="default"/>
                <w:sz w:val="18"/>
                <w:szCs w:val="18"/>
              </w:rPr>
            </w:pPr>
            <w:r>
              <w:rPr>
                <w:rFonts w:ascii="宋体" w:hAnsi="宋体" w:cs="宋体" w:eastAsia="宋体" w:hint="default"/>
                <w:sz w:val="18"/>
                <w:szCs w:val="18"/>
              </w:rPr>
              <w:t>永 续 债</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4" w:lineRule="auto"/>
              <w:ind w:left="103" w:right="84"/>
              <w:jc w:val="left"/>
              <w:rPr>
                <w:rFonts w:ascii="宋体" w:hAnsi="宋体" w:cs="宋体" w:eastAsia="宋体" w:hint="default"/>
                <w:sz w:val="18"/>
                <w:szCs w:val="18"/>
              </w:rPr>
            </w:pPr>
            <w:r>
              <w:rPr>
                <w:rFonts w:ascii="宋体" w:hAnsi="宋体" w:cs="宋体" w:eastAsia="宋体" w:hint="default"/>
                <w:sz w:val="18"/>
                <w:szCs w:val="18"/>
              </w:rPr>
              <w:t>其 他</w:t>
            </w:r>
          </w:p>
        </w:tc>
        <w:tc>
          <w:tcPr>
            <w:tcW w:w="1289" w:type="dxa"/>
            <w:vMerge/>
            <w:tcBorders>
              <w:left w:val="single" w:sz="4" w:space="0" w:color="000000"/>
              <w:bottom w:val="single" w:sz="4" w:space="0" w:color="000000"/>
              <w:right w:val="single" w:sz="4" w:space="0" w:color="000000"/>
            </w:tcBorders>
          </w:tcPr>
          <w:p>
            <w:pPr/>
          </w:p>
        </w:tc>
        <w:tc>
          <w:tcPr>
            <w:tcW w:w="1123" w:type="dxa"/>
            <w:vMerge/>
            <w:tcBorders>
              <w:left w:val="single" w:sz="4" w:space="0" w:color="000000"/>
              <w:bottom w:val="single" w:sz="4" w:space="0" w:color="000000"/>
              <w:right w:val="single" w:sz="4" w:space="0" w:color="000000"/>
            </w:tcBorders>
          </w:tcPr>
          <w:p>
            <w:pPr/>
          </w:p>
        </w:tc>
        <w:tc>
          <w:tcPr>
            <w:tcW w:w="1123" w:type="dxa"/>
            <w:vMerge/>
            <w:tcBorders>
              <w:left w:val="single" w:sz="4" w:space="0" w:color="000000"/>
              <w:bottom w:val="single" w:sz="4" w:space="0" w:color="000000"/>
              <w:right w:val="single" w:sz="4" w:space="0" w:color="000000"/>
            </w:tcBorders>
          </w:tcPr>
          <w:p>
            <w:pPr/>
          </w:p>
        </w:tc>
        <w:tc>
          <w:tcPr>
            <w:tcW w:w="379" w:type="dxa"/>
            <w:vMerge/>
            <w:tcBorders>
              <w:left w:val="single" w:sz="4" w:space="0" w:color="000000"/>
              <w:bottom w:val="single" w:sz="4" w:space="0" w:color="000000"/>
              <w:right w:val="single" w:sz="4" w:space="0" w:color="000000"/>
            </w:tcBorders>
          </w:tcPr>
          <w:p>
            <w:pPr/>
          </w:p>
        </w:tc>
        <w:tc>
          <w:tcPr>
            <w:tcW w:w="1124" w:type="dxa"/>
            <w:vMerge/>
            <w:tcBorders>
              <w:left w:val="single" w:sz="4" w:space="0" w:color="000000"/>
              <w:bottom w:val="single" w:sz="4" w:space="0" w:color="000000"/>
              <w:right w:val="single" w:sz="4" w:space="0" w:color="000000"/>
            </w:tcBorders>
          </w:tcPr>
          <w:p>
            <w:pPr/>
          </w:p>
        </w:tc>
        <w:tc>
          <w:tcPr>
            <w:tcW w:w="382" w:type="dxa"/>
            <w:vMerge/>
            <w:tcBorders>
              <w:left w:val="single" w:sz="4" w:space="0" w:color="000000"/>
              <w:bottom w:val="single" w:sz="4" w:space="0" w:color="000000"/>
              <w:right w:val="single" w:sz="4" w:space="0" w:color="000000"/>
            </w:tcBorders>
          </w:tcPr>
          <w:p>
            <w:pPr/>
          </w:p>
        </w:tc>
        <w:tc>
          <w:tcPr>
            <w:tcW w:w="1289" w:type="dxa"/>
            <w:vMerge/>
            <w:tcBorders>
              <w:left w:val="single" w:sz="4" w:space="0" w:color="000000"/>
              <w:bottom w:val="single" w:sz="4" w:space="0" w:color="000000"/>
              <w:right w:val="single" w:sz="4" w:space="0" w:color="000000"/>
            </w:tcBorders>
          </w:tcPr>
          <w:p>
            <w:pPr/>
          </w:p>
        </w:tc>
        <w:tc>
          <w:tcPr>
            <w:tcW w:w="379" w:type="dxa"/>
            <w:vMerge/>
            <w:tcBorders>
              <w:left w:val="single" w:sz="4" w:space="0" w:color="000000"/>
              <w:bottom w:val="single" w:sz="4" w:space="0" w:color="000000"/>
              <w:right w:val="single" w:sz="4" w:space="0" w:color="000000"/>
            </w:tcBorders>
          </w:tcPr>
          <w:p>
            <w:pPr/>
          </w:p>
        </w:tc>
        <w:tc>
          <w:tcPr>
            <w:tcW w:w="1289" w:type="dxa"/>
            <w:vMerge/>
            <w:tcBorders>
              <w:left w:val="single" w:sz="4" w:space="0" w:color="000000"/>
              <w:bottom w:val="single" w:sz="4" w:space="0" w:color="000000"/>
              <w:right w:val="single" w:sz="4" w:space="0" w:color="000000"/>
            </w:tcBorders>
          </w:tcPr>
          <w:p>
            <w:pPr/>
          </w:p>
        </w:tc>
        <w:tc>
          <w:tcPr>
            <w:tcW w:w="1289" w:type="dxa"/>
            <w:vMerge/>
            <w:tcBorders>
              <w:left w:val="single" w:sz="4" w:space="0" w:color="000000"/>
              <w:bottom w:val="single" w:sz="4" w:space="0" w:color="000000"/>
              <w:right w:val="single" w:sz="4" w:space="0" w:color="000000"/>
            </w:tcBorders>
          </w:tcPr>
          <w:p>
            <w:pPr/>
          </w:p>
        </w:tc>
        <w:tc>
          <w:tcPr>
            <w:tcW w:w="1286" w:type="dxa"/>
            <w:vMerge/>
            <w:tcBorders>
              <w:left w:val="single" w:sz="4" w:space="0" w:color="000000"/>
              <w:bottom w:val="single" w:sz="4" w:space="0" w:color="000000"/>
              <w:right w:val="single" w:sz="4" w:space="0" w:color="000000"/>
            </w:tcBorders>
          </w:tcPr>
          <w:p>
            <w:pPr/>
          </w:p>
        </w:tc>
      </w:tr>
      <w:tr>
        <w:trPr>
          <w:trHeight w:val="943"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pacing w:val="-16"/>
                <w:sz w:val="18"/>
                <w:szCs w:val="18"/>
              </w:rPr>
              <w:t>一、上</w:t>
            </w:r>
          </w:p>
          <w:p>
            <w:pPr>
              <w:pStyle w:val="TableParagraph"/>
              <w:spacing w:line="232" w:lineRule="exact" w:before="24"/>
              <w:ind w:left="103" w:right="237"/>
              <w:jc w:val="both"/>
              <w:rPr>
                <w:rFonts w:ascii="宋体" w:hAnsi="宋体" w:cs="宋体" w:eastAsia="宋体" w:hint="default"/>
                <w:sz w:val="18"/>
                <w:szCs w:val="18"/>
              </w:rPr>
            </w:pPr>
            <w:r>
              <w:rPr>
                <w:rFonts w:ascii="宋体" w:hAnsi="宋体" w:cs="宋体" w:eastAsia="宋体" w:hint="default"/>
                <w:sz w:val="18"/>
                <w:szCs w:val="18"/>
              </w:rPr>
              <w:t>年期 末余 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1,917,832,7</w:t>
            </w:r>
          </w:p>
          <w:p>
            <w:pPr>
              <w:pStyle w:val="TableParagraph"/>
              <w:spacing w:line="240" w:lineRule="auto"/>
              <w:ind w:left="103" w:right="0"/>
              <w:jc w:val="left"/>
              <w:rPr>
                <w:rFonts w:ascii="宋体" w:hAnsi="宋体" w:cs="宋体" w:eastAsia="宋体" w:hint="default"/>
                <w:sz w:val="18"/>
                <w:szCs w:val="18"/>
              </w:rPr>
            </w:pPr>
            <w:r>
              <w:rPr>
                <w:rFonts w:ascii="宋体"/>
                <w:sz w:val="18"/>
              </w:rPr>
              <w:t>92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2,120,758,7</w:t>
            </w:r>
          </w:p>
          <w:p>
            <w:pPr>
              <w:pStyle w:val="TableParagraph"/>
              <w:spacing w:line="240" w:lineRule="auto"/>
              <w:ind w:right="11"/>
              <w:jc w:val="right"/>
              <w:rPr>
                <w:rFonts w:ascii="宋体" w:hAnsi="宋体" w:cs="宋体" w:eastAsia="宋体" w:hint="default"/>
                <w:sz w:val="18"/>
                <w:szCs w:val="18"/>
              </w:rPr>
            </w:pPr>
            <w:r>
              <w:rPr>
                <w:rFonts w:ascii="宋体"/>
                <w:spacing w:val="-1"/>
                <w:sz w:val="18"/>
              </w:rPr>
              <w:t>90</w:t>
            </w: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55,787,910</w:t>
            </w: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-25,234,85</w:t>
            </w:r>
          </w:p>
          <w:p>
            <w:pPr>
              <w:pStyle w:val="TableParagraph"/>
              <w:spacing w:line="240" w:lineRule="auto"/>
              <w:ind w:right="11"/>
              <w:jc w:val="right"/>
              <w:rPr>
                <w:rFonts w:ascii="宋体" w:hAnsi="宋体" w:cs="宋体" w:eastAsia="宋体" w:hint="default"/>
                <w:sz w:val="18"/>
                <w:szCs w:val="18"/>
              </w:rPr>
            </w:pPr>
            <w:r>
              <w:rPr>
                <w:rFonts w:ascii="宋体"/>
                <w:sz w:val="18"/>
              </w:rPr>
              <w:t>7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827,153,65</w:t>
            </w:r>
          </w:p>
          <w:p>
            <w:pPr>
              <w:pStyle w:val="TableParagraph"/>
              <w:spacing w:line="240" w:lineRule="auto"/>
              <w:ind w:right="8"/>
              <w:jc w:val="right"/>
              <w:rPr>
                <w:rFonts w:ascii="宋体" w:hAnsi="宋体" w:cs="宋体" w:eastAsia="宋体" w:hint="default"/>
                <w:sz w:val="18"/>
                <w:szCs w:val="18"/>
              </w:rPr>
            </w:pPr>
            <w:r>
              <w:rPr>
                <w:rFonts w:ascii="宋体"/>
                <w:sz w:val="18"/>
              </w:rPr>
              <w:t>5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1,785,975,0</w:t>
            </w:r>
          </w:p>
          <w:p>
            <w:pPr>
              <w:pStyle w:val="TableParagraph"/>
              <w:spacing w:line="240" w:lineRule="auto"/>
              <w:ind w:right="11"/>
              <w:jc w:val="right"/>
              <w:rPr>
                <w:rFonts w:ascii="宋体" w:hAnsi="宋体" w:cs="宋体" w:eastAsia="宋体" w:hint="default"/>
                <w:sz w:val="18"/>
                <w:szCs w:val="18"/>
              </w:rPr>
            </w:pPr>
            <w:r>
              <w:rPr>
                <w:rFonts w:ascii="宋体"/>
                <w:spacing w:val="-1"/>
                <w:sz w:val="18"/>
              </w:rPr>
              <w:t>33</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6,570,697,5</w:t>
            </w:r>
          </w:p>
          <w:p>
            <w:pPr>
              <w:pStyle w:val="TableParagraph"/>
              <w:spacing w:line="240" w:lineRule="auto"/>
              <w:ind w:right="8"/>
              <w:jc w:val="right"/>
              <w:rPr>
                <w:rFonts w:ascii="宋体" w:hAnsi="宋体" w:cs="宋体" w:eastAsia="宋体" w:hint="default"/>
                <w:sz w:val="18"/>
                <w:szCs w:val="18"/>
              </w:rPr>
            </w:pPr>
            <w:r>
              <w:rPr>
                <w:rFonts w:ascii="宋体"/>
                <w:spacing w:val="-1"/>
                <w:sz w:val="18"/>
              </w:rPr>
              <w:t>03</w:t>
            </w: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1,081,265,6</w:t>
            </w:r>
          </w:p>
          <w:p>
            <w:pPr>
              <w:pStyle w:val="TableParagraph"/>
              <w:spacing w:line="240" w:lineRule="auto"/>
              <w:ind w:right="11"/>
              <w:jc w:val="right"/>
              <w:rPr>
                <w:rFonts w:ascii="宋体" w:hAnsi="宋体" w:cs="宋体" w:eastAsia="宋体" w:hint="default"/>
                <w:sz w:val="18"/>
                <w:szCs w:val="18"/>
              </w:rPr>
            </w:pPr>
            <w:r>
              <w:rPr>
                <w:rFonts w:ascii="宋体"/>
                <w:spacing w:val="-1"/>
                <w:sz w:val="18"/>
              </w:rPr>
              <w:t>42</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7,651,963,1</w:t>
            </w:r>
          </w:p>
          <w:p>
            <w:pPr>
              <w:pStyle w:val="TableParagraph"/>
              <w:spacing w:line="240" w:lineRule="auto"/>
              <w:ind w:right="8"/>
              <w:jc w:val="right"/>
              <w:rPr>
                <w:rFonts w:ascii="宋体" w:hAnsi="宋体" w:cs="宋体" w:eastAsia="宋体" w:hint="default"/>
                <w:sz w:val="18"/>
                <w:szCs w:val="18"/>
              </w:rPr>
            </w:pPr>
            <w:r>
              <w:rPr>
                <w:rFonts w:ascii="宋体"/>
                <w:spacing w:val="-1"/>
                <w:sz w:val="18"/>
              </w:rPr>
              <w:t>45</w:t>
            </w:r>
            <w:r>
              <w:rPr>
                <w:rFonts w:ascii="宋体"/>
                <w:sz w:val="18"/>
              </w:rPr>
              <w:t> </w:t>
            </w:r>
          </w:p>
        </w:tc>
      </w:tr>
      <w:tr>
        <w:trPr>
          <w:trHeight w:val="94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pacing w:val="-16"/>
                <w:sz w:val="18"/>
                <w:szCs w:val="18"/>
              </w:rPr>
              <w:t>加：会</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计政 策变 更</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29,662,129</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4,829,786</w:t>
            </w: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65,279,400</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99,771,315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-4,063,410</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95,707,905</w:t>
            </w:r>
            <w:r>
              <w:rPr>
                <w:rFonts w:ascii="宋体"/>
                <w:sz w:val="18"/>
              </w:rPr>
              <w:t> </w:t>
            </w:r>
          </w:p>
        </w:tc>
      </w:tr>
      <w:tr>
        <w:trPr>
          <w:trHeight w:val="943"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期差 错更 正</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tabs>
                <w:tab w:pos="1173" w:val="left" w:leader="none"/>
              </w:tabs>
              <w:spacing w:line="205" w:lineRule="exact"/>
              <w:ind w:left="-128" w:right="11"/>
              <w:jc w:val="right"/>
              <w:rPr>
                <w:rFonts w:ascii="宋体" w:hAnsi="宋体" w:cs="宋体" w:eastAsia="宋体" w:hint="default"/>
                <w:sz w:val="18"/>
                <w:szCs w:val="18"/>
              </w:rPr>
            </w:pPr>
            <w:r>
              <w:rPr>
                <w:rFonts w:ascii="宋体" w:hAnsi="宋体" w:cs="宋体" w:eastAsia="宋体" w:hint="default"/>
                <w:sz w:val="18"/>
                <w:szCs w:val="18"/>
              </w:rPr>
              <w:t>前</w:t>
              <w:tab/>
            </w:r>
            <w:r>
              <w:rPr>
                <w:rFonts w:ascii="宋体" w:hAnsi="宋体" w:cs="宋体" w:eastAsia="宋体" w:hint="default"/>
                <w:sz w:val="18"/>
                <w:szCs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17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一控 制下 企业 合并</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tabs>
                <w:tab w:pos="1173" w:val="left" w:leader="none"/>
              </w:tabs>
              <w:spacing w:line="205" w:lineRule="exact"/>
              <w:ind w:left="-128" w:right="11"/>
              <w:jc w:val="right"/>
              <w:rPr>
                <w:rFonts w:ascii="宋体" w:hAnsi="宋体" w:cs="宋体" w:eastAsia="宋体" w:hint="default"/>
                <w:sz w:val="18"/>
                <w:szCs w:val="18"/>
              </w:rPr>
            </w:pPr>
            <w:r>
              <w:rPr>
                <w:rFonts w:ascii="宋体" w:hAnsi="宋体" w:cs="宋体" w:eastAsia="宋体" w:hint="default"/>
                <w:sz w:val="18"/>
                <w:szCs w:val="18"/>
              </w:rPr>
              <w:t>同</w:t>
              <w:tab/>
            </w:r>
            <w:r>
              <w:rPr>
                <w:rFonts w:ascii="宋体" w:hAnsi="宋体" w:cs="宋体" w:eastAsia="宋体" w:hint="default"/>
                <w:sz w:val="18"/>
                <w:szCs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tabs>
                <w:tab w:pos="1173" w:val="left" w:leader="none"/>
              </w:tabs>
              <w:spacing w:line="208" w:lineRule="exact"/>
              <w:ind w:left="-128" w:right="11"/>
              <w:jc w:val="right"/>
              <w:rPr>
                <w:rFonts w:ascii="宋体" w:hAnsi="宋体" w:cs="宋体" w:eastAsia="宋体" w:hint="default"/>
                <w:sz w:val="18"/>
                <w:szCs w:val="18"/>
              </w:rPr>
            </w:pPr>
            <w:r>
              <w:rPr>
                <w:rFonts w:ascii="宋体" w:hAnsi="宋体" w:cs="宋体" w:eastAsia="宋体" w:hint="default"/>
                <w:sz w:val="18"/>
                <w:szCs w:val="18"/>
              </w:rPr>
              <w:t>其</w:t>
              <w:tab/>
            </w:r>
            <w:r>
              <w:rPr>
                <w:rFonts w:ascii="宋体" w:hAnsi="宋体" w:cs="宋体" w:eastAsia="宋体" w:hint="default"/>
                <w:sz w:val="18"/>
                <w:szCs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r>
      <w:tr>
        <w:trPr>
          <w:trHeight w:val="710"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6"/>
                <w:sz w:val="18"/>
                <w:szCs w:val="18"/>
              </w:rPr>
              <w:t>二、本</w:t>
            </w:r>
          </w:p>
          <w:p>
            <w:pPr>
              <w:pStyle w:val="TableParagraph"/>
              <w:spacing w:line="232" w:lineRule="exact" w:before="24"/>
              <w:ind w:left="103" w:right="237"/>
              <w:jc w:val="left"/>
              <w:rPr>
                <w:rFonts w:ascii="宋体" w:hAnsi="宋体" w:cs="宋体" w:eastAsia="宋体" w:hint="default"/>
                <w:sz w:val="18"/>
                <w:szCs w:val="18"/>
              </w:rPr>
            </w:pPr>
            <w:r>
              <w:rPr>
                <w:rFonts w:ascii="宋体" w:hAnsi="宋体" w:cs="宋体" w:eastAsia="宋体" w:hint="default"/>
                <w:sz w:val="18"/>
                <w:szCs w:val="18"/>
              </w:rPr>
              <w:t>年期 初余</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1,917,832,7</w:t>
            </w:r>
          </w:p>
          <w:p>
            <w:pPr>
              <w:pStyle w:val="TableParagraph"/>
              <w:spacing w:line="240" w:lineRule="auto"/>
              <w:ind w:right="11"/>
              <w:jc w:val="right"/>
              <w:rPr>
                <w:rFonts w:ascii="宋体" w:hAnsi="宋体" w:cs="宋体" w:eastAsia="宋体" w:hint="default"/>
                <w:sz w:val="18"/>
                <w:szCs w:val="18"/>
              </w:rPr>
            </w:pPr>
            <w:r>
              <w:rPr>
                <w:rFonts w:ascii="宋体"/>
                <w:spacing w:val="-1"/>
                <w:sz w:val="18"/>
              </w:rPr>
              <w:t>92</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2,120,758,7</w:t>
            </w:r>
          </w:p>
          <w:p>
            <w:pPr>
              <w:pStyle w:val="TableParagraph"/>
              <w:spacing w:line="240" w:lineRule="auto"/>
              <w:ind w:right="11"/>
              <w:jc w:val="right"/>
              <w:rPr>
                <w:rFonts w:ascii="宋体" w:hAnsi="宋体" w:cs="宋体" w:eastAsia="宋体" w:hint="default"/>
                <w:sz w:val="18"/>
                <w:szCs w:val="18"/>
              </w:rPr>
            </w:pPr>
            <w:r>
              <w:rPr>
                <w:rFonts w:ascii="宋体"/>
                <w:spacing w:val="-1"/>
                <w:sz w:val="18"/>
              </w:rPr>
              <w:t>90</w:t>
            </w: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55,787,910</w:t>
            </w: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4,427,272</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831,983,44</w:t>
            </w:r>
          </w:p>
          <w:p>
            <w:pPr>
              <w:pStyle w:val="TableParagraph"/>
              <w:spacing w:line="240" w:lineRule="auto"/>
              <w:ind w:right="8"/>
              <w:jc w:val="right"/>
              <w:rPr>
                <w:rFonts w:ascii="宋体" w:hAnsi="宋体" w:cs="宋体" w:eastAsia="宋体" w:hint="default"/>
                <w:sz w:val="18"/>
                <w:szCs w:val="18"/>
              </w:rPr>
            </w:pPr>
            <w:r>
              <w:rPr>
                <w:rFonts w:ascii="宋体"/>
                <w:sz w:val="18"/>
              </w:rPr>
              <w:t>1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1,851,254,4</w:t>
            </w:r>
          </w:p>
          <w:p>
            <w:pPr>
              <w:pStyle w:val="TableParagraph"/>
              <w:spacing w:line="240" w:lineRule="auto"/>
              <w:ind w:right="11"/>
              <w:jc w:val="right"/>
              <w:rPr>
                <w:rFonts w:ascii="宋体" w:hAnsi="宋体" w:cs="宋体" w:eastAsia="宋体" w:hint="default"/>
                <w:sz w:val="18"/>
                <w:szCs w:val="18"/>
              </w:rPr>
            </w:pPr>
            <w:r>
              <w:rPr>
                <w:rFonts w:ascii="宋体"/>
                <w:spacing w:val="-1"/>
                <w:sz w:val="18"/>
              </w:rPr>
              <w:t>33</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6,670,468,8</w:t>
            </w:r>
          </w:p>
          <w:p>
            <w:pPr>
              <w:pStyle w:val="TableParagraph"/>
              <w:spacing w:line="240" w:lineRule="auto"/>
              <w:ind w:right="8"/>
              <w:jc w:val="right"/>
              <w:rPr>
                <w:rFonts w:ascii="宋体" w:hAnsi="宋体" w:cs="宋体" w:eastAsia="宋体" w:hint="default"/>
                <w:sz w:val="18"/>
                <w:szCs w:val="18"/>
              </w:rPr>
            </w:pPr>
            <w:r>
              <w:rPr>
                <w:rFonts w:ascii="宋体"/>
                <w:spacing w:val="-1"/>
                <w:sz w:val="18"/>
              </w:rPr>
              <w:t>18</w:t>
            </w: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1,077,202,2</w:t>
            </w:r>
          </w:p>
          <w:p>
            <w:pPr>
              <w:pStyle w:val="TableParagraph"/>
              <w:spacing w:line="240" w:lineRule="auto"/>
              <w:ind w:right="11"/>
              <w:jc w:val="right"/>
              <w:rPr>
                <w:rFonts w:ascii="宋体" w:hAnsi="宋体" w:cs="宋体" w:eastAsia="宋体" w:hint="default"/>
                <w:sz w:val="18"/>
                <w:szCs w:val="18"/>
              </w:rPr>
            </w:pPr>
            <w:r>
              <w:rPr>
                <w:rFonts w:ascii="宋体"/>
                <w:spacing w:val="-1"/>
                <w:sz w:val="18"/>
              </w:rPr>
              <w:t>32</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7,747,671,0</w:t>
            </w:r>
          </w:p>
          <w:p>
            <w:pPr>
              <w:pStyle w:val="TableParagraph"/>
              <w:spacing w:line="240" w:lineRule="auto"/>
              <w:ind w:right="8"/>
              <w:jc w:val="right"/>
              <w:rPr>
                <w:rFonts w:ascii="宋体" w:hAnsi="宋体" w:cs="宋体" w:eastAsia="宋体" w:hint="default"/>
                <w:sz w:val="18"/>
                <w:szCs w:val="18"/>
              </w:rPr>
            </w:pPr>
            <w:r>
              <w:rPr>
                <w:rFonts w:ascii="宋体"/>
                <w:spacing w:val="-1"/>
                <w:sz w:val="18"/>
              </w:rPr>
              <w:t>50</w:t>
            </w:r>
            <w:r>
              <w:rPr>
                <w:rFonts w:ascii="宋体"/>
                <w:sz w:val="18"/>
              </w:rPr>
              <w:t> </w:t>
            </w:r>
          </w:p>
        </w:tc>
      </w:tr>
    </w:tbl>
    <w:p>
      <w:pPr>
        <w:spacing w:after="0" w:line="240" w:lineRule="auto"/>
        <w:jc w:val="right"/>
        <w:rPr>
          <w:rFonts w:ascii="宋体" w:hAnsi="宋体" w:cs="宋体" w:eastAsia="宋体" w:hint="default"/>
          <w:sz w:val="18"/>
          <w:szCs w:val="18"/>
        </w:rPr>
        <w:sectPr>
          <w:type w:val="continuous"/>
          <w:pgSz w:w="16840" w:h="11910" w:orient="landscape"/>
          <w:pgMar w:top="1120" w:bottom="1380" w:left="130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243"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286"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r>
      <w:tr>
        <w:trPr>
          <w:trHeight w:val="2112"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6"/>
                <w:sz w:val="18"/>
                <w:szCs w:val="18"/>
              </w:rPr>
              <w:t>三、本</w:t>
            </w:r>
          </w:p>
          <w:p>
            <w:pPr>
              <w:pStyle w:val="TableParagraph"/>
              <w:spacing w:line="235" w:lineRule="auto" w:before="4"/>
              <w:ind w:left="103" w:right="101"/>
              <w:jc w:val="left"/>
              <w:rPr>
                <w:rFonts w:ascii="宋体" w:hAnsi="宋体" w:cs="宋体" w:eastAsia="宋体" w:hint="default"/>
                <w:sz w:val="18"/>
                <w:szCs w:val="18"/>
              </w:rPr>
            </w:pPr>
            <w:r>
              <w:rPr>
                <w:rFonts w:ascii="宋体" w:hAnsi="宋体" w:cs="宋体" w:eastAsia="宋体" w:hint="default"/>
                <w:sz w:val="18"/>
                <w:szCs w:val="18"/>
              </w:rPr>
              <w:t>期增 减变 动金 </w:t>
            </w:r>
            <w:r>
              <w:rPr>
                <w:rFonts w:ascii="宋体" w:hAnsi="宋体" w:cs="宋体" w:eastAsia="宋体" w:hint="default"/>
                <w:spacing w:val="-16"/>
                <w:sz w:val="18"/>
                <w:szCs w:val="18"/>
              </w:rPr>
              <w:t>额（减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少以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 列）</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586,065,372</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-358,646,99</w:t>
            </w:r>
          </w:p>
          <w:p>
            <w:pPr>
              <w:pStyle w:val="TableParagraph"/>
              <w:spacing w:line="240" w:lineRule="auto"/>
              <w:ind w:right="11"/>
              <w:jc w:val="right"/>
              <w:rPr>
                <w:rFonts w:ascii="宋体" w:hAnsi="宋体" w:cs="宋体" w:eastAsia="宋体" w:hint="default"/>
                <w:sz w:val="18"/>
                <w:szCs w:val="18"/>
              </w:rPr>
            </w:pPr>
            <w:r>
              <w:rPr>
                <w:rFonts w:ascii="宋体"/>
                <w:sz w:val="18"/>
              </w:rPr>
              <w:t>5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426,908,43</w:t>
            </w:r>
          </w:p>
          <w:p>
            <w:pPr>
              <w:pStyle w:val="TableParagraph"/>
              <w:spacing w:line="240" w:lineRule="auto"/>
              <w:ind w:right="11"/>
              <w:jc w:val="right"/>
              <w:rPr>
                <w:rFonts w:ascii="宋体" w:hAnsi="宋体" w:cs="宋体" w:eastAsia="宋体" w:hint="default"/>
                <w:sz w:val="18"/>
                <w:szCs w:val="18"/>
              </w:rPr>
            </w:pPr>
            <w:r>
              <w:rPr>
                <w:rFonts w:ascii="宋体"/>
                <w:sz w:val="18"/>
              </w:rPr>
              <w:t>2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-6,921,569</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165,268,73</w:t>
            </w:r>
          </w:p>
          <w:p>
            <w:pPr>
              <w:pStyle w:val="TableParagraph"/>
              <w:spacing w:line="240" w:lineRule="auto"/>
              <w:ind w:right="8"/>
              <w:jc w:val="right"/>
              <w:rPr>
                <w:rFonts w:ascii="宋体" w:hAnsi="宋体" w:cs="宋体" w:eastAsia="宋体" w:hint="default"/>
                <w:sz w:val="18"/>
                <w:szCs w:val="18"/>
              </w:rPr>
            </w:pPr>
            <w:r>
              <w:rPr>
                <w:rFonts w:ascii="宋体"/>
                <w:sz w:val="18"/>
              </w:rPr>
              <w:t>0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543,307,967</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502,165,073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44,353,800</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546,518,873</w:t>
            </w:r>
            <w:r>
              <w:rPr>
                <w:rFonts w:ascii="宋体"/>
                <w:sz w:val="18"/>
              </w:rPr>
              <w:t> </w:t>
            </w:r>
          </w:p>
        </w:tc>
      </w:tr>
      <w:tr>
        <w:trPr>
          <w:trHeight w:val="94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（一）</w:t>
            </w:r>
          </w:p>
          <w:p>
            <w:pPr>
              <w:pStyle w:val="TableParagraph"/>
              <w:spacing w:line="237" w:lineRule="auto" w:before="1"/>
              <w:ind w:left="103" w:right="237"/>
              <w:jc w:val="both"/>
              <w:rPr>
                <w:rFonts w:ascii="宋体" w:hAnsi="宋体" w:cs="宋体" w:eastAsia="宋体" w:hint="default"/>
                <w:sz w:val="18"/>
                <w:szCs w:val="18"/>
              </w:rPr>
            </w:pPr>
            <w:r>
              <w:rPr>
                <w:rFonts w:ascii="宋体" w:hAnsi="宋体" w:cs="宋体" w:eastAsia="宋体" w:hint="default"/>
                <w:sz w:val="18"/>
                <w:szCs w:val="18"/>
              </w:rPr>
              <w:t>综合 收益 总额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-6,921,569</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1,182,989,7</w:t>
            </w:r>
          </w:p>
          <w:p>
            <w:pPr>
              <w:pStyle w:val="TableParagraph"/>
              <w:spacing w:line="234" w:lineRule="exact"/>
              <w:ind w:right="11"/>
              <w:jc w:val="right"/>
              <w:rPr>
                <w:rFonts w:ascii="宋体" w:hAnsi="宋体" w:cs="宋体" w:eastAsia="宋体" w:hint="default"/>
                <w:sz w:val="18"/>
                <w:szCs w:val="18"/>
              </w:rPr>
            </w:pPr>
            <w:r>
              <w:rPr>
                <w:rFonts w:ascii="宋体"/>
                <w:spacing w:val="-1"/>
                <w:sz w:val="18"/>
              </w:rPr>
              <w:t>33</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8"/>
                <w:szCs w:val="18"/>
              </w:rPr>
            </w:pPr>
            <w:r>
              <w:rPr>
                <w:rFonts w:ascii="宋体"/>
                <w:spacing w:val="-1"/>
                <w:sz w:val="18"/>
              </w:rPr>
              <w:t>1,176,068,1</w:t>
            </w:r>
          </w:p>
          <w:p>
            <w:pPr>
              <w:pStyle w:val="TableParagraph"/>
              <w:spacing w:line="234" w:lineRule="exact"/>
              <w:ind w:right="8"/>
              <w:jc w:val="right"/>
              <w:rPr>
                <w:rFonts w:ascii="宋体" w:hAnsi="宋体" w:cs="宋体" w:eastAsia="宋体" w:hint="default"/>
                <w:sz w:val="18"/>
                <w:szCs w:val="18"/>
              </w:rPr>
            </w:pPr>
            <w:r>
              <w:rPr>
                <w:rFonts w:ascii="宋体"/>
                <w:spacing w:val="-1"/>
                <w:sz w:val="18"/>
              </w:rPr>
              <w:t>64</w:t>
            </w: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137,883,264</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1,313,951,4</w:t>
            </w:r>
          </w:p>
          <w:p>
            <w:pPr>
              <w:pStyle w:val="TableParagraph"/>
              <w:spacing w:line="234" w:lineRule="exact"/>
              <w:ind w:right="8"/>
              <w:jc w:val="right"/>
              <w:rPr>
                <w:rFonts w:ascii="宋体" w:hAnsi="宋体" w:cs="宋体" w:eastAsia="宋体" w:hint="default"/>
                <w:sz w:val="18"/>
                <w:szCs w:val="18"/>
              </w:rPr>
            </w:pPr>
            <w:r>
              <w:rPr>
                <w:rFonts w:ascii="宋体"/>
                <w:spacing w:val="-1"/>
                <w:sz w:val="18"/>
              </w:rPr>
              <w:t>28</w:t>
            </w:r>
            <w:r>
              <w:rPr>
                <w:rFonts w:ascii="宋体"/>
                <w:sz w:val="18"/>
              </w:rPr>
              <w:t> </w:t>
            </w:r>
          </w:p>
        </w:tc>
      </w:tr>
      <w:tr>
        <w:trPr>
          <w:trHeight w:val="1411"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（二）</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所有 者投 入和 减少 资本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16,769,730</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210,648,647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426,908,43</w:t>
            </w:r>
          </w:p>
          <w:p>
            <w:pPr>
              <w:pStyle w:val="TableParagraph"/>
              <w:spacing w:line="234" w:lineRule="exact"/>
              <w:ind w:right="11"/>
              <w:jc w:val="right"/>
              <w:rPr>
                <w:rFonts w:ascii="宋体" w:hAnsi="宋体" w:cs="宋体" w:eastAsia="宋体" w:hint="default"/>
                <w:sz w:val="18"/>
                <w:szCs w:val="18"/>
              </w:rPr>
            </w:pPr>
            <w:r>
              <w:rPr>
                <w:rFonts w:ascii="宋体"/>
                <w:sz w:val="18"/>
              </w:rPr>
              <w:t>2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8"/>
                <w:szCs w:val="18"/>
              </w:rPr>
            </w:pPr>
            <w:r>
              <w:rPr>
                <w:rFonts w:ascii="宋体"/>
                <w:spacing w:val="-1"/>
                <w:sz w:val="18"/>
              </w:rPr>
              <w:t>-199,490,05</w:t>
            </w:r>
          </w:p>
          <w:p>
            <w:pPr>
              <w:pStyle w:val="TableParagraph"/>
              <w:spacing w:line="234" w:lineRule="exact"/>
              <w:ind w:right="8"/>
              <w:jc w:val="right"/>
              <w:rPr>
                <w:rFonts w:ascii="宋体" w:hAnsi="宋体" w:cs="宋体" w:eastAsia="宋体" w:hint="default"/>
                <w:sz w:val="18"/>
                <w:szCs w:val="18"/>
              </w:rPr>
            </w:pPr>
            <w:r>
              <w:rPr>
                <w:rFonts w:ascii="宋体"/>
                <w:sz w:val="18"/>
              </w:rPr>
              <w:t>5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30,933,837</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-168,556,21</w:t>
            </w:r>
          </w:p>
          <w:p>
            <w:pPr>
              <w:pStyle w:val="TableParagraph"/>
              <w:spacing w:line="234" w:lineRule="exact"/>
              <w:ind w:right="8"/>
              <w:jc w:val="right"/>
              <w:rPr>
                <w:rFonts w:ascii="宋体" w:hAnsi="宋体" w:cs="宋体" w:eastAsia="宋体" w:hint="default"/>
                <w:sz w:val="18"/>
                <w:szCs w:val="18"/>
              </w:rPr>
            </w:pPr>
            <w:r>
              <w:rPr>
                <w:rFonts w:ascii="宋体"/>
                <w:sz w:val="18"/>
              </w:rPr>
              <w:t>8 </w:t>
            </w:r>
          </w:p>
        </w:tc>
      </w:tr>
      <w:tr>
        <w:trPr>
          <w:trHeight w:val="117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有者 投入 的普 通股</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17,763,659</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149,194,024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166,957,683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166,957,683</w:t>
            </w:r>
            <w:r>
              <w:rPr>
                <w:rFonts w:ascii="宋体"/>
                <w:sz w:val="18"/>
              </w:rPr>
              <w:t> </w:t>
            </w:r>
          </w:p>
        </w:tc>
      </w:tr>
      <w:tr>
        <w:trPr>
          <w:trHeight w:val="164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他权 益工 具持 有者 投入 资本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179"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w:t>
            </w:r>
          </w:p>
          <w:p>
            <w:pPr>
              <w:pStyle w:val="TableParagraph"/>
              <w:spacing w:line="232" w:lineRule="exact" w:before="18"/>
              <w:ind w:left="103" w:right="237"/>
              <w:jc w:val="both"/>
              <w:rPr>
                <w:rFonts w:ascii="宋体" w:hAnsi="宋体" w:cs="宋体" w:eastAsia="宋体" w:hint="default"/>
                <w:sz w:val="18"/>
                <w:szCs w:val="18"/>
              </w:rPr>
            </w:pPr>
            <w:r>
              <w:rPr>
                <w:rFonts w:ascii="宋体" w:hAnsi="宋体" w:cs="宋体" w:eastAsia="宋体" w:hint="default"/>
                <w:sz w:val="18"/>
                <w:szCs w:val="18"/>
              </w:rPr>
              <w:t>份支 付计 入所 有者</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134,632,444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134,632,444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12,162,447</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146,794,891</w:t>
            </w:r>
            <w:r>
              <w:rPr>
                <w:rFonts w:ascii="宋体"/>
                <w:sz w:val="18"/>
              </w:rPr>
              <w:t> </w:t>
            </w:r>
          </w:p>
        </w:tc>
      </w:tr>
    </w:tbl>
    <w:p>
      <w:pPr>
        <w:spacing w:after="0" w:line="205" w:lineRule="exact"/>
        <w:jc w:val="right"/>
        <w:rPr>
          <w:rFonts w:ascii="宋体" w:hAnsi="宋体" w:cs="宋体" w:eastAsia="宋体" w:hint="default"/>
          <w:sz w:val="18"/>
          <w:szCs w:val="18"/>
        </w:rPr>
        <w:sectPr>
          <w:pgSz w:w="16840" w:h="11910" w:orient="landscape"/>
          <w:pgMar w:header="882" w:footer="1195" w:top="1120" w:bottom="1380" w:left="130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711"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权益</w:t>
            </w:r>
          </w:p>
          <w:p>
            <w:pPr>
              <w:pStyle w:val="TableParagraph"/>
              <w:spacing w:line="232" w:lineRule="exact" w:before="23"/>
              <w:ind w:left="103" w:right="237"/>
              <w:jc w:val="left"/>
              <w:rPr>
                <w:rFonts w:ascii="宋体" w:hAnsi="宋体" w:cs="宋体" w:eastAsia="宋体" w:hint="default"/>
                <w:sz w:val="18"/>
                <w:szCs w:val="18"/>
              </w:rPr>
            </w:pPr>
            <w:r>
              <w:rPr>
                <w:rFonts w:ascii="宋体" w:hAnsi="宋体" w:cs="宋体" w:eastAsia="宋体" w:hint="default"/>
                <w:sz w:val="18"/>
                <w:szCs w:val="18"/>
              </w:rPr>
              <w:t>的金 额</w:t>
            </w:r>
          </w:p>
        </w:tc>
        <w:tc>
          <w:tcPr>
            <w:tcW w:w="1286"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-993,929</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-73,177,821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426,908,43</w:t>
            </w:r>
          </w:p>
          <w:p>
            <w:pPr>
              <w:pStyle w:val="TableParagraph"/>
              <w:spacing w:line="234" w:lineRule="exact"/>
              <w:ind w:right="11"/>
              <w:jc w:val="right"/>
              <w:rPr>
                <w:rFonts w:ascii="宋体" w:hAnsi="宋体" w:cs="宋体" w:eastAsia="宋体" w:hint="default"/>
                <w:sz w:val="18"/>
                <w:szCs w:val="18"/>
              </w:rPr>
            </w:pPr>
            <w:r>
              <w:rPr>
                <w:rFonts w:ascii="宋体"/>
                <w:sz w:val="18"/>
              </w:rPr>
              <w:t>2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8"/>
                <w:szCs w:val="18"/>
              </w:rPr>
            </w:pPr>
            <w:r>
              <w:rPr>
                <w:rFonts w:ascii="宋体"/>
                <w:spacing w:val="-1"/>
                <w:sz w:val="18"/>
              </w:rPr>
              <w:t>-501,080,18</w:t>
            </w:r>
          </w:p>
          <w:p>
            <w:pPr>
              <w:pStyle w:val="TableParagraph"/>
              <w:spacing w:line="234" w:lineRule="exact"/>
              <w:ind w:right="8"/>
              <w:jc w:val="right"/>
              <w:rPr>
                <w:rFonts w:ascii="宋体" w:hAnsi="宋体" w:cs="宋体" w:eastAsia="宋体" w:hint="default"/>
                <w:sz w:val="18"/>
                <w:szCs w:val="18"/>
              </w:rPr>
            </w:pPr>
            <w:r>
              <w:rPr>
                <w:rFonts w:ascii="宋体"/>
                <w:sz w:val="18"/>
              </w:rPr>
              <w:t>2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18,771,390</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-482,308,79</w:t>
            </w:r>
          </w:p>
          <w:p>
            <w:pPr>
              <w:pStyle w:val="TableParagraph"/>
              <w:spacing w:line="234" w:lineRule="exact"/>
              <w:ind w:right="8"/>
              <w:jc w:val="right"/>
              <w:rPr>
                <w:rFonts w:ascii="宋体" w:hAnsi="宋体" w:cs="宋体" w:eastAsia="宋体" w:hint="default"/>
                <w:sz w:val="18"/>
                <w:szCs w:val="18"/>
              </w:rPr>
            </w:pPr>
            <w:r>
              <w:rPr>
                <w:rFonts w:ascii="宋体"/>
                <w:sz w:val="18"/>
              </w:rPr>
              <w:t>2 </w:t>
            </w:r>
          </w:p>
        </w:tc>
      </w:tr>
      <w:tr>
        <w:trPr>
          <w:trHeight w:val="710"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w:t>
            </w:r>
          </w:p>
          <w:p>
            <w:pPr>
              <w:pStyle w:val="TableParagraph"/>
              <w:spacing w:line="232" w:lineRule="exact" w:before="24"/>
              <w:ind w:left="103" w:right="237"/>
              <w:jc w:val="left"/>
              <w:rPr>
                <w:rFonts w:ascii="宋体" w:hAnsi="宋体" w:cs="宋体" w:eastAsia="宋体" w:hint="default"/>
                <w:sz w:val="18"/>
                <w:szCs w:val="18"/>
              </w:rPr>
            </w:pPr>
            <w:r>
              <w:rPr>
                <w:rFonts w:ascii="宋体" w:hAnsi="宋体" w:cs="宋体" w:eastAsia="宋体" w:hint="default"/>
                <w:sz w:val="18"/>
                <w:szCs w:val="18"/>
              </w:rPr>
              <w:t>利润 分配</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165,268,73</w:t>
            </w:r>
          </w:p>
          <w:p>
            <w:pPr>
              <w:pStyle w:val="TableParagraph"/>
              <w:spacing w:line="240" w:lineRule="auto"/>
              <w:ind w:right="8"/>
              <w:jc w:val="right"/>
              <w:rPr>
                <w:rFonts w:ascii="宋体" w:hAnsi="宋体" w:cs="宋体" w:eastAsia="宋体" w:hint="default"/>
                <w:sz w:val="18"/>
                <w:szCs w:val="18"/>
              </w:rPr>
            </w:pPr>
            <w:r>
              <w:rPr>
                <w:rFonts w:ascii="宋体"/>
                <w:sz w:val="18"/>
              </w:rPr>
              <w:t>0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-639,681,76</w:t>
            </w:r>
          </w:p>
          <w:p>
            <w:pPr>
              <w:pStyle w:val="TableParagraph"/>
              <w:spacing w:line="240" w:lineRule="auto"/>
              <w:ind w:right="11"/>
              <w:jc w:val="right"/>
              <w:rPr>
                <w:rFonts w:ascii="宋体" w:hAnsi="宋体" w:cs="宋体" w:eastAsia="宋体" w:hint="default"/>
                <w:sz w:val="18"/>
                <w:szCs w:val="18"/>
              </w:rPr>
            </w:pPr>
            <w:r>
              <w:rPr>
                <w:rFonts w:ascii="宋体"/>
                <w:sz w:val="18"/>
              </w:rPr>
              <w:t>6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-474,413,03</w:t>
            </w:r>
          </w:p>
          <w:p>
            <w:pPr>
              <w:pStyle w:val="TableParagraph"/>
              <w:spacing w:line="240" w:lineRule="auto"/>
              <w:ind w:right="8"/>
              <w:jc w:val="right"/>
              <w:rPr>
                <w:rFonts w:ascii="宋体" w:hAnsi="宋体" w:cs="宋体" w:eastAsia="宋体" w:hint="default"/>
                <w:sz w:val="18"/>
                <w:szCs w:val="18"/>
              </w:rPr>
            </w:pPr>
            <w:r>
              <w:rPr>
                <w:rFonts w:ascii="宋体"/>
                <w:sz w:val="18"/>
              </w:rPr>
              <w:t>6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-124,463,30</w:t>
            </w:r>
          </w:p>
          <w:p>
            <w:pPr>
              <w:pStyle w:val="TableParagraph"/>
              <w:spacing w:line="240" w:lineRule="auto"/>
              <w:ind w:right="11"/>
              <w:jc w:val="right"/>
              <w:rPr>
                <w:rFonts w:ascii="宋体" w:hAnsi="宋体" w:cs="宋体" w:eastAsia="宋体" w:hint="default"/>
                <w:sz w:val="18"/>
                <w:szCs w:val="18"/>
              </w:rPr>
            </w:pPr>
            <w:r>
              <w:rPr>
                <w:rFonts w:ascii="宋体"/>
                <w:sz w:val="18"/>
              </w:rPr>
              <w:t>1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-598,876,33</w:t>
            </w:r>
          </w:p>
          <w:p>
            <w:pPr>
              <w:pStyle w:val="TableParagraph"/>
              <w:spacing w:line="240" w:lineRule="auto"/>
              <w:ind w:right="8"/>
              <w:jc w:val="right"/>
              <w:rPr>
                <w:rFonts w:ascii="宋体" w:hAnsi="宋体" w:cs="宋体" w:eastAsia="宋体" w:hint="default"/>
                <w:sz w:val="18"/>
                <w:szCs w:val="18"/>
              </w:rPr>
            </w:pPr>
            <w:r>
              <w:rPr>
                <w:rFonts w:ascii="宋体"/>
                <w:sz w:val="18"/>
              </w:rPr>
              <w:t>7 </w:t>
            </w:r>
          </w:p>
        </w:tc>
      </w:tr>
      <w:tr>
        <w:trPr>
          <w:trHeight w:val="94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取盈 余公 积</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165,268,73</w:t>
            </w:r>
          </w:p>
          <w:p>
            <w:pPr>
              <w:pStyle w:val="TableParagraph"/>
              <w:spacing w:line="240" w:lineRule="auto"/>
              <w:ind w:right="8"/>
              <w:jc w:val="right"/>
              <w:rPr>
                <w:rFonts w:ascii="宋体" w:hAnsi="宋体" w:cs="宋体" w:eastAsia="宋体" w:hint="default"/>
                <w:sz w:val="18"/>
                <w:szCs w:val="18"/>
              </w:rPr>
            </w:pPr>
            <w:r>
              <w:rPr>
                <w:rFonts w:ascii="宋体"/>
                <w:sz w:val="18"/>
              </w:rPr>
              <w:t>0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-165,268,73</w:t>
            </w: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17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取一 般风 险准 备</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412"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w:t>
            </w:r>
          </w:p>
          <w:p>
            <w:pPr>
              <w:pStyle w:val="TableParagraph"/>
              <w:spacing w:line="237" w:lineRule="auto"/>
              <w:ind w:left="103" w:right="57"/>
              <w:jc w:val="left"/>
              <w:rPr>
                <w:rFonts w:ascii="宋体" w:hAnsi="宋体" w:cs="宋体" w:eastAsia="宋体" w:hint="default"/>
                <w:sz w:val="18"/>
                <w:szCs w:val="18"/>
              </w:rPr>
            </w:pPr>
            <w:r>
              <w:rPr>
                <w:rFonts w:ascii="宋体" w:hAnsi="宋体" w:cs="宋体" w:eastAsia="宋体" w:hint="default"/>
                <w:sz w:val="18"/>
                <w:szCs w:val="18"/>
              </w:rPr>
              <w:t>所有 </w:t>
            </w:r>
            <w:r>
              <w:rPr>
                <w:rFonts w:ascii="宋体" w:hAnsi="宋体" w:cs="宋体" w:eastAsia="宋体" w:hint="default"/>
                <w:spacing w:val="-16"/>
                <w:sz w:val="18"/>
                <w:szCs w:val="18"/>
              </w:rPr>
              <w:t>者（或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股东） 的分</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配</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-474,413,03</w:t>
            </w:r>
          </w:p>
          <w:p>
            <w:pPr>
              <w:pStyle w:val="TableParagraph"/>
              <w:spacing w:line="234" w:lineRule="exact"/>
              <w:ind w:right="11"/>
              <w:jc w:val="right"/>
              <w:rPr>
                <w:rFonts w:ascii="宋体" w:hAnsi="宋体" w:cs="宋体" w:eastAsia="宋体" w:hint="default"/>
                <w:sz w:val="18"/>
                <w:szCs w:val="18"/>
              </w:rPr>
            </w:pPr>
            <w:r>
              <w:rPr>
                <w:rFonts w:ascii="宋体"/>
                <w:sz w:val="18"/>
              </w:rPr>
              <w:t>6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8"/>
                <w:szCs w:val="18"/>
              </w:rPr>
            </w:pPr>
            <w:r>
              <w:rPr>
                <w:rFonts w:ascii="宋体"/>
                <w:spacing w:val="-1"/>
                <w:sz w:val="18"/>
              </w:rPr>
              <w:t>-474,413,03</w:t>
            </w:r>
          </w:p>
          <w:p>
            <w:pPr>
              <w:pStyle w:val="TableParagraph"/>
              <w:spacing w:line="234" w:lineRule="exact"/>
              <w:ind w:right="8"/>
              <w:jc w:val="right"/>
              <w:rPr>
                <w:rFonts w:ascii="宋体" w:hAnsi="宋体" w:cs="宋体" w:eastAsia="宋体" w:hint="default"/>
                <w:sz w:val="18"/>
                <w:szCs w:val="18"/>
              </w:rPr>
            </w:pPr>
            <w:r>
              <w:rPr>
                <w:rFonts w:ascii="宋体"/>
                <w:sz w:val="18"/>
              </w:rPr>
              <w:t>6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-124,463,30</w:t>
            </w:r>
          </w:p>
          <w:p>
            <w:pPr>
              <w:pStyle w:val="TableParagraph"/>
              <w:spacing w:line="234" w:lineRule="exact"/>
              <w:ind w:right="11"/>
              <w:jc w:val="right"/>
              <w:rPr>
                <w:rFonts w:ascii="宋体" w:hAnsi="宋体" w:cs="宋体" w:eastAsia="宋体" w:hint="default"/>
                <w:sz w:val="18"/>
                <w:szCs w:val="18"/>
              </w:rPr>
            </w:pPr>
            <w:r>
              <w:rPr>
                <w:rFonts w:ascii="宋体"/>
                <w:sz w:val="18"/>
              </w:rPr>
              <w:t>1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-598,876,33</w:t>
            </w:r>
          </w:p>
          <w:p>
            <w:pPr>
              <w:pStyle w:val="TableParagraph"/>
              <w:spacing w:line="234" w:lineRule="exact"/>
              <w:ind w:right="8"/>
              <w:jc w:val="right"/>
              <w:rPr>
                <w:rFonts w:ascii="宋体" w:hAnsi="宋体" w:cs="宋体" w:eastAsia="宋体" w:hint="default"/>
                <w:sz w:val="18"/>
                <w:szCs w:val="18"/>
              </w:rPr>
            </w:pPr>
            <w:r>
              <w:rPr>
                <w:rFonts w:ascii="宋体"/>
                <w:sz w:val="18"/>
              </w:rPr>
              <w:t>7 </w:t>
            </w:r>
          </w:p>
        </w:tc>
      </w:tr>
      <w:tr>
        <w:trPr>
          <w:trHeight w:val="475"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411"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z w:val="18"/>
                <w:szCs w:val="18"/>
              </w:rPr>
              <w:t>（四）</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所有 者权 益内 部结 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569,295,642</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-569,295,64</w:t>
            </w:r>
          </w:p>
          <w:p>
            <w:pPr>
              <w:pStyle w:val="TableParagraph"/>
              <w:spacing w:line="234" w:lineRule="exact"/>
              <w:ind w:right="11"/>
              <w:jc w:val="right"/>
              <w:rPr>
                <w:rFonts w:ascii="宋体" w:hAnsi="宋体" w:cs="宋体" w:eastAsia="宋体" w:hint="default"/>
                <w:sz w:val="18"/>
                <w:szCs w:val="18"/>
              </w:rPr>
            </w:pPr>
            <w:r>
              <w:rPr>
                <w:rFonts w:ascii="宋体"/>
                <w:sz w:val="18"/>
              </w:rPr>
              <w:t>2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r>
      <w:tr>
        <w:trPr>
          <w:trHeight w:val="1412"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w:t>
            </w:r>
          </w:p>
          <w:p>
            <w:pPr>
              <w:pStyle w:val="TableParagraph"/>
              <w:spacing w:line="237" w:lineRule="auto"/>
              <w:ind w:left="103" w:right="57"/>
              <w:jc w:val="left"/>
              <w:rPr>
                <w:rFonts w:ascii="宋体" w:hAnsi="宋体" w:cs="宋体" w:eastAsia="宋体" w:hint="default"/>
                <w:sz w:val="18"/>
                <w:szCs w:val="18"/>
              </w:rPr>
            </w:pPr>
            <w:r>
              <w:rPr>
                <w:rFonts w:ascii="宋体" w:hAnsi="宋体" w:cs="宋体" w:eastAsia="宋体" w:hint="default"/>
                <w:sz w:val="18"/>
                <w:szCs w:val="18"/>
              </w:rPr>
              <w:t>本公 积转 增资 </w:t>
            </w:r>
            <w:r>
              <w:rPr>
                <w:rFonts w:ascii="宋体" w:hAnsi="宋体" w:cs="宋体" w:eastAsia="宋体" w:hint="default"/>
                <w:spacing w:val="-16"/>
                <w:sz w:val="18"/>
                <w:szCs w:val="18"/>
              </w:rPr>
              <w:t>本（或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569,295,642</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-569,295,64</w:t>
            </w:r>
          </w:p>
          <w:p>
            <w:pPr>
              <w:pStyle w:val="TableParagraph"/>
              <w:spacing w:line="240" w:lineRule="auto"/>
              <w:ind w:right="11"/>
              <w:jc w:val="right"/>
              <w:rPr>
                <w:rFonts w:ascii="宋体" w:hAnsi="宋体" w:cs="宋体" w:eastAsia="宋体" w:hint="default"/>
                <w:sz w:val="18"/>
                <w:szCs w:val="18"/>
              </w:rPr>
            </w:pPr>
            <w:r>
              <w:rPr>
                <w:rFonts w:ascii="宋体"/>
                <w:sz w:val="18"/>
              </w:rPr>
              <w:t>2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bl>
    <w:p>
      <w:pPr>
        <w:spacing w:after="0" w:line="205" w:lineRule="exact"/>
        <w:jc w:val="right"/>
        <w:rPr>
          <w:rFonts w:ascii="宋体" w:hAnsi="宋体" w:cs="宋体" w:eastAsia="宋体" w:hint="default"/>
          <w:sz w:val="18"/>
          <w:szCs w:val="18"/>
        </w:rPr>
        <w:sectPr>
          <w:pgSz w:w="16840" w:h="11910" w:orient="landscape"/>
          <w:pgMar w:header="882" w:footer="1195" w:top="1120" w:bottom="1380" w:left="130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1409"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w:t>
            </w:r>
          </w:p>
          <w:p>
            <w:pPr>
              <w:pStyle w:val="TableParagraph"/>
              <w:spacing w:line="237" w:lineRule="auto"/>
              <w:ind w:left="103" w:right="57"/>
              <w:jc w:val="left"/>
              <w:rPr>
                <w:rFonts w:ascii="宋体" w:hAnsi="宋体" w:cs="宋体" w:eastAsia="宋体" w:hint="default"/>
                <w:sz w:val="18"/>
                <w:szCs w:val="18"/>
              </w:rPr>
            </w:pPr>
            <w:r>
              <w:rPr>
                <w:rFonts w:ascii="宋体" w:hAnsi="宋体" w:cs="宋体" w:eastAsia="宋体" w:hint="default"/>
                <w:sz w:val="18"/>
                <w:szCs w:val="18"/>
              </w:rPr>
              <w:t>余公 积转 增资 </w:t>
            </w:r>
            <w:r>
              <w:rPr>
                <w:rFonts w:ascii="宋体" w:hAnsi="宋体" w:cs="宋体" w:eastAsia="宋体" w:hint="default"/>
                <w:spacing w:val="-16"/>
                <w:sz w:val="18"/>
                <w:szCs w:val="18"/>
              </w:rPr>
              <w:t>本（或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r>
      <w:tr>
        <w:trPr>
          <w:trHeight w:val="117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余公 积弥 补亏 损</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r>
      <w:tr>
        <w:trPr>
          <w:trHeight w:val="1877"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定受 益计 划变 动额 结转 留存 收益</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r>
      <w:tr>
        <w:trPr>
          <w:trHeight w:val="164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他综 合收 益结 转留 存收 益</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w:t>
            </w:r>
          </w:p>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710"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（五）</w:t>
            </w:r>
          </w:p>
          <w:p>
            <w:pPr>
              <w:pStyle w:val="TableParagraph"/>
              <w:spacing w:line="240" w:lineRule="auto"/>
              <w:ind w:left="103" w:right="237"/>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711"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w:t>
            </w:r>
          </w:p>
          <w:p>
            <w:pPr>
              <w:pStyle w:val="TableParagraph"/>
              <w:spacing w:line="240" w:lineRule="auto"/>
              <w:ind w:left="103" w:right="237"/>
              <w:jc w:val="left"/>
              <w:rPr>
                <w:rFonts w:ascii="宋体" w:hAnsi="宋体" w:cs="宋体" w:eastAsia="宋体" w:hint="default"/>
                <w:sz w:val="18"/>
                <w:szCs w:val="18"/>
              </w:rPr>
            </w:pPr>
            <w:r>
              <w:rPr>
                <w:rFonts w:ascii="宋体" w:hAnsi="宋体" w:cs="宋体" w:eastAsia="宋体" w:hint="default"/>
                <w:sz w:val="18"/>
                <w:szCs w:val="18"/>
              </w:rPr>
              <w:t>期提 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710"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w:t>
            </w:r>
          </w:p>
          <w:p>
            <w:pPr>
              <w:pStyle w:val="TableParagraph"/>
              <w:spacing w:line="236" w:lineRule="exact" w:before="13"/>
              <w:ind w:left="103" w:right="237"/>
              <w:jc w:val="left"/>
              <w:rPr>
                <w:rFonts w:ascii="宋体" w:hAnsi="宋体" w:cs="宋体" w:eastAsia="宋体" w:hint="default"/>
                <w:sz w:val="18"/>
                <w:szCs w:val="18"/>
              </w:rPr>
            </w:pPr>
            <w:r>
              <w:rPr>
                <w:rFonts w:ascii="宋体" w:hAnsi="宋体" w:cs="宋体" w:eastAsia="宋体" w:hint="default"/>
                <w:sz w:val="18"/>
                <w:szCs w:val="18"/>
              </w:rPr>
              <w:t>期使 用</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bl>
    <w:p>
      <w:pPr>
        <w:spacing w:after="0" w:line="205" w:lineRule="exact"/>
        <w:jc w:val="right"/>
        <w:rPr>
          <w:rFonts w:ascii="宋体" w:hAnsi="宋体" w:cs="宋体" w:eastAsia="宋体" w:hint="default"/>
          <w:sz w:val="18"/>
          <w:szCs w:val="18"/>
        </w:rPr>
        <w:sectPr>
          <w:pgSz w:w="16840" w:h="11910" w:orient="landscape"/>
          <w:pgMar w:header="882" w:footer="1195" w:top="1120" w:bottom="1380" w:left="130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47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（六）</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r>
      <w:tr>
        <w:trPr>
          <w:trHeight w:val="94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pacing w:val="-16"/>
                <w:sz w:val="18"/>
                <w:szCs w:val="18"/>
              </w:rPr>
              <w:t>四、本</w:t>
            </w:r>
          </w:p>
          <w:p>
            <w:pPr>
              <w:pStyle w:val="TableParagraph"/>
              <w:spacing w:line="232" w:lineRule="exact" w:before="23"/>
              <w:ind w:left="103" w:right="237"/>
              <w:jc w:val="both"/>
              <w:rPr>
                <w:rFonts w:ascii="宋体" w:hAnsi="宋体" w:cs="宋体" w:eastAsia="宋体" w:hint="default"/>
                <w:sz w:val="18"/>
                <w:szCs w:val="18"/>
              </w:rPr>
            </w:pPr>
            <w:r>
              <w:rPr>
                <w:rFonts w:ascii="宋体" w:hAnsi="宋体" w:cs="宋体" w:eastAsia="宋体" w:hint="default"/>
                <w:sz w:val="18"/>
                <w:szCs w:val="18"/>
              </w:rPr>
              <w:t>期期 末余 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2,503,898,1</w:t>
            </w:r>
          </w:p>
          <w:p>
            <w:pPr>
              <w:pStyle w:val="TableParagraph"/>
              <w:spacing w:line="234" w:lineRule="exact"/>
              <w:ind w:right="11"/>
              <w:jc w:val="right"/>
              <w:rPr>
                <w:rFonts w:ascii="宋体" w:hAnsi="宋体" w:cs="宋体" w:eastAsia="宋体" w:hint="default"/>
                <w:sz w:val="18"/>
                <w:szCs w:val="18"/>
              </w:rPr>
            </w:pPr>
            <w:r>
              <w:rPr>
                <w:rFonts w:ascii="宋体"/>
                <w:spacing w:val="-1"/>
                <w:sz w:val="18"/>
              </w:rPr>
              <w:t>64</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1,762,111,7</w:t>
            </w:r>
          </w:p>
          <w:p>
            <w:pPr>
              <w:pStyle w:val="TableParagraph"/>
              <w:spacing w:line="234" w:lineRule="exact"/>
              <w:ind w:right="11"/>
              <w:jc w:val="right"/>
              <w:rPr>
                <w:rFonts w:ascii="宋体" w:hAnsi="宋体" w:cs="宋体" w:eastAsia="宋体" w:hint="default"/>
                <w:sz w:val="18"/>
                <w:szCs w:val="18"/>
              </w:rPr>
            </w:pPr>
            <w:r>
              <w:rPr>
                <w:rFonts w:ascii="宋体"/>
                <w:spacing w:val="-1"/>
                <w:sz w:val="18"/>
              </w:rPr>
              <w:t>95</w:t>
            </w: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482,696,34</w:t>
            </w:r>
          </w:p>
          <w:p>
            <w:pPr>
              <w:pStyle w:val="TableParagraph"/>
              <w:spacing w:line="234" w:lineRule="exact"/>
              <w:ind w:right="11"/>
              <w:jc w:val="right"/>
              <w:rPr>
                <w:rFonts w:ascii="宋体" w:hAnsi="宋体" w:cs="宋体" w:eastAsia="宋体" w:hint="default"/>
                <w:sz w:val="18"/>
                <w:szCs w:val="18"/>
              </w:rPr>
            </w:pPr>
            <w:r>
              <w:rPr>
                <w:rFonts w:ascii="宋体"/>
                <w:sz w:val="18"/>
              </w:rPr>
              <w:t>2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-2,494,297</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997,252,17</w:t>
            </w:r>
          </w:p>
          <w:p>
            <w:pPr>
              <w:pStyle w:val="TableParagraph"/>
              <w:spacing w:line="234" w:lineRule="exact"/>
              <w:ind w:right="8"/>
              <w:jc w:val="right"/>
              <w:rPr>
                <w:rFonts w:ascii="宋体" w:hAnsi="宋体" w:cs="宋体" w:eastAsia="宋体" w:hint="default"/>
                <w:sz w:val="18"/>
                <w:szCs w:val="18"/>
              </w:rPr>
            </w:pPr>
            <w:r>
              <w:rPr>
                <w:rFonts w:ascii="宋体"/>
                <w:sz w:val="18"/>
              </w:rPr>
              <w:t>1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2,394,562,4</w:t>
            </w:r>
          </w:p>
          <w:p>
            <w:pPr>
              <w:pStyle w:val="TableParagraph"/>
              <w:spacing w:line="234" w:lineRule="exact"/>
              <w:ind w:right="11"/>
              <w:jc w:val="right"/>
              <w:rPr>
                <w:rFonts w:ascii="宋体" w:hAnsi="宋体" w:cs="宋体" w:eastAsia="宋体" w:hint="default"/>
                <w:sz w:val="18"/>
                <w:szCs w:val="18"/>
              </w:rPr>
            </w:pPr>
            <w:r>
              <w:rPr>
                <w:rFonts w:ascii="宋体"/>
                <w:spacing w:val="-1"/>
                <w:sz w:val="18"/>
              </w:rPr>
              <w:t>00</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99"/>
              <w:jc w:val="right"/>
              <w:rPr>
                <w:rFonts w:ascii="宋体" w:hAnsi="宋体" w:cs="宋体" w:eastAsia="宋体" w:hint="default"/>
                <w:sz w:val="18"/>
                <w:szCs w:val="18"/>
              </w:rPr>
            </w:pPr>
            <w:r>
              <w:rPr>
                <w:rFonts w:ascii="宋体"/>
                <w:spacing w:val="-1"/>
                <w:sz w:val="18"/>
              </w:rPr>
              <w:t>7,172,633,8</w:t>
            </w:r>
          </w:p>
          <w:p>
            <w:pPr>
              <w:pStyle w:val="TableParagraph"/>
              <w:spacing w:line="234" w:lineRule="exact"/>
              <w:ind w:right="8"/>
              <w:jc w:val="right"/>
              <w:rPr>
                <w:rFonts w:ascii="宋体" w:hAnsi="宋体" w:cs="宋体" w:eastAsia="宋体" w:hint="default"/>
                <w:sz w:val="18"/>
                <w:szCs w:val="18"/>
              </w:rPr>
            </w:pPr>
            <w:r>
              <w:rPr>
                <w:rFonts w:ascii="宋体"/>
                <w:spacing w:val="-1"/>
                <w:sz w:val="18"/>
              </w:rPr>
              <w:t>91</w:t>
            </w: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1,121,556,0</w:t>
            </w:r>
          </w:p>
          <w:p>
            <w:pPr>
              <w:pStyle w:val="TableParagraph"/>
              <w:spacing w:line="234" w:lineRule="exact"/>
              <w:ind w:right="11"/>
              <w:jc w:val="right"/>
              <w:rPr>
                <w:rFonts w:ascii="宋体" w:hAnsi="宋体" w:cs="宋体" w:eastAsia="宋体" w:hint="default"/>
                <w:sz w:val="18"/>
                <w:szCs w:val="18"/>
              </w:rPr>
            </w:pPr>
            <w:r>
              <w:rPr>
                <w:rFonts w:ascii="宋体"/>
                <w:spacing w:val="-1"/>
                <w:sz w:val="18"/>
              </w:rPr>
              <w:t>32</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8,294,189,9</w:t>
            </w:r>
          </w:p>
          <w:p>
            <w:pPr>
              <w:pStyle w:val="TableParagraph"/>
              <w:spacing w:line="234" w:lineRule="exact"/>
              <w:ind w:right="8"/>
              <w:jc w:val="right"/>
              <w:rPr>
                <w:rFonts w:ascii="宋体" w:hAnsi="宋体" w:cs="宋体" w:eastAsia="宋体" w:hint="default"/>
                <w:sz w:val="18"/>
                <w:szCs w:val="18"/>
              </w:rPr>
            </w:pPr>
            <w:r>
              <w:rPr>
                <w:rFonts w:ascii="宋体"/>
                <w:spacing w:val="-1"/>
                <w:sz w:val="18"/>
              </w:rPr>
              <w:t>23</w:t>
            </w:r>
            <w:r>
              <w:rPr>
                <w:rFonts w:ascii="宋体"/>
                <w:sz w:val="18"/>
              </w:rPr>
              <w:t> </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8"/>
          <w:szCs w:val="28"/>
        </w:r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250" w:hRule="exact"/>
        </w:trPr>
        <w:tc>
          <w:tcPr>
            <w:tcW w:w="71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left="17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3379" w:type="dxa"/>
            <w:gridSpan w:val="15"/>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94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81" w:hRule="exact"/>
        </w:trPr>
        <w:tc>
          <w:tcPr>
            <w:tcW w:w="711" w:type="dxa"/>
            <w:vMerge/>
            <w:tcBorders>
              <w:left w:val="single" w:sz="4" w:space="0" w:color="000000"/>
              <w:right w:val="single" w:sz="4" w:space="0" w:color="000000"/>
            </w:tcBorders>
          </w:tcPr>
          <w:p>
            <w:pPr/>
          </w:p>
        </w:tc>
        <w:tc>
          <w:tcPr>
            <w:tcW w:w="10804"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32" w:lineRule="exact"/>
              <w:ind w:left="549" w:right="187"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28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32" w:lineRule="exact"/>
              <w:ind w:left="458" w:right="185" w:hanging="269"/>
              <w:jc w:val="left"/>
              <w:rPr>
                <w:rFonts w:ascii="宋体" w:hAnsi="宋体" w:cs="宋体" w:eastAsia="宋体" w:hint="default"/>
                <w:sz w:val="18"/>
                <w:szCs w:val="18"/>
              </w:rPr>
            </w:pPr>
            <w:r>
              <w:rPr>
                <w:rFonts w:ascii="宋体" w:hAnsi="宋体" w:cs="宋体" w:eastAsia="宋体" w:hint="default"/>
                <w:sz w:val="18"/>
                <w:szCs w:val="18"/>
              </w:rPr>
              <w:t>所有者权益 合计</w:t>
            </w:r>
          </w:p>
        </w:tc>
      </w:tr>
      <w:tr>
        <w:trPr>
          <w:trHeight w:val="490" w:hRule="exact"/>
        </w:trPr>
        <w:tc>
          <w:tcPr>
            <w:tcW w:w="711" w:type="dxa"/>
            <w:vMerge/>
            <w:tcBorders>
              <w:left w:val="single" w:sz="4" w:space="0" w:color="000000"/>
              <w:right w:val="single" w:sz="4" w:space="0" w:color="000000"/>
            </w:tcBorders>
          </w:tcPr>
          <w:p>
            <w:pPr/>
          </w:p>
        </w:tc>
        <w:tc>
          <w:tcPr>
            <w:tcW w:w="128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exact"/>
              <w:ind w:left="427" w:right="110" w:hanging="315"/>
              <w:jc w:val="left"/>
              <w:rPr>
                <w:rFonts w:ascii="Times New Roman" w:hAnsi="Times New Roman" w:cs="Times New Roman" w:eastAsia="Times New Roman" w:hint="default"/>
                <w:sz w:val="18"/>
                <w:szCs w:val="18"/>
              </w:rPr>
            </w:pPr>
            <w:r>
              <w:rPr>
                <w:rFonts w:ascii="宋体" w:hAnsi="宋体" w:cs="宋体" w:eastAsia="宋体" w:hint="default"/>
                <w:sz w:val="18"/>
                <w:szCs w:val="18"/>
              </w:rPr>
              <w:t>实收资本</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或 股本</w:t>
            </w:r>
            <w:r>
              <w:rPr>
                <w:rFonts w:ascii="Times New Roman" w:hAnsi="Times New Roman" w:cs="Times New Roman" w:eastAsia="Times New Roman" w:hint="default"/>
                <w:sz w:val="18"/>
                <w:szCs w:val="18"/>
              </w:rPr>
              <w:t>)</w:t>
            </w:r>
          </w:p>
        </w:tc>
        <w:tc>
          <w:tcPr>
            <w:tcW w:w="11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z w:val="18"/>
                <w:szCs w:val="18"/>
              </w:rPr>
              <w:t>其他权益工</w:t>
            </w:r>
          </w:p>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具</w:t>
            </w:r>
          </w:p>
        </w:tc>
        <w:tc>
          <w:tcPr>
            <w:tcW w:w="12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2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2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4" w:lineRule="auto"/>
              <w:ind w:left="465" w:right="107"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379"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4" w:lineRule="auto"/>
              <w:ind w:left="103" w:right="84"/>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12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82" w:type="dxa"/>
            <w:vMerge w:val="restart"/>
            <w:tcBorders>
              <w:top w:val="single" w:sz="4" w:space="0" w:color="000000"/>
              <w:left w:val="single" w:sz="4" w:space="0" w:color="000000"/>
              <w:right w:val="single" w:sz="4" w:space="0" w:color="000000"/>
            </w:tcBorders>
          </w:tcPr>
          <w:p>
            <w:pPr>
              <w:pStyle w:val="TableParagraph"/>
              <w:spacing w:line="213" w:lineRule="exact"/>
              <w:ind w:left="105" w:right="0"/>
              <w:jc w:val="both"/>
              <w:rPr>
                <w:rFonts w:ascii="宋体" w:hAnsi="宋体" w:cs="宋体" w:eastAsia="宋体" w:hint="default"/>
                <w:sz w:val="18"/>
                <w:szCs w:val="18"/>
              </w:rPr>
            </w:pPr>
            <w:r>
              <w:rPr>
                <w:rFonts w:ascii="宋体" w:hAnsi="宋体" w:cs="宋体" w:eastAsia="宋体" w:hint="default"/>
                <w:sz w:val="18"/>
                <w:szCs w:val="18"/>
              </w:rPr>
              <w:t>一</w:t>
            </w:r>
          </w:p>
          <w:p>
            <w:pPr>
              <w:pStyle w:val="TableParagraph"/>
              <w:spacing w:line="244" w:lineRule="auto" w:before="4"/>
              <w:ind w:left="105" w:right="84"/>
              <w:jc w:val="both"/>
              <w:rPr>
                <w:rFonts w:ascii="宋体" w:hAnsi="宋体" w:cs="宋体" w:eastAsia="宋体" w:hint="default"/>
                <w:sz w:val="18"/>
                <w:szCs w:val="18"/>
              </w:rPr>
            </w:pPr>
            <w:r>
              <w:rPr>
                <w:rFonts w:ascii="宋体" w:hAnsi="宋体" w:cs="宋体" w:eastAsia="宋体" w:hint="default"/>
                <w:sz w:val="18"/>
                <w:szCs w:val="18"/>
              </w:rPr>
              <w:t>般 风 险 准 备</w:t>
            </w:r>
          </w:p>
        </w:tc>
        <w:tc>
          <w:tcPr>
            <w:tcW w:w="12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32" w:lineRule="exact"/>
              <w:ind w:left="103" w:right="84"/>
              <w:jc w:val="left"/>
              <w:rPr>
                <w:rFonts w:ascii="宋体" w:hAnsi="宋体" w:cs="宋体" w:eastAsia="宋体" w:hint="default"/>
                <w:sz w:val="18"/>
                <w:szCs w:val="18"/>
              </w:rPr>
            </w:pPr>
            <w:r>
              <w:rPr>
                <w:rFonts w:ascii="宋体" w:hAnsi="宋体" w:cs="宋体" w:eastAsia="宋体" w:hint="default"/>
                <w:sz w:val="18"/>
                <w:szCs w:val="18"/>
              </w:rPr>
              <w:t>其 他</w:t>
            </w:r>
          </w:p>
        </w:tc>
        <w:tc>
          <w:tcPr>
            <w:tcW w:w="12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89" w:type="dxa"/>
            <w:vMerge/>
            <w:tcBorders>
              <w:left w:val="single" w:sz="4" w:space="0" w:color="000000"/>
              <w:right w:val="single" w:sz="4" w:space="0" w:color="000000"/>
            </w:tcBorders>
          </w:tcPr>
          <w:p>
            <w:pPr/>
          </w:p>
        </w:tc>
        <w:tc>
          <w:tcPr>
            <w:tcW w:w="1286" w:type="dxa"/>
            <w:vMerge/>
            <w:tcBorders>
              <w:left w:val="single" w:sz="4" w:space="0" w:color="000000"/>
              <w:right w:val="single" w:sz="4" w:space="0" w:color="000000"/>
            </w:tcBorders>
          </w:tcPr>
          <w:p>
            <w:pPr/>
          </w:p>
        </w:tc>
      </w:tr>
      <w:tr>
        <w:trPr>
          <w:trHeight w:val="960" w:hRule="exact"/>
        </w:trPr>
        <w:tc>
          <w:tcPr>
            <w:tcW w:w="711" w:type="dxa"/>
            <w:vMerge/>
            <w:tcBorders>
              <w:left w:val="single" w:sz="4" w:space="0" w:color="000000"/>
              <w:bottom w:val="single" w:sz="4" w:space="0" w:color="000000"/>
              <w:right w:val="single" w:sz="4" w:space="0" w:color="000000"/>
            </w:tcBorders>
          </w:tcPr>
          <w:p>
            <w:pPr/>
          </w:p>
        </w:tc>
        <w:tc>
          <w:tcPr>
            <w:tcW w:w="1286" w:type="dxa"/>
            <w:vMerge/>
            <w:tcBorders>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1"/>
              <w:ind w:left="103" w:right="84"/>
              <w:jc w:val="both"/>
              <w:rPr>
                <w:rFonts w:ascii="宋体" w:hAnsi="宋体" w:cs="宋体" w:eastAsia="宋体" w:hint="default"/>
                <w:sz w:val="18"/>
                <w:szCs w:val="18"/>
              </w:rPr>
            </w:pPr>
            <w:r>
              <w:rPr>
                <w:rFonts w:ascii="宋体" w:hAnsi="宋体" w:cs="宋体" w:eastAsia="宋体" w:hint="default"/>
                <w:sz w:val="18"/>
                <w:szCs w:val="18"/>
              </w:rPr>
              <w:t>优 先 股</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1"/>
              <w:ind w:left="105" w:right="84"/>
              <w:jc w:val="both"/>
              <w:rPr>
                <w:rFonts w:ascii="宋体" w:hAnsi="宋体" w:cs="宋体" w:eastAsia="宋体" w:hint="default"/>
                <w:sz w:val="18"/>
                <w:szCs w:val="18"/>
              </w:rPr>
            </w:pPr>
            <w:r>
              <w:rPr>
                <w:rFonts w:ascii="宋体" w:hAnsi="宋体" w:cs="宋体" w:eastAsia="宋体" w:hint="default"/>
                <w:sz w:val="18"/>
                <w:szCs w:val="18"/>
              </w:rPr>
              <w:t>永 续 债</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3" w:right="84"/>
              <w:jc w:val="left"/>
              <w:rPr>
                <w:rFonts w:ascii="宋体" w:hAnsi="宋体" w:cs="宋体" w:eastAsia="宋体" w:hint="default"/>
                <w:sz w:val="18"/>
                <w:szCs w:val="18"/>
              </w:rPr>
            </w:pPr>
            <w:r>
              <w:rPr>
                <w:rFonts w:ascii="宋体" w:hAnsi="宋体" w:cs="宋体" w:eastAsia="宋体" w:hint="default"/>
                <w:sz w:val="18"/>
                <w:szCs w:val="18"/>
              </w:rPr>
              <w:t>其 他</w:t>
            </w:r>
          </w:p>
        </w:tc>
        <w:tc>
          <w:tcPr>
            <w:tcW w:w="1289" w:type="dxa"/>
            <w:vMerge/>
            <w:tcBorders>
              <w:left w:val="single" w:sz="4" w:space="0" w:color="000000"/>
              <w:bottom w:val="single" w:sz="4" w:space="0" w:color="000000"/>
              <w:right w:val="single" w:sz="4" w:space="0" w:color="000000"/>
            </w:tcBorders>
          </w:tcPr>
          <w:p>
            <w:pPr/>
          </w:p>
        </w:tc>
        <w:tc>
          <w:tcPr>
            <w:tcW w:w="1123" w:type="dxa"/>
            <w:vMerge/>
            <w:tcBorders>
              <w:left w:val="single" w:sz="4" w:space="0" w:color="000000"/>
              <w:bottom w:val="single" w:sz="4" w:space="0" w:color="000000"/>
              <w:right w:val="single" w:sz="4" w:space="0" w:color="000000"/>
            </w:tcBorders>
          </w:tcPr>
          <w:p>
            <w:pPr/>
          </w:p>
        </w:tc>
        <w:tc>
          <w:tcPr>
            <w:tcW w:w="1123" w:type="dxa"/>
            <w:vMerge/>
            <w:tcBorders>
              <w:left w:val="single" w:sz="4" w:space="0" w:color="000000"/>
              <w:bottom w:val="single" w:sz="4" w:space="0" w:color="000000"/>
              <w:right w:val="single" w:sz="4" w:space="0" w:color="000000"/>
            </w:tcBorders>
          </w:tcPr>
          <w:p>
            <w:pPr/>
          </w:p>
        </w:tc>
        <w:tc>
          <w:tcPr>
            <w:tcW w:w="379" w:type="dxa"/>
            <w:vMerge/>
            <w:tcBorders>
              <w:left w:val="single" w:sz="4" w:space="0" w:color="000000"/>
              <w:bottom w:val="single" w:sz="4" w:space="0" w:color="000000"/>
              <w:right w:val="single" w:sz="4" w:space="0" w:color="000000"/>
            </w:tcBorders>
          </w:tcPr>
          <w:p>
            <w:pPr/>
          </w:p>
        </w:tc>
        <w:tc>
          <w:tcPr>
            <w:tcW w:w="1124" w:type="dxa"/>
            <w:vMerge/>
            <w:tcBorders>
              <w:left w:val="single" w:sz="4" w:space="0" w:color="000000"/>
              <w:bottom w:val="single" w:sz="4" w:space="0" w:color="000000"/>
              <w:right w:val="single" w:sz="4" w:space="0" w:color="000000"/>
            </w:tcBorders>
          </w:tcPr>
          <w:p>
            <w:pPr/>
          </w:p>
        </w:tc>
        <w:tc>
          <w:tcPr>
            <w:tcW w:w="382" w:type="dxa"/>
            <w:vMerge/>
            <w:tcBorders>
              <w:left w:val="single" w:sz="4" w:space="0" w:color="000000"/>
              <w:bottom w:val="single" w:sz="4" w:space="0" w:color="000000"/>
              <w:right w:val="single" w:sz="4" w:space="0" w:color="000000"/>
            </w:tcBorders>
          </w:tcPr>
          <w:p>
            <w:pPr/>
          </w:p>
        </w:tc>
        <w:tc>
          <w:tcPr>
            <w:tcW w:w="1289" w:type="dxa"/>
            <w:vMerge/>
            <w:tcBorders>
              <w:left w:val="single" w:sz="4" w:space="0" w:color="000000"/>
              <w:bottom w:val="single" w:sz="4" w:space="0" w:color="000000"/>
              <w:right w:val="single" w:sz="4" w:space="0" w:color="000000"/>
            </w:tcBorders>
          </w:tcPr>
          <w:p>
            <w:pPr/>
          </w:p>
        </w:tc>
        <w:tc>
          <w:tcPr>
            <w:tcW w:w="379" w:type="dxa"/>
            <w:vMerge/>
            <w:tcBorders>
              <w:left w:val="single" w:sz="4" w:space="0" w:color="000000"/>
              <w:bottom w:val="single" w:sz="4" w:space="0" w:color="000000"/>
              <w:right w:val="single" w:sz="4" w:space="0" w:color="000000"/>
            </w:tcBorders>
          </w:tcPr>
          <w:p>
            <w:pPr/>
          </w:p>
        </w:tc>
        <w:tc>
          <w:tcPr>
            <w:tcW w:w="1289" w:type="dxa"/>
            <w:vMerge/>
            <w:tcBorders>
              <w:left w:val="single" w:sz="4" w:space="0" w:color="000000"/>
              <w:bottom w:val="single" w:sz="4" w:space="0" w:color="000000"/>
              <w:right w:val="single" w:sz="4" w:space="0" w:color="000000"/>
            </w:tcBorders>
          </w:tcPr>
          <w:p>
            <w:pPr/>
          </w:p>
        </w:tc>
        <w:tc>
          <w:tcPr>
            <w:tcW w:w="1289" w:type="dxa"/>
            <w:vMerge/>
            <w:tcBorders>
              <w:left w:val="single" w:sz="4" w:space="0" w:color="000000"/>
              <w:bottom w:val="single" w:sz="4" w:space="0" w:color="000000"/>
              <w:right w:val="single" w:sz="4" w:space="0" w:color="000000"/>
            </w:tcBorders>
          </w:tcPr>
          <w:p>
            <w:pPr/>
          </w:p>
        </w:tc>
        <w:tc>
          <w:tcPr>
            <w:tcW w:w="1286" w:type="dxa"/>
            <w:vMerge/>
            <w:tcBorders>
              <w:left w:val="single" w:sz="4" w:space="0" w:color="000000"/>
              <w:bottom w:val="single" w:sz="4" w:space="0" w:color="000000"/>
              <w:right w:val="single" w:sz="4" w:space="0" w:color="000000"/>
            </w:tcBorders>
          </w:tcPr>
          <w:p>
            <w:pPr/>
          </w:p>
        </w:tc>
      </w:tr>
      <w:tr>
        <w:trPr>
          <w:trHeight w:val="94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pacing w:val="-16"/>
                <w:sz w:val="18"/>
                <w:szCs w:val="18"/>
              </w:rPr>
              <w:t>一、上</w:t>
            </w:r>
          </w:p>
          <w:p>
            <w:pPr>
              <w:pStyle w:val="TableParagraph"/>
              <w:spacing w:line="232" w:lineRule="exact" w:before="23"/>
              <w:ind w:left="103" w:right="237"/>
              <w:jc w:val="both"/>
              <w:rPr>
                <w:rFonts w:ascii="宋体" w:hAnsi="宋体" w:cs="宋体" w:eastAsia="宋体" w:hint="default"/>
                <w:sz w:val="18"/>
                <w:szCs w:val="18"/>
              </w:rPr>
            </w:pPr>
            <w:r>
              <w:rPr>
                <w:rFonts w:ascii="宋体" w:hAnsi="宋体" w:cs="宋体" w:eastAsia="宋体" w:hint="default"/>
                <w:sz w:val="18"/>
                <w:szCs w:val="18"/>
              </w:rPr>
              <w:t>年期 末余 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1,464,217,8</w:t>
            </w:r>
          </w:p>
          <w:p>
            <w:pPr>
              <w:pStyle w:val="TableParagraph"/>
              <w:spacing w:line="234" w:lineRule="exact"/>
              <w:ind w:right="11"/>
              <w:jc w:val="right"/>
              <w:rPr>
                <w:rFonts w:ascii="宋体" w:hAnsi="宋体" w:cs="宋体" w:eastAsia="宋体" w:hint="default"/>
                <w:sz w:val="18"/>
                <w:szCs w:val="18"/>
              </w:rPr>
            </w:pPr>
            <w:r>
              <w:rPr>
                <w:rFonts w:ascii="宋体"/>
                <w:spacing w:val="-1"/>
                <w:sz w:val="18"/>
              </w:rPr>
              <w:t>11</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2,219,017,5</w:t>
            </w:r>
          </w:p>
          <w:p>
            <w:pPr>
              <w:pStyle w:val="TableParagraph"/>
              <w:spacing w:line="234" w:lineRule="exact"/>
              <w:ind w:right="11"/>
              <w:jc w:val="right"/>
              <w:rPr>
                <w:rFonts w:ascii="宋体" w:hAnsi="宋体" w:cs="宋体" w:eastAsia="宋体" w:hint="default"/>
                <w:sz w:val="18"/>
                <w:szCs w:val="18"/>
              </w:rPr>
            </w:pPr>
            <w:r>
              <w:rPr>
                <w:rFonts w:ascii="宋体"/>
                <w:spacing w:val="-1"/>
                <w:sz w:val="18"/>
              </w:rPr>
              <w:t>21</w:t>
            </w: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102,196,29</w:t>
            </w:r>
          </w:p>
          <w:p>
            <w:pPr>
              <w:pStyle w:val="TableParagraph"/>
              <w:spacing w:line="234" w:lineRule="exact"/>
              <w:ind w:right="11"/>
              <w:jc w:val="right"/>
              <w:rPr>
                <w:rFonts w:ascii="宋体" w:hAnsi="宋体" w:cs="宋体" w:eastAsia="宋体" w:hint="default"/>
                <w:sz w:val="18"/>
                <w:szCs w:val="18"/>
              </w:rPr>
            </w:pPr>
            <w:r>
              <w:rPr>
                <w:rFonts w:ascii="宋体"/>
                <w:sz w:val="18"/>
              </w:rPr>
              <w:t>1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47,946,567</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725,148,30</w:t>
            </w:r>
          </w:p>
          <w:p>
            <w:pPr>
              <w:pStyle w:val="TableParagraph"/>
              <w:spacing w:line="234" w:lineRule="exact"/>
              <w:ind w:right="8"/>
              <w:jc w:val="right"/>
              <w:rPr>
                <w:rFonts w:ascii="宋体" w:hAnsi="宋体" w:cs="宋体" w:eastAsia="宋体" w:hint="default"/>
                <w:sz w:val="18"/>
                <w:szCs w:val="18"/>
              </w:rPr>
            </w:pPr>
            <w:r>
              <w:rPr>
                <w:rFonts w:ascii="宋体"/>
                <w:sz w:val="18"/>
              </w:rPr>
              <w:t>6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1,495,033,9</w:t>
            </w:r>
          </w:p>
          <w:p>
            <w:pPr>
              <w:pStyle w:val="TableParagraph"/>
              <w:spacing w:line="234" w:lineRule="exact"/>
              <w:ind w:right="11"/>
              <w:jc w:val="right"/>
              <w:rPr>
                <w:rFonts w:ascii="宋体" w:hAnsi="宋体" w:cs="宋体" w:eastAsia="宋体" w:hint="default"/>
                <w:sz w:val="18"/>
                <w:szCs w:val="18"/>
              </w:rPr>
            </w:pPr>
            <w:r>
              <w:rPr>
                <w:rFonts w:ascii="宋体"/>
                <w:spacing w:val="-1"/>
                <w:sz w:val="18"/>
              </w:rPr>
              <w:t>34</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99"/>
              <w:jc w:val="right"/>
              <w:rPr>
                <w:rFonts w:ascii="宋体" w:hAnsi="宋体" w:cs="宋体" w:eastAsia="宋体" w:hint="default"/>
                <w:sz w:val="18"/>
                <w:szCs w:val="18"/>
              </w:rPr>
            </w:pPr>
            <w:r>
              <w:rPr>
                <w:rFonts w:ascii="宋体"/>
                <w:spacing w:val="-1"/>
                <w:sz w:val="18"/>
              </w:rPr>
              <w:t>5,849,167,8</w:t>
            </w:r>
          </w:p>
          <w:p>
            <w:pPr>
              <w:pStyle w:val="TableParagraph"/>
              <w:spacing w:line="234" w:lineRule="exact"/>
              <w:ind w:right="8"/>
              <w:jc w:val="right"/>
              <w:rPr>
                <w:rFonts w:ascii="宋体" w:hAnsi="宋体" w:cs="宋体" w:eastAsia="宋体" w:hint="default"/>
                <w:sz w:val="18"/>
                <w:szCs w:val="18"/>
              </w:rPr>
            </w:pPr>
            <w:r>
              <w:rPr>
                <w:rFonts w:ascii="宋体"/>
                <w:spacing w:val="-1"/>
                <w:sz w:val="18"/>
              </w:rPr>
              <w:t>48</w:t>
            </w: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891,861,128</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6,741,028,9</w:t>
            </w:r>
          </w:p>
          <w:p>
            <w:pPr>
              <w:pStyle w:val="TableParagraph"/>
              <w:spacing w:line="234" w:lineRule="exact"/>
              <w:ind w:right="8"/>
              <w:jc w:val="right"/>
              <w:rPr>
                <w:rFonts w:ascii="宋体" w:hAnsi="宋体" w:cs="宋体" w:eastAsia="宋体" w:hint="default"/>
                <w:sz w:val="18"/>
                <w:szCs w:val="18"/>
              </w:rPr>
            </w:pPr>
            <w:r>
              <w:rPr>
                <w:rFonts w:ascii="宋体"/>
                <w:spacing w:val="-1"/>
                <w:sz w:val="18"/>
              </w:rPr>
              <w:t>76</w:t>
            </w:r>
            <w:r>
              <w:rPr>
                <w:rFonts w:ascii="宋体"/>
                <w:sz w:val="18"/>
              </w:rPr>
              <w:t> </w:t>
            </w:r>
          </w:p>
        </w:tc>
      </w:tr>
      <w:tr>
        <w:trPr>
          <w:trHeight w:val="94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pacing w:val="-16"/>
                <w:sz w:val="18"/>
                <w:szCs w:val="18"/>
              </w:rPr>
              <w:t>加：会</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计政 策变 更</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r>
      <w:tr>
        <w:trPr>
          <w:trHeight w:val="943"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期差 错更 正</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tabs>
                <w:tab w:pos="1173" w:val="left" w:leader="none"/>
              </w:tabs>
              <w:spacing w:line="205" w:lineRule="exact"/>
              <w:ind w:left="-128" w:right="11"/>
              <w:jc w:val="right"/>
              <w:rPr>
                <w:rFonts w:ascii="宋体" w:hAnsi="宋体" w:cs="宋体" w:eastAsia="宋体" w:hint="default"/>
                <w:sz w:val="18"/>
                <w:szCs w:val="18"/>
              </w:rPr>
            </w:pPr>
            <w:r>
              <w:rPr>
                <w:rFonts w:ascii="宋体" w:hAnsi="宋体" w:cs="宋体" w:eastAsia="宋体" w:hint="default"/>
                <w:sz w:val="18"/>
                <w:szCs w:val="18"/>
              </w:rPr>
              <w:t>前</w:t>
              <w:tab/>
            </w:r>
            <w:r>
              <w:rPr>
                <w:rFonts w:ascii="宋体" w:hAnsi="宋体" w:cs="宋体" w:eastAsia="宋体" w:hint="default"/>
                <w:sz w:val="18"/>
                <w:szCs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179"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一控 制下 企业 合并</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tabs>
                <w:tab w:pos="1173" w:val="left" w:leader="none"/>
              </w:tabs>
              <w:spacing w:line="205" w:lineRule="exact"/>
              <w:ind w:left="-128" w:right="11"/>
              <w:jc w:val="right"/>
              <w:rPr>
                <w:rFonts w:ascii="宋体" w:hAnsi="宋体" w:cs="宋体" w:eastAsia="宋体" w:hint="default"/>
                <w:sz w:val="18"/>
                <w:szCs w:val="18"/>
              </w:rPr>
            </w:pPr>
            <w:r>
              <w:rPr>
                <w:rFonts w:ascii="宋体" w:hAnsi="宋体" w:cs="宋体" w:eastAsia="宋体" w:hint="default"/>
                <w:sz w:val="18"/>
                <w:szCs w:val="18"/>
              </w:rPr>
              <w:t>同</w:t>
              <w:tab/>
            </w:r>
            <w:r>
              <w:rPr>
                <w:rFonts w:ascii="宋体" w:hAnsi="宋体" w:cs="宋体" w:eastAsia="宋体" w:hint="default"/>
                <w:sz w:val="18"/>
                <w:szCs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tabs>
                <w:tab w:pos="1173" w:val="left" w:leader="none"/>
              </w:tabs>
              <w:spacing w:line="205" w:lineRule="exact"/>
              <w:ind w:left="-128" w:right="11"/>
              <w:jc w:val="right"/>
              <w:rPr>
                <w:rFonts w:ascii="宋体" w:hAnsi="宋体" w:cs="宋体" w:eastAsia="宋体" w:hint="default"/>
                <w:sz w:val="18"/>
                <w:szCs w:val="18"/>
              </w:rPr>
            </w:pPr>
            <w:r>
              <w:rPr>
                <w:rFonts w:ascii="宋体" w:hAnsi="宋体" w:cs="宋体" w:eastAsia="宋体" w:hint="default"/>
                <w:sz w:val="18"/>
                <w:szCs w:val="18"/>
              </w:rPr>
              <w:t>其</w:t>
              <w:tab/>
            </w:r>
            <w:r>
              <w:rPr>
                <w:rFonts w:ascii="宋体" w:hAnsi="宋体" w:cs="宋体" w:eastAsia="宋体" w:hint="default"/>
                <w:sz w:val="18"/>
                <w:szCs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bl>
    <w:p>
      <w:pPr>
        <w:spacing w:after="0" w:line="205" w:lineRule="exact"/>
        <w:jc w:val="right"/>
        <w:rPr>
          <w:rFonts w:ascii="宋体" w:hAnsi="宋体" w:cs="宋体" w:eastAsia="宋体" w:hint="default"/>
          <w:sz w:val="18"/>
          <w:szCs w:val="18"/>
        </w:rPr>
        <w:sectPr>
          <w:pgSz w:w="16840" w:h="11910" w:orient="landscape"/>
          <w:pgMar w:header="882" w:footer="1195" w:top="1120" w:bottom="1380" w:left="130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94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pacing w:val="-16"/>
                <w:sz w:val="18"/>
                <w:szCs w:val="18"/>
              </w:rPr>
              <w:t>二、本</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年期 初余 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1,464,217,8</w:t>
            </w:r>
          </w:p>
          <w:p>
            <w:pPr>
              <w:pStyle w:val="TableParagraph"/>
              <w:spacing w:line="234" w:lineRule="exact"/>
              <w:ind w:right="11"/>
              <w:jc w:val="right"/>
              <w:rPr>
                <w:rFonts w:ascii="宋体" w:hAnsi="宋体" w:cs="宋体" w:eastAsia="宋体" w:hint="default"/>
                <w:sz w:val="18"/>
                <w:szCs w:val="18"/>
              </w:rPr>
            </w:pPr>
            <w:r>
              <w:rPr>
                <w:rFonts w:ascii="宋体"/>
                <w:spacing w:val="-1"/>
                <w:sz w:val="18"/>
              </w:rPr>
              <w:t>11</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1"/>
              <w:jc w:val="right"/>
              <w:rPr>
                <w:rFonts w:ascii="宋体" w:hAnsi="宋体" w:cs="宋体" w:eastAsia="宋体" w:hint="default"/>
                <w:sz w:val="18"/>
                <w:szCs w:val="18"/>
              </w:rPr>
            </w:pPr>
            <w:r>
              <w:rPr>
                <w:rFonts w:ascii="宋体"/>
                <w:spacing w:val="-1"/>
                <w:sz w:val="18"/>
              </w:rPr>
              <w:t>2,219,017,5</w:t>
            </w:r>
          </w:p>
          <w:p>
            <w:pPr>
              <w:pStyle w:val="TableParagraph"/>
              <w:spacing w:line="234" w:lineRule="exact"/>
              <w:ind w:right="11"/>
              <w:jc w:val="right"/>
              <w:rPr>
                <w:rFonts w:ascii="宋体" w:hAnsi="宋体" w:cs="宋体" w:eastAsia="宋体" w:hint="default"/>
                <w:sz w:val="18"/>
                <w:szCs w:val="18"/>
              </w:rPr>
            </w:pPr>
            <w:r>
              <w:rPr>
                <w:rFonts w:ascii="宋体"/>
                <w:spacing w:val="-1"/>
                <w:sz w:val="18"/>
              </w:rPr>
              <w:t>21</w:t>
            </w: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102,196,29</w:t>
            </w:r>
          </w:p>
          <w:p>
            <w:pPr>
              <w:pStyle w:val="TableParagraph"/>
              <w:spacing w:line="234" w:lineRule="exact"/>
              <w:ind w:right="11"/>
              <w:jc w:val="right"/>
              <w:rPr>
                <w:rFonts w:ascii="宋体" w:hAnsi="宋体" w:cs="宋体" w:eastAsia="宋体" w:hint="default"/>
                <w:sz w:val="18"/>
                <w:szCs w:val="18"/>
              </w:rPr>
            </w:pPr>
            <w:r>
              <w:rPr>
                <w:rFonts w:ascii="宋体"/>
                <w:sz w:val="18"/>
              </w:rPr>
              <w:t>1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47,946,567</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725,148,30</w:t>
            </w:r>
          </w:p>
          <w:p>
            <w:pPr>
              <w:pStyle w:val="TableParagraph"/>
              <w:spacing w:line="234" w:lineRule="exact"/>
              <w:ind w:right="8"/>
              <w:jc w:val="right"/>
              <w:rPr>
                <w:rFonts w:ascii="宋体" w:hAnsi="宋体" w:cs="宋体" w:eastAsia="宋体" w:hint="default"/>
                <w:sz w:val="18"/>
                <w:szCs w:val="18"/>
              </w:rPr>
            </w:pPr>
            <w:r>
              <w:rPr>
                <w:rFonts w:ascii="宋体"/>
                <w:sz w:val="18"/>
              </w:rPr>
              <w:t>6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1,495,033,9</w:t>
            </w:r>
          </w:p>
          <w:p>
            <w:pPr>
              <w:pStyle w:val="TableParagraph"/>
              <w:spacing w:line="234" w:lineRule="exact"/>
              <w:ind w:right="11"/>
              <w:jc w:val="right"/>
              <w:rPr>
                <w:rFonts w:ascii="宋体" w:hAnsi="宋体" w:cs="宋体" w:eastAsia="宋体" w:hint="default"/>
                <w:sz w:val="18"/>
                <w:szCs w:val="18"/>
              </w:rPr>
            </w:pPr>
            <w:r>
              <w:rPr>
                <w:rFonts w:ascii="宋体"/>
                <w:spacing w:val="-1"/>
                <w:sz w:val="18"/>
              </w:rPr>
              <w:t>34</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8"/>
                <w:szCs w:val="18"/>
              </w:rPr>
            </w:pPr>
            <w:r>
              <w:rPr>
                <w:rFonts w:ascii="宋体"/>
                <w:spacing w:val="-1"/>
                <w:sz w:val="18"/>
              </w:rPr>
              <w:t>5,849,167,8</w:t>
            </w:r>
          </w:p>
          <w:p>
            <w:pPr>
              <w:pStyle w:val="TableParagraph"/>
              <w:spacing w:line="234" w:lineRule="exact"/>
              <w:ind w:right="8"/>
              <w:jc w:val="right"/>
              <w:rPr>
                <w:rFonts w:ascii="宋体" w:hAnsi="宋体" w:cs="宋体" w:eastAsia="宋体" w:hint="default"/>
                <w:sz w:val="18"/>
                <w:szCs w:val="18"/>
              </w:rPr>
            </w:pPr>
            <w:r>
              <w:rPr>
                <w:rFonts w:ascii="宋体"/>
                <w:spacing w:val="-1"/>
                <w:sz w:val="18"/>
              </w:rPr>
              <w:t>48</w:t>
            </w: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891,861,128</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6,741,028,9</w:t>
            </w:r>
          </w:p>
          <w:p>
            <w:pPr>
              <w:pStyle w:val="TableParagraph"/>
              <w:spacing w:line="234" w:lineRule="exact"/>
              <w:ind w:right="8"/>
              <w:jc w:val="right"/>
              <w:rPr>
                <w:rFonts w:ascii="宋体" w:hAnsi="宋体" w:cs="宋体" w:eastAsia="宋体" w:hint="default"/>
                <w:sz w:val="18"/>
                <w:szCs w:val="18"/>
              </w:rPr>
            </w:pPr>
            <w:r>
              <w:rPr>
                <w:rFonts w:ascii="宋体"/>
                <w:spacing w:val="-1"/>
                <w:sz w:val="18"/>
              </w:rPr>
              <w:t>76</w:t>
            </w:r>
            <w:r>
              <w:rPr>
                <w:rFonts w:ascii="宋体"/>
                <w:sz w:val="18"/>
              </w:rPr>
              <w:t> </w:t>
            </w:r>
          </w:p>
        </w:tc>
      </w:tr>
      <w:tr>
        <w:trPr>
          <w:trHeight w:val="2110"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6"/>
                <w:sz w:val="18"/>
                <w:szCs w:val="18"/>
              </w:rPr>
              <w:t>三、本</w:t>
            </w:r>
          </w:p>
          <w:p>
            <w:pPr>
              <w:pStyle w:val="TableParagraph"/>
              <w:spacing w:line="235" w:lineRule="auto" w:before="3"/>
              <w:ind w:left="103" w:right="101"/>
              <w:jc w:val="left"/>
              <w:rPr>
                <w:rFonts w:ascii="宋体" w:hAnsi="宋体" w:cs="宋体" w:eastAsia="宋体" w:hint="default"/>
                <w:sz w:val="18"/>
                <w:szCs w:val="18"/>
              </w:rPr>
            </w:pPr>
            <w:r>
              <w:rPr>
                <w:rFonts w:ascii="宋体" w:hAnsi="宋体" w:cs="宋体" w:eastAsia="宋体" w:hint="default"/>
                <w:sz w:val="18"/>
                <w:szCs w:val="18"/>
              </w:rPr>
              <w:t>期增 减变 动金 </w:t>
            </w:r>
            <w:r>
              <w:rPr>
                <w:rFonts w:ascii="宋体" w:hAnsi="宋体" w:cs="宋体" w:eastAsia="宋体" w:hint="default"/>
                <w:spacing w:val="-16"/>
                <w:sz w:val="18"/>
                <w:szCs w:val="18"/>
              </w:rPr>
              <w:t>额（减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少以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 列）</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453,614,981</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-98,258,731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-46,408,38</w:t>
            </w:r>
          </w:p>
          <w:p>
            <w:pPr>
              <w:pStyle w:val="TableParagraph"/>
              <w:spacing w:line="234" w:lineRule="exact"/>
              <w:ind w:right="11"/>
              <w:jc w:val="right"/>
              <w:rPr>
                <w:rFonts w:ascii="宋体" w:hAnsi="宋体" w:cs="宋体" w:eastAsia="宋体" w:hint="default"/>
                <w:sz w:val="18"/>
                <w:szCs w:val="18"/>
              </w:rPr>
            </w:pPr>
            <w:r>
              <w:rPr>
                <w:rFonts w:ascii="宋体"/>
                <w:sz w:val="18"/>
              </w:rPr>
              <w:t>1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-73,181,42</w:t>
            </w:r>
          </w:p>
          <w:p>
            <w:pPr>
              <w:pStyle w:val="TableParagraph"/>
              <w:spacing w:line="234" w:lineRule="exact"/>
              <w:ind w:right="11"/>
              <w:jc w:val="right"/>
              <w:rPr>
                <w:rFonts w:ascii="宋体" w:hAnsi="宋体" w:cs="宋体" w:eastAsia="宋体" w:hint="default"/>
                <w:sz w:val="18"/>
                <w:szCs w:val="18"/>
              </w:rPr>
            </w:pPr>
            <w:r>
              <w:rPr>
                <w:rFonts w:ascii="宋体"/>
                <w:sz w:val="18"/>
              </w:rPr>
              <w:t>4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102,005,34</w:t>
            </w:r>
          </w:p>
          <w:p>
            <w:pPr>
              <w:pStyle w:val="TableParagraph"/>
              <w:spacing w:line="234" w:lineRule="exact"/>
              <w:ind w:right="8"/>
              <w:jc w:val="right"/>
              <w:rPr>
                <w:rFonts w:ascii="宋体" w:hAnsi="宋体" w:cs="宋体" w:eastAsia="宋体" w:hint="default"/>
                <w:sz w:val="18"/>
                <w:szCs w:val="18"/>
              </w:rPr>
            </w:pPr>
            <w:r>
              <w:rPr>
                <w:rFonts w:ascii="宋体"/>
                <w:sz w:val="18"/>
              </w:rPr>
              <w:t>9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290,941,099</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721,529,655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189,404,514</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910,934,169</w:t>
            </w:r>
            <w:r>
              <w:rPr>
                <w:rFonts w:ascii="宋体"/>
                <w:sz w:val="18"/>
              </w:rPr>
              <w:t> </w:t>
            </w:r>
          </w:p>
        </w:tc>
      </w:tr>
      <w:tr>
        <w:trPr>
          <w:trHeight w:val="94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z w:val="18"/>
                <w:szCs w:val="18"/>
              </w:rPr>
              <w:t>（一）</w:t>
            </w:r>
          </w:p>
          <w:p>
            <w:pPr>
              <w:pStyle w:val="TableParagraph"/>
              <w:spacing w:line="232" w:lineRule="exact" w:before="23"/>
              <w:ind w:left="103" w:right="237"/>
              <w:jc w:val="both"/>
              <w:rPr>
                <w:rFonts w:ascii="宋体" w:hAnsi="宋体" w:cs="宋体" w:eastAsia="宋体" w:hint="default"/>
                <w:sz w:val="18"/>
                <w:szCs w:val="18"/>
              </w:rPr>
            </w:pPr>
            <w:r>
              <w:rPr>
                <w:rFonts w:ascii="宋体" w:hAnsi="宋体" w:cs="宋体" w:eastAsia="宋体" w:hint="default"/>
                <w:sz w:val="18"/>
                <w:szCs w:val="18"/>
              </w:rPr>
              <w:t>综合 收益 总额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-73,181,42</w:t>
            </w:r>
          </w:p>
          <w:p>
            <w:pPr>
              <w:pStyle w:val="TableParagraph"/>
              <w:spacing w:line="234" w:lineRule="exact"/>
              <w:ind w:right="11"/>
              <w:jc w:val="right"/>
              <w:rPr>
                <w:rFonts w:ascii="宋体" w:hAnsi="宋体" w:cs="宋体" w:eastAsia="宋体" w:hint="default"/>
                <w:sz w:val="18"/>
                <w:szCs w:val="18"/>
              </w:rPr>
            </w:pPr>
            <w:r>
              <w:rPr>
                <w:rFonts w:ascii="宋体"/>
                <w:sz w:val="18"/>
              </w:rPr>
              <w:t>4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612,130,382</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538,948,958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196,229,415</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735,178,373</w:t>
            </w:r>
            <w:r>
              <w:rPr>
                <w:rFonts w:ascii="宋体"/>
                <w:sz w:val="18"/>
              </w:rPr>
              <w:t> </w:t>
            </w:r>
          </w:p>
        </w:tc>
      </w:tr>
      <w:tr>
        <w:trPr>
          <w:trHeight w:val="1409"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（二）</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所有 者投 入和 减少 资本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15,247,113</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340,109,137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-46,408,38</w:t>
            </w:r>
          </w:p>
          <w:p>
            <w:pPr>
              <w:pStyle w:val="TableParagraph"/>
              <w:spacing w:line="234" w:lineRule="exact"/>
              <w:ind w:right="11"/>
              <w:jc w:val="right"/>
              <w:rPr>
                <w:rFonts w:ascii="宋体" w:hAnsi="宋体" w:cs="宋体" w:eastAsia="宋体" w:hint="default"/>
                <w:sz w:val="18"/>
                <w:szCs w:val="18"/>
              </w:rPr>
            </w:pPr>
            <w:r>
              <w:rPr>
                <w:rFonts w:ascii="宋体"/>
                <w:sz w:val="18"/>
              </w:rPr>
              <w:t>1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401,764,631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101,323,501</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503,088,132</w:t>
            </w:r>
            <w:r>
              <w:rPr>
                <w:rFonts w:ascii="宋体"/>
                <w:sz w:val="18"/>
              </w:rPr>
              <w:t> </w:t>
            </w:r>
          </w:p>
        </w:tc>
      </w:tr>
      <w:tr>
        <w:trPr>
          <w:trHeight w:val="117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有者 投入 的普 通股</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19,201,953</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213,141,687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232,343,640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232,343,640</w:t>
            </w:r>
            <w:r>
              <w:rPr>
                <w:rFonts w:ascii="宋体"/>
                <w:sz w:val="18"/>
              </w:rPr>
              <w:t> </w:t>
            </w:r>
          </w:p>
        </w:tc>
      </w:tr>
      <w:tr>
        <w:trPr>
          <w:trHeight w:val="1645"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他权 益工 具持 有者 投入 资本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份支</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229,324,051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229,324,051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14,697,122</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244,021,173</w:t>
            </w:r>
            <w:r>
              <w:rPr>
                <w:rFonts w:ascii="宋体"/>
                <w:sz w:val="18"/>
              </w:rPr>
              <w:t> </w:t>
            </w:r>
          </w:p>
        </w:tc>
      </w:tr>
    </w:tbl>
    <w:p>
      <w:pPr>
        <w:spacing w:after="0" w:line="205" w:lineRule="exact"/>
        <w:jc w:val="right"/>
        <w:rPr>
          <w:rFonts w:ascii="宋体" w:hAnsi="宋体" w:cs="宋体" w:eastAsia="宋体" w:hint="default"/>
          <w:sz w:val="18"/>
          <w:szCs w:val="18"/>
        </w:rPr>
        <w:sectPr>
          <w:pgSz w:w="16840" w:h="11910" w:orient="landscape"/>
          <w:pgMar w:header="882" w:footer="1195" w:top="1120" w:bottom="1380" w:left="130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1409"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付计</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入所 有者 权益 的金 额</w:t>
            </w:r>
          </w:p>
        </w:tc>
        <w:tc>
          <w:tcPr>
            <w:tcW w:w="1286"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-3,954,840</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-102,356,60</w:t>
            </w:r>
          </w:p>
          <w:p>
            <w:pPr>
              <w:pStyle w:val="TableParagraph"/>
              <w:spacing w:line="234" w:lineRule="exact"/>
              <w:ind w:right="11"/>
              <w:jc w:val="right"/>
              <w:rPr>
                <w:rFonts w:ascii="宋体" w:hAnsi="宋体" w:cs="宋体" w:eastAsia="宋体" w:hint="default"/>
                <w:sz w:val="18"/>
                <w:szCs w:val="18"/>
              </w:rPr>
            </w:pPr>
            <w:r>
              <w:rPr>
                <w:rFonts w:ascii="宋体"/>
                <w:sz w:val="18"/>
              </w:rPr>
              <w:t>1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-46,408,38</w:t>
            </w:r>
          </w:p>
          <w:p>
            <w:pPr>
              <w:pStyle w:val="TableParagraph"/>
              <w:spacing w:line="234" w:lineRule="exact"/>
              <w:ind w:right="11"/>
              <w:jc w:val="right"/>
              <w:rPr>
                <w:rFonts w:ascii="宋体" w:hAnsi="宋体" w:cs="宋体" w:eastAsia="宋体" w:hint="default"/>
                <w:sz w:val="18"/>
                <w:szCs w:val="18"/>
              </w:rPr>
            </w:pPr>
            <w:r>
              <w:rPr>
                <w:rFonts w:ascii="宋体"/>
                <w:sz w:val="18"/>
              </w:rPr>
              <w:t>1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-59,903,060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86,626,379</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26,723,319</w:t>
            </w:r>
            <w:r>
              <w:rPr>
                <w:rFonts w:ascii="宋体"/>
                <w:sz w:val="18"/>
              </w:rPr>
              <w:t> </w:t>
            </w:r>
          </w:p>
        </w:tc>
      </w:tr>
      <w:tr>
        <w:trPr>
          <w:trHeight w:val="711"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w:t>
            </w:r>
          </w:p>
          <w:p>
            <w:pPr>
              <w:pStyle w:val="TableParagraph"/>
              <w:spacing w:line="232" w:lineRule="exact" w:before="24"/>
              <w:ind w:left="103" w:right="237"/>
              <w:jc w:val="left"/>
              <w:rPr>
                <w:rFonts w:ascii="宋体" w:hAnsi="宋体" w:cs="宋体" w:eastAsia="宋体" w:hint="default"/>
                <w:sz w:val="18"/>
                <w:szCs w:val="18"/>
              </w:rPr>
            </w:pPr>
            <w:r>
              <w:rPr>
                <w:rFonts w:ascii="宋体" w:hAnsi="宋体" w:cs="宋体" w:eastAsia="宋体" w:hint="default"/>
                <w:sz w:val="18"/>
                <w:szCs w:val="18"/>
              </w:rPr>
              <w:t>利润 分配</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102,005,34</w:t>
            </w:r>
          </w:p>
          <w:p>
            <w:pPr>
              <w:pStyle w:val="TableParagraph"/>
              <w:spacing w:line="240" w:lineRule="auto"/>
              <w:ind w:right="8"/>
              <w:jc w:val="right"/>
              <w:rPr>
                <w:rFonts w:ascii="宋体" w:hAnsi="宋体" w:cs="宋体" w:eastAsia="宋体" w:hint="default"/>
                <w:sz w:val="18"/>
                <w:szCs w:val="18"/>
              </w:rPr>
            </w:pPr>
            <w:r>
              <w:rPr>
                <w:rFonts w:ascii="宋体"/>
                <w:sz w:val="18"/>
              </w:rPr>
              <w:t>9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-321,189,28</w:t>
            </w:r>
          </w:p>
          <w:p>
            <w:pPr>
              <w:pStyle w:val="TableParagraph"/>
              <w:spacing w:line="240" w:lineRule="auto"/>
              <w:ind w:right="11"/>
              <w:jc w:val="right"/>
              <w:rPr>
                <w:rFonts w:ascii="宋体" w:hAnsi="宋体" w:cs="宋体" w:eastAsia="宋体" w:hint="default"/>
                <w:sz w:val="18"/>
                <w:szCs w:val="18"/>
              </w:rPr>
            </w:pPr>
            <w:r>
              <w:rPr>
                <w:rFonts w:ascii="宋体"/>
                <w:sz w:val="18"/>
              </w:rPr>
              <w:t>3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-219,183,93</w:t>
            </w:r>
          </w:p>
          <w:p>
            <w:pPr>
              <w:pStyle w:val="TableParagraph"/>
              <w:spacing w:line="240" w:lineRule="auto"/>
              <w:ind w:right="8"/>
              <w:jc w:val="right"/>
              <w:rPr>
                <w:rFonts w:ascii="宋体" w:hAnsi="宋体" w:cs="宋体" w:eastAsia="宋体" w:hint="default"/>
                <w:sz w:val="18"/>
                <w:szCs w:val="18"/>
              </w:rPr>
            </w:pPr>
            <w:r>
              <w:rPr>
                <w:rFonts w:ascii="宋体"/>
                <w:sz w:val="18"/>
              </w:rPr>
              <w:t>4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-108,148,40</w:t>
            </w:r>
          </w:p>
          <w:p>
            <w:pPr>
              <w:pStyle w:val="TableParagraph"/>
              <w:spacing w:line="240" w:lineRule="auto"/>
              <w:ind w:right="11"/>
              <w:jc w:val="right"/>
              <w:rPr>
                <w:rFonts w:ascii="宋体" w:hAnsi="宋体" w:cs="宋体" w:eastAsia="宋体" w:hint="default"/>
                <w:sz w:val="18"/>
                <w:szCs w:val="18"/>
              </w:rPr>
            </w:pPr>
            <w:r>
              <w:rPr>
                <w:rFonts w:ascii="宋体"/>
                <w:sz w:val="18"/>
              </w:rPr>
              <w:t>2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-327,332,33</w:t>
            </w:r>
          </w:p>
          <w:p>
            <w:pPr>
              <w:pStyle w:val="TableParagraph"/>
              <w:spacing w:line="240" w:lineRule="auto"/>
              <w:ind w:right="8"/>
              <w:jc w:val="right"/>
              <w:rPr>
                <w:rFonts w:ascii="宋体" w:hAnsi="宋体" w:cs="宋体" w:eastAsia="宋体" w:hint="default"/>
                <w:sz w:val="18"/>
                <w:szCs w:val="18"/>
              </w:rPr>
            </w:pPr>
            <w:r>
              <w:rPr>
                <w:rFonts w:ascii="宋体"/>
                <w:sz w:val="18"/>
              </w:rPr>
              <w:t>6 </w:t>
            </w:r>
          </w:p>
        </w:tc>
      </w:tr>
      <w:tr>
        <w:trPr>
          <w:trHeight w:val="943"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w:t>
            </w:r>
          </w:p>
          <w:p>
            <w:pPr>
              <w:pStyle w:val="TableParagraph"/>
              <w:spacing w:line="232" w:lineRule="exact" w:before="17"/>
              <w:ind w:left="103" w:right="237"/>
              <w:jc w:val="both"/>
              <w:rPr>
                <w:rFonts w:ascii="宋体" w:hAnsi="宋体" w:cs="宋体" w:eastAsia="宋体" w:hint="default"/>
                <w:sz w:val="18"/>
                <w:szCs w:val="18"/>
              </w:rPr>
            </w:pPr>
            <w:r>
              <w:rPr>
                <w:rFonts w:ascii="宋体" w:hAnsi="宋体" w:cs="宋体" w:eastAsia="宋体" w:hint="default"/>
                <w:sz w:val="18"/>
                <w:szCs w:val="18"/>
              </w:rPr>
              <w:t>取盈 余公 积</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102,005,34</w:t>
            </w:r>
          </w:p>
          <w:p>
            <w:pPr>
              <w:pStyle w:val="TableParagraph"/>
              <w:spacing w:line="240" w:lineRule="auto"/>
              <w:ind w:right="8"/>
              <w:jc w:val="right"/>
              <w:rPr>
                <w:rFonts w:ascii="宋体" w:hAnsi="宋体" w:cs="宋体" w:eastAsia="宋体" w:hint="default"/>
                <w:sz w:val="18"/>
                <w:szCs w:val="18"/>
              </w:rPr>
            </w:pPr>
            <w:r>
              <w:rPr>
                <w:rFonts w:ascii="宋体"/>
                <w:sz w:val="18"/>
              </w:rPr>
              <w:t>9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-102,005,34</w:t>
            </w:r>
          </w:p>
          <w:p>
            <w:pPr>
              <w:pStyle w:val="TableParagraph"/>
              <w:spacing w:line="240" w:lineRule="auto"/>
              <w:ind w:right="11"/>
              <w:jc w:val="right"/>
              <w:rPr>
                <w:rFonts w:ascii="宋体" w:hAnsi="宋体" w:cs="宋体" w:eastAsia="宋体" w:hint="default"/>
                <w:sz w:val="18"/>
                <w:szCs w:val="18"/>
              </w:rPr>
            </w:pPr>
            <w:r>
              <w:rPr>
                <w:rFonts w:ascii="宋体"/>
                <w:sz w:val="18"/>
              </w:rPr>
              <w:t>9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17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取一 般风 险准 备</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412"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w:t>
            </w:r>
          </w:p>
          <w:p>
            <w:pPr>
              <w:pStyle w:val="TableParagraph"/>
              <w:spacing w:line="237" w:lineRule="auto"/>
              <w:ind w:left="103" w:right="57"/>
              <w:jc w:val="left"/>
              <w:rPr>
                <w:rFonts w:ascii="宋体" w:hAnsi="宋体" w:cs="宋体" w:eastAsia="宋体" w:hint="default"/>
                <w:sz w:val="18"/>
                <w:szCs w:val="18"/>
              </w:rPr>
            </w:pPr>
            <w:r>
              <w:rPr>
                <w:rFonts w:ascii="宋体" w:hAnsi="宋体" w:cs="宋体" w:eastAsia="宋体" w:hint="default"/>
                <w:sz w:val="18"/>
                <w:szCs w:val="18"/>
              </w:rPr>
              <w:t>所有 </w:t>
            </w:r>
            <w:r>
              <w:rPr>
                <w:rFonts w:ascii="宋体" w:hAnsi="宋体" w:cs="宋体" w:eastAsia="宋体" w:hint="default"/>
                <w:spacing w:val="-16"/>
                <w:sz w:val="18"/>
                <w:szCs w:val="18"/>
              </w:rPr>
              <w:t>者（或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股东） 的分</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配</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-219,183,93</w:t>
            </w:r>
          </w:p>
          <w:p>
            <w:pPr>
              <w:pStyle w:val="TableParagraph"/>
              <w:spacing w:line="234" w:lineRule="exact"/>
              <w:ind w:right="11"/>
              <w:jc w:val="right"/>
              <w:rPr>
                <w:rFonts w:ascii="宋体" w:hAnsi="宋体" w:cs="宋体" w:eastAsia="宋体" w:hint="default"/>
                <w:sz w:val="18"/>
                <w:szCs w:val="18"/>
              </w:rPr>
            </w:pPr>
            <w:r>
              <w:rPr>
                <w:rFonts w:ascii="宋体"/>
                <w:sz w:val="18"/>
              </w:rPr>
              <w:t>4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9"/>
              <w:jc w:val="right"/>
              <w:rPr>
                <w:rFonts w:ascii="宋体" w:hAnsi="宋体" w:cs="宋体" w:eastAsia="宋体" w:hint="default"/>
                <w:sz w:val="18"/>
                <w:szCs w:val="18"/>
              </w:rPr>
            </w:pPr>
            <w:r>
              <w:rPr>
                <w:rFonts w:ascii="宋体"/>
                <w:spacing w:val="-1"/>
                <w:sz w:val="18"/>
              </w:rPr>
              <w:t>-219,183,93</w:t>
            </w:r>
          </w:p>
          <w:p>
            <w:pPr>
              <w:pStyle w:val="TableParagraph"/>
              <w:spacing w:line="234" w:lineRule="exact"/>
              <w:ind w:right="8"/>
              <w:jc w:val="right"/>
              <w:rPr>
                <w:rFonts w:ascii="宋体" w:hAnsi="宋体" w:cs="宋体" w:eastAsia="宋体" w:hint="default"/>
                <w:sz w:val="18"/>
                <w:szCs w:val="18"/>
              </w:rPr>
            </w:pPr>
            <w:r>
              <w:rPr>
                <w:rFonts w:ascii="宋体"/>
                <w:sz w:val="18"/>
              </w:rPr>
              <w:t>4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-105,672,40</w:t>
            </w:r>
          </w:p>
          <w:p>
            <w:pPr>
              <w:pStyle w:val="TableParagraph"/>
              <w:spacing w:line="234" w:lineRule="exact"/>
              <w:ind w:right="11"/>
              <w:jc w:val="right"/>
              <w:rPr>
                <w:rFonts w:ascii="宋体" w:hAnsi="宋体" w:cs="宋体" w:eastAsia="宋体" w:hint="default"/>
                <w:sz w:val="18"/>
                <w:szCs w:val="18"/>
              </w:rPr>
            </w:pPr>
            <w:r>
              <w:rPr>
                <w:rFonts w:ascii="宋体"/>
                <w:sz w:val="18"/>
              </w:rPr>
              <w:t>2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-324,856,33</w:t>
            </w:r>
          </w:p>
          <w:p>
            <w:pPr>
              <w:pStyle w:val="TableParagraph"/>
              <w:spacing w:line="234" w:lineRule="exact"/>
              <w:ind w:right="8"/>
              <w:jc w:val="right"/>
              <w:rPr>
                <w:rFonts w:ascii="宋体" w:hAnsi="宋体" w:cs="宋体" w:eastAsia="宋体" w:hint="default"/>
                <w:sz w:val="18"/>
                <w:szCs w:val="18"/>
              </w:rPr>
            </w:pPr>
            <w:r>
              <w:rPr>
                <w:rFonts w:ascii="宋体"/>
                <w:sz w:val="18"/>
              </w:rPr>
              <w:t>6 </w:t>
            </w:r>
          </w:p>
        </w:tc>
      </w:tr>
      <w:tr>
        <w:trPr>
          <w:trHeight w:val="475"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-2,476,000</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-2,476,000</w:t>
            </w:r>
            <w:r>
              <w:rPr>
                <w:rFonts w:ascii="宋体"/>
                <w:sz w:val="18"/>
              </w:rPr>
              <w:t> </w:t>
            </w:r>
          </w:p>
        </w:tc>
      </w:tr>
      <w:tr>
        <w:trPr>
          <w:trHeight w:val="1412"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（四）</w:t>
            </w:r>
          </w:p>
          <w:p>
            <w:pPr>
              <w:pStyle w:val="TableParagraph"/>
              <w:spacing w:line="237" w:lineRule="auto" w:before="2"/>
              <w:ind w:left="103" w:right="237"/>
              <w:jc w:val="both"/>
              <w:rPr>
                <w:rFonts w:ascii="宋体" w:hAnsi="宋体" w:cs="宋体" w:eastAsia="宋体" w:hint="default"/>
                <w:sz w:val="18"/>
                <w:szCs w:val="18"/>
              </w:rPr>
            </w:pPr>
            <w:r>
              <w:rPr>
                <w:rFonts w:ascii="宋体" w:hAnsi="宋体" w:cs="宋体" w:eastAsia="宋体" w:hint="default"/>
                <w:sz w:val="18"/>
                <w:szCs w:val="18"/>
              </w:rPr>
              <w:t>所有 者权 益内 部结 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438,367,868</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-438,367,86</w:t>
            </w:r>
          </w:p>
          <w:p>
            <w:pPr>
              <w:pStyle w:val="TableParagraph"/>
              <w:spacing w:line="240" w:lineRule="auto"/>
              <w:ind w:right="11"/>
              <w:jc w:val="right"/>
              <w:rPr>
                <w:rFonts w:ascii="宋体" w:hAnsi="宋体" w:cs="宋体" w:eastAsia="宋体" w:hint="default"/>
                <w:sz w:val="18"/>
                <w:szCs w:val="18"/>
              </w:rPr>
            </w:pPr>
            <w:r>
              <w:rPr>
                <w:rFonts w:ascii="宋体"/>
                <w:sz w:val="18"/>
              </w:rPr>
              <w:t>8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710"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w:t>
            </w:r>
          </w:p>
          <w:p>
            <w:pPr>
              <w:pStyle w:val="TableParagraph"/>
              <w:spacing w:line="236" w:lineRule="exact" w:before="13"/>
              <w:ind w:left="103" w:right="237"/>
              <w:jc w:val="left"/>
              <w:rPr>
                <w:rFonts w:ascii="宋体" w:hAnsi="宋体" w:cs="宋体" w:eastAsia="宋体" w:hint="default"/>
                <w:sz w:val="18"/>
                <w:szCs w:val="18"/>
              </w:rPr>
            </w:pPr>
            <w:r>
              <w:rPr>
                <w:rFonts w:ascii="宋体" w:hAnsi="宋体" w:cs="宋体" w:eastAsia="宋体" w:hint="default"/>
                <w:sz w:val="18"/>
                <w:szCs w:val="18"/>
              </w:rPr>
              <w:t>本公 积转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438,367,868</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1"/>
              <w:jc w:val="right"/>
              <w:rPr>
                <w:rFonts w:ascii="宋体" w:hAnsi="宋体" w:cs="宋体" w:eastAsia="宋体" w:hint="default"/>
                <w:sz w:val="18"/>
                <w:szCs w:val="18"/>
              </w:rPr>
            </w:pPr>
            <w:r>
              <w:rPr>
                <w:rFonts w:ascii="宋体"/>
                <w:spacing w:val="-1"/>
                <w:sz w:val="18"/>
              </w:rPr>
              <w:t>-438,367,86</w:t>
            </w:r>
          </w:p>
          <w:p>
            <w:pPr>
              <w:pStyle w:val="TableParagraph"/>
              <w:spacing w:line="234" w:lineRule="exact"/>
              <w:ind w:right="11"/>
              <w:jc w:val="right"/>
              <w:rPr>
                <w:rFonts w:ascii="宋体" w:hAnsi="宋体" w:cs="宋体" w:eastAsia="宋体" w:hint="default"/>
                <w:sz w:val="18"/>
                <w:szCs w:val="18"/>
              </w:rPr>
            </w:pPr>
            <w:r>
              <w:rPr>
                <w:rFonts w:ascii="宋体"/>
                <w:sz w:val="18"/>
              </w:rPr>
              <w:t>8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bl>
    <w:p>
      <w:pPr>
        <w:spacing w:after="0" w:line="205" w:lineRule="exact"/>
        <w:jc w:val="right"/>
        <w:rPr>
          <w:rFonts w:ascii="宋体" w:hAnsi="宋体" w:cs="宋体" w:eastAsia="宋体" w:hint="default"/>
          <w:sz w:val="18"/>
          <w:szCs w:val="18"/>
        </w:rPr>
        <w:sectPr>
          <w:pgSz w:w="16840" w:h="11910" w:orient="landscape"/>
          <w:pgMar w:header="882" w:footer="1195" w:top="1120" w:bottom="1380" w:left="130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711"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增资</w:t>
            </w:r>
          </w:p>
          <w:p>
            <w:pPr>
              <w:pStyle w:val="TableParagraph"/>
              <w:spacing w:line="232" w:lineRule="exact" w:before="23"/>
              <w:ind w:left="103" w:right="57"/>
              <w:jc w:val="left"/>
              <w:rPr>
                <w:rFonts w:ascii="宋体" w:hAnsi="宋体" w:cs="宋体" w:eastAsia="宋体" w:hint="default"/>
                <w:sz w:val="18"/>
                <w:szCs w:val="18"/>
              </w:rPr>
            </w:pPr>
            <w:r>
              <w:rPr>
                <w:rFonts w:ascii="宋体" w:hAnsi="宋体" w:cs="宋体" w:eastAsia="宋体" w:hint="default"/>
                <w:spacing w:val="-16"/>
                <w:sz w:val="18"/>
                <w:szCs w:val="18"/>
              </w:rPr>
              <w:t>本（或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股本）</w:t>
            </w:r>
          </w:p>
        </w:tc>
        <w:tc>
          <w:tcPr>
            <w:tcW w:w="1286"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382"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37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r>
      <w:tr>
        <w:trPr>
          <w:trHeight w:val="1409"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w:t>
            </w:r>
          </w:p>
          <w:p>
            <w:pPr>
              <w:pStyle w:val="TableParagraph"/>
              <w:spacing w:line="237" w:lineRule="auto"/>
              <w:ind w:left="103" w:right="57"/>
              <w:jc w:val="left"/>
              <w:rPr>
                <w:rFonts w:ascii="宋体" w:hAnsi="宋体" w:cs="宋体" w:eastAsia="宋体" w:hint="default"/>
                <w:sz w:val="18"/>
                <w:szCs w:val="18"/>
              </w:rPr>
            </w:pPr>
            <w:r>
              <w:rPr>
                <w:rFonts w:ascii="宋体" w:hAnsi="宋体" w:cs="宋体" w:eastAsia="宋体" w:hint="default"/>
                <w:sz w:val="18"/>
                <w:szCs w:val="18"/>
              </w:rPr>
              <w:t>余公 积转 增资 </w:t>
            </w:r>
            <w:r>
              <w:rPr>
                <w:rFonts w:ascii="宋体" w:hAnsi="宋体" w:cs="宋体" w:eastAsia="宋体" w:hint="default"/>
                <w:spacing w:val="-16"/>
                <w:sz w:val="18"/>
                <w:szCs w:val="18"/>
              </w:rPr>
              <w:t>本（或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股本）</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179"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余公 积弥 补亏 损</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r>
      <w:tr>
        <w:trPr>
          <w:trHeight w:val="1877"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定受 益计 划变 动额 结转 留存 收益</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1644"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w:t>
            </w:r>
          </w:p>
          <w:p>
            <w:pPr>
              <w:pStyle w:val="TableParagraph"/>
              <w:spacing w:line="237" w:lineRule="auto"/>
              <w:ind w:left="103" w:right="237"/>
              <w:jc w:val="both"/>
              <w:rPr>
                <w:rFonts w:ascii="宋体" w:hAnsi="宋体" w:cs="宋体" w:eastAsia="宋体" w:hint="default"/>
                <w:sz w:val="18"/>
                <w:szCs w:val="18"/>
              </w:rPr>
            </w:pPr>
            <w:r>
              <w:rPr>
                <w:rFonts w:ascii="宋体" w:hAnsi="宋体" w:cs="宋体" w:eastAsia="宋体" w:hint="default"/>
                <w:sz w:val="18"/>
                <w:szCs w:val="18"/>
              </w:rPr>
              <w:t>他综 合收 益结 转留 存收 益</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w:t>
            </w:r>
          </w:p>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711"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（五）</w:t>
            </w:r>
          </w:p>
          <w:p>
            <w:pPr>
              <w:pStyle w:val="TableParagraph"/>
              <w:spacing w:line="240" w:lineRule="auto"/>
              <w:ind w:left="103" w:right="237"/>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710"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w:t>
            </w:r>
          </w:p>
          <w:p>
            <w:pPr>
              <w:pStyle w:val="TableParagraph"/>
              <w:spacing w:line="236" w:lineRule="exact" w:before="13"/>
              <w:ind w:left="103" w:right="237"/>
              <w:jc w:val="left"/>
              <w:rPr>
                <w:rFonts w:ascii="宋体" w:hAnsi="宋体" w:cs="宋体" w:eastAsia="宋体" w:hint="default"/>
                <w:sz w:val="18"/>
                <w:szCs w:val="18"/>
              </w:rPr>
            </w:pPr>
            <w:r>
              <w:rPr>
                <w:rFonts w:ascii="宋体" w:hAnsi="宋体" w:cs="宋体" w:eastAsia="宋体" w:hint="default"/>
                <w:sz w:val="18"/>
                <w:szCs w:val="18"/>
              </w:rPr>
              <w:t>期提 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bl>
    <w:p>
      <w:pPr>
        <w:spacing w:after="0" w:line="205" w:lineRule="exact"/>
        <w:jc w:val="right"/>
        <w:rPr>
          <w:rFonts w:ascii="宋体" w:hAnsi="宋体" w:cs="宋体" w:eastAsia="宋体" w:hint="default"/>
          <w:sz w:val="18"/>
          <w:szCs w:val="18"/>
        </w:rPr>
        <w:sectPr>
          <w:footerReference w:type="default" r:id="rId50"/>
          <w:pgSz w:w="16840" w:h="11910" w:orient="landscape"/>
          <w:pgMar w:footer="1195" w:header="882" w:top="1120" w:bottom="1380" w:left="130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711"/>
        <w:gridCol w:w="1286"/>
        <w:gridCol w:w="379"/>
        <w:gridCol w:w="382"/>
        <w:gridCol w:w="379"/>
        <w:gridCol w:w="1289"/>
        <w:gridCol w:w="1123"/>
        <w:gridCol w:w="1123"/>
        <w:gridCol w:w="379"/>
        <w:gridCol w:w="1124"/>
        <w:gridCol w:w="382"/>
        <w:gridCol w:w="1289"/>
        <w:gridCol w:w="379"/>
        <w:gridCol w:w="1289"/>
        <w:gridCol w:w="1289"/>
        <w:gridCol w:w="1286"/>
      </w:tblGrid>
      <w:tr>
        <w:trPr>
          <w:trHeight w:val="711"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w:t>
            </w:r>
          </w:p>
          <w:p>
            <w:pPr>
              <w:pStyle w:val="TableParagraph"/>
              <w:spacing w:line="232" w:lineRule="exact" w:before="16"/>
              <w:ind w:left="103" w:right="237"/>
              <w:jc w:val="left"/>
              <w:rPr>
                <w:rFonts w:ascii="宋体" w:hAnsi="宋体" w:cs="宋体" w:eastAsia="宋体" w:hint="default"/>
                <w:sz w:val="18"/>
                <w:szCs w:val="18"/>
              </w:rPr>
            </w:pPr>
            <w:r>
              <w:rPr>
                <w:rFonts w:ascii="宋体" w:hAnsi="宋体" w:cs="宋体" w:eastAsia="宋体" w:hint="default"/>
                <w:sz w:val="18"/>
                <w:szCs w:val="18"/>
              </w:rPr>
              <w:t>期使 用</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r>
      <w:tr>
        <w:trPr>
          <w:trHeight w:val="475"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（六）</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946" w:hRule="exact"/>
        </w:trPr>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pacing w:val="-16"/>
                <w:sz w:val="18"/>
                <w:szCs w:val="18"/>
              </w:rPr>
              <w:t>四、本</w:t>
            </w:r>
          </w:p>
          <w:p>
            <w:pPr>
              <w:pStyle w:val="TableParagraph"/>
              <w:spacing w:line="232" w:lineRule="exact" w:before="24"/>
              <w:ind w:left="103" w:right="237"/>
              <w:jc w:val="both"/>
              <w:rPr>
                <w:rFonts w:ascii="宋体" w:hAnsi="宋体" w:cs="宋体" w:eastAsia="宋体" w:hint="default"/>
                <w:sz w:val="18"/>
                <w:szCs w:val="18"/>
              </w:rPr>
            </w:pPr>
            <w:r>
              <w:rPr>
                <w:rFonts w:ascii="宋体" w:hAnsi="宋体" w:cs="宋体" w:eastAsia="宋体" w:hint="default"/>
                <w:sz w:val="18"/>
                <w:szCs w:val="18"/>
              </w:rPr>
              <w:t>期期 末余 额</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1,917,832,7</w:t>
            </w:r>
          </w:p>
          <w:p>
            <w:pPr>
              <w:pStyle w:val="TableParagraph"/>
              <w:spacing w:line="240" w:lineRule="auto"/>
              <w:ind w:right="11"/>
              <w:jc w:val="right"/>
              <w:rPr>
                <w:rFonts w:ascii="宋体" w:hAnsi="宋体" w:cs="宋体" w:eastAsia="宋体" w:hint="default"/>
                <w:sz w:val="18"/>
                <w:szCs w:val="18"/>
              </w:rPr>
            </w:pPr>
            <w:r>
              <w:rPr>
                <w:rFonts w:ascii="宋体"/>
                <w:spacing w:val="-1"/>
                <w:sz w:val="18"/>
              </w:rPr>
              <w:t>92</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2,120,758,7</w:t>
            </w:r>
          </w:p>
          <w:p>
            <w:pPr>
              <w:pStyle w:val="TableParagraph"/>
              <w:spacing w:line="240" w:lineRule="auto"/>
              <w:ind w:right="11"/>
              <w:jc w:val="right"/>
              <w:rPr>
                <w:rFonts w:ascii="宋体" w:hAnsi="宋体" w:cs="宋体" w:eastAsia="宋体" w:hint="default"/>
                <w:sz w:val="18"/>
                <w:szCs w:val="18"/>
              </w:rPr>
            </w:pPr>
            <w:r>
              <w:rPr>
                <w:rFonts w:ascii="宋体"/>
                <w:spacing w:val="-1"/>
                <w:sz w:val="18"/>
              </w:rPr>
              <w:t>90</w:t>
            </w: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55,787,910</w:t>
            </w:r>
            <w:r>
              <w:rPr>
                <w:rFonts w:ascii="宋体"/>
                <w:sz w:val="18"/>
              </w:rPr>
              <w:t> </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-25,234,85</w:t>
            </w:r>
          </w:p>
          <w:p>
            <w:pPr>
              <w:pStyle w:val="TableParagraph"/>
              <w:spacing w:line="240" w:lineRule="auto"/>
              <w:ind w:right="11"/>
              <w:jc w:val="right"/>
              <w:rPr>
                <w:rFonts w:ascii="宋体" w:hAnsi="宋体" w:cs="宋体" w:eastAsia="宋体" w:hint="default"/>
                <w:sz w:val="18"/>
                <w:szCs w:val="18"/>
              </w:rPr>
            </w:pPr>
            <w:r>
              <w:rPr>
                <w:rFonts w:ascii="宋体"/>
                <w:sz w:val="18"/>
              </w:rPr>
              <w:t>7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827,153,65</w:t>
            </w:r>
          </w:p>
          <w:p>
            <w:pPr>
              <w:pStyle w:val="TableParagraph"/>
              <w:spacing w:line="240" w:lineRule="auto"/>
              <w:ind w:right="8"/>
              <w:jc w:val="right"/>
              <w:rPr>
                <w:rFonts w:ascii="宋体" w:hAnsi="宋体" w:cs="宋体" w:eastAsia="宋体" w:hint="default"/>
                <w:sz w:val="18"/>
                <w:szCs w:val="18"/>
              </w:rPr>
            </w:pPr>
            <w:r>
              <w:rPr>
                <w:rFonts w:ascii="宋体"/>
                <w:sz w:val="18"/>
              </w:rPr>
              <w:t>5 </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1,785,975,0</w:t>
            </w:r>
          </w:p>
          <w:p>
            <w:pPr>
              <w:pStyle w:val="TableParagraph"/>
              <w:spacing w:line="240" w:lineRule="auto"/>
              <w:ind w:right="11"/>
              <w:jc w:val="right"/>
              <w:rPr>
                <w:rFonts w:ascii="宋体" w:hAnsi="宋体" w:cs="宋体" w:eastAsia="宋体" w:hint="default"/>
                <w:sz w:val="18"/>
                <w:szCs w:val="18"/>
              </w:rPr>
            </w:pPr>
            <w:r>
              <w:rPr>
                <w:rFonts w:ascii="宋体"/>
                <w:spacing w:val="-1"/>
                <w:sz w:val="18"/>
              </w:rPr>
              <w:t>33</w:t>
            </w:r>
            <w:r>
              <w:rPr>
                <w:rFonts w:ascii="宋体"/>
                <w:sz w:val="18"/>
              </w:rPr>
              <w:t> </w:t>
            </w:r>
          </w:p>
        </w:tc>
        <w:tc>
          <w:tcPr>
            <w:tcW w:w="3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9"/>
              <w:jc w:val="right"/>
              <w:rPr>
                <w:rFonts w:ascii="宋体" w:hAnsi="宋体" w:cs="宋体" w:eastAsia="宋体" w:hint="default"/>
                <w:sz w:val="18"/>
                <w:szCs w:val="18"/>
              </w:rPr>
            </w:pPr>
            <w:r>
              <w:rPr>
                <w:rFonts w:ascii="宋体"/>
                <w:spacing w:val="-1"/>
                <w:sz w:val="18"/>
              </w:rPr>
              <w:t>6,570,697,5</w:t>
            </w:r>
          </w:p>
          <w:p>
            <w:pPr>
              <w:pStyle w:val="TableParagraph"/>
              <w:spacing w:line="240" w:lineRule="auto"/>
              <w:ind w:right="8"/>
              <w:jc w:val="right"/>
              <w:rPr>
                <w:rFonts w:ascii="宋体" w:hAnsi="宋体" w:cs="宋体" w:eastAsia="宋体" w:hint="default"/>
                <w:sz w:val="18"/>
                <w:szCs w:val="18"/>
              </w:rPr>
            </w:pPr>
            <w:r>
              <w:rPr>
                <w:rFonts w:ascii="宋体"/>
                <w:spacing w:val="-1"/>
                <w:sz w:val="18"/>
              </w:rPr>
              <w:t>03</w:t>
            </w:r>
            <w:r>
              <w:rPr>
                <w:rFonts w:ascii="宋体"/>
                <w:sz w:val="18"/>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1,081,265,6</w:t>
            </w:r>
          </w:p>
          <w:p>
            <w:pPr>
              <w:pStyle w:val="TableParagraph"/>
              <w:spacing w:line="240" w:lineRule="auto"/>
              <w:ind w:right="11"/>
              <w:jc w:val="right"/>
              <w:rPr>
                <w:rFonts w:ascii="宋体" w:hAnsi="宋体" w:cs="宋体" w:eastAsia="宋体" w:hint="default"/>
                <w:sz w:val="18"/>
                <w:szCs w:val="18"/>
              </w:rPr>
            </w:pPr>
            <w:r>
              <w:rPr>
                <w:rFonts w:ascii="宋体"/>
                <w:spacing w:val="-1"/>
                <w:sz w:val="18"/>
              </w:rPr>
              <w:t>42</w:t>
            </w:r>
            <w:r>
              <w:rPr>
                <w:rFonts w:ascii="宋体"/>
                <w:sz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7,651,963,1</w:t>
            </w:r>
          </w:p>
          <w:p>
            <w:pPr>
              <w:pStyle w:val="TableParagraph"/>
              <w:spacing w:line="240" w:lineRule="auto"/>
              <w:ind w:right="8"/>
              <w:jc w:val="right"/>
              <w:rPr>
                <w:rFonts w:ascii="宋体" w:hAnsi="宋体" w:cs="宋体" w:eastAsia="宋体" w:hint="default"/>
                <w:sz w:val="18"/>
                <w:szCs w:val="18"/>
              </w:rPr>
            </w:pPr>
            <w:r>
              <w:rPr>
                <w:rFonts w:ascii="宋体"/>
                <w:spacing w:val="-1"/>
                <w:sz w:val="18"/>
              </w:rPr>
              <w:t>45</w:t>
            </w:r>
            <w:r>
              <w:rPr>
                <w:rFonts w:ascii="宋体"/>
                <w:sz w:val="18"/>
              </w:rPr>
              <w:t> </w:t>
            </w:r>
          </w:p>
        </w:tc>
      </w:tr>
    </w:tbl>
    <w:p>
      <w:pPr>
        <w:spacing w:line="240" w:lineRule="auto" w:before="3"/>
        <w:rPr>
          <w:rFonts w:ascii="Times New Roman" w:hAnsi="Times New Roman" w:cs="Times New Roman" w:eastAsia="Times New Roman" w:hint="default"/>
          <w:sz w:val="18"/>
          <w:szCs w:val="18"/>
        </w:rPr>
      </w:pPr>
    </w:p>
    <w:p>
      <w:pPr>
        <w:pStyle w:val="BodyText"/>
        <w:spacing w:line="240" w:lineRule="auto" w:before="26"/>
        <w:ind w:left="224" w:right="0"/>
        <w:jc w:val="left"/>
      </w:pPr>
      <w:r>
        <w:rPr/>
        <w:t>法定代表人：王文京 主管会计工作负责人：章培林 会计机构负责人：孙淑嫔</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footerReference w:type="default" r:id="rId51"/>
          <w:pgSz w:w="16840" w:h="11910" w:orient="landscape"/>
          <w:pgMar w:footer="1195" w:header="882" w:top="1120" w:bottom="1380" w:left="1300" w:right="1220"/>
          <w:pgNumType w:start="31"/>
        </w:sectPr>
      </w:pPr>
    </w:p>
    <w:p>
      <w:pPr>
        <w:pStyle w:val="Heading2"/>
        <w:spacing w:line="313" w:lineRule="exact" w:before="26"/>
        <w:ind w:left="0" w:right="0"/>
        <w:jc w:val="right"/>
        <w:rPr>
          <w:b w:val="0"/>
          <w:bCs w:val="0"/>
        </w:rPr>
      </w:pPr>
      <w:r>
        <w:rPr>
          <w:w w:val="95"/>
        </w:rPr>
        <w:t>母公司所有者权益变动表</w:t>
      </w:r>
      <w:r>
        <w:rPr>
          <w:b w:val="0"/>
          <w:bCs w:val="0"/>
        </w:rPr>
      </w:r>
    </w:p>
    <w:p>
      <w:pPr>
        <w:pStyle w:val="BodyText"/>
        <w:spacing w:line="331" w:lineRule="exact"/>
        <w:ind w:left="0" w:right="453"/>
        <w:jc w:val="right"/>
      </w:pP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12 </w:t>
      </w:r>
      <w:r>
        <w:rPr/>
        <w:t>月</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9"/>
        <w:rPr>
          <w:rFonts w:ascii="宋体" w:hAnsi="宋体" w:cs="宋体" w:eastAsia="宋体" w:hint="default"/>
          <w:sz w:val="25"/>
          <w:szCs w:val="25"/>
        </w:rPr>
      </w:pPr>
    </w:p>
    <w:p>
      <w:pPr>
        <w:pStyle w:val="BodyText"/>
        <w:tabs>
          <w:tab w:pos="4319" w:val="left" w:leader="none"/>
        </w:tabs>
        <w:spacing w:line="240" w:lineRule="auto"/>
        <w:ind w:left="3292"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6840" w:h="11910" w:orient="landscape"/>
          <w:pgMar w:top="1120" w:bottom="1380" w:left="1300" w:right="1220"/>
          <w:cols w:num="2" w:equalWidth="0">
            <w:col w:w="8471" w:space="40"/>
            <w:col w:w="5809"/>
          </w:cols>
        </w:sectPr>
      </w:pPr>
    </w:p>
    <w:tbl>
      <w:tblPr>
        <w:tblW w:w="0" w:type="auto"/>
        <w:jc w:val="left"/>
        <w:tblInd w:w="163" w:type="dxa"/>
        <w:tblLayout w:type="fixed"/>
        <w:tblCellMar>
          <w:top w:w="0" w:type="dxa"/>
          <w:left w:w="0" w:type="dxa"/>
          <w:bottom w:w="0" w:type="dxa"/>
          <w:right w:w="0" w:type="dxa"/>
        </w:tblCellMar>
        <w:tblLook w:val="01E0"/>
      </w:tblPr>
      <w:tblGrid>
        <w:gridCol w:w="2451"/>
        <w:gridCol w:w="1078"/>
        <w:gridCol w:w="1049"/>
        <w:gridCol w:w="1078"/>
        <w:gridCol w:w="1092"/>
        <w:gridCol w:w="1037"/>
        <w:gridCol w:w="1063"/>
        <w:gridCol w:w="1022"/>
        <w:gridCol w:w="1035"/>
        <w:gridCol w:w="1022"/>
        <w:gridCol w:w="1008"/>
        <w:gridCol w:w="1025"/>
      </w:tblGrid>
      <w:tr>
        <w:trPr>
          <w:trHeight w:val="245" w:hRule="exact"/>
        </w:trPr>
        <w:tc>
          <w:tcPr>
            <w:tcW w:w="245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1510" w:type="dxa"/>
            <w:gridSpan w:val="11"/>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2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324" w:hRule="exact"/>
        </w:trPr>
        <w:tc>
          <w:tcPr>
            <w:tcW w:w="2451" w:type="dxa"/>
            <w:vMerge/>
            <w:tcBorders>
              <w:left w:val="single" w:sz="4" w:space="0" w:color="000000"/>
              <w:right w:val="single" w:sz="4" w:space="0" w:color="000000"/>
            </w:tcBorders>
          </w:tcPr>
          <w:p>
            <w:pPr/>
          </w:p>
        </w:tc>
        <w:tc>
          <w:tcPr>
            <w:tcW w:w="1078" w:type="dxa"/>
            <w:vMerge w:val="restart"/>
            <w:tcBorders>
              <w:top w:val="single" w:sz="4" w:space="0" w:color="000000"/>
              <w:left w:val="single" w:sz="4" w:space="0" w:color="000000"/>
              <w:right w:val="single" w:sz="4" w:space="0" w:color="000000"/>
            </w:tcBorders>
          </w:tcPr>
          <w:p>
            <w:pPr>
              <w:pStyle w:val="TableParagraph"/>
              <w:spacing w:line="234" w:lineRule="exact" w:before="46"/>
              <w:ind w:left="172" w:right="0"/>
              <w:jc w:val="left"/>
              <w:rPr>
                <w:rFonts w:ascii="宋体" w:hAnsi="宋体" w:cs="宋体" w:eastAsia="宋体" w:hint="default"/>
                <w:sz w:val="18"/>
                <w:szCs w:val="18"/>
              </w:rPr>
            </w:pPr>
            <w:r>
              <w:rPr>
                <w:rFonts w:ascii="宋体" w:hAnsi="宋体" w:cs="宋体" w:eastAsia="宋体" w:hint="default"/>
                <w:sz w:val="18"/>
                <w:szCs w:val="18"/>
              </w:rPr>
              <w:t>实收资本</w:t>
            </w:r>
          </w:p>
          <w:p>
            <w:pPr>
              <w:pStyle w:val="TableParagraph"/>
              <w:spacing w:line="248" w:lineRule="exact"/>
              <w:ind w:left="2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或股本</w:t>
            </w:r>
            <w:r>
              <w:rPr>
                <w:rFonts w:ascii="Times New Roman" w:hAnsi="Times New Roman" w:cs="Times New Roman" w:eastAsia="Times New Roman" w:hint="default"/>
                <w:sz w:val="18"/>
                <w:szCs w:val="18"/>
              </w:rPr>
              <w:t>)</w:t>
            </w:r>
          </w:p>
        </w:tc>
        <w:tc>
          <w:tcPr>
            <w:tcW w:w="321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6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037" w:type="dxa"/>
            <w:vMerge w:val="restart"/>
            <w:tcBorders>
              <w:top w:val="single" w:sz="4" w:space="0" w:color="000000"/>
              <w:left w:val="single" w:sz="4" w:space="0" w:color="000000"/>
              <w:right w:val="single" w:sz="4" w:space="0" w:color="000000"/>
            </w:tcBorders>
          </w:tcPr>
          <w:p>
            <w:pPr>
              <w:pStyle w:val="TableParagraph"/>
              <w:spacing w:line="240" w:lineRule="auto" w:before="161"/>
              <w:ind w:left="15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pacing w:val="-11"/>
                <w:sz w:val="18"/>
                <w:szCs w:val="18"/>
              </w:rPr>
              <w:t>减：库存股</w:t>
            </w:r>
          </w:p>
        </w:tc>
        <w:tc>
          <w:tcPr>
            <w:tcW w:w="1022" w:type="dxa"/>
            <w:vMerge w:val="restart"/>
            <w:tcBorders>
              <w:top w:val="single" w:sz="4" w:space="0" w:color="000000"/>
              <w:left w:val="single" w:sz="4" w:space="0" w:color="000000"/>
              <w:right w:val="single" w:sz="4" w:space="0" w:color="000000"/>
            </w:tcBorders>
          </w:tcPr>
          <w:p>
            <w:pPr>
              <w:pStyle w:val="TableParagraph"/>
              <w:spacing w:line="232" w:lineRule="exact" w:before="71"/>
              <w:ind w:left="326" w:right="144"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1035" w:type="dxa"/>
            <w:vMerge w:val="restart"/>
            <w:tcBorders>
              <w:top w:val="single" w:sz="4" w:space="0" w:color="000000"/>
              <w:left w:val="single" w:sz="4" w:space="0" w:color="000000"/>
              <w:right w:val="single" w:sz="4" w:space="0" w:color="000000"/>
            </w:tcBorders>
          </w:tcPr>
          <w:p>
            <w:pPr>
              <w:pStyle w:val="TableParagraph"/>
              <w:spacing w:line="240" w:lineRule="auto" w:before="161"/>
              <w:ind w:left="15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22" w:type="dxa"/>
            <w:vMerge w:val="restart"/>
            <w:tcBorders>
              <w:top w:val="single" w:sz="4" w:space="0" w:color="000000"/>
              <w:left w:val="single" w:sz="4" w:space="0" w:color="000000"/>
              <w:right w:val="single" w:sz="4" w:space="0" w:color="000000"/>
            </w:tcBorders>
          </w:tcPr>
          <w:p>
            <w:pPr>
              <w:pStyle w:val="TableParagraph"/>
              <w:spacing w:line="240" w:lineRule="auto" w:before="161"/>
              <w:ind w:left="146"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08" w:type="dxa"/>
            <w:vMerge w:val="restart"/>
            <w:tcBorders>
              <w:top w:val="single" w:sz="4" w:space="0" w:color="000000"/>
              <w:left w:val="single" w:sz="4" w:space="0" w:color="000000"/>
              <w:right w:val="single" w:sz="4" w:space="0" w:color="000000"/>
            </w:tcBorders>
          </w:tcPr>
          <w:p>
            <w:pPr>
              <w:pStyle w:val="TableParagraph"/>
              <w:spacing w:line="232" w:lineRule="exact" w:before="71"/>
              <w:ind w:left="407" w:right="137" w:hanging="269"/>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1025" w:type="dxa"/>
            <w:vMerge w:val="restart"/>
            <w:tcBorders>
              <w:top w:val="single" w:sz="4" w:space="0" w:color="000000"/>
              <w:left w:val="single" w:sz="4" w:space="0" w:color="000000"/>
              <w:right w:val="single" w:sz="4" w:space="0" w:color="000000"/>
            </w:tcBorders>
          </w:tcPr>
          <w:p>
            <w:pPr>
              <w:pStyle w:val="TableParagraph"/>
              <w:spacing w:line="232" w:lineRule="exact" w:before="71"/>
              <w:ind w:left="237" w:right="144"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305" w:hRule="exact"/>
        </w:trPr>
        <w:tc>
          <w:tcPr>
            <w:tcW w:w="2451" w:type="dxa"/>
            <w:vMerge/>
            <w:tcBorders>
              <w:left w:val="single" w:sz="4" w:space="0" w:color="000000"/>
              <w:bottom w:val="single" w:sz="4" w:space="0" w:color="000000"/>
              <w:right w:val="single" w:sz="4" w:space="0" w:color="000000"/>
            </w:tcBorders>
          </w:tcPr>
          <w:p>
            <w:pPr/>
          </w:p>
        </w:tc>
        <w:tc>
          <w:tcPr>
            <w:tcW w:w="1078" w:type="dxa"/>
            <w:vMerge/>
            <w:tcBorders>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50"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6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6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37"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22" w:type="dxa"/>
            <w:vMerge/>
            <w:tcBorders>
              <w:left w:val="single" w:sz="4" w:space="0" w:color="000000"/>
              <w:bottom w:val="single" w:sz="4" w:space="0" w:color="000000"/>
              <w:right w:val="single" w:sz="4" w:space="0" w:color="000000"/>
            </w:tcBorders>
          </w:tcPr>
          <w:p>
            <w:pPr/>
          </w:p>
        </w:tc>
        <w:tc>
          <w:tcPr>
            <w:tcW w:w="1035" w:type="dxa"/>
            <w:vMerge/>
            <w:tcBorders>
              <w:left w:val="single" w:sz="4" w:space="0" w:color="000000"/>
              <w:bottom w:val="single" w:sz="4" w:space="0" w:color="000000"/>
              <w:right w:val="single" w:sz="4" w:space="0" w:color="000000"/>
            </w:tcBorders>
          </w:tcPr>
          <w:p>
            <w:pPr/>
          </w:p>
        </w:tc>
        <w:tc>
          <w:tcPr>
            <w:tcW w:w="1022" w:type="dxa"/>
            <w:vMerge/>
            <w:tcBorders>
              <w:left w:val="single" w:sz="4" w:space="0" w:color="000000"/>
              <w:bottom w:val="single" w:sz="4" w:space="0" w:color="000000"/>
              <w:right w:val="single" w:sz="4" w:space="0" w:color="000000"/>
            </w:tcBorders>
          </w:tcPr>
          <w:p>
            <w:pPr/>
          </w:p>
        </w:tc>
        <w:tc>
          <w:tcPr>
            <w:tcW w:w="1008" w:type="dxa"/>
            <w:vMerge/>
            <w:tcBorders>
              <w:left w:val="single" w:sz="4" w:space="0" w:color="000000"/>
              <w:bottom w:val="single" w:sz="4" w:space="0" w:color="000000"/>
              <w:right w:val="single" w:sz="4" w:space="0" w:color="000000"/>
            </w:tcBorders>
          </w:tcPr>
          <w:p>
            <w:pPr/>
          </w:p>
        </w:tc>
        <w:tc>
          <w:tcPr>
            <w:tcW w:w="1025" w:type="dxa"/>
            <w:vMerge/>
            <w:tcBorders>
              <w:left w:val="single" w:sz="4" w:space="0" w:color="000000"/>
              <w:bottom w:val="single" w:sz="4" w:space="0" w:color="000000"/>
              <w:right w:val="single" w:sz="4" w:space="0" w:color="000000"/>
            </w:tcBorders>
          </w:tcPr>
          <w:p>
            <w:pP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53" w:right="0"/>
              <w:jc w:val="left"/>
              <w:rPr>
                <w:rFonts w:ascii="宋体" w:hAnsi="宋体" w:cs="宋体" w:eastAsia="宋体" w:hint="default"/>
                <w:sz w:val="18"/>
                <w:szCs w:val="18"/>
              </w:rPr>
            </w:pPr>
            <w:r>
              <w:rPr>
                <w:rFonts w:ascii="宋体"/>
                <w:sz w:val="18"/>
              </w:rPr>
              <w:t>1,917,832</w:t>
            </w:r>
          </w:p>
          <w:p>
            <w:pPr>
              <w:pStyle w:val="TableParagraph"/>
              <w:spacing w:line="234" w:lineRule="exact"/>
              <w:ind w:left="604" w:right="0"/>
              <w:jc w:val="left"/>
              <w:rPr>
                <w:rFonts w:ascii="宋体" w:hAnsi="宋体" w:cs="宋体" w:eastAsia="宋体" w:hint="default"/>
                <w:sz w:val="18"/>
                <w:szCs w:val="18"/>
              </w:rPr>
            </w:pPr>
            <w:r>
              <w:rPr>
                <w:rFonts w:ascii="宋体"/>
                <w:sz w:val="18"/>
              </w:rPr>
              <w:t>,792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12" w:right="0"/>
              <w:jc w:val="left"/>
              <w:rPr>
                <w:rFonts w:ascii="宋体" w:hAnsi="宋体" w:cs="宋体" w:eastAsia="宋体" w:hint="default"/>
                <w:sz w:val="18"/>
                <w:szCs w:val="18"/>
              </w:rPr>
            </w:pPr>
            <w:r>
              <w:rPr>
                <w:rFonts w:ascii="宋体"/>
                <w:sz w:val="18"/>
              </w:rPr>
              <w:t>1,619,007</w:t>
            </w:r>
          </w:p>
          <w:p>
            <w:pPr>
              <w:pStyle w:val="TableParagraph"/>
              <w:spacing w:line="234" w:lineRule="exact"/>
              <w:ind w:left="564" w:right="0"/>
              <w:jc w:val="left"/>
              <w:rPr>
                <w:rFonts w:ascii="宋体" w:hAnsi="宋体" w:cs="宋体" w:eastAsia="宋体" w:hint="default"/>
                <w:sz w:val="18"/>
                <w:szCs w:val="18"/>
              </w:rPr>
            </w:pPr>
            <w:r>
              <w:rPr>
                <w:rFonts w:ascii="宋体"/>
                <w:sz w:val="18"/>
              </w:rPr>
              <w:t>,491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55,787,91</w:t>
            </w:r>
          </w:p>
          <w:p>
            <w:pPr>
              <w:pStyle w:val="TableParagraph"/>
              <w:spacing w:line="234" w:lineRule="exact"/>
              <w:ind w:right="11"/>
              <w:jc w:val="right"/>
              <w:rPr>
                <w:rFonts w:ascii="宋体" w:hAnsi="宋体" w:cs="宋体" w:eastAsia="宋体" w:hint="default"/>
                <w:sz w:val="18"/>
                <w:szCs w:val="18"/>
              </w:rPr>
            </w:pPr>
            <w:r>
              <w:rPr>
                <w:rFonts w:ascii="宋体"/>
                <w:sz w:val="18"/>
              </w:rPr>
              <w:t>0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9" w:right="0"/>
              <w:jc w:val="left"/>
              <w:rPr>
                <w:rFonts w:ascii="宋体" w:hAnsi="宋体" w:cs="宋体" w:eastAsia="宋体" w:hint="default"/>
                <w:sz w:val="18"/>
                <w:szCs w:val="18"/>
              </w:rPr>
            </w:pPr>
            <w:r>
              <w:rPr>
                <w:rFonts w:ascii="宋体"/>
                <w:sz w:val="18"/>
              </w:rPr>
              <w:t>-49,462,</w:t>
            </w:r>
          </w:p>
          <w:p>
            <w:pPr>
              <w:pStyle w:val="TableParagraph"/>
              <w:spacing w:line="234" w:lineRule="exact"/>
              <w:ind w:left="638" w:right="0"/>
              <w:jc w:val="left"/>
              <w:rPr>
                <w:rFonts w:ascii="宋体" w:hAnsi="宋体" w:cs="宋体" w:eastAsia="宋体" w:hint="default"/>
                <w:sz w:val="18"/>
                <w:szCs w:val="18"/>
              </w:rPr>
            </w:pPr>
            <w:r>
              <w:rPr>
                <w:rFonts w:ascii="宋体"/>
                <w:sz w:val="18"/>
              </w:rPr>
              <w:t>234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9" w:right="0"/>
              <w:jc w:val="left"/>
              <w:rPr>
                <w:rFonts w:ascii="宋体" w:hAnsi="宋体" w:cs="宋体" w:eastAsia="宋体" w:hint="default"/>
                <w:sz w:val="18"/>
                <w:szCs w:val="18"/>
              </w:rPr>
            </w:pPr>
            <w:r>
              <w:rPr>
                <w:rFonts w:ascii="宋体"/>
                <w:sz w:val="18"/>
              </w:rPr>
              <w:t>827,153,</w:t>
            </w:r>
          </w:p>
          <w:p>
            <w:pPr>
              <w:pStyle w:val="TableParagraph"/>
              <w:spacing w:line="234" w:lineRule="exact"/>
              <w:ind w:left="638" w:right="0"/>
              <w:jc w:val="left"/>
              <w:rPr>
                <w:rFonts w:ascii="宋体" w:hAnsi="宋体" w:cs="宋体" w:eastAsia="宋体" w:hint="default"/>
                <w:sz w:val="18"/>
                <w:szCs w:val="18"/>
              </w:rPr>
            </w:pPr>
            <w:r>
              <w:rPr>
                <w:rFonts w:ascii="宋体"/>
                <w:sz w:val="18"/>
              </w:rPr>
              <w:t>655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75" w:right="0"/>
              <w:jc w:val="left"/>
              <w:rPr>
                <w:rFonts w:ascii="宋体" w:hAnsi="宋体" w:cs="宋体" w:eastAsia="宋体" w:hint="default"/>
                <w:sz w:val="18"/>
                <w:szCs w:val="18"/>
              </w:rPr>
            </w:pPr>
            <w:r>
              <w:rPr>
                <w:rFonts w:ascii="宋体"/>
                <w:sz w:val="18"/>
              </w:rPr>
              <w:t>1,614,39</w:t>
            </w:r>
          </w:p>
          <w:p>
            <w:pPr>
              <w:pStyle w:val="TableParagraph"/>
              <w:spacing w:line="234" w:lineRule="exact"/>
              <w:ind w:left="443" w:right="0"/>
              <w:jc w:val="left"/>
              <w:rPr>
                <w:rFonts w:ascii="宋体" w:hAnsi="宋体" w:cs="宋体" w:eastAsia="宋体" w:hint="default"/>
                <w:sz w:val="18"/>
                <w:szCs w:val="18"/>
              </w:rPr>
            </w:pPr>
            <w:r>
              <w:rPr>
                <w:rFonts w:ascii="宋体"/>
                <w:sz w:val="18"/>
              </w:rPr>
              <w:t>9,420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sz w:val="18"/>
              </w:rPr>
              <w:t>5,873,143</w:t>
            </w:r>
          </w:p>
          <w:p>
            <w:pPr>
              <w:pStyle w:val="TableParagraph"/>
              <w:spacing w:line="234" w:lineRule="exact"/>
              <w:ind w:left="554" w:right="0"/>
              <w:jc w:val="left"/>
              <w:rPr>
                <w:rFonts w:ascii="宋体" w:hAnsi="宋体" w:cs="宋体" w:eastAsia="宋体" w:hint="default"/>
                <w:sz w:val="18"/>
                <w:szCs w:val="18"/>
              </w:rPr>
            </w:pPr>
            <w:r>
              <w:rPr>
                <w:rFonts w:ascii="宋体"/>
                <w:sz w:val="18"/>
              </w:rPr>
              <w:t>,214 </w:t>
            </w:r>
          </w:p>
        </w:tc>
      </w:tr>
      <w:tr>
        <w:trPr>
          <w:trHeight w:val="475"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49,462,2</w:t>
            </w:r>
          </w:p>
          <w:p>
            <w:pPr>
              <w:pStyle w:val="TableParagraph"/>
              <w:spacing w:line="234" w:lineRule="exact"/>
              <w:ind w:right="11"/>
              <w:jc w:val="right"/>
              <w:rPr>
                <w:rFonts w:ascii="宋体" w:hAnsi="宋体" w:cs="宋体" w:eastAsia="宋体" w:hint="default"/>
                <w:sz w:val="18"/>
                <w:szCs w:val="18"/>
              </w:rPr>
            </w:pPr>
            <w:r>
              <w:rPr>
                <w:rFonts w:ascii="宋体"/>
                <w:spacing w:val="-1"/>
                <w:sz w:val="18"/>
              </w:rPr>
              <w:t>34</w:t>
            </w: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4,829,78</w:t>
            </w:r>
          </w:p>
          <w:p>
            <w:pPr>
              <w:pStyle w:val="TableParagraph"/>
              <w:spacing w:line="234" w:lineRule="exact"/>
              <w:ind w:right="11"/>
              <w:jc w:val="right"/>
              <w:rPr>
                <w:rFonts w:ascii="宋体" w:hAnsi="宋体" w:cs="宋体" w:eastAsia="宋体" w:hint="default"/>
                <w:sz w:val="18"/>
                <w:szCs w:val="18"/>
              </w:rPr>
            </w:pPr>
            <w:r>
              <w:rPr>
                <w:rFonts w:ascii="宋体"/>
                <w:sz w:val="18"/>
              </w:rPr>
              <w:t>6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29,747,3</w:t>
            </w:r>
          </w:p>
          <w:p>
            <w:pPr>
              <w:pStyle w:val="TableParagraph"/>
              <w:spacing w:line="234" w:lineRule="exact"/>
              <w:ind w:right="11"/>
              <w:jc w:val="right"/>
              <w:rPr>
                <w:rFonts w:ascii="宋体" w:hAnsi="宋体" w:cs="宋体" w:eastAsia="宋体" w:hint="default"/>
                <w:sz w:val="18"/>
                <w:szCs w:val="18"/>
              </w:rPr>
            </w:pPr>
            <w:r>
              <w:rPr>
                <w:rFonts w:ascii="宋体"/>
                <w:spacing w:val="-1"/>
                <w:sz w:val="18"/>
              </w:rPr>
              <w:t>98</w:t>
            </w: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84,039,41</w:t>
            </w:r>
          </w:p>
          <w:p>
            <w:pPr>
              <w:pStyle w:val="TableParagraph"/>
              <w:spacing w:line="234" w:lineRule="exact"/>
              <w:ind w:right="8"/>
              <w:jc w:val="right"/>
              <w:rPr>
                <w:rFonts w:ascii="宋体" w:hAnsi="宋体" w:cs="宋体" w:eastAsia="宋体" w:hint="default"/>
                <w:sz w:val="18"/>
                <w:szCs w:val="18"/>
              </w:rPr>
            </w:pPr>
            <w:r>
              <w:rPr>
                <w:rFonts w:ascii="宋体"/>
                <w:sz w:val="18"/>
              </w:rPr>
              <w:t>8 </w:t>
            </w:r>
          </w:p>
        </w:tc>
      </w:tr>
      <w:tr>
        <w:trPr>
          <w:trHeight w:val="245"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58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r>
      <w:tr>
        <w:trPr>
          <w:trHeight w:val="242"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8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53" w:right="0"/>
              <w:jc w:val="left"/>
              <w:rPr>
                <w:rFonts w:ascii="宋体" w:hAnsi="宋体" w:cs="宋体" w:eastAsia="宋体" w:hint="default"/>
                <w:sz w:val="18"/>
                <w:szCs w:val="18"/>
              </w:rPr>
            </w:pPr>
            <w:r>
              <w:rPr>
                <w:rFonts w:ascii="宋体"/>
                <w:sz w:val="18"/>
              </w:rPr>
              <w:t>1,917,832</w:t>
            </w:r>
          </w:p>
          <w:p>
            <w:pPr>
              <w:pStyle w:val="TableParagraph"/>
              <w:spacing w:line="240" w:lineRule="auto"/>
              <w:ind w:left="604" w:right="0"/>
              <w:jc w:val="left"/>
              <w:rPr>
                <w:rFonts w:ascii="宋体" w:hAnsi="宋体" w:cs="宋体" w:eastAsia="宋体" w:hint="default"/>
                <w:sz w:val="18"/>
                <w:szCs w:val="18"/>
              </w:rPr>
            </w:pPr>
            <w:r>
              <w:rPr>
                <w:rFonts w:ascii="宋体"/>
                <w:sz w:val="18"/>
              </w:rPr>
              <w:t>,792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2" w:right="0"/>
              <w:jc w:val="left"/>
              <w:rPr>
                <w:rFonts w:ascii="宋体" w:hAnsi="宋体" w:cs="宋体" w:eastAsia="宋体" w:hint="default"/>
                <w:sz w:val="18"/>
                <w:szCs w:val="18"/>
              </w:rPr>
            </w:pPr>
            <w:r>
              <w:rPr>
                <w:rFonts w:ascii="宋体"/>
                <w:sz w:val="18"/>
              </w:rPr>
              <w:t>1,619,007</w:t>
            </w:r>
          </w:p>
          <w:p>
            <w:pPr>
              <w:pStyle w:val="TableParagraph"/>
              <w:spacing w:line="240" w:lineRule="auto"/>
              <w:ind w:left="564" w:right="0"/>
              <w:jc w:val="left"/>
              <w:rPr>
                <w:rFonts w:ascii="宋体" w:hAnsi="宋体" w:cs="宋体" w:eastAsia="宋体" w:hint="default"/>
                <w:sz w:val="18"/>
                <w:szCs w:val="18"/>
              </w:rPr>
            </w:pPr>
            <w:r>
              <w:rPr>
                <w:rFonts w:ascii="宋体"/>
                <w:sz w:val="18"/>
              </w:rPr>
              <w:t>,491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55,787,91</w:t>
            </w: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9" w:right="0"/>
              <w:jc w:val="left"/>
              <w:rPr>
                <w:rFonts w:ascii="宋体" w:hAnsi="宋体" w:cs="宋体" w:eastAsia="宋体" w:hint="default"/>
                <w:sz w:val="18"/>
                <w:szCs w:val="18"/>
              </w:rPr>
            </w:pPr>
            <w:r>
              <w:rPr>
                <w:rFonts w:ascii="宋体"/>
                <w:sz w:val="18"/>
              </w:rPr>
              <w:t>831,983,</w:t>
            </w:r>
          </w:p>
          <w:p>
            <w:pPr>
              <w:pStyle w:val="TableParagraph"/>
              <w:spacing w:line="240" w:lineRule="auto"/>
              <w:ind w:left="638" w:right="0"/>
              <w:jc w:val="left"/>
              <w:rPr>
                <w:rFonts w:ascii="宋体" w:hAnsi="宋体" w:cs="宋体" w:eastAsia="宋体" w:hint="default"/>
                <w:sz w:val="18"/>
                <w:szCs w:val="18"/>
              </w:rPr>
            </w:pPr>
            <w:r>
              <w:rPr>
                <w:rFonts w:ascii="宋体"/>
                <w:sz w:val="18"/>
              </w:rPr>
              <w:t>441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5" w:right="0"/>
              <w:jc w:val="left"/>
              <w:rPr>
                <w:rFonts w:ascii="宋体" w:hAnsi="宋体" w:cs="宋体" w:eastAsia="宋体" w:hint="default"/>
                <w:sz w:val="18"/>
                <w:szCs w:val="18"/>
              </w:rPr>
            </w:pPr>
            <w:r>
              <w:rPr>
                <w:rFonts w:ascii="宋体"/>
                <w:sz w:val="18"/>
              </w:rPr>
              <w:t>1,644,14</w:t>
            </w:r>
          </w:p>
          <w:p>
            <w:pPr>
              <w:pStyle w:val="TableParagraph"/>
              <w:spacing w:line="240" w:lineRule="auto"/>
              <w:ind w:left="443" w:right="0"/>
              <w:jc w:val="left"/>
              <w:rPr>
                <w:rFonts w:ascii="宋体" w:hAnsi="宋体" w:cs="宋体" w:eastAsia="宋体" w:hint="default"/>
                <w:sz w:val="18"/>
                <w:szCs w:val="18"/>
              </w:rPr>
            </w:pPr>
            <w:r>
              <w:rPr>
                <w:rFonts w:ascii="宋体"/>
                <w:sz w:val="18"/>
              </w:rPr>
              <w:t>6,818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5,957,182</w:t>
            </w:r>
          </w:p>
          <w:p>
            <w:pPr>
              <w:pStyle w:val="TableParagraph"/>
              <w:spacing w:line="240" w:lineRule="auto"/>
              <w:ind w:left="554" w:right="0"/>
              <w:jc w:val="left"/>
              <w:rPr>
                <w:rFonts w:ascii="宋体" w:hAnsi="宋体" w:cs="宋体" w:eastAsia="宋体" w:hint="default"/>
                <w:sz w:val="18"/>
                <w:szCs w:val="18"/>
              </w:rPr>
            </w:pPr>
            <w:r>
              <w:rPr>
                <w:rFonts w:ascii="宋体"/>
                <w:sz w:val="18"/>
              </w:rPr>
              <w:t>,632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三、本期增减变动金额（减</w:t>
            </w:r>
          </w:p>
          <w:p>
            <w:pPr>
              <w:pStyle w:val="TableParagraph"/>
              <w:spacing w:line="248" w:lineRule="exact"/>
              <w:ind w:left="103" w:right="0"/>
              <w:jc w:val="left"/>
              <w:rPr>
                <w:rFonts w:ascii="宋体" w:hAnsi="宋体" w:cs="宋体" w:eastAsia="宋体" w:hint="default"/>
                <w:sz w:val="18"/>
                <w:szCs w:val="18"/>
              </w:rPr>
            </w:pPr>
            <w:r>
              <w:rPr>
                <w:rFonts w:ascii="宋体" w:hAnsi="宋体" w:cs="宋体" w:eastAsia="宋体" w:hint="default"/>
                <w:sz w:val="18"/>
                <w:szCs w:val="18"/>
              </w:rPr>
              <w:t>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586,065,3</w:t>
            </w:r>
          </w:p>
          <w:p>
            <w:pPr>
              <w:pStyle w:val="TableParagraph"/>
              <w:spacing w:line="234" w:lineRule="exact"/>
              <w:ind w:right="11"/>
              <w:jc w:val="right"/>
              <w:rPr>
                <w:rFonts w:ascii="宋体" w:hAnsi="宋体" w:cs="宋体" w:eastAsia="宋体" w:hint="default"/>
                <w:sz w:val="18"/>
                <w:szCs w:val="18"/>
              </w:rPr>
            </w:pPr>
            <w:r>
              <w:rPr>
                <w:rFonts w:ascii="宋体"/>
                <w:spacing w:val="-1"/>
                <w:sz w:val="18"/>
              </w:rPr>
              <w:t>72</w:t>
            </w: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12" w:right="0"/>
              <w:jc w:val="left"/>
              <w:rPr>
                <w:rFonts w:ascii="宋体" w:hAnsi="宋体" w:cs="宋体" w:eastAsia="宋体" w:hint="default"/>
                <w:sz w:val="18"/>
                <w:szCs w:val="18"/>
              </w:rPr>
            </w:pPr>
            <w:r>
              <w:rPr>
                <w:rFonts w:ascii="宋体"/>
                <w:sz w:val="18"/>
              </w:rPr>
              <w:t>-344,346,</w:t>
            </w:r>
          </w:p>
          <w:p>
            <w:pPr>
              <w:pStyle w:val="TableParagraph"/>
              <w:spacing w:line="234" w:lineRule="exact"/>
              <w:ind w:left="653" w:right="0"/>
              <w:jc w:val="left"/>
              <w:rPr>
                <w:rFonts w:ascii="宋体" w:hAnsi="宋体" w:cs="宋体" w:eastAsia="宋体" w:hint="default"/>
                <w:sz w:val="18"/>
                <w:szCs w:val="18"/>
              </w:rPr>
            </w:pPr>
            <w:r>
              <w:rPr>
                <w:rFonts w:ascii="宋体"/>
                <w:sz w:val="18"/>
              </w:rPr>
              <w:t>213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426,908,4</w:t>
            </w:r>
          </w:p>
          <w:p>
            <w:pPr>
              <w:pStyle w:val="TableParagraph"/>
              <w:spacing w:line="234" w:lineRule="exact"/>
              <w:ind w:right="11"/>
              <w:jc w:val="right"/>
              <w:rPr>
                <w:rFonts w:ascii="宋体" w:hAnsi="宋体" w:cs="宋体" w:eastAsia="宋体" w:hint="default"/>
                <w:sz w:val="18"/>
                <w:szCs w:val="18"/>
              </w:rPr>
            </w:pPr>
            <w:r>
              <w:rPr>
                <w:rFonts w:ascii="宋体"/>
                <w:spacing w:val="-1"/>
                <w:sz w:val="18"/>
              </w:rPr>
              <w:t>32</w:t>
            </w: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9" w:right="0"/>
              <w:jc w:val="left"/>
              <w:rPr>
                <w:rFonts w:ascii="宋体" w:hAnsi="宋体" w:cs="宋体" w:eastAsia="宋体" w:hint="default"/>
                <w:sz w:val="18"/>
                <w:szCs w:val="18"/>
              </w:rPr>
            </w:pPr>
            <w:r>
              <w:rPr>
                <w:rFonts w:ascii="宋体"/>
                <w:sz w:val="18"/>
              </w:rPr>
              <w:t>165,268,</w:t>
            </w:r>
          </w:p>
          <w:p>
            <w:pPr>
              <w:pStyle w:val="TableParagraph"/>
              <w:spacing w:line="234" w:lineRule="exact"/>
              <w:ind w:left="638" w:right="0"/>
              <w:jc w:val="left"/>
              <w:rPr>
                <w:rFonts w:ascii="宋体" w:hAnsi="宋体" w:cs="宋体" w:eastAsia="宋体" w:hint="default"/>
                <w:sz w:val="18"/>
                <w:szCs w:val="18"/>
              </w:rPr>
            </w:pPr>
            <w:r>
              <w:rPr>
                <w:rFonts w:ascii="宋体"/>
                <w:sz w:val="18"/>
              </w:rPr>
              <w:t>730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75" w:right="0"/>
              <w:jc w:val="left"/>
              <w:rPr>
                <w:rFonts w:ascii="宋体" w:hAnsi="宋体" w:cs="宋体" w:eastAsia="宋体" w:hint="default"/>
                <w:sz w:val="18"/>
                <w:szCs w:val="18"/>
              </w:rPr>
            </w:pPr>
            <w:r>
              <w:rPr>
                <w:rFonts w:ascii="宋体"/>
                <w:sz w:val="18"/>
              </w:rPr>
              <w:t>462,109,</w:t>
            </w:r>
          </w:p>
          <w:p>
            <w:pPr>
              <w:pStyle w:val="TableParagraph"/>
              <w:spacing w:line="234" w:lineRule="exact"/>
              <w:ind w:left="623" w:right="0"/>
              <w:jc w:val="left"/>
              <w:rPr>
                <w:rFonts w:ascii="宋体" w:hAnsi="宋体" w:cs="宋体" w:eastAsia="宋体" w:hint="default"/>
                <w:sz w:val="18"/>
                <w:szCs w:val="18"/>
              </w:rPr>
            </w:pPr>
            <w:r>
              <w:rPr>
                <w:rFonts w:ascii="宋体"/>
                <w:sz w:val="18"/>
              </w:rPr>
              <w:t>769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442,189,2</w:t>
            </w:r>
          </w:p>
          <w:p>
            <w:pPr>
              <w:pStyle w:val="TableParagraph"/>
              <w:spacing w:line="234" w:lineRule="exact"/>
              <w:ind w:right="8"/>
              <w:jc w:val="right"/>
              <w:rPr>
                <w:rFonts w:ascii="宋体" w:hAnsi="宋体" w:cs="宋体" w:eastAsia="宋体" w:hint="default"/>
                <w:sz w:val="18"/>
                <w:szCs w:val="18"/>
              </w:rPr>
            </w:pPr>
            <w:r>
              <w:rPr>
                <w:rFonts w:ascii="宋体"/>
                <w:spacing w:val="-1"/>
                <w:sz w:val="18"/>
              </w:rPr>
              <w:t>26</w:t>
            </w:r>
            <w:r>
              <w:rPr>
                <w:rFonts w:ascii="宋体"/>
                <w:sz w:val="18"/>
              </w:rPr>
              <w:t> </w:t>
            </w:r>
          </w:p>
        </w:tc>
      </w:tr>
      <w:tr>
        <w:trPr>
          <w:trHeight w:val="476"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75" w:right="0"/>
              <w:jc w:val="left"/>
              <w:rPr>
                <w:rFonts w:ascii="宋体" w:hAnsi="宋体" w:cs="宋体" w:eastAsia="宋体" w:hint="default"/>
                <w:sz w:val="18"/>
                <w:szCs w:val="18"/>
              </w:rPr>
            </w:pPr>
            <w:r>
              <w:rPr>
                <w:rFonts w:ascii="宋体"/>
                <w:sz w:val="18"/>
              </w:rPr>
              <w:t>1,101,79</w:t>
            </w:r>
          </w:p>
          <w:p>
            <w:pPr>
              <w:pStyle w:val="TableParagraph"/>
              <w:spacing w:line="234" w:lineRule="exact"/>
              <w:ind w:left="443" w:right="0"/>
              <w:jc w:val="left"/>
              <w:rPr>
                <w:rFonts w:ascii="宋体" w:hAnsi="宋体" w:cs="宋体" w:eastAsia="宋体" w:hint="default"/>
                <w:sz w:val="18"/>
                <w:szCs w:val="18"/>
              </w:rPr>
            </w:pPr>
            <w:r>
              <w:rPr>
                <w:rFonts w:ascii="宋体"/>
                <w:sz w:val="18"/>
              </w:rPr>
              <w:t>1,535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sz w:val="18"/>
              </w:rPr>
              <w:t>1,101,791</w:t>
            </w:r>
          </w:p>
          <w:p>
            <w:pPr>
              <w:pStyle w:val="TableParagraph"/>
              <w:spacing w:line="234" w:lineRule="exact"/>
              <w:ind w:left="554" w:right="0"/>
              <w:jc w:val="left"/>
              <w:rPr>
                <w:rFonts w:ascii="宋体" w:hAnsi="宋体" w:cs="宋体" w:eastAsia="宋体" w:hint="default"/>
                <w:sz w:val="18"/>
                <w:szCs w:val="18"/>
              </w:rPr>
            </w:pPr>
            <w:r>
              <w:rPr>
                <w:rFonts w:ascii="宋体"/>
                <w:sz w:val="18"/>
              </w:rPr>
              <w:t>,535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（二）所有者投入和减少资</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16,769,73</w:t>
            </w: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pacing w:val="-1"/>
                <w:sz w:val="18"/>
              </w:rPr>
              <w:t>224,949,4</w:t>
            </w:r>
          </w:p>
          <w:p>
            <w:pPr>
              <w:pStyle w:val="TableParagraph"/>
              <w:spacing w:line="240" w:lineRule="auto"/>
              <w:ind w:right="11"/>
              <w:jc w:val="right"/>
              <w:rPr>
                <w:rFonts w:ascii="宋体" w:hAnsi="宋体" w:cs="宋体" w:eastAsia="宋体" w:hint="default"/>
                <w:sz w:val="18"/>
                <w:szCs w:val="18"/>
              </w:rPr>
            </w:pPr>
            <w:r>
              <w:rPr>
                <w:rFonts w:ascii="宋体"/>
                <w:spacing w:val="-1"/>
                <w:sz w:val="18"/>
              </w:rPr>
              <w:t>29</w:t>
            </w: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426,908,4</w:t>
            </w:r>
          </w:p>
          <w:p>
            <w:pPr>
              <w:pStyle w:val="TableParagraph"/>
              <w:spacing w:line="240" w:lineRule="auto"/>
              <w:ind w:right="11"/>
              <w:jc w:val="right"/>
              <w:rPr>
                <w:rFonts w:ascii="宋体" w:hAnsi="宋体" w:cs="宋体" w:eastAsia="宋体" w:hint="default"/>
                <w:sz w:val="18"/>
                <w:szCs w:val="18"/>
              </w:rPr>
            </w:pPr>
            <w:r>
              <w:rPr>
                <w:rFonts w:ascii="宋体"/>
                <w:spacing w:val="-1"/>
                <w:sz w:val="18"/>
              </w:rPr>
              <w:t>32</w:t>
            </w: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-185,189,</w:t>
            </w:r>
          </w:p>
          <w:p>
            <w:pPr>
              <w:pStyle w:val="TableParagraph"/>
              <w:spacing w:line="240" w:lineRule="auto"/>
              <w:ind w:left="643" w:right="0"/>
              <w:jc w:val="left"/>
              <w:rPr>
                <w:rFonts w:ascii="宋体" w:hAnsi="宋体" w:cs="宋体" w:eastAsia="宋体" w:hint="default"/>
                <w:sz w:val="18"/>
                <w:szCs w:val="18"/>
              </w:rPr>
            </w:pPr>
            <w:r>
              <w:rPr>
                <w:rFonts w:ascii="宋体"/>
                <w:sz w:val="18"/>
              </w:rPr>
              <w:t>273 </w:t>
            </w:r>
          </w:p>
        </w:tc>
      </w:tr>
      <w:tr>
        <w:trPr>
          <w:trHeight w:val="245"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．所有者投入的普通股</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53" w:right="0"/>
              <w:jc w:val="left"/>
              <w:rPr>
                <w:rFonts w:ascii="宋体" w:hAnsi="宋体" w:cs="宋体" w:eastAsia="宋体" w:hint="default"/>
                <w:sz w:val="18"/>
                <w:szCs w:val="18"/>
              </w:rPr>
            </w:pPr>
            <w:r>
              <w:rPr>
                <w:rFonts w:ascii="宋体"/>
                <w:sz w:val="18"/>
              </w:rPr>
              <w:t>17,763,65</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2" w:right="0"/>
              <w:jc w:val="left"/>
              <w:rPr>
                <w:rFonts w:ascii="宋体" w:hAnsi="宋体" w:cs="宋体" w:eastAsia="宋体" w:hint="default"/>
                <w:sz w:val="18"/>
                <w:szCs w:val="18"/>
              </w:rPr>
            </w:pPr>
            <w:r>
              <w:rPr>
                <w:rFonts w:ascii="宋体"/>
                <w:sz w:val="18"/>
              </w:rPr>
              <w:t>149,194,0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166,957,6</w:t>
            </w:r>
          </w:p>
        </w:tc>
      </w:tr>
    </w:tbl>
    <w:p>
      <w:pPr>
        <w:spacing w:after="0" w:line="205" w:lineRule="exact"/>
        <w:jc w:val="left"/>
        <w:rPr>
          <w:rFonts w:ascii="宋体" w:hAnsi="宋体" w:cs="宋体" w:eastAsia="宋体" w:hint="default"/>
          <w:sz w:val="18"/>
          <w:szCs w:val="18"/>
        </w:rPr>
        <w:sectPr>
          <w:type w:val="continuous"/>
          <w:pgSz w:w="16840" w:h="11910" w:orient="landscape"/>
          <w:pgMar w:top="1120" w:bottom="1380" w:left="1300" w:right="1220"/>
        </w:sectPr>
      </w:pPr>
    </w:p>
    <w:p>
      <w:pPr>
        <w:spacing w:line="240" w:lineRule="auto" w:before="2"/>
        <w:rPr>
          <w:rFonts w:ascii="Times New Roman" w:hAnsi="Times New Roman" w:cs="Times New Roman" w:eastAsia="Times New Roman" w:hint="default"/>
          <w:sz w:val="13"/>
          <w:szCs w:val="13"/>
        </w:rPr>
      </w:pPr>
    </w:p>
    <w:tbl>
      <w:tblPr>
        <w:tblW w:w="0" w:type="auto"/>
        <w:jc w:val="left"/>
        <w:tblInd w:w="103" w:type="dxa"/>
        <w:tblLayout w:type="fixed"/>
        <w:tblCellMar>
          <w:top w:w="0" w:type="dxa"/>
          <w:left w:w="0" w:type="dxa"/>
          <w:bottom w:w="0" w:type="dxa"/>
          <w:right w:w="0" w:type="dxa"/>
        </w:tblCellMar>
        <w:tblLook w:val="01E0"/>
      </w:tblPr>
      <w:tblGrid>
        <w:gridCol w:w="2451"/>
        <w:gridCol w:w="1078"/>
        <w:gridCol w:w="1049"/>
        <w:gridCol w:w="1078"/>
        <w:gridCol w:w="1092"/>
        <w:gridCol w:w="1037"/>
        <w:gridCol w:w="1063"/>
        <w:gridCol w:w="1022"/>
        <w:gridCol w:w="1035"/>
        <w:gridCol w:w="1022"/>
        <w:gridCol w:w="1008"/>
        <w:gridCol w:w="1025"/>
      </w:tblGrid>
      <w:tr>
        <w:trPr>
          <w:trHeight w:val="243" w:hRule="exact"/>
        </w:trPr>
        <w:tc>
          <w:tcPr>
            <w:tcW w:w="2451"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9 </w:t>
            </w:r>
          </w:p>
        </w:tc>
        <w:tc>
          <w:tcPr>
            <w:tcW w:w="1049"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24</w:t>
            </w: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1035"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pacing w:val="-1"/>
                <w:sz w:val="18"/>
              </w:rPr>
              <w:t>83</w:t>
            </w:r>
            <w:r>
              <w:rPr>
                <w:rFonts w:ascii="宋体"/>
                <w:sz w:val="18"/>
              </w:rPr>
              <w:t>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．其他权益工具持有者投入</w:t>
            </w:r>
          </w:p>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5"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．股份支付计入所有者权益</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1"/>
              <w:jc w:val="right"/>
              <w:rPr>
                <w:rFonts w:ascii="宋体" w:hAnsi="宋体" w:cs="宋体" w:eastAsia="宋体" w:hint="default"/>
                <w:sz w:val="18"/>
                <w:szCs w:val="18"/>
              </w:rPr>
            </w:pPr>
            <w:r>
              <w:rPr>
                <w:rFonts w:ascii="宋体"/>
                <w:spacing w:val="-1"/>
                <w:sz w:val="18"/>
              </w:rPr>
              <w:t>94,216,79</w:t>
            </w:r>
          </w:p>
          <w:p>
            <w:pPr>
              <w:pStyle w:val="TableParagraph"/>
              <w:spacing w:line="234" w:lineRule="exact"/>
              <w:ind w:right="11"/>
              <w:jc w:val="right"/>
              <w:rPr>
                <w:rFonts w:ascii="宋体" w:hAnsi="宋体" w:cs="宋体" w:eastAsia="宋体" w:hint="default"/>
                <w:sz w:val="18"/>
                <w:szCs w:val="18"/>
              </w:rPr>
            </w:pPr>
            <w:r>
              <w:rPr>
                <w:rFonts w:ascii="宋体"/>
                <w:sz w:val="18"/>
              </w:rPr>
              <w:t>1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94,216,79</w:t>
            </w:r>
          </w:p>
          <w:p>
            <w:pPr>
              <w:pStyle w:val="TableParagraph"/>
              <w:spacing w:line="234" w:lineRule="exact"/>
              <w:ind w:right="8"/>
              <w:jc w:val="right"/>
              <w:rPr>
                <w:rFonts w:ascii="宋体" w:hAnsi="宋体" w:cs="宋体" w:eastAsia="宋体" w:hint="default"/>
                <w:sz w:val="18"/>
                <w:szCs w:val="18"/>
              </w:rPr>
            </w:pPr>
            <w:r>
              <w:rPr>
                <w:rFonts w:ascii="宋体"/>
                <w:sz w:val="18"/>
              </w:rPr>
              <w:t>1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-993,929</w:t>
            </w: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pacing w:val="-1"/>
                <w:sz w:val="18"/>
              </w:rPr>
              <w:t>-18,461,3</w:t>
            </w:r>
          </w:p>
          <w:p>
            <w:pPr>
              <w:pStyle w:val="TableParagraph"/>
              <w:spacing w:line="234" w:lineRule="exact"/>
              <w:ind w:right="11"/>
              <w:jc w:val="right"/>
              <w:rPr>
                <w:rFonts w:ascii="宋体" w:hAnsi="宋体" w:cs="宋体" w:eastAsia="宋体" w:hint="default"/>
                <w:sz w:val="18"/>
                <w:szCs w:val="18"/>
              </w:rPr>
            </w:pPr>
            <w:r>
              <w:rPr>
                <w:rFonts w:ascii="宋体"/>
                <w:spacing w:val="-1"/>
                <w:sz w:val="18"/>
              </w:rPr>
              <w:t>86</w:t>
            </w: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426,908,4</w:t>
            </w:r>
          </w:p>
          <w:p>
            <w:pPr>
              <w:pStyle w:val="TableParagraph"/>
              <w:spacing w:line="234" w:lineRule="exact"/>
              <w:ind w:right="11"/>
              <w:jc w:val="right"/>
              <w:rPr>
                <w:rFonts w:ascii="宋体" w:hAnsi="宋体" w:cs="宋体" w:eastAsia="宋体" w:hint="default"/>
                <w:sz w:val="18"/>
                <w:szCs w:val="18"/>
              </w:rPr>
            </w:pPr>
            <w:r>
              <w:rPr>
                <w:rFonts w:ascii="宋体"/>
                <w:spacing w:val="-1"/>
                <w:sz w:val="18"/>
              </w:rPr>
              <w:t>32</w:t>
            </w: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-446,363,</w:t>
            </w:r>
          </w:p>
          <w:p>
            <w:pPr>
              <w:pStyle w:val="TableParagraph"/>
              <w:spacing w:line="234" w:lineRule="exact"/>
              <w:ind w:left="643" w:right="0"/>
              <w:jc w:val="left"/>
              <w:rPr>
                <w:rFonts w:ascii="宋体" w:hAnsi="宋体" w:cs="宋体" w:eastAsia="宋体" w:hint="default"/>
                <w:sz w:val="18"/>
                <w:szCs w:val="18"/>
              </w:rPr>
            </w:pPr>
            <w:r>
              <w:rPr>
                <w:rFonts w:ascii="宋体"/>
                <w:sz w:val="18"/>
              </w:rPr>
              <w:t>747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9" w:right="0"/>
              <w:jc w:val="left"/>
              <w:rPr>
                <w:rFonts w:ascii="宋体" w:hAnsi="宋体" w:cs="宋体" w:eastAsia="宋体" w:hint="default"/>
                <w:sz w:val="18"/>
                <w:szCs w:val="18"/>
              </w:rPr>
            </w:pPr>
            <w:r>
              <w:rPr>
                <w:rFonts w:ascii="宋体"/>
                <w:sz w:val="18"/>
              </w:rPr>
              <w:t>165,268,</w:t>
            </w:r>
          </w:p>
          <w:p>
            <w:pPr>
              <w:pStyle w:val="TableParagraph"/>
              <w:spacing w:line="240" w:lineRule="auto"/>
              <w:ind w:left="638" w:right="0"/>
              <w:jc w:val="left"/>
              <w:rPr>
                <w:rFonts w:ascii="宋体" w:hAnsi="宋体" w:cs="宋体" w:eastAsia="宋体" w:hint="default"/>
                <w:sz w:val="18"/>
                <w:szCs w:val="18"/>
              </w:rPr>
            </w:pPr>
            <w:r>
              <w:rPr>
                <w:rFonts w:ascii="宋体"/>
                <w:sz w:val="18"/>
              </w:rPr>
              <w:t>730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5" w:right="0"/>
              <w:jc w:val="left"/>
              <w:rPr>
                <w:rFonts w:ascii="宋体" w:hAnsi="宋体" w:cs="宋体" w:eastAsia="宋体" w:hint="default"/>
                <w:sz w:val="18"/>
                <w:szCs w:val="18"/>
              </w:rPr>
            </w:pPr>
            <w:r>
              <w:rPr>
                <w:rFonts w:ascii="宋体"/>
                <w:sz w:val="18"/>
              </w:rPr>
              <w:t>-639,681</w:t>
            </w:r>
          </w:p>
          <w:p>
            <w:pPr>
              <w:pStyle w:val="TableParagraph"/>
              <w:spacing w:line="240" w:lineRule="auto"/>
              <w:ind w:left="535" w:right="0"/>
              <w:jc w:val="left"/>
              <w:rPr>
                <w:rFonts w:ascii="宋体" w:hAnsi="宋体" w:cs="宋体" w:eastAsia="宋体" w:hint="default"/>
                <w:sz w:val="18"/>
                <w:szCs w:val="18"/>
              </w:rPr>
            </w:pPr>
            <w:r>
              <w:rPr>
                <w:rFonts w:ascii="宋体"/>
                <w:sz w:val="18"/>
              </w:rPr>
              <w:t>,766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-474,413,</w:t>
            </w:r>
          </w:p>
          <w:p>
            <w:pPr>
              <w:pStyle w:val="TableParagraph"/>
              <w:spacing w:line="240" w:lineRule="auto"/>
              <w:ind w:left="643" w:right="0"/>
              <w:jc w:val="left"/>
              <w:rPr>
                <w:rFonts w:ascii="宋体" w:hAnsi="宋体" w:cs="宋体" w:eastAsia="宋体" w:hint="default"/>
                <w:sz w:val="18"/>
                <w:szCs w:val="18"/>
              </w:rPr>
            </w:pPr>
            <w:r>
              <w:rPr>
                <w:rFonts w:ascii="宋体"/>
                <w:sz w:val="18"/>
              </w:rPr>
              <w:t>036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9" w:right="0"/>
              <w:jc w:val="left"/>
              <w:rPr>
                <w:rFonts w:ascii="宋体" w:hAnsi="宋体" w:cs="宋体" w:eastAsia="宋体" w:hint="default"/>
                <w:sz w:val="18"/>
                <w:szCs w:val="18"/>
              </w:rPr>
            </w:pPr>
            <w:r>
              <w:rPr>
                <w:rFonts w:ascii="宋体"/>
                <w:sz w:val="18"/>
              </w:rPr>
              <w:t>165,268,</w:t>
            </w:r>
          </w:p>
          <w:p>
            <w:pPr>
              <w:pStyle w:val="TableParagraph"/>
              <w:spacing w:line="234" w:lineRule="exact"/>
              <w:ind w:left="638" w:right="0"/>
              <w:jc w:val="left"/>
              <w:rPr>
                <w:rFonts w:ascii="宋体" w:hAnsi="宋体" w:cs="宋体" w:eastAsia="宋体" w:hint="default"/>
                <w:sz w:val="18"/>
                <w:szCs w:val="18"/>
              </w:rPr>
            </w:pPr>
            <w:r>
              <w:rPr>
                <w:rFonts w:ascii="宋体"/>
                <w:sz w:val="18"/>
              </w:rPr>
              <w:t>730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75" w:right="0"/>
              <w:jc w:val="left"/>
              <w:rPr>
                <w:rFonts w:ascii="宋体" w:hAnsi="宋体" w:cs="宋体" w:eastAsia="宋体" w:hint="default"/>
                <w:sz w:val="18"/>
                <w:szCs w:val="18"/>
              </w:rPr>
            </w:pPr>
            <w:r>
              <w:rPr>
                <w:rFonts w:ascii="宋体"/>
                <w:sz w:val="18"/>
              </w:rPr>
              <w:t>-165,268</w:t>
            </w:r>
          </w:p>
          <w:p>
            <w:pPr>
              <w:pStyle w:val="TableParagraph"/>
              <w:spacing w:line="234" w:lineRule="exact"/>
              <w:ind w:left="535" w:right="0"/>
              <w:jc w:val="left"/>
              <w:rPr>
                <w:rFonts w:ascii="宋体" w:hAnsi="宋体" w:cs="宋体" w:eastAsia="宋体" w:hint="default"/>
                <w:sz w:val="18"/>
                <w:szCs w:val="18"/>
              </w:rPr>
            </w:pPr>
            <w:r>
              <w:rPr>
                <w:rFonts w:ascii="宋体"/>
                <w:sz w:val="18"/>
              </w:rPr>
              <w:t>,730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5"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．对所有者（或股东）的分</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配</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75" w:right="0"/>
              <w:jc w:val="left"/>
              <w:rPr>
                <w:rFonts w:ascii="宋体" w:hAnsi="宋体" w:cs="宋体" w:eastAsia="宋体" w:hint="default"/>
                <w:sz w:val="18"/>
                <w:szCs w:val="18"/>
              </w:rPr>
            </w:pPr>
            <w:r>
              <w:rPr>
                <w:rFonts w:ascii="宋体"/>
                <w:sz w:val="18"/>
              </w:rPr>
              <w:t>-474,413</w:t>
            </w:r>
          </w:p>
          <w:p>
            <w:pPr>
              <w:pStyle w:val="TableParagraph"/>
              <w:spacing w:line="234" w:lineRule="exact"/>
              <w:ind w:left="535" w:right="0"/>
              <w:jc w:val="left"/>
              <w:rPr>
                <w:rFonts w:ascii="宋体" w:hAnsi="宋体" w:cs="宋体" w:eastAsia="宋体" w:hint="default"/>
                <w:sz w:val="18"/>
                <w:szCs w:val="18"/>
              </w:rPr>
            </w:pPr>
            <w:r>
              <w:rPr>
                <w:rFonts w:ascii="宋体"/>
                <w:sz w:val="18"/>
              </w:rPr>
              <w:t>,036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sz w:val="18"/>
              </w:rPr>
              <w:t>-474,413,</w:t>
            </w:r>
          </w:p>
          <w:p>
            <w:pPr>
              <w:pStyle w:val="TableParagraph"/>
              <w:spacing w:line="234" w:lineRule="exact"/>
              <w:ind w:left="643" w:right="0"/>
              <w:jc w:val="left"/>
              <w:rPr>
                <w:rFonts w:ascii="宋体" w:hAnsi="宋体" w:cs="宋体" w:eastAsia="宋体" w:hint="default"/>
                <w:sz w:val="18"/>
                <w:szCs w:val="18"/>
              </w:rPr>
            </w:pPr>
            <w:r>
              <w:rPr>
                <w:rFonts w:ascii="宋体"/>
                <w:sz w:val="18"/>
              </w:rPr>
              <w:t>036 </w:t>
            </w:r>
          </w:p>
        </w:tc>
      </w:tr>
      <w:tr>
        <w:trPr>
          <w:trHeight w:val="245"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5"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569,295,6</w:t>
            </w:r>
          </w:p>
          <w:p>
            <w:pPr>
              <w:pStyle w:val="TableParagraph"/>
              <w:spacing w:line="234" w:lineRule="exact"/>
              <w:ind w:right="11"/>
              <w:jc w:val="right"/>
              <w:rPr>
                <w:rFonts w:ascii="宋体" w:hAnsi="宋体" w:cs="宋体" w:eastAsia="宋体" w:hint="default"/>
                <w:sz w:val="18"/>
                <w:szCs w:val="18"/>
              </w:rPr>
            </w:pPr>
            <w:r>
              <w:rPr>
                <w:rFonts w:ascii="宋体"/>
                <w:spacing w:val="-1"/>
                <w:sz w:val="18"/>
              </w:rPr>
              <w:t>42</w:t>
            </w: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12" w:right="0"/>
              <w:jc w:val="left"/>
              <w:rPr>
                <w:rFonts w:ascii="宋体" w:hAnsi="宋体" w:cs="宋体" w:eastAsia="宋体" w:hint="default"/>
                <w:sz w:val="18"/>
                <w:szCs w:val="18"/>
              </w:rPr>
            </w:pPr>
            <w:r>
              <w:rPr>
                <w:rFonts w:ascii="宋体"/>
                <w:sz w:val="18"/>
              </w:rPr>
              <w:t>-569,295,</w:t>
            </w:r>
          </w:p>
          <w:p>
            <w:pPr>
              <w:pStyle w:val="TableParagraph"/>
              <w:spacing w:line="234" w:lineRule="exact"/>
              <w:ind w:left="653" w:right="0"/>
              <w:jc w:val="left"/>
              <w:rPr>
                <w:rFonts w:ascii="宋体" w:hAnsi="宋体" w:cs="宋体" w:eastAsia="宋体" w:hint="default"/>
                <w:sz w:val="18"/>
                <w:szCs w:val="18"/>
              </w:rPr>
            </w:pPr>
            <w:r>
              <w:rPr>
                <w:rFonts w:ascii="宋体"/>
                <w:sz w:val="18"/>
              </w:rPr>
              <w:t>642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spacing w:val="-1"/>
                <w:sz w:val="18"/>
              </w:rPr>
              <w:t>569,295,6</w:t>
            </w:r>
          </w:p>
          <w:p>
            <w:pPr>
              <w:pStyle w:val="TableParagraph"/>
              <w:spacing w:line="234" w:lineRule="exact"/>
              <w:ind w:right="11"/>
              <w:jc w:val="right"/>
              <w:rPr>
                <w:rFonts w:ascii="宋体" w:hAnsi="宋体" w:cs="宋体" w:eastAsia="宋体" w:hint="default"/>
                <w:sz w:val="18"/>
                <w:szCs w:val="18"/>
              </w:rPr>
            </w:pPr>
            <w:r>
              <w:rPr>
                <w:rFonts w:ascii="宋体"/>
                <w:spacing w:val="-1"/>
                <w:sz w:val="18"/>
              </w:rPr>
              <w:t>42</w:t>
            </w: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sz w:val="18"/>
              </w:rPr>
              <w:t>-569,295,</w:t>
            </w:r>
          </w:p>
          <w:p>
            <w:pPr>
              <w:pStyle w:val="TableParagraph"/>
              <w:spacing w:line="234" w:lineRule="exact"/>
              <w:ind w:left="653" w:right="0"/>
              <w:jc w:val="left"/>
              <w:rPr>
                <w:rFonts w:ascii="宋体" w:hAnsi="宋体" w:cs="宋体" w:eastAsia="宋体" w:hint="default"/>
                <w:sz w:val="18"/>
                <w:szCs w:val="18"/>
              </w:rPr>
            </w:pPr>
            <w:r>
              <w:rPr>
                <w:rFonts w:ascii="宋体"/>
                <w:sz w:val="18"/>
              </w:rPr>
              <w:t>642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w:t>
            </w:r>
          </w:p>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242"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．设定受益计划变动额结转</w:t>
            </w:r>
          </w:p>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留存收益</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．其他综合收益结转留存收</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242"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245"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242"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242"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r>
      <w:tr>
        <w:trPr>
          <w:trHeight w:val="245"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r>
      <w:tr>
        <w:trPr>
          <w:trHeight w:val="478" w:hRule="exact"/>
        </w:trPr>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53" w:right="0"/>
              <w:jc w:val="left"/>
              <w:rPr>
                <w:rFonts w:ascii="宋体" w:hAnsi="宋体" w:cs="宋体" w:eastAsia="宋体" w:hint="default"/>
                <w:sz w:val="18"/>
                <w:szCs w:val="18"/>
              </w:rPr>
            </w:pPr>
            <w:r>
              <w:rPr>
                <w:rFonts w:ascii="宋体"/>
                <w:sz w:val="18"/>
              </w:rPr>
              <w:t>2,503,898</w:t>
            </w:r>
          </w:p>
          <w:p>
            <w:pPr>
              <w:pStyle w:val="TableParagraph"/>
              <w:spacing w:line="234" w:lineRule="exact"/>
              <w:ind w:left="604" w:right="0"/>
              <w:jc w:val="left"/>
              <w:rPr>
                <w:rFonts w:ascii="宋体" w:hAnsi="宋体" w:cs="宋体" w:eastAsia="宋体" w:hint="default"/>
                <w:sz w:val="18"/>
                <w:szCs w:val="18"/>
              </w:rPr>
            </w:pPr>
            <w:r>
              <w:rPr>
                <w:rFonts w:ascii="宋体"/>
                <w:sz w:val="18"/>
              </w:rPr>
              <w:t>,164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12" w:right="0"/>
              <w:jc w:val="left"/>
              <w:rPr>
                <w:rFonts w:ascii="宋体" w:hAnsi="宋体" w:cs="宋体" w:eastAsia="宋体" w:hint="default"/>
                <w:sz w:val="18"/>
                <w:szCs w:val="18"/>
              </w:rPr>
            </w:pPr>
            <w:r>
              <w:rPr>
                <w:rFonts w:ascii="宋体"/>
                <w:sz w:val="18"/>
              </w:rPr>
              <w:t>1,274,661</w:t>
            </w:r>
          </w:p>
          <w:p>
            <w:pPr>
              <w:pStyle w:val="TableParagraph"/>
              <w:spacing w:line="234" w:lineRule="exact"/>
              <w:ind w:left="564" w:right="0"/>
              <w:jc w:val="left"/>
              <w:rPr>
                <w:rFonts w:ascii="宋体" w:hAnsi="宋体" w:cs="宋体" w:eastAsia="宋体" w:hint="default"/>
                <w:sz w:val="18"/>
                <w:szCs w:val="18"/>
              </w:rPr>
            </w:pPr>
            <w:r>
              <w:rPr>
                <w:rFonts w:ascii="宋体"/>
                <w:sz w:val="18"/>
              </w:rPr>
              <w:t>,278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482,696,3</w:t>
            </w:r>
          </w:p>
          <w:p>
            <w:pPr>
              <w:pStyle w:val="TableParagraph"/>
              <w:spacing w:line="234" w:lineRule="exact"/>
              <w:ind w:right="11"/>
              <w:jc w:val="right"/>
              <w:rPr>
                <w:rFonts w:ascii="宋体" w:hAnsi="宋体" w:cs="宋体" w:eastAsia="宋体" w:hint="default"/>
                <w:sz w:val="18"/>
                <w:szCs w:val="18"/>
              </w:rPr>
            </w:pPr>
            <w:r>
              <w:rPr>
                <w:rFonts w:ascii="宋体"/>
                <w:spacing w:val="-1"/>
                <w:sz w:val="18"/>
              </w:rPr>
              <w:t>42</w:t>
            </w: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9" w:right="0"/>
              <w:jc w:val="left"/>
              <w:rPr>
                <w:rFonts w:ascii="宋体" w:hAnsi="宋体" w:cs="宋体" w:eastAsia="宋体" w:hint="default"/>
                <w:sz w:val="18"/>
                <w:szCs w:val="18"/>
              </w:rPr>
            </w:pPr>
            <w:r>
              <w:rPr>
                <w:rFonts w:ascii="宋体"/>
                <w:sz w:val="18"/>
              </w:rPr>
              <w:t>997,252,</w:t>
            </w:r>
          </w:p>
          <w:p>
            <w:pPr>
              <w:pStyle w:val="TableParagraph"/>
              <w:spacing w:line="234" w:lineRule="exact"/>
              <w:ind w:left="638" w:right="0"/>
              <w:jc w:val="left"/>
              <w:rPr>
                <w:rFonts w:ascii="宋体" w:hAnsi="宋体" w:cs="宋体" w:eastAsia="宋体" w:hint="default"/>
                <w:sz w:val="18"/>
                <w:szCs w:val="18"/>
              </w:rPr>
            </w:pPr>
            <w:r>
              <w:rPr>
                <w:rFonts w:ascii="宋体"/>
                <w:sz w:val="18"/>
              </w:rPr>
              <w:t>171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75" w:right="0"/>
              <w:jc w:val="left"/>
              <w:rPr>
                <w:rFonts w:ascii="宋体" w:hAnsi="宋体" w:cs="宋体" w:eastAsia="宋体" w:hint="default"/>
                <w:sz w:val="18"/>
                <w:szCs w:val="18"/>
              </w:rPr>
            </w:pPr>
            <w:r>
              <w:rPr>
                <w:rFonts w:ascii="宋体"/>
                <w:sz w:val="18"/>
              </w:rPr>
              <w:t>2,106,25</w:t>
            </w:r>
          </w:p>
          <w:p>
            <w:pPr>
              <w:pStyle w:val="TableParagraph"/>
              <w:spacing w:line="234" w:lineRule="exact"/>
              <w:ind w:left="443" w:right="0"/>
              <w:jc w:val="left"/>
              <w:rPr>
                <w:rFonts w:ascii="宋体" w:hAnsi="宋体" w:cs="宋体" w:eastAsia="宋体" w:hint="default"/>
                <w:sz w:val="18"/>
                <w:szCs w:val="18"/>
              </w:rPr>
            </w:pPr>
            <w:r>
              <w:rPr>
                <w:rFonts w:ascii="宋体"/>
                <w:sz w:val="18"/>
              </w:rPr>
              <w:t>6,587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sz w:val="18"/>
              </w:rPr>
              <w:t>6,399,371</w:t>
            </w:r>
          </w:p>
          <w:p>
            <w:pPr>
              <w:pStyle w:val="TableParagraph"/>
              <w:spacing w:line="234" w:lineRule="exact"/>
              <w:ind w:left="554" w:right="0"/>
              <w:jc w:val="left"/>
              <w:rPr>
                <w:rFonts w:ascii="宋体" w:hAnsi="宋体" w:cs="宋体" w:eastAsia="宋体" w:hint="default"/>
                <w:sz w:val="18"/>
                <w:szCs w:val="18"/>
              </w:rPr>
            </w:pPr>
            <w:r>
              <w:rPr>
                <w:rFonts w:ascii="宋体"/>
                <w:sz w:val="18"/>
              </w:rPr>
              <w:t>,858 </w:t>
            </w:r>
          </w:p>
        </w:tc>
      </w:tr>
    </w:tbl>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8"/>
          <w:szCs w:val="28"/>
        </w:rPr>
      </w:pPr>
    </w:p>
    <w:tbl>
      <w:tblPr>
        <w:tblW w:w="0" w:type="auto"/>
        <w:jc w:val="left"/>
        <w:tblInd w:w="156" w:type="dxa"/>
        <w:tblLayout w:type="fixed"/>
        <w:tblCellMar>
          <w:top w:w="0" w:type="dxa"/>
          <w:left w:w="0" w:type="dxa"/>
          <w:bottom w:w="0" w:type="dxa"/>
          <w:right w:w="0" w:type="dxa"/>
        </w:tblCellMar>
        <w:tblLook w:val="01E0"/>
      </w:tblPr>
      <w:tblGrid>
        <w:gridCol w:w="2396"/>
        <w:gridCol w:w="1078"/>
        <w:gridCol w:w="3219"/>
        <w:gridCol w:w="1037"/>
        <w:gridCol w:w="1063"/>
        <w:gridCol w:w="1022"/>
        <w:gridCol w:w="1035"/>
        <w:gridCol w:w="1022"/>
        <w:gridCol w:w="1008"/>
        <w:gridCol w:w="1025"/>
      </w:tblGrid>
      <w:tr>
        <w:trPr>
          <w:trHeight w:val="247" w:hRule="exact"/>
        </w:trPr>
        <w:tc>
          <w:tcPr>
            <w:tcW w:w="2396" w:type="dxa"/>
            <w:vMerge w:val="restart"/>
            <w:tcBorders>
              <w:top w:val="single" w:sz="6" w:space="0" w:color="000000"/>
              <w:left w:val="single" w:sz="6" w:space="0" w:color="000000"/>
              <w:right w:val="single" w:sz="6" w:space="0" w:color="000000"/>
            </w:tcBorders>
          </w:tcPr>
          <w:p>
            <w:pPr>
              <w:pStyle w:val="TableParagraph"/>
              <w:spacing w:line="240" w:lineRule="auto" w:before="135"/>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11510" w:type="dxa"/>
            <w:gridSpan w:val="9"/>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9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331" w:hRule="exact"/>
        </w:trPr>
        <w:tc>
          <w:tcPr>
            <w:tcW w:w="2396" w:type="dxa"/>
            <w:vMerge/>
            <w:tcBorders>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0"/>
              <w:ind w:left="170" w:right="0"/>
              <w:jc w:val="left"/>
              <w:rPr>
                <w:rFonts w:ascii="宋体" w:hAnsi="宋体" w:cs="宋体" w:eastAsia="宋体" w:hint="default"/>
                <w:sz w:val="18"/>
                <w:szCs w:val="18"/>
              </w:rPr>
            </w:pPr>
            <w:r>
              <w:rPr>
                <w:rFonts w:ascii="宋体" w:hAnsi="宋体" w:cs="宋体" w:eastAsia="宋体" w:hint="default"/>
                <w:sz w:val="18"/>
                <w:szCs w:val="18"/>
              </w:rPr>
              <w:t>实收资本</w:t>
            </w:r>
          </w:p>
        </w:tc>
        <w:tc>
          <w:tcPr>
            <w:tcW w:w="3219" w:type="dxa"/>
            <w:tcBorders>
              <w:top w:val="single" w:sz="6" w:space="0" w:color="000000"/>
              <w:left w:val="single" w:sz="4" w:space="0" w:color="000000"/>
              <w:bottom w:val="single" w:sz="4" w:space="0" w:color="000000"/>
              <w:right w:val="single" w:sz="6" w:space="0" w:color="000000"/>
            </w:tcBorders>
          </w:tcPr>
          <w:p>
            <w:pPr>
              <w:pStyle w:val="TableParagraph"/>
              <w:spacing w:line="240" w:lineRule="auto" w:before="10"/>
              <w:ind w:left="106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5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11"/>
                <w:sz w:val="18"/>
                <w:szCs w:val="18"/>
              </w:rPr>
              <w:t>减：库存股</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43" w:right="0"/>
              <w:jc w:val="left"/>
              <w:rPr>
                <w:rFonts w:ascii="宋体" w:hAnsi="宋体" w:cs="宋体" w:eastAsia="宋体" w:hint="default"/>
                <w:sz w:val="18"/>
                <w:szCs w:val="18"/>
              </w:rPr>
            </w:pPr>
            <w:r>
              <w:rPr>
                <w:rFonts w:ascii="宋体" w:hAnsi="宋体" w:cs="宋体" w:eastAsia="宋体" w:hint="default"/>
                <w:sz w:val="18"/>
                <w:szCs w:val="18"/>
              </w:rPr>
              <w:t>其他综合</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5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4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36" w:right="0"/>
              <w:jc w:val="left"/>
              <w:rPr>
                <w:rFonts w:ascii="宋体" w:hAnsi="宋体" w:cs="宋体" w:eastAsia="宋体" w:hint="default"/>
                <w:sz w:val="18"/>
                <w:szCs w:val="18"/>
              </w:rPr>
            </w:pPr>
            <w:r>
              <w:rPr>
                <w:rFonts w:ascii="宋体" w:hAnsi="宋体" w:cs="宋体" w:eastAsia="宋体" w:hint="default"/>
                <w:sz w:val="18"/>
                <w:szCs w:val="18"/>
              </w:rPr>
              <w:t>未分配利</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46" w:right="0"/>
              <w:jc w:val="left"/>
              <w:rPr>
                <w:rFonts w:ascii="宋体" w:hAnsi="宋体" w:cs="宋体" w:eastAsia="宋体" w:hint="default"/>
                <w:sz w:val="18"/>
                <w:szCs w:val="18"/>
              </w:rPr>
            </w:pPr>
            <w:r>
              <w:rPr>
                <w:rFonts w:ascii="宋体" w:hAnsi="宋体" w:cs="宋体" w:eastAsia="宋体" w:hint="default"/>
                <w:sz w:val="18"/>
                <w:szCs w:val="18"/>
              </w:rPr>
              <w:t>所有者权</w:t>
            </w:r>
          </w:p>
        </w:tc>
      </w:tr>
    </w:tbl>
    <w:p>
      <w:pPr>
        <w:spacing w:after="0" w:line="240" w:lineRule="auto"/>
        <w:jc w:val="left"/>
        <w:rPr>
          <w:rFonts w:ascii="宋体" w:hAnsi="宋体" w:cs="宋体" w:eastAsia="宋体" w:hint="default"/>
          <w:sz w:val="18"/>
          <w:szCs w:val="18"/>
        </w:rPr>
        <w:sectPr>
          <w:pgSz w:w="16840" w:h="11910" w:orient="landscape"/>
          <w:pgMar w:header="882" w:footer="1195" w:top="1120" w:bottom="1380" w:left="1360" w:right="1280"/>
        </w:sectPr>
      </w:pPr>
    </w:p>
    <w:p>
      <w:pPr>
        <w:spacing w:line="240" w:lineRule="auto" w:before="2"/>
        <w:rPr>
          <w:rFonts w:ascii="Times New Roman" w:hAnsi="Times New Roman" w:cs="Times New Roman" w:eastAsia="Times New Roman" w:hint="default"/>
          <w:sz w:val="13"/>
          <w:szCs w:val="13"/>
        </w:rPr>
      </w:pPr>
    </w:p>
    <w:tbl>
      <w:tblPr>
        <w:tblW w:w="0" w:type="auto"/>
        <w:jc w:val="left"/>
        <w:tblInd w:w="136" w:type="dxa"/>
        <w:tblLayout w:type="fixed"/>
        <w:tblCellMar>
          <w:top w:w="0" w:type="dxa"/>
          <w:left w:w="0" w:type="dxa"/>
          <w:bottom w:w="0" w:type="dxa"/>
          <w:right w:w="0" w:type="dxa"/>
        </w:tblCellMar>
        <w:tblLook w:val="01E0"/>
      </w:tblPr>
      <w:tblGrid>
        <w:gridCol w:w="2396"/>
        <w:gridCol w:w="1078"/>
        <w:gridCol w:w="1049"/>
        <w:gridCol w:w="1078"/>
        <w:gridCol w:w="1092"/>
        <w:gridCol w:w="1037"/>
        <w:gridCol w:w="1063"/>
        <w:gridCol w:w="1022"/>
        <w:gridCol w:w="1035"/>
        <w:gridCol w:w="1022"/>
        <w:gridCol w:w="1008"/>
        <w:gridCol w:w="1025"/>
      </w:tblGrid>
      <w:tr>
        <w:trPr>
          <w:trHeight w:val="308" w:hRule="exact"/>
        </w:trPr>
        <w:tc>
          <w:tcPr>
            <w:tcW w:w="2396" w:type="dxa"/>
            <w:tcBorders>
              <w:top w:val="single" w:sz="6" w:space="0" w:color="000000"/>
              <w:left w:val="single" w:sz="6" w:space="0" w:color="000000"/>
              <w:bottom w:val="single" w:sz="6" w:space="0" w:color="000000"/>
              <w:right w:val="single" w:sz="6" w:space="0" w:color="000000"/>
            </w:tcBorders>
          </w:tcPr>
          <w:p>
            <w:pP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19" w:lineRule="exact"/>
              <w:ind w:left="2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或股本</w:t>
            </w:r>
            <w:r>
              <w:rPr>
                <w:rFonts w:ascii="Times New Roman" w:hAnsi="Times New Roman" w:cs="Times New Roman" w:eastAsia="Times New Roman" w:hint="default"/>
                <w:sz w:val="18"/>
                <w:szCs w:val="18"/>
              </w:rPr>
              <w:t>)</w:t>
            </w:r>
          </w:p>
        </w:tc>
        <w:tc>
          <w:tcPr>
            <w:tcW w:w="1049"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3"/>
              <w:ind w:left="250"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107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3"/>
              <w:ind w:left="26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092"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3"/>
              <w:ind w:left="36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37" w:type="dxa"/>
            <w:tcBorders>
              <w:top w:val="single" w:sz="6" w:space="0" w:color="000000"/>
              <w:left w:val="single" w:sz="6" w:space="0" w:color="000000"/>
              <w:bottom w:val="single" w:sz="6" w:space="0" w:color="000000"/>
              <w:right w:val="single" w:sz="6" w:space="0" w:color="000000"/>
            </w:tcBorders>
          </w:tcPr>
          <w:p>
            <w:pPr/>
          </w:p>
        </w:tc>
        <w:tc>
          <w:tcPr>
            <w:tcW w:w="1063" w:type="dxa"/>
            <w:tcBorders>
              <w:top w:val="single" w:sz="6" w:space="0" w:color="000000"/>
              <w:left w:val="single" w:sz="6" w:space="0" w:color="000000"/>
              <w:bottom w:val="single" w:sz="6" w:space="0" w:color="000000"/>
              <w:right w:val="single" w:sz="6" w:space="0" w:color="000000"/>
            </w:tcBorders>
          </w:tcPr>
          <w:p>
            <w:pP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323"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1035" w:type="dxa"/>
            <w:tcBorders>
              <w:top w:val="single" w:sz="6" w:space="0" w:color="000000"/>
              <w:left w:val="single" w:sz="6" w:space="0" w:color="000000"/>
              <w:bottom w:val="single" w:sz="6" w:space="0" w:color="000000"/>
              <w:right w:val="single" w:sz="6" w:space="0" w:color="000000"/>
            </w:tcBorders>
          </w:tcPr>
          <w:p>
            <w:pPr/>
          </w:p>
        </w:tc>
        <w:tc>
          <w:tcPr>
            <w:tcW w:w="1022" w:type="dxa"/>
            <w:tcBorders>
              <w:top w:val="single" w:sz="6" w:space="0" w:color="000000"/>
              <w:left w:val="single" w:sz="6" w:space="0" w:color="000000"/>
              <w:bottom w:val="single" w:sz="6" w:space="0" w:color="000000"/>
              <w:right w:val="single" w:sz="6" w:space="0" w:color="000000"/>
            </w:tcBorders>
          </w:tcPr>
          <w:p>
            <w:pP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润</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235" w:right="0"/>
              <w:jc w:val="left"/>
              <w:rPr>
                <w:rFonts w:ascii="宋体" w:hAnsi="宋体" w:cs="宋体" w:eastAsia="宋体" w:hint="default"/>
                <w:sz w:val="18"/>
                <w:szCs w:val="18"/>
              </w:rPr>
            </w:pPr>
            <w:r>
              <w:rPr>
                <w:rFonts w:ascii="宋体" w:hAnsi="宋体" w:cs="宋体" w:eastAsia="宋体" w:hint="default"/>
                <w:sz w:val="18"/>
                <w:szCs w:val="18"/>
              </w:rPr>
              <w:t>益合计</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6" w:lineRule="exact"/>
              <w:ind w:left="151" w:right="0"/>
              <w:jc w:val="left"/>
              <w:rPr>
                <w:rFonts w:ascii="宋体" w:hAnsi="宋体" w:cs="宋体" w:eastAsia="宋体" w:hint="default"/>
                <w:sz w:val="18"/>
                <w:szCs w:val="18"/>
              </w:rPr>
            </w:pPr>
            <w:r>
              <w:rPr>
                <w:rFonts w:ascii="宋体"/>
                <w:sz w:val="18"/>
              </w:rPr>
              <w:t>1,464,217</w:t>
            </w:r>
          </w:p>
          <w:p>
            <w:pPr>
              <w:pStyle w:val="TableParagraph"/>
              <w:spacing w:line="234" w:lineRule="exact"/>
              <w:ind w:left="602" w:right="0"/>
              <w:jc w:val="left"/>
              <w:rPr>
                <w:rFonts w:ascii="宋体" w:hAnsi="宋体" w:cs="宋体" w:eastAsia="宋体" w:hint="default"/>
                <w:sz w:val="18"/>
                <w:szCs w:val="18"/>
              </w:rPr>
            </w:pPr>
            <w:r>
              <w:rPr>
                <w:rFonts w:ascii="宋体"/>
                <w:sz w:val="18"/>
              </w:rPr>
              <w:t>,811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4" w:space="0" w:color="000000"/>
              <w:bottom w:val="single" w:sz="6" w:space="0" w:color="000000"/>
              <w:right w:val="single" w:sz="6" w:space="0" w:color="000000"/>
            </w:tcBorders>
          </w:tcPr>
          <w:p>
            <w:pPr>
              <w:pStyle w:val="TableParagraph"/>
              <w:spacing w:line="206" w:lineRule="exact"/>
              <w:ind w:left="112" w:right="0"/>
              <w:jc w:val="left"/>
              <w:rPr>
                <w:rFonts w:ascii="宋体" w:hAnsi="宋体" w:cs="宋体" w:eastAsia="宋体" w:hint="default"/>
                <w:sz w:val="18"/>
                <w:szCs w:val="18"/>
              </w:rPr>
            </w:pPr>
            <w:r>
              <w:rPr>
                <w:rFonts w:ascii="宋体"/>
                <w:sz w:val="18"/>
              </w:rPr>
              <w:t>1,688,282</w:t>
            </w:r>
          </w:p>
          <w:p>
            <w:pPr>
              <w:pStyle w:val="TableParagraph"/>
              <w:spacing w:line="234" w:lineRule="exact"/>
              <w:ind w:left="564" w:right="0"/>
              <w:jc w:val="left"/>
              <w:rPr>
                <w:rFonts w:ascii="宋体" w:hAnsi="宋体" w:cs="宋体" w:eastAsia="宋体" w:hint="default"/>
                <w:sz w:val="18"/>
                <w:szCs w:val="18"/>
              </w:rPr>
            </w:pPr>
            <w:r>
              <w:rPr>
                <w:rFonts w:ascii="宋体"/>
                <w:sz w:val="18"/>
              </w:rPr>
              <w:t>,407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102,196,2</w:t>
            </w:r>
          </w:p>
          <w:p>
            <w:pPr>
              <w:pStyle w:val="TableParagraph"/>
              <w:spacing w:line="234" w:lineRule="exact"/>
              <w:ind w:right="8"/>
              <w:jc w:val="right"/>
              <w:rPr>
                <w:rFonts w:ascii="宋体" w:hAnsi="宋体" w:cs="宋体" w:eastAsia="宋体" w:hint="default"/>
                <w:sz w:val="18"/>
                <w:szCs w:val="18"/>
              </w:rPr>
            </w:pPr>
            <w:r>
              <w:rPr>
                <w:rFonts w:ascii="宋体"/>
                <w:spacing w:val="-1"/>
                <w:sz w:val="18"/>
              </w:rPr>
              <w:t>91</w:t>
            </w: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87" w:right="0"/>
              <w:jc w:val="left"/>
              <w:rPr>
                <w:rFonts w:ascii="宋体" w:hAnsi="宋体" w:cs="宋体" w:eastAsia="宋体" w:hint="default"/>
                <w:sz w:val="18"/>
                <w:szCs w:val="18"/>
              </w:rPr>
            </w:pPr>
            <w:r>
              <w:rPr>
                <w:rFonts w:ascii="宋体"/>
                <w:sz w:val="18"/>
              </w:rPr>
              <w:t>725,148,</w:t>
            </w:r>
          </w:p>
          <w:p>
            <w:pPr>
              <w:pStyle w:val="TableParagraph"/>
              <w:spacing w:line="234" w:lineRule="exact"/>
              <w:ind w:left="635" w:right="0"/>
              <w:jc w:val="left"/>
              <w:rPr>
                <w:rFonts w:ascii="宋体" w:hAnsi="宋体" w:cs="宋体" w:eastAsia="宋体" w:hint="default"/>
                <w:sz w:val="18"/>
                <w:szCs w:val="18"/>
              </w:rPr>
            </w:pPr>
            <w:r>
              <w:rPr>
                <w:rFonts w:ascii="宋体"/>
                <w:sz w:val="18"/>
              </w:rPr>
              <w:t>306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72" w:right="0"/>
              <w:jc w:val="left"/>
              <w:rPr>
                <w:rFonts w:ascii="宋体" w:hAnsi="宋体" w:cs="宋体" w:eastAsia="宋体" w:hint="default"/>
                <w:sz w:val="18"/>
                <w:szCs w:val="18"/>
              </w:rPr>
            </w:pPr>
            <w:r>
              <w:rPr>
                <w:rFonts w:ascii="宋体"/>
                <w:sz w:val="18"/>
              </w:rPr>
              <w:t>1,255,55</w:t>
            </w:r>
          </w:p>
          <w:p>
            <w:pPr>
              <w:pStyle w:val="TableParagraph"/>
              <w:spacing w:line="234" w:lineRule="exact"/>
              <w:ind w:left="441" w:right="0"/>
              <w:jc w:val="left"/>
              <w:rPr>
                <w:rFonts w:ascii="宋体" w:hAnsi="宋体" w:cs="宋体" w:eastAsia="宋体" w:hint="default"/>
                <w:sz w:val="18"/>
                <w:szCs w:val="18"/>
              </w:rPr>
            </w:pPr>
            <w:r>
              <w:rPr>
                <w:rFonts w:ascii="宋体"/>
                <w:sz w:val="18"/>
              </w:rPr>
              <w:t>3,046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sz w:val="18"/>
              </w:rPr>
              <w:t>5,031,005</w:t>
            </w:r>
          </w:p>
          <w:p>
            <w:pPr>
              <w:pStyle w:val="TableParagraph"/>
              <w:spacing w:line="234" w:lineRule="exact"/>
              <w:ind w:left="552" w:right="0"/>
              <w:jc w:val="left"/>
              <w:rPr>
                <w:rFonts w:ascii="宋体" w:hAnsi="宋体" w:cs="宋体" w:eastAsia="宋体" w:hint="default"/>
                <w:sz w:val="18"/>
                <w:szCs w:val="18"/>
              </w:rPr>
            </w:pPr>
            <w:r>
              <w:rPr>
                <w:rFonts w:ascii="宋体"/>
                <w:sz w:val="18"/>
              </w:rPr>
              <w:t>,279 </w:t>
            </w:r>
          </w:p>
        </w:tc>
      </w:tr>
      <w:tr>
        <w:trPr>
          <w:trHeight w:val="25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247"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58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25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58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4" w:lineRule="exact"/>
              <w:ind w:left="151" w:right="0"/>
              <w:jc w:val="left"/>
              <w:rPr>
                <w:rFonts w:ascii="宋体" w:hAnsi="宋体" w:cs="宋体" w:eastAsia="宋体" w:hint="default"/>
                <w:sz w:val="18"/>
                <w:szCs w:val="18"/>
              </w:rPr>
            </w:pPr>
            <w:r>
              <w:rPr>
                <w:rFonts w:ascii="宋体"/>
                <w:sz w:val="18"/>
              </w:rPr>
              <w:t>1,464,217</w:t>
            </w:r>
          </w:p>
          <w:p>
            <w:pPr>
              <w:pStyle w:val="TableParagraph"/>
              <w:spacing w:line="234" w:lineRule="exact"/>
              <w:ind w:left="602" w:right="0"/>
              <w:jc w:val="left"/>
              <w:rPr>
                <w:rFonts w:ascii="宋体" w:hAnsi="宋体" w:cs="宋体" w:eastAsia="宋体" w:hint="default"/>
                <w:sz w:val="18"/>
                <w:szCs w:val="18"/>
              </w:rPr>
            </w:pPr>
            <w:r>
              <w:rPr>
                <w:rFonts w:ascii="宋体"/>
                <w:sz w:val="18"/>
              </w:rPr>
              <w:t>,811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4" w:space="0" w:color="000000"/>
              <w:bottom w:val="single" w:sz="6" w:space="0" w:color="000000"/>
              <w:right w:val="single" w:sz="6" w:space="0" w:color="000000"/>
            </w:tcBorders>
          </w:tcPr>
          <w:p>
            <w:pPr>
              <w:pStyle w:val="TableParagraph"/>
              <w:spacing w:line="204" w:lineRule="exact"/>
              <w:ind w:left="112" w:right="0"/>
              <w:jc w:val="left"/>
              <w:rPr>
                <w:rFonts w:ascii="宋体" w:hAnsi="宋体" w:cs="宋体" w:eastAsia="宋体" w:hint="default"/>
                <w:sz w:val="18"/>
                <w:szCs w:val="18"/>
              </w:rPr>
            </w:pPr>
            <w:r>
              <w:rPr>
                <w:rFonts w:ascii="宋体"/>
                <w:sz w:val="18"/>
              </w:rPr>
              <w:t>1,688,282</w:t>
            </w:r>
          </w:p>
          <w:p>
            <w:pPr>
              <w:pStyle w:val="TableParagraph"/>
              <w:spacing w:line="234" w:lineRule="exact"/>
              <w:ind w:left="564" w:right="0"/>
              <w:jc w:val="left"/>
              <w:rPr>
                <w:rFonts w:ascii="宋体" w:hAnsi="宋体" w:cs="宋体" w:eastAsia="宋体" w:hint="default"/>
                <w:sz w:val="18"/>
                <w:szCs w:val="18"/>
              </w:rPr>
            </w:pPr>
            <w:r>
              <w:rPr>
                <w:rFonts w:ascii="宋体"/>
                <w:sz w:val="18"/>
              </w:rPr>
              <w:t>,407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102,196,2</w:t>
            </w:r>
          </w:p>
          <w:p>
            <w:pPr>
              <w:pStyle w:val="TableParagraph"/>
              <w:spacing w:line="234" w:lineRule="exact"/>
              <w:ind w:right="8"/>
              <w:jc w:val="right"/>
              <w:rPr>
                <w:rFonts w:ascii="宋体" w:hAnsi="宋体" w:cs="宋体" w:eastAsia="宋体" w:hint="default"/>
                <w:sz w:val="18"/>
                <w:szCs w:val="18"/>
              </w:rPr>
            </w:pPr>
            <w:r>
              <w:rPr>
                <w:rFonts w:ascii="宋体"/>
                <w:spacing w:val="-1"/>
                <w:sz w:val="18"/>
              </w:rPr>
              <w:t>91</w:t>
            </w: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87" w:right="0"/>
              <w:jc w:val="left"/>
              <w:rPr>
                <w:rFonts w:ascii="宋体" w:hAnsi="宋体" w:cs="宋体" w:eastAsia="宋体" w:hint="default"/>
                <w:sz w:val="18"/>
                <w:szCs w:val="18"/>
              </w:rPr>
            </w:pPr>
            <w:r>
              <w:rPr>
                <w:rFonts w:ascii="宋体"/>
                <w:sz w:val="18"/>
              </w:rPr>
              <w:t>725,148,</w:t>
            </w:r>
          </w:p>
          <w:p>
            <w:pPr>
              <w:pStyle w:val="TableParagraph"/>
              <w:spacing w:line="234" w:lineRule="exact"/>
              <w:ind w:left="635" w:right="0"/>
              <w:jc w:val="left"/>
              <w:rPr>
                <w:rFonts w:ascii="宋体" w:hAnsi="宋体" w:cs="宋体" w:eastAsia="宋体" w:hint="default"/>
                <w:sz w:val="18"/>
                <w:szCs w:val="18"/>
              </w:rPr>
            </w:pPr>
            <w:r>
              <w:rPr>
                <w:rFonts w:ascii="宋体"/>
                <w:sz w:val="18"/>
              </w:rPr>
              <w:t>306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72" w:right="0"/>
              <w:jc w:val="left"/>
              <w:rPr>
                <w:rFonts w:ascii="宋体" w:hAnsi="宋体" w:cs="宋体" w:eastAsia="宋体" w:hint="default"/>
                <w:sz w:val="18"/>
                <w:szCs w:val="18"/>
              </w:rPr>
            </w:pPr>
            <w:r>
              <w:rPr>
                <w:rFonts w:ascii="宋体"/>
                <w:sz w:val="18"/>
              </w:rPr>
              <w:t>1,255,55</w:t>
            </w:r>
          </w:p>
          <w:p>
            <w:pPr>
              <w:pStyle w:val="TableParagraph"/>
              <w:spacing w:line="234" w:lineRule="exact"/>
              <w:ind w:left="441" w:right="0"/>
              <w:jc w:val="left"/>
              <w:rPr>
                <w:rFonts w:ascii="宋体" w:hAnsi="宋体" w:cs="宋体" w:eastAsia="宋体" w:hint="default"/>
                <w:sz w:val="18"/>
                <w:szCs w:val="18"/>
              </w:rPr>
            </w:pPr>
            <w:r>
              <w:rPr>
                <w:rFonts w:ascii="宋体"/>
                <w:sz w:val="18"/>
              </w:rPr>
              <w:t>3,046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sz w:val="18"/>
              </w:rPr>
              <w:t>5,031,005</w:t>
            </w:r>
          </w:p>
          <w:p>
            <w:pPr>
              <w:pStyle w:val="TableParagraph"/>
              <w:spacing w:line="234" w:lineRule="exact"/>
              <w:ind w:left="552" w:right="0"/>
              <w:jc w:val="left"/>
              <w:rPr>
                <w:rFonts w:ascii="宋体" w:hAnsi="宋体" w:cs="宋体" w:eastAsia="宋体" w:hint="default"/>
                <w:sz w:val="18"/>
                <w:szCs w:val="18"/>
              </w:rPr>
            </w:pPr>
            <w:r>
              <w:rPr>
                <w:rFonts w:ascii="宋体"/>
                <w:sz w:val="18"/>
              </w:rPr>
              <w:t>,279 </w:t>
            </w:r>
          </w:p>
        </w:tc>
      </w:tr>
      <w:tr>
        <w:trPr>
          <w:trHeight w:val="48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三、本期增减变动金额（减</w:t>
            </w:r>
          </w:p>
          <w:p>
            <w:pPr>
              <w:pStyle w:val="TableParagraph"/>
              <w:spacing w:line="248" w:lineRule="exact"/>
              <w:ind w:left="100" w:right="0"/>
              <w:jc w:val="left"/>
              <w:rPr>
                <w:rFonts w:ascii="宋体" w:hAnsi="宋体" w:cs="宋体" w:eastAsia="宋体" w:hint="default"/>
                <w:sz w:val="18"/>
                <w:szCs w:val="18"/>
              </w:rPr>
            </w:pPr>
            <w:r>
              <w:rPr>
                <w:rFonts w:ascii="宋体" w:hAnsi="宋体" w:cs="宋体" w:eastAsia="宋体" w:hint="default"/>
                <w:sz w:val="18"/>
                <w:szCs w:val="18"/>
              </w:rPr>
              <w:t>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453,614,9</w:t>
            </w:r>
          </w:p>
          <w:p>
            <w:pPr>
              <w:pStyle w:val="TableParagraph"/>
              <w:spacing w:line="234" w:lineRule="exact"/>
              <w:ind w:right="11"/>
              <w:jc w:val="right"/>
              <w:rPr>
                <w:rFonts w:ascii="宋体" w:hAnsi="宋体" w:cs="宋体" w:eastAsia="宋体" w:hint="default"/>
                <w:sz w:val="18"/>
                <w:szCs w:val="18"/>
              </w:rPr>
            </w:pPr>
            <w:r>
              <w:rPr>
                <w:rFonts w:ascii="宋体"/>
                <w:spacing w:val="-1"/>
                <w:sz w:val="18"/>
              </w:rPr>
              <w:t>81</w:t>
            </w: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-69,274,9</w:t>
            </w:r>
          </w:p>
          <w:p>
            <w:pPr>
              <w:pStyle w:val="TableParagraph"/>
              <w:spacing w:line="234" w:lineRule="exact"/>
              <w:ind w:right="8"/>
              <w:jc w:val="right"/>
              <w:rPr>
                <w:rFonts w:ascii="宋体" w:hAnsi="宋体" w:cs="宋体" w:eastAsia="宋体" w:hint="default"/>
                <w:sz w:val="18"/>
                <w:szCs w:val="18"/>
              </w:rPr>
            </w:pPr>
            <w:r>
              <w:rPr>
                <w:rFonts w:ascii="宋体"/>
                <w:spacing w:val="-1"/>
                <w:sz w:val="18"/>
              </w:rPr>
              <w:t>16</w:t>
            </w: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-46,408,3</w:t>
            </w:r>
          </w:p>
          <w:p>
            <w:pPr>
              <w:pStyle w:val="TableParagraph"/>
              <w:spacing w:line="234" w:lineRule="exact"/>
              <w:ind w:right="8"/>
              <w:jc w:val="right"/>
              <w:rPr>
                <w:rFonts w:ascii="宋体" w:hAnsi="宋体" w:cs="宋体" w:eastAsia="宋体" w:hint="default"/>
                <w:sz w:val="18"/>
                <w:szCs w:val="18"/>
              </w:rPr>
            </w:pPr>
            <w:r>
              <w:rPr>
                <w:rFonts w:ascii="宋体"/>
                <w:spacing w:val="-1"/>
                <w:sz w:val="18"/>
              </w:rPr>
              <w:t>81</w:t>
            </w: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87" w:right="0"/>
              <w:jc w:val="left"/>
              <w:rPr>
                <w:rFonts w:ascii="宋体" w:hAnsi="宋体" w:cs="宋体" w:eastAsia="宋体" w:hint="default"/>
                <w:sz w:val="18"/>
                <w:szCs w:val="18"/>
              </w:rPr>
            </w:pPr>
            <w:r>
              <w:rPr>
                <w:rFonts w:ascii="宋体"/>
                <w:sz w:val="18"/>
              </w:rPr>
              <w:t>-49,462,</w:t>
            </w:r>
          </w:p>
          <w:p>
            <w:pPr>
              <w:pStyle w:val="TableParagraph"/>
              <w:spacing w:line="234" w:lineRule="exact"/>
              <w:ind w:left="635" w:right="0"/>
              <w:jc w:val="left"/>
              <w:rPr>
                <w:rFonts w:ascii="宋体" w:hAnsi="宋体" w:cs="宋体" w:eastAsia="宋体" w:hint="default"/>
                <w:sz w:val="18"/>
                <w:szCs w:val="18"/>
              </w:rPr>
            </w:pPr>
            <w:r>
              <w:rPr>
                <w:rFonts w:ascii="宋体"/>
                <w:sz w:val="18"/>
              </w:rPr>
              <w:t>234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87" w:right="0"/>
              <w:jc w:val="left"/>
              <w:rPr>
                <w:rFonts w:ascii="宋体" w:hAnsi="宋体" w:cs="宋体" w:eastAsia="宋体" w:hint="default"/>
                <w:sz w:val="18"/>
                <w:szCs w:val="18"/>
              </w:rPr>
            </w:pPr>
            <w:r>
              <w:rPr>
                <w:rFonts w:ascii="宋体"/>
                <w:sz w:val="18"/>
              </w:rPr>
              <w:t>102,005,</w:t>
            </w:r>
          </w:p>
          <w:p>
            <w:pPr>
              <w:pStyle w:val="TableParagraph"/>
              <w:spacing w:line="234" w:lineRule="exact"/>
              <w:ind w:left="635" w:right="0"/>
              <w:jc w:val="left"/>
              <w:rPr>
                <w:rFonts w:ascii="宋体" w:hAnsi="宋体" w:cs="宋体" w:eastAsia="宋体" w:hint="default"/>
                <w:sz w:val="18"/>
                <w:szCs w:val="18"/>
              </w:rPr>
            </w:pPr>
            <w:r>
              <w:rPr>
                <w:rFonts w:ascii="宋体"/>
                <w:sz w:val="18"/>
              </w:rPr>
              <w:t>349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72" w:right="0"/>
              <w:jc w:val="left"/>
              <w:rPr>
                <w:rFonts w:ascii="宋体" w:hAnsi="宋体" w:cs="宋体" w:eastAsia="宋体" w:hint="default"/>
                <w:sz w:val="18"/>
                <w:szCs w:val="18"/>
              </w:rPr>
            </w:pPr>
            <w:r>
              <w:rPr>
                <w:rFonts w:ascii="宋体"/>
                <w:sz w:val="18"/>
              </w:rPr>
              <w:t>358,846,</w:t>
            </w:r>
          </w:p>
          <w:p>
            <w:pPr>
              <w:pStyle w:val="TableParagraph"/>
              <w:spacing w:line="234" w:lineRule="exact"/>
              <w:ind w:left="621" w:right="0"/>
              <w:jc w:val="left"/>
              <w:rPr>
                <w:rFonts w:ascii="宋体" w:hAnsi="宋体" w:cs="宋体" w:eastAsia="宋体" w:hint="default"/>
                <w:sz w:val="18"/>
                <w:szCs w:val="18"/>
              </w:rPr>
            </w:pPr>
            <w:r>
              <w:rPr>
                <w:rFonts w:ascii="宋体"/>
                <w:sz w:val="18"/>
              </w:rPr>
              <w:t>374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right="95"/>
              <w:jc w:val="right"/>
              <w:rPr>
                <w:rFonts w:ascii="宋体" w:hAnsi="宋体" w:cs="宋体" w:eastAsia="宋体" w:hint="default"/>
                <w:sz w:val="18"/>
                <w:szCs w:val="18"/>
              </w:rPr>
            </w:pPr>
            <w:r>
              <w:rPr>
                <w:rFonts w:ascii="宋体"/>
                <w:spacing w:val="-1"/>
                <w:sz w:val="18"/>
              </w:rPr>
              <w:t>842,137,9</w:t>
            </w:r>
          </w:p>
          <w:p>
            <w:pPr>
              <w:pStyle w:val="TableParagraph"/>
              <w:spacing w:line="234" w:lineRule="exact"/>
              <w:ind w:right="6"/>
              <w:jc w:val="right"/>
              <w:rPr>
                <w:rFonts w:ascii="宋体" w:hAnsi="宋体" w:cs="宋体" w:eastAsia="宋体" w:hint="default"/>
                <w:sz w:val="18"/>
                <w:szCs w:val="18"/>
              </w:rPr>
            </w:pPr>
            <w:r>
              <w:rPr>
                <w:rFonts w:ascii="宋体"/>
                <w:spacing w:val="-1"/>
                <w:sz w:val="18"/>
              </w:rPr>
              <w:t>35</w:t>
            </w:r>
            <w:r>
              <w:rPr>
                <w:rFonts w:ascii="宋体"/>
                <w:sz w:val="18"/>
              </w:rPr>
              <w:t> </w:t>
            </w:r>
          </w:p>
        </w:tc>
      </w:tr>
      <w:tr>
        <w:trPr>
          <w:trHeight w:val="483"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87" w:right="0"/>
              <w:jc w:val="left"/>
              <w:rPr>
                <w:rFonts w:ascii="宋体" w:hAnsi="宋体" w:cs="宋体" w:eastAsia="宋体" w:hint="default"/>
                <w:sz w:val="18"/>
                <w:szCs w:val="18"/>
              </w:rPr>
            </w:pPr>
            <w:r>
              <w:rPr>
                <w:rFonts w:ascii="宋体"/>
                <w:sz w:val="18"/>
              </w:rPr>
              <w:t>-49,462,</w:t>
            </w:r>
          </w:p>
          <w:p>
            <w:pPr>
              <w:pStyle w:val="TableParagraph"/>
              <w:spacing w:line="234" w:lineRule="exact"/>
              <w:ind w:left="635" w:right="0"/>
              <w:jc w:val="left"/>
              <w:rPr>
                <w:rFonts w:ascii="宋体" w:hAnsi="宋体" w:cs="宋体" w:eastAsia="宋体" w:hint="default"/>
                <w:sz w:val="18"/>
                <w:szCs w:val="18"/>
              </w:rPr>
            </w:pPr>
            <w:r>
              <w:rPr>
                <w:rFonts w:ascii="宋体"/>
                <w:sz w:val="18"/>
              </w:rPr>
              <w:t>234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72" w:right="0"/>
              <w:jc w:val="left"/>
              <w:rPr>
                <w:rFonts w:ascii="宋体" w:hAnsi="宋体" w:cs="宋体" w:eastAsia="宋体" w:hint="default"/>
                <w:sz w:val="18"/>
                <w:szCs w:val="18"/>
              </w:rPr>
            </w:pPr>
            <w:r>
              <w:rPr>
                <w:rFonts w:ascii="宋体"/>
                <w:sz w:val="18"/>
              </w:rPr>
              <w:t>680,035,</w:t>
            </w:r>
          </w:p>
          <w:p>
            <w:pPr>
              <w:pStyle w:val="TableParagraph"/>
              <w:spacing w:line="234" w:lineRule="exact"/>
              <w:ind w:left="621" w:right="0"/>
              <w:jc w:val="left"/>
              <w:rPr>
                <w:rFonts w:ascii="宋体" w:hAnsi="宋体" w:cs="宋体" w:eastAsia="宋体" w:hint="default"/>
                <w:sz w:val="18"/>
                <w:szCs w:val="18"/>
              </w:rPr>
            </w:pPr>
            <w:r>
              <w:rPr>
                <w:rFonts w:ascii="宋体"/>
                <w:sz w:val="18"/>
              </w:rPr>
              <w:t>657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5"/>
              <w:jc w:val="right"/>
              <w:rPr>
                <w:rFonts w:ascii="宋体" w:hAnsi="宋体" w:cs="宋体" w:eastAsia="宋体" w:hint="default"/>
                <w:sz w:val="18"/>
                <w:szCs w:val="18"/>
              </w:rPr>
            </w:pPr>
            <w:r>
              <w:rPr>
                <w:rFonts w:ascii="宋体"/>
                <w:spacing w:val="-1"/>
                <w:sz w:val="18"/>
              </w:rPr>
              <w:t>630,573,4</w:t>
            </w:r>
          </w:p>
          <w:p>
            <w:pPr>
              <w:pStyle w:val="TableParagraph"/>
              <w:spacing w:line="234" w:lineRule="exact"/>
              <w:ind w:right="6"/>
              <w:jc w:val="right"/>
              <w:rPr>
                <w:rFonts w:ascii="宋体" w:hAnsi="宋体" w:cs="宋体" w:eastAsia="宋体" w:hint="default"/>
                <w:sz w:val="18"/>
                <w:szCs w:val="18"/>
              </w:rPr>
            </w:pPr>
            <w:r>
              <w:rPr>
                <w:rFonts w:ascii="宋体"/>
                <w:spacing w:val="-1"/>
                <w:sz w:val="18"/>
              </w:rPr>
              <w:t>23</w:t>
            </w:r>
            <w:r>
              <w:rPr>
                <w:rFonts w:ascii="宋体"/>
                <w:sz w:val="18"/>
              </w:rPr>
              <w:t> </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（二）所有者投入和减少资</w:t>
            </w: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15,247,11</w:t>
            </w:r>
          </w:p>
          <w:p>
            <w:pPr>
              <w:pStyle w:val="TableParagraph"/>
              <w:spacing w:line="240" w:lineRule="auto"/>
              <w:ind w:right="11"/>
              <w:jc w:val="right"/>
              <w:rPr>
                <w:rFonts w:ascii="宋体" w:hAnsi="宋体" w:cs="宋体" w:eastAsia="宋体" w:hint="default"/>
                <w:sz w:val="18"/>
                <w:szCs w:val="18"/>
              </w:rPr>
            </w:pPr>
            <w:r>
              <w:rPr>
                <w:rFonts w:ascii="宋体"/>
                <w:sz w:val="18"/>
              </w:rPr>
              <w:t>3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369,092,9</w:t>
            </w:r>
          </w:p>
          <w:p>
            <w:pPr>
              <w:pStyle w:val="TableParagraph"/>
              <w:spacing w:line="240" w:lineRule="auto"/>
              <w:ind w:right="8"/>
              <w:jc w:val="right"/>
              <w:rPr>
                <w:rFonts w:ascii="宋体" w:hAnsi="宋体" w:cs="宋体" w:eastAsia="宋体" w:hint="default"/>
                <w:sz w:val="18"/>
                <w:szCs w:val="18"/>
              </w:rPr>
            </w:pPr>
            <w:r>
              <w:rPr>
                <w:rFonts w:ascii="宋体"/>
                <w:spacing w:val="-1"/>
                <w:sz w:val="18"/>
              </w:rPr>
              <w:t>52</w:t>
            </w: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-46,408,3</w:t>
            </w:r>
          </w:p>
          <w:p>
            <w:pPr>
              <w:pStyle w:val="TableParagraph"/>
              <w:spacing w:line="240" w:lineRule="auto"/>
              <w:ind w:right="8"/>
              <w:jc w:val="right"/>
              <w:rPr>
                <w:rFonts w:ascii="宋体" w:hAnsi="宋体" w:cs="宋体" w:eastAsia="宋体" w:hint="default"/>
                <w:sz w:val="18"/>
                <w:szCs w:val="18"/>
              </w:rPr>
            </w:pPr>
            <w:r>
              <w:rPr>
                <w:rFonts w:ascii="宋体"/>
                <w:spacing w:val="-1"/>
                <w:sz w:val="18"/>
              </w:rPr>
              <w:t>81</w:t>
            </w: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5"/>
              <w:jc w:val="right"/>
              <w:rPr>
                <w:rFonts w:ascii="宋体" w:hAnsi="宋体" w:cs="宋体" w:eastAsia="宋体" w:hint="default"/>
                <w:sz w:val="18"/>
                <w:szCs w:val="18"/>
              </w:rPr>
            </w:pPr>
            <w:r>
              <w:rPr>
                <w:rFonts w:ascii="宋体"/>
                <w:spacing w:val="-1"/>
                <w:sz w:val="18"/>
              </w:rPr>
              <w:t>430,748,4</w:t>
            </w:r>
          </w:p>
          <w:p>
            <w:pPr>
              <w:pStyle w:val="TableParagraph"/>
              <w:spacing w:line="240" w:lineRule="auto"/>
              <w:ind w:right="6"/>
              <w:jc w:val="right"/>
              <w:rPr>
                <w:rFonts w:ascii="宋体" w:hAnsi="宋体" w:cs="宋体" w:eastAsia="宋体" w:hint="default"/>
                <w:sz w:val="18"/>
                <w:szCs w:val="18"/>
              </w:rPr>
            </w:pPr>
            <w:r>
              <w:rPr>
                <w:rFonts w:ascii="宋体"/>
                <w:spacing w:val="-1"/>
                <w:sz w:val="18"/>
              </w:rPr>
              <w:t>46</w:t>
            </w:r>
            <w:r>
              <w:rPr>
                <w:rFonts w:ascii="宋体"/>
                <w:sz w:val="18"/>
              </w:rPr>
              <w:t> </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．所有者投入的普通股</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19,201,95</w:t>
            </w:r>
          </w:p>
          <w:p>
            <w:pPr>
              <w:pStyle w:val="TableParagraph"/>
              <w:spacing w:line="234" w:lineRule="exact"/>
              <w:ind w:right="11"/>
              <w:jc w:val="right"/>
              <w:rPr>
                <w:rFonts w:ascii="宋体" w:hAnsi="宋体" w:cs="宋体" w:eastAsia="宋体" w:hint="default"/>
                <w:sz w:val="18"/>
                <w:szCs w:val="18"/>
              </w:rPr>
            </w:pPr>
            <w:r>
              <w:rPr>
                <w:rFonts w:ascii="宋体"/>
                <w:sz w:val="18"/>
              </w:rPr>
              <w:t>3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213,141,6</w:t>
            </w:r>
          </w:p>
          <w:p>
            <w:pPr>
              <w:pStyle w:val="TableParagraph"/>
              <w:spacing w:line="234" w:lineRule="exact"/>
              <w:ind w:right="8"/>
              <w:jc w:val="right"/>
              <w:rPr>
                <w:rFonts w:ascii="宋体" w:hAnsi="宋体" w:cs="宋体" w:eastAsia="宋体" w:hint="default"/>
                <w:sz w:val="18"/>
                <w:szCs w:val="18"/>
              </w:rPr>
            </w:pPr>
            <w:r>
              <w:rPr>
                <w:rFonts w:ascii="宋体"/>
                <w:spacing w:val="-1"/>
                <w:sz w:val="18"/>
              </w:rPr>
              <w:t>87</w:t>
            </w: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right="95"/>
              <w:jc w:val="right"/>
              <w:rPr>
                <w:rFonts w:ascii="宋体" w:hAnsi="宋体" w:cs="宋体" w:eastAsia="宋体" w:hint="default"/>
                <w:sz w:val="18"/>
                <w:szCs w:val="18"/>
              </w:rPr>
            </w:pPr>
            <w:r>
              <w:rPr>
                <w:rFonts w:ascii="宋体"/>
                <w:spacing w:val="-1"/>
                <w:sz w:val="18"/>
              </w:rPr>
              <w:t>232,343,6</w:t>
            </w:r>
          </w:p>
          <w:p>
            <w:pPr>
              <w:pStyle w:val="TableParagraph"/>
              <w:spacing w:line="234" w:lineRule="exact"/>
              <w:ind w:right="6"/>
              <w:jc w:val="right"/>
              <w:rPr>
                <w:rFonts w:ascii="宋体" w:hAnsi="宋体" w:cs="宋体" w:eastAsia="宋体" w:hint="default"/>
                <w:sz w:val="18"/>
                <w:szCs w:val="18"/>
              </w:rPr>
            </w:pPr>
            <w:r>
              <w:rPr>
                <w:rFonts w:ascii="宋体"/>
                <w:spacing w:val="-1"/>
                <w:sz w:val="18"/>
              </w:rPr>
              <w:t>40</w:t>
            </w:r>
            <w:r>
              <w:rPr>
                <w:rFonts w:ascii="宋体"/>
                <w:sz w:val="18"/>
              </w:rPr>
              <w:t> </w:t>
            </w:r>
          </w:p>
        </w:tc>
      </w:tr>
      <w:tr>
        <w:trPr>
          <w:trHeight w:val="48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72"/>
                <w:sz w:val="18"/>
                <w:szCs w:val="18"/>
              </w:rPr>
              <w:t>．</w:t>
            </w:r>
            <w:r>
              <w:rPr>
                <w:rFonts w:ascii="宋体" w:hAnsi="宋体" w:cs="宋体" w:eastAsia="宋体" w:hint="default"/>
                <w:sz w:val="18"/>
                <w:szCs w:val="18"/>
              </w:rPr>
              <w:t>其他权益工具持有者投入</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72"/>
                <w:sz w:val="18"/>
                <w:szCs w:val="18"/>
              </w:rPr>
              <w:t>．</w:t>
            </w:r>
            <w:r>
              <w:rPr>
                <w:rFonts w:ascii="宋体" w:hAnsi="宋体" w:cs="宋体" w:eastAsia="宋体" w:hint="default"/>
                <w:sz w:val="18"/>
                <w:szCs w:val="18"/>
              </w:rPr>
              <w:t>股份支付计入所有者权益</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pacing w:val="-1"/>
                <w:sz w:val="18"/>
              </w:rPr>
              <w:t>180,368,5</w:t>
            </w:r>
          </w:p>
          <w:p>
            <w:pPr>
              <w:pStyle w:val="TableParagraph"/>
              <w:spacing w:line="234" w:lineRule="exact"/>
              <w:ind w:right="8"/>
              <w:jc w:val="right"/>
              <w:rPr>
                <w:rFonts w:ascii="宋体" w:hAnsi="宋体" w:cs="宋体" w:eastAsia="宋体" w:hint="default"/>
                <w:sz w:val="18"/>
                <w:szCs w:val="18"/>
              </w:rPr>
            </w:pPr>
            <w:r>
              <w:rPr>
                <w:rFonts w:ascii="宋体"/>
                <w:spacing w:val="-1"/>
                <w:sz w:val="18"/>
              </w:rPr>
              <w:t>01</w:t>
            </w: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5"/>
              <w:jc w:val="right"/>
              <w:rPr>
                <w:rFonts w:ascii="宋体" w:hAnsi="宋体" w:cs="宋体" w:eastAsia="宋体" w:hint="default"/>
                <w:sz w:val="18"/>
                <w:szCs w:val="18"/>
              </w:rPr>
            </w:pPr>
            <w:r>
              <w:rPr>
                <w:rFonts w:ascii="宋体"/>
                <w:spacing w:val="-1"/>
                <w:sz w:val="18"/>
              </w:rPr>
              <w:t>180,368,5</w:t>
            </w:r>
          </w:p>
          <w:p>
            <w:pPr>
              <w:pStyle w:val="TableParagraph"/>
              <w:spacing w:line="234" w:lineRule="exact"/>
              <w:ind w:right="6"/>
              <w:jc w:val="right"/>
              <w:rPr>
                <w:rFonts w:ascii="宋体" w:hAnsi="宋体" w:cs="宋体" w:eastAsia="宋体" w:hint="default"/>
                <w:sz w:val="18"/>
                <w:szCs w:val="18"/>
              </w:rPr>
            </w:pPr>
            <w:r>
              <w:rPr>
                <w:rFonts w:ascii="宋体"/>
                <w:spacing w:val="-1"/>
                <w:sz w:val="18"/>
              </w:rPr>
              <w:t>01</w:t>
            </w:r>
            <w:r>
              <w:rPr>
                <w:rFonts w:ascii="宋体"/>
                <w:sz w:val="18"/>
              </w:rPr>
              <w:t> </w:t>
            </w:r>
          </w:p>
        </w:tc>
      </w:tr>
      <w:tr>
        <w:trPr>
          <w:trHeight w:val="483"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pacing w:val="-1"/>
                <w:sz w:val="18"/>
              </w:rPr>
              <w:t>-3,954,84</w:t>
            </w: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-24,417,2</w:t>
            </w:r>
          </w:p>
          <w:p>
            <w:pPr>
              <w:pStyle w:val="TableParagraph"/>
              <w:spacing w:line="240" w:lineRule="auto"/>
              <w:ind w:right="8"/>
              <w:jc w:val="right"/>
              <w:rPr>
                <w:rFonts w:ascii="宋体" w:hAnsi="宋体" w:cs="宋体" w:eastAsia="宋体" w:hint="default"/>
                <w:sz w:val="18"/>
                <w:szCs w:val="18"/>
              </w:rPr>
            </w:pPr>
            <w:r>
              <w:rPr>
                <w:rFonts w:ascii="宋体"/>
                <w:spacing w:val="-1"/>
                <w:sz w:val="18"/>
              </w:rPr>
              <w:t>36</w:t>
            </w: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8"/>
              <w:jc w:val="right"/>
              <w:rPr>
                <w:rFonts w:ascii="宋体" w:hAnsi="宋体" w:cs="宋体" w:eastAsia="宋体" w:hint="default"/>
                <w:sz w:val="18"/>
                <w:szCs w:val="18"/>
              </w:rPr>
            </w:pPr>
            <w:r>
              <w:rPr>
                <w:rFonts w:ascii="宋体"/>
                <w:spacing w:val="-1"/>
                <w:sz w:val="18"/>
              </w:rPr>
              <w:t>-46,408,3</w:t>
            </w:r>
          </w:p>
          <w:p>
            <w:pPr>
              <w:pStyle w:val="TableParagraph"/>
              <w:spacing w:line="240" w:lineRule="auto"/>
              <w:ind w:right="8"/>
              <w:jc w:val="right"/>
              <w:rPr>
                <w:rFonts w:ascii="宋体" w:hAnsi="宋体" w:cs="宋体" w:eastAsia="宋体" w:hint="default"/>
                <w:sz w:val="18"/>
                <w:szCs w:val="18"/>
              </w:rPr>
            </w:pPr>
            <w:r>
              <w:rPr>
                <w:rFonts w:ascii="宋体"/>
                <w:spacing w:val="-1"/>
                <w:sz w:val="18"/>
              </w:rPr>
              <w:t>81</w:t>
            </w: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95"/>
              <w:jc w:val="right"/>
              <w:rPr>
                <w:rFonts w:ascii="宋体" w:hAnsi="宋体" w:cs="宋体" w:eastAsia="宋体" w:hint="default"/>
                <w:sz w:val="18"/>
                <w:szCs w:val="18"/>
              </w:rPr>
            </w:pPr>
            <w:r>
              <w:rPr>
                <w:rFonts w:ascii="宋体"/>
                <w:spacing w:val="-1"/>
                <w:sz w:val="18"/>
              </w:rPr>
              <w:t>18,036,30</w:t>
            </w:r>
          </w:p>
          <w:p>
            <w:pPr>
              <w:pStyle w:val="TableParagraph"/>
              <w:spacing w:line="240" w:lineRule="auto"/>
              <w:ind w:right="6"/>
              <w:jc w:val="right"/>
              <w:rPr>
                <w:rFonts w:ascii="宋体" w:hAnsi="宋体" w:cs="宋体" w:eastAsia="宋体" w:hint="default"/>
                <w:sz w:val="18"/>
                <w:szCs w:val="18"/>
              </w:rPr>
            </w:pPr>
            <w:r>
              <w:rPr>
                <w:rFonts w:ascii="宋体"/>
                <w:sz w:val="18"/>
              </w:rPr>
              <w:t>5 </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87" w:right="0"/>
              <w:jc w:val="left"/>
              <w:rPr>
                <w:rFonts w:ascii="宋体" w:hAnsi="宋体" w:cs="宋体" w:eastAsia="宋体" w:hint="default"/>
                <w:sz w:val="18"/>
                <w:szCs w:val="18"/>
              </w:rPr>
            </w:pPr>
            <w:r>
              <w:rPr>
                <w:rFonts w:ascii="宋体"/>
                <w:sz w:val="18"/>
              </w:rPr>
              <w:t>102,005,</w:t>
            </w:r>
          </w:p>
          <w:p>
            <w:pPr>
              <w:pStyle w:val="TableParagraph"/>
              <w:spacing w:line="240" w:lineRule="auto"/>
              <w:ind w:left="635" w:right="0"/>
              <w:jc w:val="left"/>
              <w:rPr>
                <w:rFonts w:ascii="宋体" w:hAnsi="宋体" w:cs="宋体" w:eastAsia="宋体" w:hint="default"/>
                <w:sz w:val="18"/>
                <w:szCs w:val="18"/>
              </w:rPr>
            </w:pPr>
            <w:r>
              <w:rPr>
                <w:rFonts w:ascii="宋体"/>
                <w:sz w:val="18"/>
              </w:rPr>
              <w:t>349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72" w:right="0"/>
              <w:jc w:val="left"/>
              <w:rPr>
                <w:rFonts w:ascii="宋体" w:hAnsi="宋体" w:cs="宋体" w:eastAsia="宋体" w:hint="default"/>
                <w:sz w:val="18"/>
                <w:szCs w:val="18"/>
              </w:rPr>
            </w:pPr>
            <w:r>
              <w:rPr>
                <w:rFonts w:ascii="宋体"/>
                <w:sz w:val="18"/>
              </w:rPr>
              <w:t>-321,189</w:t>
            </w:r>
          </w:p>
          <w:p>
            <w:pPr>
              <w:pStyle w:val="TableParagraph"/>
              <w:spacing w:line="240" w:lineRule="auto"/>
              <w:ind w:left="532" w:right="0"/>
              <w:jc w:val="left"/>
              <w:rPr>
                <w:rFonts w:ascii="宋体" w:hAnsi="宋体" w:cs="宋体" w:eastAsia="宋体" w:hint="default"/>
                <w:sz w:val="18"/>
                <w:szCs w:val="18"/>
              </w:rPr>
            </w:pPr>
            <w:r>
              <w:rPr>
                <w:rFonts w:ascii="宋体"/>
                <w:sz w:val="18"/>
              </w:rPr>
              <w:t>,283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sz w:val="18"/>
              </w:rPr>
              <w:t>-219,183,</w:t>
            </w:r>
          </w:p>
          <w:p>
            <w:pPr>
              <w:pStyle w:val="TableParagraph"/>
              <w:spacing w:line="240" w:lineRule="auto"/>
              <w:ind w:left="640" w:right="0"/>
              <w:jc w:val="left"/>
              <w:rPr>
                <w:rFonts w:ascii="宋体" w:hAnsi="宋体" w:cs="宋体" w:eastAsia="宋体" w:hint="default"/>
                <w:sz w:val="18"/>
                <w:szCs w:val="18"/>
              </w:rPr>
            </w:pPr>
            <w:r>
              <w:rPr>
                <w:rFonts w:ascii="宋体"/>
                <w:sz w:val="18"/>
              </w:rPr>
              <w:t>934 </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87" w:right="0"/>
              <w:jc w:val="left"/>
              <w:rPr>
                <w:rFonts w:ascii="宋体" w:hAnsi="宋体" w:cs="宋体" w:eastAsia="宋体" w:hint="default"/>
                <w:sz w:val="18"/>
                <w:szCs w:val="18"/>
              </w:rPr>
            </w:pPr>
            <w:r>
              <w:rPr>
                <w:rFonts w:ascii="宋体"/>
                <w:sz w:val="18"/>
              </w:rPr>
              <w:t>102,005,</w:t>
            </w:r>
          </w:p>
          <w:p>
            <w:pPr>
              <w:pStyle w:val="TableParagraph"/>
              <w:spacing w:line="234" w:lineRule="exact"/>
              <w:ind w:left="635" w:right="0"/>
              <w:jc w:val="left"/>
              <w:rPr>
                <w:rFonts w:ascii="宋体" w:hAnsi="宋体" w:cs="宋体" w:eastAsia="宋体" w:hint="default"/>
                <w:sz w:val="18"/>
                <w:szCs w:val="18"/>
              </w:rPr>
            </w:pPr>
            <w:r>
              <w:rPr>
                <w:rFonts w:ascii="宋体"/>
                <w:sz w:val="18"/>
              </w:rPr>
              <w:t>349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72" w:right="0"/>
              <w:jc w:val="left"/>
              <w:rPr>
                <w:rFonts w:ascii="宋体" w:hAnsi="宋体" w:cs="宋体" w:eastAsia="宋体" w:hint="default"/>
                <w:sz w:val="18"/>
                <w:szCs w:val="18"/>
              </w:rPr>
            </w:pPr>
            <w:r>
              <w:rPr>
                <w:rFonts w:ascii="宋体"/>
                <w:sz w:val="18"/>
              </w:rPr>
              <w:t>-102,005</w:t>
            </w:r>
          </w:p>
          <w:p>
            <w:pPr>
              <w:pStyle w:val="TableParagraph"/>
              <w:spacing w:line="234" w:lineRule="exact"/>
              <w:ind w:left="532" w:right="0"/>
              <w:jc w:val="left"/>
              <w:rPr>
                <w:rFonts w:ascii="宋体" w:hAnsi="宋体" w:cs="宋体" w:eastAsia="宋体" w:hint="default"/>
                <w:sz w:val="18"/>
                <w:szCs w:val="18"/>
              </w:rPr>
            </w:pPr>
            <w:r>
              <w:rPr>
                <w:rFonts w:ascii="宋体"/>
                <w:sz w:val="18"/>
              </w:rPr>
              <w:t>,349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48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．对所有者（或股东）的分</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配</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72" w:right="0"/>
              <w:jc w:val="left"/>
              <w:rPr>
                <w:rFonts w:ascii="宋体" w:hAnsi="宋体" w:cs="宋体" w:eastAsia="宋体" w:hint="default"/>
                <w:sz w:val="18"/>
                <w:szCs w:val="18"/>
              </w:rPr>
            </w:pPr>
            <w:r>
              <w:rPr>
                <w:rFonts w:ascii="宋体"/>
                <w:sz w:val="18"/>
              </w:rPr>
              <w:t>-219,183</w:t>
            </w:r>
          </w:p>
          <w:p>
            <w:pPr>
              <w:pStyle w:val="TableParagraph"/>
              <w:spacing w:line="234" w:lineRule="exact"/>
              <w:ind w:left="532" w:right="0"/>
              <w:jc w:val="left"/>
              <w:rPr>
                <w:rFonts w:ascii="宋体" w:hAnsi="宋体" w:cs="宋体" w:eastAsia="宋体" w:hint="default"/>
                <w:sz w:val="18"/>
                <w:szCs w:val="18"/>
              </w:rPr>
            </w:pPr>
            <w:r>
              <w:rPr>
                <w:rFonts w:ascii="宋体"/>
                <w:sz w:val="18"/>
              </w:rPr>
              <w:t>,934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sz w:val="18"/>
              </w:rPr>
              <w:t>-219,183,</w:t>
            </w:r>
          </w:p>
          <w:p>
            <w:pPr>
              <w:pStyle w:val="TableParagraph"/>
              <w:spacing w:line="234" w:lineRule="exact"/>
              <w:ind w:left="640" w:right="0"/>
              <w:jc w:val="left"/>
              <w:rPr>
                <w:rFonts w:ascii="宋体" w:hAnsi="宋体" w:cs="宋体" w:eastAsia="宋体" w:hint="default"/>
                <w:sz w:val="18"/>
                <w:szCs w:val="18"/>
              </w:rPr>
            </w:pPr>
            <w:r>
              <w:rPr>
                <w:rFonts w:ascii="宋体"/>
                <w:sz w:val="18"/>
              </w:rPr>
              <w:t>934 </w:t>
            </w:r>
          </w:p>
        </w:tc>
      </w:tr>
      <w:tr>
        <w:trPr>
          <w:trHeight w:val="25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438,367,8</w:t>
            </w:r>
          </w:p>
          <w:p>
            <w:pPr>
              <w:pStyle w:val="TableParagraph"/>
              <w:spacing w:line="234" w:lineRule="exact"/>
              <w:ind w:right="11"/>
              <w:jc w:val="right"/>
              <w:rPr>
                <w:rFonts w:ascii="宋体" w:hAnsi="宋体" w:cs="宋体" w:eastAsia="宋体" w:hint="default"/>
                <w:sz w:val="18"/>
                <w:szCs w:val="18"/>
              </w:rPr>
            </w:pPr>
            <w:r>
              <w:rPr>
                <w:rFonts w:ascii="宋体"/>
                <w:spacing w:val="-1"/>
                <w:sz w:val="18"/>
              </w:rPr>
              <w:t>68</w:t>
            </w: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10" w:right="0"/>
              <w:jc w:val="left"/>
              <w:rPr>
                <w:rFonts w:ascii="宋体" w:hAnsi="宋体" w:cs="宋体" w:eastAsia="宋体" w:hint="default"/>
                <w:sz w:val="18"/>
                <w:szCs w:val="18"/>
              </w:rPr>
            </w:pPr>
            <w:r>
              <w:rPr>
                <w:rFonts w:ascii="宋体"/>
                <w:sz w:val="18"/>
              </w:rPr>
              <w:t>-438,367,</w:t>
            </w:r>
          </w:p>
          <w:p>
            <w:pPr>
              <w:pStyle w:val="TableParagraph"/>
              <w:spacing w:line="234" w:lineRule="exact"/>
              <w:ind w:left="650" w:right="0"/>
              <w:jc w:val="left"/>
              <w:rPr>
                <w:rFonts w:ascii="宋体" w:hAnsi="宋体" w:cs="宋体" w:eastAsia="宋体" w:hint="default"/>
                <w:sz w:val="18"/>
                <w:szCs w:val="18"/>
              </w:rPr>
            </w:pPr>
            <w:r>
              <w:rPr>
                <w:rFonts w:ascii="宋体"/>
                <w:sz w:val="18"/>
              </w:rPr>
              <w:t>868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481"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．资本公积转增资本（或股</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4" w:lineRule="exact"/>
              <w:ind w:right="100"/>
              <w:jc w:val="right"/>
              <w:rPr>
                <w:rFonts w:ascii="宋体" w:hAnsi="宋体" w:cs="宋体" w:eastAsia="宋体" w:hint="default"/>
                <w:sz w:val="18"/>
                <w:szCs w:val="18"/>
              </w:rPr>
            </w:pPr>
            <w:r>
              <w:rPr>
                <w:rFonts w:ascii="宋体"/>
                <w:spacing w:val="-1"/>
                <w:sz w:val="18"/>
              </w:rPr>
              <w:t>438,367,8</w:t>
            </w:r>
          </w:p>
          <w:p>
            <w:pPr>
              <w:pStyle w:val="TableParagraph"/>
              <w:spacing w:line="234" w:lineRule="exact"/>
              <w:ind w:right="11"/>
              <w:jc w:val="right"/>
              <w:rPr>
                <w:rFonts w:ascii="宋体" w:hAnsi="宋体" w:cs="宋体" w:eastAsia="宋体" w:hint="default"/>
                <w:sz w:val="18"/>
                <w:szCs w:val="18"/>
              </w:rPr>
            </w:pPr>
            <w:r>
              <w:rPr>
                <w:rFonts w:ascii="宋体"/>
                <w:spacing w:val="-1"/>
                <w:sz w:val="18"/>
              </w:rPr>
              <w:t>68</w:t>
            </w: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10" w:right="0"/>
              <w:jc w:val="left"/>
              <w:rPr>
                <w:rFonts w:ascii="宋体" w:hAnsi="宋体" w:cs="宋体" w:eastAsia="宋体" w:hint="default"/>
                <w:sz w:val="18"/>
                <w:szCs w:val="18"/>
              </w:rPr>
            </w:pPr>
            <w:r>
              <w:rPr>
                <w:rFonts w:ascii="宋体"/>
                <w:sz w:val="18"/>
              </w:rPr>
              <w:t>-438,367,</w:t>
            </w:r>
          </w:p>
          <w:p>
            <w:pPr>
              <w:pStyle w:val="TableParagraph"/>
              <w:spacing w:line="234" w:lineRule="exact"/>
              <w:ind w:left="650" w:right="0"/>
              <w:jc w:val="left"/>
              <w:rPr>
                <w:rFonts w:ascii="宋体" w:hAnsi="宋体" w:cs="宋体" w:eastAsia="宋体" w:hint="default"/>
                <w:sz w:val="18"/>
                <w:szCs w:val="18"/>
              </w:rPr>
            </w:pPr>
            <w:r>
              <w:rPr>
                <w:rFonts w:ascii="宋体"/>
                <w:sz w:val="18"/>
              </w:rPr>
              <w:t>868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．盈余公积转增资本（或股</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r>
      <w:tr>
        <w:trPr>
          <w:trHeight w:val="25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bl>
    <w:p>
      <w:pPr>
        <w:spacing w:after="0" w:line="205" w:lineRule="exact"/>
        <w:jc w:val="right"/>
        <w:rPr>
          <w:rFonts w:ascii="宋体" w:hAnsi="宋体" w:cs="宋体" w:eastAsia="宋体" w:hint="default"/>
          <w:sz w:val="18"/>
          <w:szCs w:val="18"/>
        </w:rPr>
        <w:sectPr>
          <w:pgSz w:w="16840" w:h="11910" w:orient="landscape"/>
          <w:pgMar w:header="882" w:footer="1195" w:top="1120" w:bottom="1380" w:left="1380" w:right="1280"/>
        </w:sectPr>
      </w:pPr>
    </w:p>
    <w:p>
      <w:pPr>
        <w:spacing w:line="240" w:lineRule="auto" w:before="2"/>
        <w:rPr>
          <w:rFonts w:ascii="Times New Roman" w:hAnsi="Times New Roman" w:cs="Times New Roman" w:eastAsia="Times New Roman" w:hint="default"/>
          <w:sz w:val="13"/>
          <w:szCs w:val="13"/>
        </w:rPr>
      </w:pPr>
    </w:p>
    <w:tbl>
      <w:tblPr>
        <w:tblW w:w="0" w:type="auto"/>
        <w:jc w:val="left"/>
        <w:tblInd w:w="136" w:type="dxa"/>
        <w:tblLayout w:type="fixed"/>
        <w:tblCellMar>
          <w:top w:w="0" w:type="dxa"/>
          <w:left w:w="0" w:type="dxa"/>
          <w:bottom w:w="0" w:type="dxa"/>
          <w:right w:w="0" w:type="dxa"/>
        </w:tblCellMar>
        <w:tblLook w:val="01E0"/>
      </w:tblPr>
      <w:tblGrid>
        <w:gridCol w:w="2396"/>
        <w:gridCol w:w="1078"/>
        <w:gridCol w:w="1049"/>
        <w:gridCol w:w="1078"/>
        <w:gridCol w:w="1092"/>
        <w:gridCol w:w="1037"/>
        <w:gridCol w:w="1063"/>
        <w:gridCol w:w="1022"/>
        <w:gridCol w:w="1035"/>
        <w:gridCol w:w="1022"/>
        <w:gridCol w:w="1008"/>
        <w:gridCol w:w="1025"/>
      </w:tblGrid>
      <w:tr>
        <w:trPr>
          <w:trHeight w:val="48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4</w:t>
            </w:r>
            <w:r>
              <w:rPr>
                <w:rFonts w:ascii="宋体" w:hAnsi="宋体" w:cs="宋体" w:eastAsia="宋体" w:hint="default"/>
                <w:spacing w:val="-72"/>
                <w:sz w:val="18"/>
                <w:szCs w:val="18"/>
              </w:rPr>
              <w:t>．</w:t>
            </w:r>
            <w:r>
              <w:rPr>
                <w:rFonts w:ascii="宋体" w:hAnsi="宋体" w:cs="宋体" w:eastAsia="宋体" w:hint="default"/>
                <w:sz w:val="18"/>
                <w:szCs w:val="18"/>
              </w:rPr>
              <w:t>设定受益计划变动额结转</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留存收益</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6"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6"/>
              <w:jc w:val="right"/>
              <w:rPr>
                <w:rFonts w:ascii="宋体" w:hAnsi="宋体" w:cs="宋体" w:eastAsia="宋体" w:hint="default"/>
                <w:sz w:val="18"/>
                <w:szCs w:val="18"/>
              </w:rPr>
            </w:pPr>
            <w:r>
              <w:rPr>
                <w:rFonts w:ascii="宋体"/>
                <w:sz w:val="18"/>
              </w:rPr>
              <w:t> </w:t>
            </w:r>
          </w:p>
        </w:tc>
      </w:tr>
      <w:tr>
        <w:trPr>
          <w:trHeight w:val="482"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72"/>
                <w:sz w:val="18"/>
                <w:szCs w:val="18"/>
              </w:rPr>
              <w:t>．</w:t>
            </w:r>
            <w:r>
              <w:rPr>
                <w:rFonts w:ascii="宋体" w:hAnsi="宋体" w:cs="宋体" w:eastAsia="宋体" w:hint="default"/>
                <w:sz w:val="18"/>
                <w:szCs w:val="18"/>
              </w:rPr>
              <w:t>其他综合收益结转留存收</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r>
      <w:tr>
        <w:trPr>
          <w:trHeight w:val="25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247"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25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21"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r>
      <w:tr>
        <w:trPr>
          <w:trHeight w:val="247"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r>
      <w:tr>
        <w:trPr>
          <w:trHeight w:val="250"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6"/>
              <w:jc w:val="right"/>
              <w:rPr>
                <w:rFonts w:ascii="宋体" w:hAnsi="宋体" w:cs="宋体" w:eastAsia="宋体" w:hint="default"/>
                <w:sz w:val="18"/>
                <w:szCs w:val="18"/>
              </w:rPr>
            </w:pPr>
            <w:r>
              <w:rPr>
                <w:rFonts w:ascii="宋体"/>
                <w:sz w:val="18"/>
              </w:rPr>
              <w:t> </w:t>
            </w:r>
          </w:p>
        </w:tc>
      </w:tr>
      <w:tr>
        <w:trPr>
          <w:trHeight w:val="483" w:hRule="exact"/>
        </w:trPr>
        <w:tc>
          <w:tcPr>
            <w:tcW w:w="2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078" w:type="dxa"/>
            <w:tcBorders>
              <w:top w:val="single" w:sz="6" w:space="0" w:color="000000"/>
              <w:left w:val="single" w:sz="6" w:space="0" w:color="000000"/>
              <w:bottom w:val="single" w:sz="6" w:space="0" w:color="000000"/>
              <w:right w:val="single" w:sz="4" w:space="0" w:color="000000"/>
            </w:tcBorders>
          </w:tcPr>
          <w:p>
            <w:pPr>
              <w:pStyle w:val="TableParagraph"/>
              <w:spacing w:line="204" w:lineRule="exact"/>
              <w:ind w:left="151" w:right="0"/>
              <w:jc w:val="left"/>
              <w:rPr>
                <w:rFonts w:ascii="宋体" w:hAnsi="宋体" w:cs="宋体" w:eastAsia="宋体" w:hint="default"/>
                <w:sz w:val="18"/>
                <w:szCs w:val="18"/>
              </w:rPr>
            </w:pPr>
            <w:r>
              <w:rPr>
                <w:rFonts w:ascii="宋体"/>
                <w:sz w:val="18"/>
              </w:rPr>
              <w:t>1,917,832</w:t>
            </w:r>
          </w:p>
          <w:p>
            <w:pPr>
              <w:pStyle w:val="TableParagraph"/>
              <w:spacing w:line="234" w:lineRule="exact"/>
              <w:ind w:left="602" w:right="0"/>
              <w:jc w:val="left"/>
              <w:rPr>
                <w:rFonts w:ascii="宋体" w:hAnsi="宋体" w:cs="宋体" w:eastAsia="宋体" w:hint="default"/>
                <w:sz w:val="18"/>
                <w:szCs w:val="18"/>
              </w:rPr>
            </w:pPr>
            <w:r>
              <w:rPr>
                <w:rFonts w:ascii="宋体"/>
                <w:sz w:val="18"/>
              </w:rPr>
              <w:t>,792 </w:t>
            </w:r>
          </w:p>
        </w:tc>
        <w:tc>
          <w:tcPr>
            <w:tcW w:w="1049"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78" w:type="dxa"/>
            <w:tcBorders>
              <w:top w:val="single" w:sz="6" w:space="0" w:color="000000"/>
              <w:left w:val="single" w:sz="4" w:space="0" w:color="000000"/>
              <w:bottom w:val="single" w:sz="6"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092"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37"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10" w:right="0"/>
              <w:jc w:val="left"/>
              <w:rPr>
                <w:rFonts w:ascii="宋体" w:hAnsi="宋体" w:cs="宋体" w:eastAsia="宋体" w:hint="default"/>
                <w:sz w:val="18"/>
                <w:szCs w:val="18"/>
              </w:rPr>
            </w:pPr>
            <w:r>
              <w:rPr>
                <w:rFonts w:ascii="宋体"/>
                <w:sz w:val="18"/>
              </w:rPr>
              <w:t>1,619,007</w:t>
            </w:r>
          </w:p>
          <w:p>
            <w:pPr>
              <w:pStyle w:val="TableParagraph"/>
              <w:spacing w:line="234" w:lineRule="exact"/>
              <w:ind w:left="561" w:right="0"/>
              <w:jc w:val="left"/>
              <w:rPr>
                <w:rFonts w:ascii="宋体" w:hAnsi="宋体" w:cs="宋体" w:eastAsia="宋体" w:hint="default"/>
                <w:sz w:val="18"/>
                <w:szCs w:val="18"/>
              </w:rPr>
            </w:pPr>
            <w:r>
              <w:rPr>
                <w:rFonts w:ascii="宋体"/>
                <w:sz w:val="18"/>
              </w:rPr>
              <w:t>,491 </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right="98"/>
              <w:jc w:val="right"/>
              <w:rPr>
                <w:rFonts w:ascii="宋体" w:hAnsi="宋体" w:cs="宋体" w:eastAsia="宋体" w:hint="default"/>
                <w:sz w:val="18"/>
                <w:szCs w:val="18"/>
              </w:rPr>
            </w:pPr>
            <w:r>
              <w:rPr>
                <w:rFonts w:ascii="宋体"/>
                <w:spacing w:val="-1"/>
                <w:sz w:val="18"/>
              </w:rPr>
              <w:t>55,787,91</w:t>
            </w:r>
          </w:p>
          <w:p>
            <w:pPr>
              <w:pStyle w:val="TableParagraph"/>
              <w:spacing w:line="234" w:lineRule="exact"/>
              <w:ind w:right="8"/>
              <w:jc w:val="right"/>
              <w:rPr>
                <w:rFonts w:ascii="宋体" w:hAnsi="宋体" w:cs="宋体" w:eastAsia="宋体" w:hint="default"/>
                <w:sz w:val="18"/>
                <w:szCs w:val="18"/>
              </w:rPr>
            </w:pPr>
            <w:r>
              <w:rPr>
                <w:rFonts w:ascii="宋体"/>
                <w:sz w:val="18"/>
              </w:rPr>
              <w:t>0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87" w:right="0"/>
              <w:jc w:val="left"/>
              <w:rPr>
                <w:rFonts w:ascii="宋体" w:hAnsi="宋体" w:cs="宋体" w:eastAsia="宋体" w:hint="default"/>
                <w:sz w:val="18"/>
                <w:szCs w:val="18"/>
              </w:rPr>
            </w:pPr>
            <w:r>
              <w:rPr>
                <w:rFonts w:ascii="宋体"/>
                <w:sz w:val="18"/>
              </w:rPr>
              <w:t>-49,462,</w:t>
            </w:r>
          </w:p>
          <w:p>
            <w:pPr>
              <w:pStyle w:val="TableParagraph"/>
              <w:spacing w:line="234" w:lineRule="exact"/>
              <w:ind w:left="635" w:right="0"/>
              <w:jc w:val="left"/>
              <w:rPr>
                <w:rFonts w:ascii="宋体" w:hAnsi="宋体" w:cs="宋体" w:eastAsia="宋体" w:hint="default"/>
                <w:sz w:val="18"/>
                <w:szCs w:val="18"/>
              </w:rPr>
            </w:pPr>
            <w:r>
              <w:rPr>
                <w:rFonts w:ascii="宋体"/>
                <w:sz w:val="18"/>
              </w:rPr>
              <w:t>234 </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right"/>
              <w:rPr>
                <w:rFonts w:ascii="宋体" w:hAnsi="宋体" w:cs="宋体" w:eastAsia="宋体" w:hint="default"/>
                <w:sz w:val="18"/>
                <w:szCs w:val="18"/>
              </w:rPr>
            </w:pPr>
            <w:r>
              <w:rPr>
                <w:rFonts w:ascii="宋体"/>
                <w:sz w:val="18"/>
              </w:rPr>
              <w:t> </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87" w:right="0"/>
              <w:jc w:val="left"/>
              <w:rPr>
                <w:rFonts w:ascii="宋体" w:hAnsi="宋体" w:cs="宋体" w:eastAsia="宋体" w:hint="default"/>
                <w:sz w:val="18"/>
                <w:szCs w:val="18"/>
              </w:rPr>
            </w:pPr>
            <w:r>
              <w:rPr>
                <w:rFonts w:ascii="宋体"/>
                <w:sz w:val="18"/>
              </w:rPr>
              <w:t>827,153,</w:t>
            </w:r>
          </w:p>
          <w:p>
            <w:pPr>
              <w:pStyle w:val="TableParagraph"/>
              <w:spacing w:line="234" w:lineRule="exact"/>
              <w:ind w:left="635" w:right="0"/>
              <w:jc w:val="left"/>
              <w:rPr>
                <w:rFonts w:ascii="宋体" w:hAnsi="宋体" w:cs="宋体" w:eastAsia="宋体" w:hint="default"/>
                <w:sz w:val="18"/>
                <w:szCs w:val="18"/>
              </w:rPr>
            </w:pPr>
            <w:r>
              <w:rPr>
                <w:rFonts w:ascii="宋体"/>
                <w:sz w:val="18"/>
              </w:rPr>
              <w:t>655 </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72" w:right="0"/>
              <w:jc w:val="left"/>
              <w:rPr>
                <w:rFonts w:ascii="宋体" w:hAnsi="宋体" w:cs="宋体" w:eastAsia="宋体" w:hint="default"/>
                <w:sz w:val="18"/>
                <w:szCs w:val="18"/>
              </w:rPr>
            </w:pPr>
            <w:r>
              <w:rPr>
                <w:rFonts w:ascii="宋体"/>
                <w:sz w:val="18"/>
              </w:rPr>
              <w:t>1,614,39</w:t>
            </w:r>
          </w:p>
          <w:p>
            <w:pPr>
              <w:pStyle w:val="TableParagraph"/>
              <w:spacing w:line="234" w:lineRule="exact"/>
              <w:ind w:left="441" w:right="0"/>
              <w:jc w:val="left"/>
              <w:rPr>
                <w:rFonts w:ascii="宋体" w:hAnsi="宋体" w:cs="宋体" w:eastAsia="宋体" w:hint="default"/>
                <w:sz w:val="18"/>
                <w:szCs w:val="18"/>
              </w:rPr>
            </w:pPr>
            <w:r>
              <w:rPr>
                <w:rFonts w:ascii="宋体"/>
                <w:sz w:val="18"/>
              </w:rPr>
              <w:t>9,420 </w:t>
            </w:r>
          </w:p>
        </w:tc>
        <w:tc>
          <w:tcPr>
            <w:tcW w:w="1025"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sz w:val="18"/>
              </w:rPr>
              <w:t>5,873,143</w:t>
            </w:r>
          </w:p>
          <w:p>
            <w:pPr>
              <w:pStyle w:val="TableParagraph"/>
              <w:spacing w:line="234" w:lineRule="exact"/>
              <w:ind w:left="552" w:right="0"/>
              <w:jc w:val="left"/>
              <w:rPr>
                <w:rFonts w:ascii="宋体" w:hAnsi="宋体" w:cs="宋体" w:eastAsia="宋体" w:hint="default"/>
                <w:sz w:val="18"/>
                <w:szCs w:val="18"/>
              </w:rPr>
            </w:pPr>
            <w:r>
              <w:rPr>
                <w:rFonts w:ascii="宋体"/>
                <w:sz w:val="18"/>
              </w:rPr>
              <w:t>,214 </w:t>
            </w:r>
          </w:p>
        </w:tc>
      </w:tr>
    </w:tbl>
    <w:p>
      <w:pPr>
        <w:spacing w:line="240" w:lineRule="auto" w:before="3"/>
        <w:rPr>
          <w:rFonts w:ascii="Times New Roman" w:hAnsi="Times New Roman" w:cs="Times New Roman" w:eastAsia="Times New Roman" w:hint="default"/>
          <w:sz w:val="18"/>
          <w:szCs w:val="18"/>
        </w:rPr>
      </w:pPr>
    </w:p>
    <w:p>
      <w:pPr>
        <w:pStyle w:val="BodyText"/>
        <w:spacing w:line="240" w:lineRule="auto" w:before="26"/>
        <w:ind w:left="144" w:right="0"/>
        <w:jc w:val="left"/>
      </w:pPr>
      <w:r>
        <w:rPr/>
        <w:t>法定代表人：王文京 主管会计工作负责人：章培林 会计机构负责人：孙淑嫔</w:t>
      </w:r>
    </w:p>
    <w:p>
      <w:pPr>
        <w:spacing w:after="0" w:line="240" w:lineRule="auto"/>
        <w:jc w:val="left"/>
        <w:sectPr>
          <w:pgSz w:w="16840" w:h="11910" w:orient="landscape"/>
          <w:pgMar w:header="882" w:footer="1195" w:top="1120" w:bottom="1380" w:left="1380" w:right="1280"/>
        </w:sectPr>
      </w:pPr>
    </w:p>
    <w:p>
      <w:pPr>
        <w:spacing w:line="240" w:lineRule="auto" w:before="12"/>
        <w:rPr>
          <w:rFonts w:ascii="宋体" w:hAnsi="宋体" w:cs="宋体" w:eastAsia="宋体" w:hint="default"/>
          <w:sz w:val="26"/>
          <w:szCs w:val="26"/>
        </w:rPr>
      </w:pPr>
    </w:p>
    <w:p>
      <w:pPr>
        <w:pStyle w:val="Heading2"/>
        <w:tabs>
          <w:tab w:pos="977" w:val="left" w:leader="none"/>
        </w:tabs>
        <w:spacing w:line="285" w:lineRule="auto" w:before="26"/>
        <w:ind w:left="136" w:right="6542"/>
        <w:jc w:val="left"/>
        <w:rPr>
          <w:b w:val="0"/>
          <w:bCs w:val="0"/>
        </w:rPr>
      </w:pPr>
      <w:r>
        <w:rPr/>
        <w:t>三、</w:t>
      </w:r>
      <w:r>
        <w:rPr>
          <w:rFonts w:ascii="宋体" w:hAnsi="宋体" w:cs="宋体" w:eastAsia="宋体" w:hint="default"/>
        </w:rPr>
        <w:tab/>
      </w:r>
      <w:r>
        <w:rPr/>
        <w:t>公司基本情况</w:t>
      </w:r>
      <w:r>
        <w:rPr>
          <w:rFonts w:ascii="宋体" w:hAnsi="宋体" w:cs="宋体" w:eastAsia="宋体" w:hint="default"/>
          <w:w w:val="99"/>
        </w:rPr>
        <w:t> </w:t>
      </w:r>
      <w:r>
        <w:rPr>
          <w:rFonts w:ascii="宋体" w:hAnsi="宋体" w:cs="宋体" w:eastAsia="宋体" w:hint="default"/>
        </w:rPr>
        <w:t>1.</w:t>
      </w:r>
      <w:r>
        <w:rPr>
          <w:rFonts w:ascii="宋体" w:hAnsi="宋体" w:cs="宋体" w:eastAsia="宋体" w:hint="default"/>
          <w:spacing w:val="57"/>
        </w:rPr>
        <w:t> </w:t>
      </w:r>
      <w:r>
        <w:rPr/>
        <w:t>公司概况</w:t>
      </w:r>
      <w:r>
        <w:rPr>
          <w:b w:val="0"/>
          <w:bCs w:val="0"/>
        </w:rPr>
      </w:r>
    </w:p>
    <w:p>
      <w:pPr>
        <w:pStyle w:val="BodyText"/>
        <w:tabs>
          <w:tab w:pos="1097" w:val="left" w:leader="none"/>
        </w:tabs>
        <w:spacing w:line="312" w:lineRule="exact" w:before="40"/>
        <w:ind w:left="617" w:right="114" w:hanging="481"/>
        <w:jc w:val="left"/>
      </w:pPr>
      <w:r>
        <w:rPr/>
        <w:t>√适用</w:t>
        <w:tab/>
        <w:t>□不适用 </w:t>
      </w:r>
      <w:r>
        <w:rPr>
          <w:spacing w:val="-2"/>
        </w:rPr>
        <w:t>用友网络科技股份有限公司</w:t>
      </w:r>
      <w:r>
        <w:rPr>
          <w:rFonts w:ascii="宋体" w:hAnsi="宋体" w:cs="宋体" w:eastAsia="宋体" w:hint="default"/>
          <w:spacing w:val="-2"/>
        </w:rPr>
        <w:t>(</w:t>
      </w:r>
      <w:r>
        <w:rPr>
          <w:spacing w:val="-2"/>
        </w:rPr>
        <w:t>以下简称“本公司”)是根据《中华人民共和国公司</w:t>
      </w:r>
    </w:p>
    <w:p>
      <w:pPr>
        <w:pStyle w:val="BodyText"/>
        <w:spacing w:line="310" w:lineRule="exact" w:before="1"/>
        <w:ind w:right="0"/>
        <w:jc w:val="left"/>
      </w:pPr>
      <w:r>
        <w:rPr/>
        <w:t>法》</w:t>
      </w:r>
      <w:r>
        <w:rPr>
          <w:rFonts w:ascii="宋体" w:hAnsi="宋体" w:cs="宋体" w:eastAsia="宋体" w:hint="default"/>
        </w:rPr>
        <w:t>(</w:t>
      </w:r>
      <w:r>
        <w:rPr/>
        <w:t>以下简称“公司法”)于</w:t>
      </w:r>
      <w:r>
        <w:rPr>
          <w:rFonts w:ascii="宋体" w:hAnsi="宋体" w:cs="宋体" w:eastAsia="宋体" w:hint="default"/>
        </w:rPr>
        <w:t>1999</w:t>
      </w:r>
      <w:r>
        <w:rPr/>
        <w:t>年</w:t>
      </w:r>
      <w:r>
        <w:rPr>
          <w:rFonts w:ascii="宋体" w:hAnsi="宋体" w:cs="宋体" w:eastAsia="宋体" w:hint="default"/>
        </w:rPr>
        <w:t>12</w:t>
      </w:r>
      <w:r>
        <w:rPr/>
        <w:t>月</w:t>
      </w:r>
      <w:r>
        <w:rPr>
          <w:rFonts w:ascii="宋体" w:hAnsi="宋体" w:cs="宋体" w:eastAsia="宋体" w:hint="default"/>
        </w:rPr>
        <w:t>6</w:t>
      </w:r>
      <w:r>
        <w:rPr/>
        <w:t>日在中华人民共和国</w:t>
      </w:r>
      <w:r>
        <w:rPr>
          <w:rFonts w:ascii="宋体" w:hAnsi="宋体" w:cs="宋体" w:eastAsia="宋体" w:hint="default"/>
        </w:rPr>
        <w:t>(</w:t>
      </w:r>
      <w:r>
        <w:rPr/>
        <w:t>以下简称“中国”)</w:t>
      </w:r>
      <w:r>
        <w:rPr>
          <w:spacing w:val="-53"/>
        </w:rPr>
        <w:t> </w:t>
      </w:r>
      <w:r>
        <w:rPr>
          <w:spacing w:val="-53"/>
        </w:rPr>
      </w:r>
      <w:r>
        <w:rPr>
          <w:spacing w:val="-2"/>
        </w:rPr>
        <w:t>注册成立的股份有限公司。根据</w:t>
      </w:r>
      <w:r>
        <w:rPr>
          <w:rFonts w:ascii="宋体" w:hAnsi="宋体" w:cs="宋体" w:eastAsia="宋体" w:hint="default"/>
          <w:spacing w:val="-2"/>
        </w:rPr>
        <w:t>2015</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9</w:t>
      </w:r>
      <w:r>
        <w:rPr>
          <w:spacing w:val="-2"/>
        </w:rPr>
        <w:t>日召开的</w:t>
      </w:r>
      <w:r>
        <w:rPr>
          <w:rFonts w:ascii="宋体" w:hAnsi="宋体" w:cs="宋体" w:eastAsia="宋体" w:hint="default"/>
          <w:spacing w:val="-2"/>
        </w:rPr>
        <w:t>2015</w:t>
      </w:r>
      <w:r>
        <w:rPr>
          <w:spacing w:val="-2"/>
        </w:rPr>
        <w:t>年第一次临时股东大会通过</w:t>
      </w:r>
    </w:p>
    <w:p>
      <w:pPr>
        <w:pStyle w:val="BodyText"/>
        <w:spacing w:line="312" w:lineRule="exact"/>
        <w:ind w:right="0"/>
        <w:jc w:val="left"/>
      </w:pPr>
      <w:r>
        <w:rPr>
          <w:spacing w:val="4"/>
        </w:rPr>
        <w:t>的决议，公司名称由“用友软件股份有限公司”变更为“用友网络科技股份有限公</w:t>
      </w:r>
      <w:r>
        <w:rPr>
          <w:spacing w:val="-97"/>
        </w:rPr>
        <w:t> </w:t>
      </w:r>
      <w:r>
        <w:rPr>
          <w:spacing w:val="-97"/>
        </w:rPr>
      </w:r>
      <w:r>
        <w:rPr/>
        <w:t>司”。</w:t>
      </w:r>
      <w:r>
        <w:rPr>
          <w:rFonts w:ascii="宋体" w:hAnsi="宋体" w:cs="宋体" w:eastAsia="宋体" w:hint="default"/>
        </w:rPr>
        <w:t>2015</w:t>
      </w:r>
      <w:r>
        <w:rPr/>
        <w:t>年</w:t>
      </w:r>
      <w:r>
        <w:rPr>
          <w:rFonts w:ascii="宋体" w:hAnsi="宋体" w:cs="宋体" w:eastAsia="宋体" w:hint="default"/>
        </w:rPr>
        <w:t>1</w:t>
      </w:r>
      <w:r>
        <w:rPr/>
        <w:t>月</w:t>
      </w:r>
      <w:r>
        <w:rPr>
          <w:rFonts w:ascii="宋体" w:hAnsi="宋体" w:cs="宋体" w:eastAsia="宋体" w:hint="default"/>
        </w:rPr>
        <w:t>26</w:t>
      </w:r>
      <w:r>
        <w:rPr/>
        <w:t>日，相关工商变更手续已办理完毕。本公司所发行的人民币普通</w:t>
      </w:r>
    </w:p>
    <w:p>
      <w:pPr>
        <w:pStyle w:val="BodyText"/>
        <w:spacing w:line="310" w:lineRule="exact" w:before="1"/>
        <w:ind w:right="0"/>
        <w:jc w:val="left"/>
        <w:rPr>
          <w:rFonts w:ascii="宋体" w:hAnsi="宋体" w:cs="宋体" w:eastAsia="宋体" w:hint="default"/>
        </w:rPr>
      </w:pPr>
      <w:r>
        <w:rPr/>
        <w:t>股</w:t>
      </w:r>
      <w:r>
        <w:rPr>
          <w:spacing w:val="-48"/>
        </w:rPr>
        <w:t> </w:t>
      </w:r>
      <w:r>
        <w:rPr>
          <w:rFonts w:ascii="宋体" w:hAnsi="宋体" w:cs="宋体" w:eastAsia="宋体" w:hint="default"/>
        </w:rPr>
        <w:t>A</w:t>
      </w:r>
      <w:r>
        <w:rPr>
          <w:rFonts w:ascii="宋体" w:hAnsi="宋体" w:cs="宋体" w:eastAsia="宋体" w:hint="default"/>
          <w:spacing w:val="-48"/>
        </w:rPr>
        <w:t> </w:t>
      </w:r>
      <w:r>
        <w:rPr/>
        <w:t>股</w:t>
      </w:r>
      <w:r>
        <w:rPr>
          <w:spacing w:val="-49"/>
        </w:rPr>
        <w:t> </w:t>
      </w:r>
      <w:r>
        <w:rPr/>
        <w:t>股</w:t>
      </w:r>
      <w:r>
        <w:rPr>
          <w:spacing w:val="-51"/>
        </w:rPr>
        <w:t> </w:t>
      </w:r>
      <w:r>
        <w:rPr/>
        <w:t>票</w:t>
      </w:r>
      <w:r>
        <w:rPr>
          <w:spacing w:val="-49"/>
        </w:rPr>
        <w:t> </w:t>
      </w:r>
      <w:r>
        <w:rPr/>
        <w:t>已</w:t>
      </w:r>
      <w:r>
        <w:rPr>
          <w:spacing w:val="-49"/>
        </w:rPr>
        <w:t> </w:t>
      </w:r>
      <w:r>
        <w:rPr/>
        <w:t>在</w:t>
      </w:r>
      <w:r>
        <w:rPr>
          <w:spacing w:val="-51"/>
        </w:rPr>
        <w:t> </w:t>
      </w:r>
      <w:r>
        <w:rPr/>
        <w:t>上</w:t>
      </w:r>
      <w:r>
        <w:rPr>
          <w:spacing w:val="-51"/>
        </w:rPr>
        <w:t> </w:t>
      </w:r>
      <w:r>
        <w:rPr/>
        <w:t>海</w:t>
      </w:r>
      <w:r>
        <w:rPr>
          <w:spacing w:val="-49"/>
        </w:rPr>
        <w:t> </w:t>
      </w:r>
      <w:r>
        <w:rPr/>
        <w:t>证</w:t>
      </w:r>
      <w:r>
        <w:rPr>
          <w:spacing w:val="-49"/>
        </w:rPr>
        <w:t> </w:t>
      </w:r>
      <w:r>
        <w:rPr/>
        <w:t>券</w:t>
      </w:r>
      <w:r>
        <w:rPr>
          <w:spacing w:val="-49"/>
        </w:rPr>
        <w:t> </w:t>
      </w:r>
      <w:r>
        <w:rPr/>
        <w:t>交</w:t>
      </w:r>
      <w:r>
        <w:rPr>
          <w:spacing w:val="-51"/>
        </w:rPr>
        <w:t> </w:t>
      </w:r>
      <w:r>
        <w:rPr/>
        <w:t>易</w:t>
      </w:r>
      <w:r>
        <w:rPr>
          <w:spacing w:val="-49"/>
        </w:rPr>
        <w:t> </w:t>
      </w:r>
      <w:r>
        <w:rPr/>
        <w:t>所</w:t>
      </w:r>
      <w:r>
        <w:rPr>
          <w:spacing w:val="-49"/>
        </w:rPr>
        <w:t> </w:t>
      </w:r>
      <w:r>
        <w:rPr/>
        <w:t>上</w:t>
      </w:r>
      <w:r>
        <w:rPr>
          <w:spacing w:val="-51"/>
        </w:rPr>
        <w:t> </w:t>
      </w:r>
      <w:r>
        <w:rPr/>
        <w:t>市</w:t>
      </w:r>
      <w:r>
        <w:rPr>
          <w:spacing w:val="-49"/>
        </w:rPr>
        <w:t> </w:t>
      </w:r>
      <w:r>
        <w:rPr/>
        <w:t>。</w:t>
      </w:r>
      <w:r>
        <w:rPr>
          <w:spacing w:val="-49"/>
        </w:rPr>
        <w:t> </w:t>
      </w:r>
      <w:r>
        <w:rPr/>
        <w:t>本</w:t>
      </w:r>
      <w:r>
        <w:rPr>
          <w:spacing w:val="-49"/>
        </w:rPr>
        <w:t> </w:t>
      </w:r>
      <w:r>
        <w:rPr/>
        <w:t>公</w:t>
      </w:r>
      <w:r>
        <w:rPr>
          <w:spacing w:val="-51"/>
        </w:rPr>
        <w:t> </w:t>
      </w:r>
      <w:r>
        <w:rPr/>
        <w:t>司</w:t>
      </w:r>
      <w:r>
        <w:rPr>
          <w:spacing w:val="-49"/>
        </w:rPr>
        <w:t> </w:t>
      </w:r>
      <w:r>
        <w:rPr/>
        <w:t>统</w:t>
      </w:r>
      <w:r>
        <w:rPr>
          <w:spacing w:val="-49"/>
        </w:rPr>
        <w:t> </w:t>
      </w:r>
      <w:r>
        <w:rPr/>
        <w:t>一</w:t>
      </w:r>
      <w:r>
        <w:rPr>
          <w:spacing w:val="-51"/>
        </w:rPr>
        <w:t> </w:t>
      </w:r>
      <w:r>
        <w:rPr/>
        <w:t>社</w:t>
      </w:r>
      <w:r>
        <w:rPr>
          <w:spacing w:val="-49"/>
        </w:rPr>
        <w:t> </w:t>
      </w:r>
      <w:r>
        <w:rPr/>
        <w:t>会</w:t>
      </w:r>
      <w:r>
        <w:rPr>
          <w:spacing w:val="-49"/>
        </w:rPr>
        <w:t> </w:t>
      </w:r>
      <w:r>
        <w:rPr/>
        <w:t>信</w:t>
      </w:r>
      <w:r>
        <w:rPr>
          <w:spacing w:val="-49"/>
        </w:rPr>
        <w:t> </w:t>
      </w:r>
      <w:r>
        <w:rPr/>
        <w:t>用</w:t>
      </w:r>
      <w:r>
        <w:rPr>
          <w:spacing w:val="-51"/>
        </w:rPr>
        <w:t> </w:t>
      </w:r>
      <w:r>
        <w:rPr/>
        <w:t>代</w:t>
      </w:r>
      <w:r>
        <w:rPr>
          <w:spacing w:val="-49"/>
        </w:rPr>
        <w:t> </w:t>
      </w:r>
      <w:r>
        <w:rPr/>
        <w:t>码</w:t>
      </w:r>
      <w:r>
        <w:rPr>
          <w:spacing w:val="-49"/>
        </w:rPr>
        <w:t> </w:t>
      </w:r>
      <w:r>
        <w:rPr/>
        <w:t>为</w:t>
      </w:r>
      <w:r>
        <w:rPr/>
        <w:t> </w:t>
      </w:r>
      <w:r>
        <w:rPr>
          <w:rFonts w:ascii="宋体" w:hAnsi="宋体" w:cs="宋体" w:eastAsia="宋体" w:hint="default"/>
        </w:rPr>
        <w:t>91110000600001760P</w:t>
      </w:r>
      <w:r>
        <w:rPr/>
        <w:t>。</w:t>
      </w:r>
      <w:r>
        <w:rPr>
          <w:rFonts w:ascii="宋体" w:hAnsi="宋体" w:cs="宋体" w:eastAsia="宋体" w:hint="default"/>
        </w:rPr>
        <w:t> </w:t>
      </w:r>
    </w:p>
    <w:p>
      <w:pPr>
        <w:pStyle w:val="BodyText"/>
        <w:spacing w:line="312" w:lineRule="exact"/>
        <w:ind w:left="617" w:right="-22"/>
        <w:jc w:val="left"/>
      </w:pPr>
      <w:r>
        <w:rPr>
          <w:rFonts w:ascii="宋体" w:hAnsi="宋体" w:cs="宋体" w:eastAsia="宋体" w:hint="default"/>
        </w:rPr>
        <w:t> </w:t>
      </w:r>
      <w:r>
        <w:rPr/>
        <w:t>本公司及子公</w:t>
      </w:r>
      <w:r>
        <w:rPr>
          <w:spacing w:val="-1"/>
        </w:rPr>
        <w:t>司</w:t>
      </w:r>
      <w:r>
        <w:rPr>
          <w:rFonts w:ascii="宋体" w:hAnsi="宋体" w:cs="宋体" w:eastAsia="宋体" w:hint="default"/>
        </w:rPr>
        <w:t>(</w:t>
      </w:r>
      <w:r>
        <w:rPr/>
        <w:t>统称“本集团”)主要经营活动为</w:t>
      </w:r>
      <w:r>
        <w:rPr>
          <w:spacing w:val="-24"/>
        </w:rPr>
        <w:t>：</w:t>
      </w:r>
      <w:r>
        <w:rPr/>
        <w:t>零售图书</w:t>
      </w:r>
      <w:r>
        <w:rPr>
          <w:spacing w:val="-24"/>
        </w:rPr>
        <w:t>；</w:t>
      </w:r>
      <w:r>
        <w:rPr/>
        <w:t>第一类增值电信</w:t>
      </w:r>
    </w:p>
    <w:p>
      <w:pPr>
        <w:pStyle w:val="BodyText"/>
        <w:spacing w:line="280" w:lineRule="exact"/>
        <w:ind w:right="0"/>
        <w:jc w:val="both"/>
      </w:pPr>
      <w:r>
        <w:rPr/>
        <w:t>业务中的因特网数据中心业务；第二类增值电信业务中的呼叫中心业务、因特网接入</w:t>
      </w:r>
    </w:p>
    <w:p>
      <w:pPr>
        <w:pStyle w:val="BodyText"/>
        <w:spacing w:line="237" w:lineRule="auto" w:before="1"/>
        <w:ind w:right="110"/>
        <w:jc w:val="both"/>
        <w:rPr>
          <w:rFonts w:ascii="宋体" w:hAnsi="宋体" w:cs="宋体" w:eastAsia="宋体" w:hint="default"/>
        </w:rPr>
      </w:pPr>
      <w:r>
        <w:rPr/>
        <w:t>服务业务、信息服务业务</w:t>
      </w:r>
      <w:r>
        <w:rPr>
          <w:rFonts w:ascii="宋体" w:hAnsi="宋体" w:cs="宋体" w:eastAsia="宋体" w:hint="default"/>
        </w:rPr>
        <w:t>(</w:t>
      </w:r>
      <w:r>
        <w:rPr/>
        <w:t>不含固定网电话信息服务和互联网信息服务</w:t>
      </w:r>
      <w:r>
        <w:rPr>
          <w:rFonts w:ascii="宋体" w:hAnsi="宋体" w:cs="宋体" w:eastAsia="宋体" w:hint="default"/>
        </w:rPr>
        <w:t>)(</w:t>
      </w:r>
      <w:r>
        <w:rPr/>
        <w:t>增值电信业</w:t>
      </w:r>
      <w:r>
        <w:rPr>
          <w:spacing w:val="-56"/>
        </w:rPr>
        <w:t> </w:t>
      </w:r>
      <w:r>
        <w:rPr>
          <w:spacing w:val="-56"/>
        </w:rPr>
      </w:r>
      <w:r>
        <w:rPr>
          <w:spacing w:val="-2"/>
        </w:rPr>
        <w:t>务经营许可证有效期至</w:t>
      </w:r>
      <w:r>
        <w:rPr>
          <w:rFonts w:ascii="宋体" w:hAnsi="宋体" w:cs="宋体" w:eastAsia="宋体" w:hint="default"/>
          <w:spacing w:val="-2"/>
        </w:rPr>
        <w:t>2020</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7</w:t>
      </w:r>
      <w:r>
        <w:rPr>
          <w:spacing w:val="-2"/>
        </w:rPr>
        <w:t>日</w:t>
      </w:r>
      <w:r>
        <w:rPr>
          <w:rFonts w:ascii="宋体" w:hAnsi="宋体" w:cs="宋体" w:eastAsia="宋体" w:hint="default"/>
          <w:spacing w:val="-2"/>
        </w:rPr>
        <w:t>)</w:t>
      </w:r>
      <w:r>
        <w:rPr>
          <w:spacing w:val="-2"/>
        </w:rPr>
        <w:t>；互联网信息服务</w:t>
      </w:r>
      <w:r>
        <w:rPr>
          <w:rFonts w:ascii="宋体" w:hAnsi="宋体" w:cs="宋体" w:eastAsia="宋体" w:hint="default"/>
          <w:spacing w:val="-2"/>
        </w:rPr>
        <w:t>(</w:t>
      </w:r>
      <w:r>
        <w:rPr>
          <w:spacing w:val="-2"/>
        </w:rPr>
        <w:t>不含新闻、出版、教育、医</w:t>
      </w:r>
      <w:r>
        <w:rPr>
          <w:spacing w:val="-86"/>
        </w:rPr>
        <w:t> </w:t>
      </w:r>
      <w:r>
        <w:rPr>
          <w:spacing w:val="-86"/>
        </w:rPr>
      </w:r>
      <w:r>
        <w:rPr>
          <w:spacing w:val="4"/>
        </w:rPr>
        <w:t>疗保健、药品和医疗器械，含电子公告服务</w:t>
      </w:r>
      <w:r>
        <w:rPr>
          <w:rFonts w:ascii="宋体" w:hAnsi="宋体" w:cs="宋体" w:eastAsia="宋体" w:hint="default"/>
          <w:spacing w:val="4"/>
        </w:rPr>
        <w:t>)(</w:t>
      </w:r>
      <w:r>
        <w:rPr>
          <w:spacing w:val="4"/>
        </w:rPr>
        <w:t>电信与信息服务业务许可证有效期至</w:t>
      </w:r>
      <w:r>
        <w:rPr>
          <w:spacing w:val="-102"/>
        </w:rPr>
        <w:t> </w:t>
      </w:r>
      <w:r>
        <w:rPr>
          <w:spacing w:val="-102"/>
        </w:rPr>
      </w:r>
      <w:r>
        <w:rPr>
          <w:rFonts w:ascii="宋体" w:hAnsi="宋体" w:cs="宋体" w:eastAsia="宋体" w:hint="default"/>
          <w:spacing w:val="-2"/>
        </w:rPr>
        <w:t>2020</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16</w:t>
      </w:r>
      <w:r>
        <w:rPr>
          <w:spacing w:val="-2"/>
        </w:rPr>
        <w:t>日</w:t>
      </w:r>
      <w:r>
        <w:rPr>
          <w:rFonts w:ascii="宋体" w:hAnsi="宋体" w:cs="宋体" w:eastAsia="宋体" w:hint="default"/>
          <w:spacing w:val="-2"/>
        </w:rPr>
        <w:t>)</w:t>
      </w:r>
      <w:r>
        <w:rPr>
          <w:spacing w:val="-2"/>
        </w:rPr>
        <w:t>；电子计算机软件、硬件及外部设备的技术开发、技术咨询、技术转</w:t>
      </w:r>
      <w:r>
        <w:rPr>
          <w:spacing w:val="-87"/>
        </w:rPr>
        <w:t> </w:t>
      </w:r>
      <w:r>
        <w:rPr>
          <w:spacing w:val="-87"/>
        </w:rPr>
      </w:r>
      <w:r>
        <w:rPr>
          <w:spacing w:val="-2"/>
        </w:rPr>
        <w:t>让、技术服务、技术培训；销售打印纸和计算机耗材；物业管理；企业管理咨询；数</w:t>
      </w:r>
      <w:r>
        <w:rPr>
          <w:spacing w:val="-94"/>
        </w:rPr>
        <w:t> </w:t>
      </w:r>
      <w:r>
        <w:rPr>
          <w:spacing w:val="-94"/>
        </w:rPr>
      </w:r>
      <w:r>
        <w:rPr>
          <w:spacing w:val="-2"/>
        </w:rPr>
        <w:t>据库服务；销售电子计算机软硬件及外部设备；设计、制作、代理、发布广告；自营</w:t>
      </w:r>
      <w:r>
        <w:rPr>
          <w:spacing w:val="-96"/>
        </w:rPr>
        <w:t> </w:t>
      </w:r>
      <w:r>
        <w:rPr>
          <w:spacing w:val="-96"/>
        </w:rPr>
      </w:r>
      <w:r>
        <w:rPr>
          <w:spacing w:val="-2"/>
        </w:rPr>
        <w:t>和代理各类商品和技术的进出口，但国家限定公司经营或禁止进出口的商品和技术除</w:t>
      </w:r>
      <w:r>
        <w:rPr>
          <w:spacing w:val="-94"/>
        </w:rPr>
        <w:t> </w:t>
      </w:r>
      <w:r>
        <w:rPr>
          <w:spacing w:val="-94"/>
        </w:rPr>
      </w:r>
      <w:r>
        <w:rPr/>
        <w:t>外；出租办公用房。</w:t>
      </w:r>
      <w:r>
        <w:rPr>
          <w:rFonts w:ascii="宋体" w:hAnsi="宋体" w:cs="宋体" w:eastAsia="宋体" w:hint="default"/>
        </w:rPr>
        <w:t> </w:t>
      </w:r>
    </w:p>
    <w:p>
      <w:pPr>
        <w:pStyle w:val="BodyText"/>
        <w:spacing w:line="312" w:lineRule="exact" w:before="26"/>
        <w:ind w:left="617" w:right="0"/>
        <w:jc w:val="left"/>
        <w:rPr>
          <w:rFonts w:ascii="宋体" w:hAnsi="宋体" w:cs="宋体" w:eastAsia="宋体" w:hint="default"/>
        </w:rPr>
      </w:pPr>
      <w:r>
        <w:rPr>
          <w:rFonts w:ascii="宋体" w:hAnsi="宋体" w:cs="宋体" w:eastAsia="宋体" w:hint="default"/>
        </w:rPr>
        <w:t>  </w:t>
      </w:r>
      <w:r>
        <w:rPr/>
        <w:t>本集团最终控制人为王文京先生。</w:t>
      </w:r>
      <w:r>
        <w:rPr>
          <w:rFonts w:ascii="宋体" w:hAnsi="宋体" w:cs="宋体" w:eastAsia="宋体" w:hint="default"/>
        </w:rPr>
        <w:t> </w:t>
      </w:r>
    </w:p>
    <w:p>
      <w:pPr>
        <w:pStyle w:val="BodyText"/>
        <w:spacing w:line="312" w:lineRule="exact"/>
        <w:ind w:left="617" w:right="-11"/>
        <w:jc w:val="left"/>
      </w:pPr>
      <w:r>
        <w:rPr>
          <w:rFonts w:ascii="宋体" w:hAnsi="宋体" w:cs="宋体" w:eastAsia="宋体" w:hint="default"/>
        </w:rPr>
        <w:t> </w:t>
      </w:r>
      <w:r>
        <w:rPr>
          <w:spacing w:val="2"/>
        </w:rPr>
        <w:t>本财务报表业经公司</w:t>
      </w:r>
      <w:r>
        <w:rPr/>
        <w:t>董</w:t>
      </w:r>
      <w:r>
        <w:rPr>
          <w:spacing w:val="2"/>
        </w:rPr>
        <w:t>事会于</w:t>
      </w:r>
      <w:r>
        <w:rPr>
          <w:rFonts w:ascii="宋体" w:hAnsi="宋体" w:cs="宋体" w:eastAsia="宋体" w:hint="default"/>
        </w:rPr>
        <w:t>202</w:t>
      </w:r>
      <w:r>
        <w:rPr>
          <w:rFonts w:ascii="宋体" w:hAnsi="宋体" w:cs="宋体" w:eastAsia="宋体" w:hint="default"/>
          <w:spacing w:val="2"/>
        </w:rPr>
        <w:t>0</w:t>
      </w:r>
      <w:r>
        <w:rPr>
          <w:spacing w:val="2"/>
        </w:rPr>
        <w:t>年</w:t>
      </w:r>
      <w:r>
        <w:rPr>
          <w:rFonts w:ascii="宋体" w:hAnsi="宋体" w:cs="宋体" w:eastAsia="宋体" w:hint="default"/>
          <w:spacing w:val="2"/>
        </w:rPr>
        <w:t>3</w:t>
      </w:r>
      <w:r>
        <w:rPr>
          <w:spacing w:val="2"/>
        </w:rPr>
        <w:t>月</w:t>
      </w:r>
      <w:r>
        <w:rPr>
          <w:rFonts w:ascii="宋体" w:hAnsi="宋体" w:cs="宋体" w:eastAsia="宋体" w:hint="default"/>
        </w:rPr>
        <w:t>2</w:t>
      </w:r>
      <w:r>
        <w:rPr>
          <w:rFonts w:ascii="宋体" w:hAnsi="宋体" w:cs="宋体" w:eastAsia="宋体" w:hint="default"/>
          <w:spacing w:val="2"/>
        </w:rPr>
        <w:t>7</w:t>
      </w:r>
      <w:r>
        <w:rPr/>
        <w:t>日</w:t>
      </w:r>
      <w:r>
        <w:rPr>
          <w:spacing w:val="2"/>
        </w:rPr>
        <w:t>决议批准。根据本公</w:t>
      </w:r>
      <w:r>
        <w:rPr/>
        <w:t>司</w:t>
      </w:r>
      <w:r>
        <w:rPr>
          <w:spacing w:val="2"/>
        </w:rPr>
        <w:t>章程，本</w:t>
      </w:r>
      <w:r>
        <w:rPr/>
        <w:t>财</w:t>
      </w:r>
    </w:p>
    <w:p>
      <w:pPr>
        <w:pStyle w:val="BodyText"/>
        <w:spacing w:line="281" w:lineRule="exact"/>
        <w:ind w:right="0"/>
        <w:jc w:val="both"/>
        <w:rPr>
          <w:rFonts w:ascii="宋体" w:hAnsi="宋体" w:cs="宋体" w:eastAsia="宋体" w:hint="default"/>
        </w:rPr>
      </w:pPr>
      <w:r>
        <w:rPr/>
        <w:t>务报表将提交股东大会审议。</w:t>
      </w:r>
      <w:r>
        <w:rPr>
          <w:rFonts w:ascii="宋体" w:hAnsi="宋体" w:cs="宋体" w:eastAsia="宋体" w:hint="default"/>
        </w:rPr>
        <w:t> </w:t>
      </w:r>
    </w:p>
    <w:p>
      <w:pPr>
        <w:spacing w:line="240" w:lineRule="auto" w:before="7"/>
        <w:rPr>
          <w:rFonts w:ascii="宋体" w:hAnsi="宋体" w:cs="宋体" w:eastAsia="宋体" w:hint="default"/>
          <w:sz w:val="25"/>
          <w:szCs w:val="25"/>
        </w:rPr>
      </w:pPr>
    </w:p>
    <w:p>
      <w:pPr>
        <w:pStyle w:val="Heading2"/>
        <w:spacing w:line="240" w:lineRule="auto"/>
        <w:ind w:left="136" w:right="0"/>
        <w:jc w:val="both"/>
        <w:rPr>
          <w:b w:val="0"/>
          <w:bCs w:val="0"/>
        </w:rPr>
      </w:pPr>
      <w:r>
        <w:rPr>
          <w:rFonts w:ascii="宋体" w:hAnsi="宋体" w:cs="宋体" w:eastAsia="宋体" w:hint="default"/>
        </w:rPr>
        <w:t>2.</w:t>
      </w:r>
      <w:r>
        <w:rPr>
          <w:rFonts w:ascii="宋体" w:hAnsi="宋体" w:cs="宋体" w:eastAsia="宋体" w:hint="default"/>
          <w:spacing w:val="55"/>
        </w:rPr>
        <w:t> </w:t>
      </w:r>
      <w:r>
        <w:rPr/>
        <w:t>合并财务报表范围</w:t>
      </w:r>
      <w:r>
        <w:rPr>
          <w:b w:val="0"/>
          <w:bCs w:val="0"/>
        </w:rPr>
      </w:r>
    </w:p>
    <w:p>
      <w:pPr>
        <w:pStyle w:val="BodyText"/>
        <w:tabs>
          <w:tab w:pos="1097" w:val="left" w:leader="none"/>
        </w:tabs>
        <w:spacing w:line="310" w:lineRule="exact" w:before="90"/>
        <w:ind w:right="1026"/>
        <w:jc w:val="left"/>
      </w:pPr>
      <w:r>
        <w:rPr/>
        <w:t>√适用</w:t>
        <w:tab/>
        <w:t>□不适用 合并财务报表的合并范围以控制为基础确定，本年度变化情况参见附注六。</w:t>
      </w:r>
    </w:p>
    <w:p>
      <w:pPr>
        <w:spacing w:line="240" w:lineRule="auto" w:before="5"/>
        <w:rPr>
          <w:rFonts w:ascii="宋体" w:hAnsi="宋体" w:cs="宋体" w:eastAsia="宋体" w:hint="default"/>
          <w:sz w:val="23"/>
          <w:szCs w:val="23"/>
        </w:rPr>
      </w:pPr>
    </w:p>
    <w:p>
      <w:pPr>
        <w:pStyle w:val="Heading2"/>
        <w:tabs>
          <w:tab w:pos="977" w:val="left" w:leader="none"/>
        </w:tabs>
        <w:spacing w:line="283" w:lineRule="auto"/>
        <w:ind w:left="136" w:right="5817"/>
        <w:jc w:val="left"/>
        <w:rPr>
          <w:b w:val="0"/>
          <w:bCs w:val="0"/>
        </w:rPr>
      </w:pPr>
      <w:r>
        <w:rPr/>
        <w:t>四、</w:t>
      </w:r>
      <w:r>
        <w:rPr>
          <w:rFonts w:ascii="宋体" w:hAnsi="宋体" w:cs="宋体" w:eastAsia="宋体" w:hint="default"/>
        </w:rPr>
        <w:tab/>
      </w:r>
      <w:r>
        <w:rPr/>
        <w:t>财务报表的编制基础</w:t>
      </w:r>
      <w:r>
        <w:rPr>
          <w:rFonts w:ascii="宋体" w:hAnsi="宋体" w:cs="宋体" w:eastAsia="宋体" w:hint="default"/>
          <w:w w:val="99"/>
        </w:rPr>
        <w:t> </w:t>
      </w:r>
      <w:r>
        <w:rPr>
          <w:rFonts w:ascii="宋体" w:hAnsi="宋体" w:cs="宋体" w:eastAsia="宋体" w:hint="default"/>
        </w:rPr>
        <w:t>1.</w:t>
      </w:r>
      <w:r>
        <w:rPr>
          <w:rFonts w:ascii="宋体" w:hAnsi="宋体" w:cs="宋体" w:eastAsia="宋体" w:hint="default"/>
          <w:spacing w:val="62"/>
        </w:rPr>
        <w:t> </w:t>
      </w:r>
      <w:r>
        <w:rPr/>
        <w:t>编制基础</w:t>
      </w:r>
      <w:r>
        <w:rPr>
          <w:b w:val="0"/>
          <w:bCs w:val="0"/>
        </w:rPr>
      </w:r>
    </w:p>
    <w:p>
      <w:pPr>
        <w:pStyle w:val="BodyText"/>
        <w:spacing w:line="312" w:lineRule="exact" w:before="43"/>
        <w:ind w:right="113" w:firstLine="480"/>
        <w:jc w:val="both"/>
      </w:pPr>
      <w:r>
        <w:rPr>
          <w:spacing w:val="-2"/>
        </w:rPr>
        <w:t>本财务报表按照财政部颁布的《企业会计准则——基本准则》以及其后颁布及修</w:t>
      </w:r>
      <w:r>
        <w:rPr/>
        <w:t> </w:t>
      </w:r>
      <w:r>
        <w:rPr>
          <w:spacing w:val="-2"/>
        </w:rPr>
        <w:t>订的具体会计准则、应用指南、解释以及其他相关规定（统称“企业会计准则”）编</w:t>
      </w:r>
      <w:r>
        <w:rPr>
          <w:spacing w:val="-96"/>
        </w:rPr>
        <w:t> </w:t>
      </w:r>
      <w:r>
        <w:rPr>
          <w:spacing w:val="-96"/>
        </w:rPr>
      </w:r>
      <w:r>
        <w:rPr/>
        <w:t>制。</w:t>
      </w:r>
    </w:p>
    <w:p>
      <w:pPr>
        <w:pStyle w:val="BodyText"/>
        <w:spacing w:line="588" w:lineRule="exact" w:before="52"/>
        <w:ind w:left="617" w:right="0"/>
        <w:jc w:val="left"/>
      </w:pPr>
      <w:r>
        <w:rPr/>
        <w:t>本财务报表以持续经营为基础列报。 </w:t>
      </w:r>
      <w:r>
        <w:rPr>
          <w:spacing w:val="-2"/>
        </w:rPr>
        <w:t>编制本财务报表时，除某些金融工具外，均以历史成本为计价原则。持有待售的</w:t>
      </w:r>
    </w:p>
    <w:p>
      <w:pPr>
        <w:pStyle w:val="BodyText"/>
        <w:spacing w:line="226" w:lineRule="exact"/>
        <w:ind w:right="0"/>
        <w:jc w:val="both"/>
      </w:pPr>
      <w:r>
        <w:rPr/>
        <w:t>处置组，按照账面价值与公允价值减去出售费用后的净额孰低列报。资产如果发生减</w:t>
      </w:r>
    </w:p>
    <w:p>
      <w:pPr>
        <w:pStyle w:val="BodyText"/>
        <w:spacing w:line="312" w:lineRule="exact"/>
        <w:ind w:right="0"/>
        <w:jc w:val="both"/>
      </w:pPr>
      <w:r>
        <w:rPr/>
        <w:t>值，则按照相关规定计提相应的减值准备。</w:t>
      </w:r>
    </w:p>
    <w:p>
      <w:pPr>
        <w:spacing w:after="0" w:line="312" w:lineRule="exact"/>
        <w:jc w:val="both"/>
        <w:sectPr>
          <w:headerReference w:type="default" r:id="rId52"/>
          <w:footerReference w:type="default" r:id="rId53"/>
          <w:pgSz w:w="11910" w:h="16840"/>
          <w:pgMar w:header="882" w:footer="1195" w:top="1080" w:bottom="1380" w:left="1140" w:right="1680"/>
          <w:pgNumType w:start="35"/>
        </w:sectPr>
      </w:pPr>
    </w:p>
    <w:p>
      <w:pPr>
        <w:spacing w:line="240" w:lineRule="auto" w:before="13"/>
        <w:rPr>
          <w:rFonts w:ascii="宋体" w:hAnsi="宋体" w:cs="宋体" w:eastAsia="宋体" w:hint="default"/>
          <w:sz w:val="18"/>
          <w:szCs w:val="18"/>
        </w:rPr>
      </w:pPr>
    </w:p>
    <w:p>
      <w:pPr>
        <w:pStyle w:val="Heading2"/>
        <w:spacing w:line="240" w:lineRule="auto" w:before="26"/>
        <w:ind w:left="136" w:right="0"/>
        <w:jc w:val="both"/>
        <w:rPr>
          <w:b w:val="0"/>
          <w:bCs w:val="0"/>
        </w:rPr>
      </w:pPr>
      <w:r>
        <w:rPr>
          <w:rFonts w:ascii="宋体" w:hAnsi="宋体" w:cs="宋体" w:eastAsia="宋体" w:hint="default"/>
        </w:rPr>
        <w:t>2.</w:t>
      </w:r>
      <w:r>
        <w:rPr>
          <w:rFonts w:ascii="宋体" w:hAnsi="宋体" w:cs="宋体" w:eastAsia="宋体" w:hint="default"/>
          <w:spacing w:val="62"/>
        </w:rPr>
        <w:t> </w:t>
      </w:r>
      <w:r>
        <w:rPr/>
        <w:t>持续经营</w:t>
      </w:r>
      <w:r>
        <w:rPr>
          <w:b w:val="0"/>
          <w:bCs w:val="0"/>
        </w:rPr>
      </w:r>
    </w:p>
    <w:p>
      <w:pPr>
        <w:pStyle w:val="BodyText"/>
        <w:spacing w:line="312" w:lineRule="exact" w:before="58"/>
        <w:ind w:right="0"/>
        <w:jc w:val="both"/>
      </w:pPr>
      <w:r>
        <w:rPr/>
        <w:t>√适用  □不适用</w:t>
      </w:r>
    </w:p>
    <w:p>
      <w:pPr>
        <w:pStyle w:val="BodyText"/>
        <w:spacing w:line="330" w:lineRule="exact"/>
        <w:ind w:right="0"/>
        <w:jc w:val="both"/>
      </w:pPr>
      <w:r>
        <w:rPr/>
        <w:t>本公司不存在导致对报告期末起</w:t>
      </w:r>
      <w:r>
        <w:rPr>
          <w:spacing w:val="-59"/>
        </w:rPr>
        <w:t> </w:t>
      </w:r>
      <w:r>
        <w:rPr>
          <w:rFonts w:ascii="Times New Roman" w:hAnsi="Times New Roman" w:cs="Times New Roman" w:eastAsia="Times New Roman" w:hint="default"/>
        </w:rPr>
        <w:t>12 </w:t>
      </w:r>
      <w:r>
        <w:rPr/>
        <w:t>个月内的持续经营假设重大疑虑的事项或情况。</w:t>
      </w:r>
    </w:p>
    <w:p>
      <w:pPr>
        <w:spacing w:line="240" w:lineRule="auto" w:before="2"/>
        <w:rPr>
          <w:rFonts w:ascii="宋体" w:hAnsi="宋体" w:cs="宋体" w:eastAsia="宋体" w:hint="default"/>
          <w:sz w:val="24"/>
          <w:szCs w:val="24"/>
        </w:rPr>
      </w:pPr>
    </w:p>
    <w:p>
      <w:pPr>
        <w:tabs>
          <w:tab w:pos="977" w:val="left" w:leader="none"/>
        </w:tabs>
        <w:spacing w:line="283" w:lineRule="auto" w:before="0"/>
        <w:ind w:left="136" w:right="5337" w:firstLine="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z w:val="24"/>
          <w:szCs w:val="24"/>
        </w:rPr>
        <w:tab/>
      </w:r>
      <w:r>
        <w:rPr>
          <w:rFonts w:ascii="宋体" w:hAnsi="宋体" w:cs="宋体" w:eastAsia="宋体" w:hint="default"/>
          <w:b/>
          <w:bCs/>
          <w:sz w:val="24"/>
          <w:szCs w:val="24"/>
        </w:rPr>
        <w:t>重要会计政策及会计估计</w:t>
      </w:r>
      <w:r>
        <w:rPr>
          <w:rFonts w:ascii="宋体" w:hAnsi="宋体" w:cs="宋体" w:eastAsia="宋体" w:hint="default"/>
          <w:b/>
          <w:bCs/>
          <w:w w:val="99"/>
          <w:sz w:val="24"/>
          <w:szCs w:val="24"/>
        </w:rPr>
        <w:t> </w:t>
      </w:r>
      <w:r>
        <w:rPr>
          <w:rFonts w:ascii="宋体" w:hAnsi="宋体" w:cs="宋体" w:eastAsia="宋体" w:hint="default"/>
          <w:sz w:val="24"/>
          <w:szCs w:val="24"/>
        </w:rPr>
        <w:t>具体会计政策和会计估计提示：</w:t>
      </w:r>
    </w:p>
    <w:p>
      <w:pPr>
        <w:pStyle w:val="BodyText"/>
        <w:spacing w:line="265" w:lineRule="exact"/>
        <w:ind w:right="0"/>
        <w:jc w:val="both"/>
      </w:pPr>
      <w:r>
        <w:rPr/>
        <w:t>√适用 □不适用</w:t>
      </w:r>
    </w:p>
    <w:p>
      <w:pPr>
        <w:pStyle w:val="BodyText"/>
        <w:spacing w:line="237" w:lineRule="auto" w:before="1"/>
        <w:ind w:right="113"/>
        <w:jc w:val="both"/>
      </w:pPr>
      <w:r>
        <w:rPr>
          <w:spacing w:val="-2"/>
        </w:rPr>
        <w:t>本集团根据实际生产经营特点制定了具体会计政策和会计估计，主要体现在应收款项</w:t>
      </w:r>
      <w:r>
        <w:rPr>
          <w:spacing w:val="-94"/>
        </w:rPr>
        <w:t> </w:t>
      </w:r>
      <w:r>
        <w:rPr>
          <w:spacing w:val="-94"/>
        </w:rPr>
      </w:r>
      <w:r>
        <w:rPr>
          <w:spacing w:val="-2"/>
        </w:rPr>
        <w:t>坏账准备的计提、研发费用资本化条件、收入确认和计量及除金融资产之外的非流动</w:t>
      </w:r>
      <w:r>
        <w:rPr>
          <w:spacing w:val="-94"/>
        </w:rPr>
        <w:t> </w:t>
      </w:r>
      <w:r>
        <w:rPr>
          <w:spacing w:val="-94"/>
        </w:rPr>
      </w:r>
      <w:r>
        <w:rPr>
          <w:spacing w:val="-2"/>
        </w:rPr>
        <w:t>资产的减值、递延所得税资产的确认、固定资产的折旧政策、无形资产的可使用寿命</w:t>
      </w:r>
      <w:r>
        <w:rPr>
          <w:spacing w:val="-94"/>
        </w:rPr>
        <w:t> </w:t>
      </w:r>
      <w:r>
        <w:rPr>
          <w:spacing w:val="-94"/>
        </w:rPr>
      </w:r>
      <w:r>
        <w:rPr/>
        <w:t>和无形资产摊销等方面。</w:t>
      </w:r>
    </w:p>
    <w:p>
      <w:pPr>
        <w:spacing w:line="240" w:lineRule="auto" w:before="8"/>
        <w:rPr>
          <w:rFonts w:ascii="宋体" w:hAnsi="宋体" w:cs="宋体" w:eastAsia="宋体" w:hint="default"/>
          <w:sz w:val="25"/>
          <w:szCs w:val="25"/>
        </w:rPr>
      </w:pPr>
    </w:p>
    <w:p>
      <w:pPr>
        <w:pStyle w:val="BodyText"/>
        <w:spacing w:line="261" w:lineRule="auto"/>
        <w:ind w:right="0"/>
        <w:jc w:val="left"/>
      </w:pPr>
      <w:r>
        <w:rPr>
          <w:rFonts w:ascii="宋体" w:hAnsi="宋体" w:cs="宋体" w:eastAsia="宋体" w:hint="default"/>
          <w:b/>
          <w:bCs/>
        </w:rPr>
        <w:t>1.</w:t>
      </w:r>
      <w:r>
        <w:rPr>
          <w:rFonts w:ascii="宋体" w:hAnsi="宋体" w:cs="宋体" w:eastAsia="宋体" w:hint="default"/>
          <w:b/>
          <w:bCs/>
          <w:spacing w:val="61"/>
        </w:rPr>
        <w:t> </w:t>
      </w:r>
      <w:r>
        <w:rPr>
          <w:rFonts w:ascii="宋体" w:hAnsi="宋体" w:cs="宋体" w:eastAsia="宋体" w:hint="default"/>
          <w:b/>
          <w:bCs/>
        </w:rPr>
        <w:t>遵循企业会计准则的声明</w:t>
      </w:r>
      <w:r>
        <w:rPr>
          <w:rFonts w:ascii="宋体" w:hAnsi="宋体" w:cs="宋体" w:eastAsia="宋体" w:hint="default"/>
          <w:b/>
          <w:bCs/>
          <w:w w:val="99"/>
        </w:rPr>
        <w:t> </w:t>
      </w:r>
      <w:r>
        <w:rPr>
          <w:spacing w:val="-2"/>
        </w:rPr>
        <w:t>本公司所编制的财务报表符合企业会计准则的要求，真实、完整地反映了公司的财务</w:t>
      </w:r>
      <w:r>
        <w:rPr>
          <w:spacing w:val="-94"/>
        </w:rPr>
        <w:t> </w:t>
      </w:r>
      <w:r>
        <w:rPr>
          <w:spacing w:val="-94"/>
        </w:rPr>
      </w:r>
      <w:r>
        <w:rPr/>
        <w:t>状况、经营成果、股东权益变动和现金流量等有关信息。</w:t>
      </w:r>
    </w:p>
    <w:p>
      <w:pPr>
        <w:spacing w:line="240" w:lineRule="auto" w:before="11"/>
        <w:rPr>
          <w:rFonts w:ascii="宋体" w:hAnsi="宋体" w:cs="宋体" w:eastAsia="宋体" w:hint="default"/>
          <w:sz w:val="23"/>
          <w:szCs w:val="23"/>
        </w:rPr>
      </w:pPr>
    </w:p>
    <w:p>
      <w:pPr>
        <w:pStyle w:val="Heading2"/>
        <w:spacing w:line="240" w:lineRule="auto"/>
        <w:ind w:left="136" w:right="0"/>
        <w:jc w:val="both"/>
        <w:rPr>
          <w:b w:val="0"/>
          <w:bCs w:val="0"/>
        </w:rPr>
      </w:pPr>
      <w:r>
        <w:rPr>
          <w:rFonts w:ascii="宋体" w:hAnsi="宋体" w:cs="宋体" w:eastAsia="宋体" w:hint="default"/>
        </w:rPr>
        <w:t>2.</w:t>
      </w:r>
      <w:r>
        <w:rPr>
          <w:rFonts w:ascii="宋体" w:hAnsi="宋体" w:cs="宋体" w:eastAsia="宋体" w:hint="default"/>
          <w:spacing w:val="62"/>
        </w:rPr>
        <w:t> </w:t>
      </w:r>
      <w:r>
        <w:rPr/>
        <w:t>会计期间</w:t>
      </w:r>
      <w:r>
        <w:rPr>
          <w:b w:val="0"/>
          <w:bCs w:val="0"/>
        </w:rPr>
      </w:r>
    </w:p>
    <w:p>
      <w:pPr>
        <w:pStyle w:val="BodyText"/>
        <w:spacing w:line="240" w:lineRule="auto" w:before="58"/>
        <w:ind w:right="0"/>
        <w:jc w:val="both"/>
      </w:pPr>
      <w:r>
        <w:rPr/>
        <w:t>本公司会计年度自公历</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日起至</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日止。</w:t>
      </w:r>
    </w:p>
    <w:p>
      <w:pPr>
        <w:spacing w:line="240" w:lineRule="auto" w:before="12"/>
        <w:rPr>
          <w:rFonts w:ascii="宋体" w:hAnsi="宋体" w:cs="宋体" w:eastAsia="宋体" w:hint="default"/>
          <w:sz w:val="23"/>
          <w:szCs w:val="23"/>
        </w:rPr>
      </w:pPr>
    </w:p>
    <w:p>
      <w:pPr>
        <w:pStyle w:val="Heading2"/>
        <w:spacing w:line="240" w:lineRule="auto"/>
        <w:ind w:left="136" w:right="0"/>
        <w:jc w:val="both"/>
        <w:rPr>
          <w:b w:val="0"/>
          <w:bCs w:val="0"/>
        </w:rPr>
      </w:pPr>
      <w:r>
        <w:rPr>
          <w:rFonts w:ascii="宋体" w:hAnsi="宋体" w:cs="宋体" w:eastAsia="宋体" w:hint="default"/>
        </w:rPr>
        <w:t>3.</w:t>
      </w:r>
      <w:r>
        <w:rPr>
          <w:rFonts w:ascii="宋体" w:hAnsi="宋体" w:cs="宋体" w:eastAsia="宋体" w:hint="default"/>
          <w:spacing w:val="62"/>
        </w:rPr>
        <w:t> </w:t>
      </w:r>
      <w:r>
        <w:rPr/>
        <w:t>营业周期</w:t>
      </w:r>
      <w:r>
        <w:rPr>
          <w:b w:val="0"/>
          <w:bCs w:val="0"/>
        </w:rPr>
      </w:r>
    </w:p>
    <w:p>
      <w:pPr>
        <w:pStyle w:val="BodyText"/>
        <w:spacing w:line="313" w:lineRule="exact" w:before="58"/>
        <w:ind w:right="0"/>
        <w:jc w:val="both"/>
      </w:pPr>
      <w:r>
        <w:rPr/>
        <w:t>√适用  □不适用</w:t>
      </w:r>
    </w:p>
    <w:p>
      <w:pPr>
        <w:pStyle w:val="BodyText"/>
        <w:spacing w:line="310" w:lineRule="exact" w:before="31"/>
        <w:ind w:right="100"/>
        <w:jc w:val="left"/>
      </w:pPr>
      <w:r>
        <w:rPr>
          <w:spacing w:val="-4"/>
        </w:rPr>
        <w:t>本公司以一年（</w:t>
      </w:r>
      <w:r>
        <w:rPr>
          <w:rFonts w:ascii="Times New Roman" w:hAnsi="Times New Roman" w:cs="Times New Roman" w:eastAsia="Times New Roman" w:hint="default"/>
          <w:spacing w:val="-4"/>
        </w:rPr>
        <w:t>12</w:t>
      </w:r>
      <w:r>
        <w:rPr>
          <w:rFonts w:ascii="Times New Roman" w:hAnsi="Times New Roman" w:cs="Times New Roman" w:eastAsia="Times New Roman" w:hint="default"/>
          <w:spacing w:val="13"/>
        </w:rPr>
        <w:t> </w:t>
      </w:r>
      <w:r>
        <w:rPr>
          <w:spacing w:val="-3"/>
        </w:rPr>
        <w:t>个月）作为正常营业周期，并以营业周期作为资产和负债的流动性</w:t>
      </w:r>
      <w:r>
        <w:rPr/>
        <w:t> 划分标准。</w:t>
      </w:r>
    </w:p>
    <w:p>
      <w:pPr>
        <w:spacing w:line="240" w:lineRule="auto" w:before="5"/>
        <w:rPr>
          <w:rFonts w:ascii="宋体" w:hAnsi="宋体" w:cs="宋体" w:eastAsia="宋体" w:hint="default"/>
          <w:sz w:val="23"/>
          <w:szCs w:val="23"/>
        </w:rPr>
      </w:pPr>
    </w:p>
    <w:p>
      <w:pPr>
        <w:spacing w:line="283" w:lineRule="auto" w:before="0"/>
        <w:ind w:left="136" w:right="5570" w:firstLine="0"/>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pacing w:val="61"/>
          <w:sz w:val="24"/>
          <w:szCs w:val="24"/>
        </w:rPr>
        <w:t> </w:t>
      </w:r>
      <w:r>
        <w:rPr>
          <w:rFonts w:ascii="宋体" w:hAnsi="宋体" w:cs="宋体" w:eastAsia="宋体" w:hint="default"/>
          <w:b/>
          <w:bCs/>
          <w:sz w:val="24"/>
          <w:szCs w:val="24"/>
        </w:rPr>
        <w:t>记账本位币</w:t>
      </w:r>
      <w:r>
        <w:rPr>
          <w:rFonts w:ascii="宋体" w:hAnsi="宋体" w:cs="宋体" w:eastAsia="宋体" w:hint="default"/>
          <w:b/>
          <w:bCs/>
          <w:w w:val="99"/>
          <w:sz w:val="24"/>
          <w:szCs w:val="24"/>
        </w:rPr>
        <w:t> </w:t>
      </w:r>
      <w:r>
        <w:rPr>
          <w:rFonts w:ascii="宋体" w:hAnsi="宋体" w:cs="宋体" w:eastAsia="宋体" w:hint="default"/>
          <w:sz w:val="24"/>
          <w:szCs w:val="24"/>
        </w:rPr>
        <w:t>本公司的记账本位币为人民币。</w:t>
      </w:r>
    </w:p>
    <w:p>
      <w:pPr>
        <w:spacing w:line="240" w:lineRule="auto" w:before="0"/>
        <w:rPr>
          <w:rFonts w:ascii="宋体" w:hAnsi="宋体" w:cs="宋体" w:eastAsia="宋体" w:hint="default"/>
          <w:sz w:val="22"/>
          <w:szCs w:val="22"/>
        </w:rPr>
      </w:pPr>
    </w:p>
    <w:p>
      <w:pPr>
        <w:pStyle w:val="Heading2"/>
        <w:spacing w:line="240" w:lineRule="auto"/>
        <w:ind w:left="136" w:right="0"/>
        <w:jc w:val="both"/>
        <w:rPr>
          <w:b w:val="0"/>
          <w:bCs w:val="0"/>
        </w:rPr>
      </w:pPr>
      <w:r>
        <w:rPr>
          <w:rFonts w:ascii="宋体" w:hAnsi="宋体" w:cs="宋体" w:eastAsia="宋体" w:hint="default"/>
        </w:rPr>
        <w:t>5.</w:t>
      </w:r>
      <w:r>
        <w:rPr>
          <w:rFonts w:ascii="宋体" w:hAnsi="宋体" w:cs="宋体" w:eastAsia="宋体" w:hint="default"/>
          <w:spacing w:val="58"/>
        </w:rPr>
        <w:t> </w:t>
      </w:r>
      <w:r>
        <w:rPr/>
        <w:t>同一控制下和非同一控制下企业合并的会计处理方法</w:t>
      </w:r>
      <w:r>
        <w:rPr>
          <w:b w:val="0"/>
          <w:bCs w:val="0"/>
        </w:rPr>
      </w:r>
    </w:p>
    <w:p>
      <w:pPr>
        <w:pStyle w:val="BodyText"/>
        <w:tabs>
          <w:tab w:pos="1097" w:val="left" w:leader="none"/>
        </w:tabs>
        <w:spacing w:line="312" w:lineRule="exact" w:before="88"/>
        <w:ind w:right="2467"/>
        <w:jc w:val="left"/>
      </w:pPr>
      <w:r>
        <w:rPr/>
        <w:t>√适用</w:t>
        <w:tab/>
        <w:t>□不适用 企业合并分为同一控制下企业合并和非同一控制下企业合并。</w:t>
      </w:r>
    </w:p>
    <w:p>
      <w:pPr>
        <w:spacing w:line="240" w:lineRule="auto" w:before="7"/>
        <w:rPr>
          <w:rFonts w:ascii="宋体" w:hAnsi="宋体" w:cs="宋体" w:eastAsia="宋体" w:hint="default"/>
          <w:sz w:val="18"/>
          <w:szCs w:val="18"/>
        </w:rPr>
      </w:pPr>
    </w:p>
    <w:p>
      <w:pPr>
        <w:pStyle w:val="BodyText"/>
        <w:spacing w:line="240" w:lineRule="auto"/>
        <w:ind w:right="0"/>
        <w:jc w:val="both"/>
      </w:pPr>
      <w:r>
        <w:rPr/>
        <w:t>同一控制下企业合并</w:t>
      </w:r>
    </w:p>
    <w:p>
      <w:pPr>
        <w:spacing w:line="240" w:lineRule="auto" w:before="3"/>
        <w:rPr>
          <w:rFonts w:ascii="宋体" w:hAnsi="宋体" w:cs="宋体" w:eastAsia="宋体" w:hint="default"/>
          <w:sz w:val="21"/>
          <w:szCs w:val="21"/>
        </w:rPr>
      </w:pPr>
    </w:p>
    <w:p>
      <w:pPr>
        <w:pStyle w:val="BodyText"/>
        <w:spacing w:line="237" w:lineRule="auto"/>
        <w:ind w:right="113"/>
        <w:jc w:val="both"/>
      </w:pPr>
      <w:r>
        <w:rPr>
          <w:spacing w:val="-2"/>
        </w:rPr>
        <w:t>参与合并的企业在合并前后均受同一方或相同的多方最终控制，且该控制并非暂时性</w:t>
      </w:r>
      <w:r>
        <w:rPr>
          <w:spacing w:val="-94"/>
        </w:rPr>
        <w:t> </w:t>
      </w:r>
      <w:r>
        <w:rPr>
          <w:spacing w:val="-94"/>
        </w:rPr>
      </w:r>
      <w:r>
        <w:rPr>
          <w:spacing w:val="-2"/>
        </w:rPr>
        <w:t>的，为同一控制下的企业合并。同一控制下的企业合并，在合并日取得对其他参与合</w:t>
      </w:r>
      <w:r>
        <w:rPr>
          <w:spacing w:val="-94"/>
        </w:rPr>
        <w:t> </w:t>
      </w:r>
      <w:r>
        <w:rPr>
          <w:spacing w:val="-94"/>
        </w:rPr>
      </w:r>
      <w:r>
        <w:rPr>
          <w:spacing w:val="-2"/>
        </w:rPr>
        <w:t>并企业控制权的一方为合并方，参与合并的其他企业为被合并方。合并日，是指合并</w:t>
      </w:r>
      <w:r>
        <w:rPr>
          <w:spacing w:val="-96"/>
        </w:rPr>
        <w:t> </w:t>
      </w:r>
      <w:r>
        <w:rPr>
          <w:spacing w:val="-96"/>
        </w:rPr>
      </w:r>
      <w:r>
        <w:rPr/>
        <w:t>方实际取得对被合并方控制权的日期。</w:t>
      </w:r>
    </w:p>
    <w:p>
      <w:pPr>
        <w:spacing w:line="240" w:lineRule="auto" w:before="2"/>
        <w:rPr>
          <w:rFonts w:ascii="宋体" w:hAnsi="宋体" w:cs="宋体" w:eastAsia="宋体" w:hint="default"/>
          <w:sz w:val="21"/>
          <w:szCs w:val="21"/>
        </w:rPr>
      </w:pPr>
    </w:p>
    <w:p>
      <w:pPr>
        <w:pStyle w:val="BodyText"/>
        <w:spacing w:line="237" w:lineRule="auto"/>
        <w:ind w:right="114"/>
        <w:jc w:val="both"/>
      </w:pPr>
      <w:r>
        <w:rPr>
          <w:spacing w:val="-2"/>
        </w:rPr>
        <w:t>合并方在同一控制下企业合并中取得的资产和负债（包括最终控制方收购被合并方而</w:t>
      </w:r>
      <w:r>
        <w:rPr>
          <w:spacing w:val="-94"/>
        </w:rPr>
        <w:t> </w:t>
      </w:r>
      <w:r>
        <w:rPr>
          <w:spacing w:val="-94"/>
        </w:rPr>
      </w:r>
      <w:r>
        <w:rPr>
          <w:spacing w:val="-2"/>
        </w:rPr>
        <w:t>形成的商誉），按合并日在最终控制方财务报表中的账面价值为基础进行相关会计处</w:t>
      </w:r>
      <w:r>
        <w:rPr>
          <w:spacing w:val="-94"/>
        </w:rPr>
        <w:t> </w:t>
      </w:r>
      <w:r>
        <w:rPr>
          <w:spacing w:val="-94"/>
        </w:rPr>
      </w:r>
      <w:r>
        <w:rPr>
          <w:spacing w:val="-2"/>
        </w:rPr>
        <w:t>理。合并方取得的净资产账面价值与支付的合并对价的账面价值的差额，调整资本公</w:t>
      </w:r>
      <w:r>
        <w:rPr>
          <w:spacing w:val="-93"/>
        </w:rPr>
        <w:t> </w:t>
      </w:r>
      <w:r>
        <w:rPr>
          <w:spacing w:val="-93"/>
        </w:rPr>
      </w:r>
      <w:r>
        <w:rPr/>
        <w:t>积中的股本溢价，不足冲减的则调整留存收益。</w:t>
      </w:r>
    </w:p>
    <w:p>
      <w:pPr>
        <w:spacing w:after="0" w:line="237" w:lineRule="auto"/>
        <w:jc w:val="both"/>
        <w:sectPr>
          <w:pgSz w:w="11910" w:h="16840"/>
          <w:pgMar w:header="882" w:footer="1195" w:top="1120" w:bottom="1380" w:left="1140" w:right="1680"/>
        </w:sectPr>
      </w:pPr>
    </w:p>
    <w:p>
      <w:pPr>
        <w:spacing w:line="240" w:lineRule="auto" w:before="13"/>
        <w:rPr>
          <w:rFonts w:ascii="宋体" w:hAnsi="宋体" w:cs="宋体" w:eastAsia="宋体" w:hint="default"/>
          <w:sz w:val="18"/>
          <w:szCs w:val="18"/>
        </w:rPr>
      </w:pPr>
    </w:p>
    <w:p>
      <w:pPr>
        <w:pStyle w:val="BodyText"/>
        <w:spacing w:line="240" w:lineRule="auto" w:before="26"/>
        <w:ind w:right="0"/>
        <w:jc w:val="both"/>
      </w:pPr>
      <w:r>
        <w:rPr/>
        <w:t>非同一控制下的企业合并</w:t>
      </w:r>
    </w:p>
    <w:p>
      <w:pPr>
        <w:spacing w:line="240" w:lineRule="auto" w:before="2"/>
        <w:rPr>
          <w:rFonts w:ascii="宋体" w:hAnsi="宋体" w:cs="宋体" w:eastAsia="宋体" w:hint="default"/>
          <w:sz w:val="21"/>
          <w:szCs w:val="21"/>
        </w:rPr>
      </w:pPr>
    </w:p>
    <w:p>
      <w:pPr>
        <w:pStyle w:val="BodyText"/>
        <w:spacing w:line="237" w:lineRule="auto"/>
        <w:ind w:right="215"/>
        <w:jc w:val="both"/>
      </w:pPr>
      <w:r>
        <w:rPr>
          <w:spacing w:val="-2"/>
        </w:rPr>
        <w:t>参与合并的企业在合并前后不受同一方或相同多方最终控制的，为非同一控制下的企</w:t>
      </w:r>
      <w:r>
        <w:rPr>
          <w:spacing w:val="-94"/>
        </w:rPr>
        <w:t> </w:t>
      </w:r>
      <w:r>
        <w:rPr>
          <w:spacing w:val="-94"/>
        </w:rPr>
      </w:r>
      <w:r>
        <w:rPr>
          <w:spacing w:val="-2"/>
        </w:rPr>
        <w:t>业合并。非同一控制下的企业合并，在购买日取得对其他参与合并企业控制权的一方</w:t>
      </w:r>
      <w:r>
        <w:rPr>
          <w:spacing w:val="-94"/>
        </w:rPr>
        <w:t> </w:t>
      </w:r>
      <w:r>
        <w:rPr>
          <w:spacing w:val="-94"/>
        </w:rPr>
      </w:r>
      <w:r>
        <w:rPr>
          <w:spacing w:val="-2"/>
        </w:rPr>
        <w:t>为购买方，参与合并的其他企业为被购买方。购买日是指为购买方实际取得对被购买</w:t>
      </w:r>
      <w:r>
        <w:rPr>
          <w:spacing w:val="-94"/>
        </w:rPr>
        <w:t> </w:t>
      </w:r>
      <w:r>
        <w:rPr>
          <w:spacing w:val="-94"/>
        </w:rPr>
      </w:r>
      <w:r>
        <w:rPr/>
        <w:t>方控制权的日期。</w:t>
      </w:r>
    </w:p>
    <w:p>
      <w:pPr>
        <w:spacing w:line="240" w:lineRule="auto" w:before="2"/>
        <w:rPr>
          <w:rFonts w:ascii="宋体" w:hAnsi="宋体" w:cs="宋体" w:eastAsia="宋体" w:hint="default"/>
          <w:sz w:val="23"/>
          <w:szCs w:val="23"/>
        </w:rPr>
      </w:pPr>
    </w:p>
    <w:p>
      <w:pPr>
        <w:pStyle w:val="BodyText"/>
        <w:spacing w:line="312" w:lineRule="exact"/>
        <w:ind w:right="215"/>
        <w:jc w:val="both"/>
      </w:pPr>
      <w:r>
        <w:rPr>
          <w:spacing w:val="-2"/>
        </w:rPr>
        <w:t>非同一控制下企业合并中所取得的被购买方可辨认资产、负债及或有负债在收购日以</w:t>
      </w:r>
      <w:r>
        <w:rPr>
          <w:spacing w:val="-94"/>
        </w:rPr>
        <w:t> </w:t>
      </w:r>
      <w:r>
        <w:rPr>
          <w:spacing w:val="-94"/>
        </w:rPr>
      </w:r>
      <w:r>
        <w:rPr/>
        <w:t>公允价值计量。</w:t>
      </w:r>
    </w:p>
    <w:p>
      <w:pPr>
        <w:spacing w:line="240" w:lineRule="auto" w:before="13"/>
        <w:rPr>
          <w:rFonts w:ascii="宋体" w:hAnsi="宋体" w:cs="宋体" w:eastAsia="宋体" w:hint="default"/>
          <w:sz w:val="18"/>
          <w:szCs w:val="18"/>
        </w:rPr>
      </w:pPr>
    </w:p>
    <w:p>
      <w:pPr>
        <w:pStyle w:val="BodyText"/>
        <w:spacing w:line="237" w:lineRule="auto"/>
        <w:ind w:right="94"/>
        <w:jc w:val="left"/>
      </w:pPr>
      <w:r>
        <w:rPr/>
        <w:t>支付的合并对价的公允价值与购买日之前持有的被购买方的股权的公允价值之和大 于合并中取得的被购买方可辨认净资产公允价值份额的差额，确认为商誉，并以成本 减去累计减值损失进行后续计量。支付的合并对价的公允价值与购买日之前持有的被 购买方的股权的公允价值之和小于合并中取得的被购买方可辨认净资产公允价值份 额的，对取得的被购买方各项可辨认资产、负债及或有负债的公允价值以及支付的合 并对价的公允价值及购买日之前持有的被购买方的股权的公允价值的计量进行复核，</w:t>
      </w:r>
      <w:r>
        <w:rPr>
          <w:spacing w:val="-63"/>
        </w:rPr>
        <w:t> </w:t>
      </w:r>
      <w:r>
        <w:rPr>
          <w:spacing w:val="-63"/>
        </w:rPr>
      </w:r>
      <w:r>
        <w:rPr/>
        <w:t>复核后支付的合并对价的公允价值与购买日之前持有的被购买方的股权的公允价值 之和仍小于合并中取得的被购买方可辨认净资产公允价值份额的，其差额计入当期损</w:t>
      </w:r>
      <w:r>
        <w:rPr/>
        <w:t> 益。</w:t>
      </w:r>
    </w:p>
    <w:p>
      <w:pPr>
        <w:spacing w:line="240" w:lineRule="auto" w:before="7"/>
        <w:rPr>
          <w:rFonts w:ascii="宋体" w:hAnsi="宋体" w:cs="宋体" w:eastAsia="宋体" w:hint="default"/>
          <w:sz w:val="25"/>
          <w:szCs w:val="25"/>
        </w:rPr>
      </w:pPr>
    </w:p>
    <w:p>
      <w:pPr>
        <w:pStyle w:val="Heading2"/>
        <w:spacing w:line="240" w:lineRule="auto"/>
        <w:ind w:left="136" w:right="0"/>
        <w:jc w:val="both"/>
        <w:rPr>
          <w:b w:val="0"/>
          <w:bCs w:val="0"/>
        </w:rPr>
      </w:pPr>
      <w:r>
        <w:rPr>
          <w:rFonts w:ascii="宋体" w:hAnsi="宋体" w:cs="宋体" w:eastAsia="宋体" w:hint="default"/>
        </w:rPr>
        <w:t>6.</w:t>
      </w:r>
      <w:r>
        <w:rPr>
          <w:rFonts w:ascii="宋体" w:hAnsi="宋体" w:cs="宋体" w:eastAsia="宋体" w:hint="default"/>
          <w:spacing w:val="59"/>
        </w:rPr>
        <w:t> </w:t>
      </w:r>
      <w:r>
        <w:rPr/>
        <w:t>合并财务报表的编制方法</w:t>
      </w:r>
      <w:r>
        <w:rPr>
          <w:b w:val="0"/>
          <w:bCs w:val="0"/>
        </w:rPr>
      </w:r>
    </w:p>
    <w:p>
      <w:pPr>
        <w:pStyle w:val="BodyText"/>
        <w:spacing w:line="310" w:lineRule="exact" w:before="90"/>
        <w:ind w:right="285"/>
        <w:jc w:val="both"/>
      </w:pPr>
      <w:r>
        <w:rPr/>
        <w:t>√适用 □不适用 合并财务报表的合并范围以控制为基础确定，包括本公司及全部子公司截至</w:t>
      </w:r>
      <w:r>
        <w:rPr>
          <w:spacing w:val="-58"/>
        </w:rPr>
        <w:t> </w:t>
      </w:r>
      <w:r>
        <w:rPr>
          <w:rFonts w:ascii="Times New Roman" w:hAnsi="Times New Roman" w:cs="Times New Roman" w:eastAsia="Times New Roman" w:hint="default"/>
        </w:rPr>
        <w:t>2019 </w:t>
      </w:r>
      <w:r>
        <w:rPr/>
        <w:t>年</w:t>
      </w:r>
    </w:p>
    <w:p>
      <w:pPr>
        <w:pStyle w:val="BodyText"/>
        <w:spacing w:line="312" w:lineRule="exact"/>
        <w:ind w:right="211"/>
        <w:jc w:val="both"/>
      </w:pP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日止年度的财务报表。子公司，是指被本公司控制的主体（含企业、被投资 单位中可分割的部分，以及本公司所控制的结构化主体等）。</w:t>
      </w:r>
    </w:p>
    <w:p>
      <w:pPr>
        <w:spacing w:line="240" w:lineRule="auto" w:before="8"/>
        <w:rPr>
          <w:rFonts w:ascii="宋体" w:hAnsi="宋体" w:cs="宋体" w:eastAsia="宋体" w:hint="default"/>
          <w:sz w:val="19"/>
          <w:szCs w:val="19"/>
        </w:rPr>
      </w:pPr>
    </w:p>
    <w:p>
      <w:pPr>
        <w:pStyle w:val="BodyText"/>
        <w:spacing w:line="228" w:lineRule="auto"/>
        <w:ind w:right="211"/>
        <w:jc w:val="both"/>
      </w:pPr>
      <w:r>
        <w:rPr/>
        <w:t>根据中华人民共和国财政部</w:t>
      </w:r>
      <w:r>
        <w:rPr>
          <w:rFonts w:ascii="Times New Roman" w:hAnsi="Times New Roman" w:cs="Times New Roman" w:eastAsia="Times New Roman" w:hint="default"/>
        </w:rPr>
        <w:t>(</w:t>
      </w:r>
      <w:r>
        <w:rPr/>
        <w:t>以下简称“财政部”</w:t>
      </w:r>
      <w:r>
        <w:rPr>
          <w:rFonts w:ascii="Times New Roman" w:hAnsi="Times New Roman" w:cs="Times New Roman" w:eastAsia="Times New Roman" w:hint="default"/>
        </w:rPr>
        <w:t>)</w:t>
      </w:r>
      <w:r>
        <w:rPr/>
        <w:t>关于修订印发《企业会计准则第</w:t>
      </w:r>
      <w:r>
        <w:rPr>
          <w:spacing w:val="-83"/>
        </w:rPr>
        <w:t> </w:t>
      </w:r>
      <w:r>
        <w:rPr>
          <w:rFonts w:ascii="Times New Roman" w:hAnsi="Times New Roman" w:cs="Times New Roman" w:eastAsia="Times New Roman" w:hint="default"/>
        </w:rPr>
        <w:t>14 </w:t>
      </w:r>
      <w:r>
        <w:rPr/>
        <w:t>号——收入》</w:t>
      </w:r>
      <w:r>
        <w:rPr>
          <w:rFonts w:ascii="Times New Roman" w:hAnsi="Times New Roman" w:cs="Times New Roman" w:eastAsia="Times New Roman" w:hint="default"/>
        </w:rPr>
        <w:t>(</w:t>
      </w:r>
      <w:r>
        <w:rPr/>
        <w:t>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22</w:t>
      </w:r>
      <w:r>
        <w:rPr>
          <w:rFonts w:ascii="Times New Roman" w:hAnsi="Times New Roman" w:cs="Times New Roman" w:eastAsia="Times New Roman" w:hint="default"/>
          <w:spacing w:val="-25"/>
        </w:rPr>
        <w:t> </w:t>
      </w:r>
      <w:r>
        <w:rPr/>
        <w:t>号</w:t>
      </w:r>
      <w:r>
        <w:rPr>
          <w:rFonts w:ascii="Times New Roman" w:hAnsi="Times New Roman" w:cs="Times New Roman" w:eastAsia="Times New Roman" w:hint="default"/>
        </w:rPr>
        <w:t>)</w:t>
      </w:r>
      <w:r>
        <w:rPr/>
        <w:t>的通知，本集团之子公司畅捷通信息技术股份有限 公司</w:t>
      </w:r>
      <w:r>
        <w:rPr>
          <w:rFonts w:ascii="Times New Roman" w:hAnsi="Times New Roman" w:cs="Times New Roman" w:eastAsia="Times New Roman" w:hint="default"/>
        </w:rPr>
        <w:t>(</w:t>
      </w:r>
      <w:r>
        <w:rPr/>
        <w:t>以下简称“畅捷通”</w:t>
      </w:r>
      <w:r>
        <w:rPr>
          <w:rFonts w:ascii="Times New Roman" w:hAnsi="Times New Roman" w:cs="Times New Roman" w:eastAsia="Times New Roman" w:hint="default"/>
        </w:rPr>
        <w:t>)</w:t>
      </w:r>
      <w:r>
        <w:rPr/>
        <w:t>，作为在境外上市并采用国际财务报告准则编制财务报表 </w:t>
      </w:r>
      <w:r>
        <w:rPr>
          <w:spacing w:val="-5"/>
        </w:rPr>
        <w:t>的企业，自</w:t>
      </w:r>
      <w:r>
        <w:rPr>
          <w:spacing w:val="-5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spacing w:val="-3"/>
        </w:rPr>
        <w:t>日起适用修订后收入准则</w:t>
      </w:r>
      <w:r>
        <w:rPr>
          <w:rFonts w:ascii="Times New Roman" w:hAnsi="Times New Roman" w:cs="Times New Roman" w:eastAsia="Times New Roman" w:hint="default"/>
          <w:spacing w:val="-3"/>
        </w:rPr>
        <w:t>(</w:t>
      </w:r>
      <w:r>
        <w:rPr>
          <w:spacing w:val="-3"/>
        </w:rPr>
        <w:t>以下简称“新收入准则”</w:t>
      </w:r>
      <w:r>
        <w:rPr>
          <w:rFonts w:ascii="Times New Roman" w:hAnsi="Times New Roman" w:cs="Times New Roman" w:eastAsia="Times New Roman" w:hint="default"/>
          <w:spacing w:val="-3"/>
        </w:rPr>
        <w:t>)</w:t>
      </w:r>
      <w:r>
        <w:rPr>
          <w:spacing w:val="-3"/>
        </w:rPr>
        <w:t>，除畅</w:t>
      </w:r>
      <w:r>
        <w:rPr/>
        <w:t> </w:t>
      </w:r>
      <w:r>
        <w:rPr>
          <w:spacing w:val="-2"/>
        </w:rPr>
        <w:t>捷通外，本集团内其他公司均尚未执行新收入准则。畅捷通适用新收入准则对集团合</w:t>
      </w:r>
      <w:r>
        <w:rPr>
          <w:spacing w:val="-94"/>
        </w:rPr>
        <w:t> </w:t>
      </w:r>
      <w:r>
        <w:rPr>
          <w:spacing w:val="-94"/>
        </w:rPr>
      </w:r>
      <w:r>
        <w:rPr/>
        <w:t>并财务报表影响不重大，仅为人民币</w:t>
      </w:r>
      <w:r>
        <w:rPr>
          <w:spacing w:val="-59"/>
        </w:rPr>
        <w:t> </w:t>
      </w:r>
      <w:r>
        <w:rPr>
          <w:rFonts w:ascii="Times New Roman" w:hAnsi="Times New Roman" w:cs="Times New Roman" w:eastAsia="Times New Roman" w:hint="default"/>
        </w:rPr>
        <w:t>15,043,093 </w:t>
      </w:r>
      <w:r>
        <w:rPr/>
        <w:t>元营业收入的减少及人民币</w:t>
      </w:r>
    </w:p>
    <w:p>
      <w:pPr>
        <w:pStyle w:val="BodyText"/>
        <w:spacing w:line="315" w:lineRule="exact"/>
        <w:ind w:right="0"/>
        <w:jc w:val="both"/>
      </w:pPr>
      <w:r>
        <w:rPr>
          <w:rFonts w:ascii="Times New Roman" w:hAnsi="Times New Roman" w:cs="Times New Roman" w:eastAsia="Times New Roman" w:hint="default"/>
        </w:rPr>
        <w:t>15,043,093 </w:t>
      </w:r>
      <w:r>
        <w:rPr/>
        <w:t>元销售费用的减少。</w:t>
      </w:r>
    </w:p>
    <w:p>
      <w:pPr>
        <w:spacing w:line="240" w:lineRule="auto" w:before="8"/>
        <w:rPr>
          <w:rFonts w:ascii="宋体" w:hAnsi="宋体" w:cs="宋体" w:eastAsia="宋体" w:hint="default"/>
          <w:sz w:val="19"/>
          <w:szCs w:val="19"/>
        </w:rPr>
      </w:pPr>
    </w:p>
    <w:p>
      <w:pPr>
        <w:pStyle w:val="BodyText"/>
        <w:spacing w:line="237" w:lineRule="auto"/>
        <w:ind w:right="215"/>
        <w:jc w:val="both"/>
      </w:pPr>
      <w:r>
        <w:rPr>
          <w:spacing w:val="-2"/>
        </w:rPr>
        <w:t>除以上事项外，编制合并财务报表时，子公司采用与本公司一致的会计年度和会计政</w:t>
      </w:r>
      <w:r>
        <w:rPr>
          <w:spacing w:val="-94"/>
        </w:rPr>
        <w:t> </w:t>
      </w:r>
      <w:r>
        <w:rPr>
          <w:spacing w:val="-94"/>
        </w:rPr>
      </w:r>
      <w:r>
        <w:rPr>
          <w:spacing w:val="-2"/>
        </w:rPr>
        <w:t>策。本集团内部各公司之间的所有交易产生的资产、负债、权益、收入、费用和现金</w:t>
      </w:r>
      <w:r>
        <w:rPr>
          <w:spacing w:val="-96"/>
        </w:rPr>
        <w:t> </w:t>
      </w:r>
      <w:r>
        <w:rPr>
          <w:spacing w:val="-96"/>
        </w:rPr>
      </w:r>
      <w:r>
        <w:rPr/>
        <w:t>流量于合并时全额抵消。</w:t>
      </w:r>
    </w:p>
    <w:p>
      <w:pPr>
        <w:spacing w:line="240" w:lineRule="auto" w:before="2"/>
        <w:rPr>
          <w:rFonts w:ascii="宋体" w:hAnsi="宋体" w:cs="宋体" w:eastAsia="宋体" w:hint="default"/>
          <w:sz w:val="23"/>
          <w:szCs w:val="23"/>
        </w:rPr>
      </w:pPr>
    </w:p>
    <w:p>
      <w:pPr>
        <w:pStyle w:val="BodyText"/>
        <w:spacing w:line="312" w:lineRule="exact"/>
        <w:ind w:right="215"/>
        <w:jc w:val="both"/>
      </w:pPr>
      <w:r>
        <w:rPr/>
        <w:t>子公司少数股东分担的当期亏损超过了少数股东在该子公司期初股东权益中所享有 的份额的，其余额仍冲减少数股东权益。</w:t>
      </w:r>
    </w:p>
    <w:p>
      <w:pPr>
        <w:spacing w:line="240" w:lineRule="auto" w:before="13"/>
        <w:rPr>
          <w:rFonts w:ascii="宋体" w:hAnsi="宋体" w:cs="宋体" w:eastAsia="宋体" w:hint="default"/>
          <w:sz w:val="18"/>
          <w:szCs w:val="18"/>
        </w:rPr>
      </w:pPr>
    </w:p>
    <w:p>
      <w:pPr>
        <w:pStyle w:val="BodyText"/>
        <w:spacing w:line="237" w:lineRule="auto"/>
        <w:ind w:right="215"/>
        <w:jc w:val="both"/>
      </w:pPr>
      <w:r>
        <w:rPr>
          <w:spacing w:val="-2"/>
        </w:rPr>
        <w:t>对于通过非同一控制下的企业合并取得的子公司，被购买方的经营成果和现金流量自</w:t>
      </w:r>
      <w:r>
        <w:rPr>
          <w:spacing w:val="-94"/>
        </w:rPr>
        <w:t> </w:t>
      </w:r>
      <w:r>
        <w:rPr>
          <w:spacing w:val="-94"/>
        </w:rPr>
      </w:r>
      <w:r>
        <w:rPr>
          <w:spacing w:val="-2"/>
        </w:rPr>
        <w:t>本集团取得控制权之日起纳入合并财务报表，直至本集团对其控制权终止。在编制合</w:t>
      </w:r>
      <w:r>
        <w:rPr>
          <w:spacing w:val="-94"/>
        </w:rPr>
        <w:t> </w:t>
      </w:r>
      <w:r>
        <w:rPr>
          <w:spacing w:val="-94"/>
        </w:rPr>
      </w:r>
      <w:r>
        <w:rPr>
          <w:spacing w:val="-2"/>
        </w:rPr>
        <w:t>并财务报表时，以购买日确定的各项可辨认资产、负债及或有负债的公允价值为基础</w:t>
      </w:r>
      <w:r>
        <w:rPr>
          <w:spacing w:val="-94"/>
        </w:rPr>
        <w:t> </w:t>
      </w:r>
      <w:r>
        <w:rPr>
          <w:spacing w:val="-94"/>
        </w:rPr>
      </w:r>
      <w:r>
        <w:rPr/>
        <w:t>对子公司的财务报表进行调整。</w:t>
      </w:r>
    </w:p>
    <w:p>
      <w:pPr>
        <w:spacing w:after="0" w:line="237" w:lineRule="auto"/>
        <w:jc w:val="both"/>
        <w:sectPr>
          <w:pgSz w:w="11910" w:h="16840"/>
          <w:pgMar w:header="882" w:footer="1195" w:top="1120" w:bottom="1380" w:left="1140" w:right="15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37" w:lineRule="auto" w:before="28"/>
        <w:ind w:right="234"/>
        <w:jc w:val="both"/>
      </w:pPr>
      <w:r>
        <w:rPr>
          <w:spacing w:val="-2"/>
        </w:rPr>
        <w:t>对于通过同一控制下的企业合并取得的子公司，被合并方的经营成果和现金流量自合</w:t>
      </w:r>
      <w:r>
        <w:rPr>
          <w:spacing w:val="-93"/>
        </w:rPr>
        <w:t> </w:t>
      </w:r>
      <w:r>
        <w:rPr>
          <w:spacing w:val="-93"/>
        </w:rPr>
      </w:r>
      <w:r>
        <w:rPr>
          <w:spacing w:val="-2"/>
        </w:rPr>
        <w:t>并当期期初纳入合并财务报表。编制比较合并财务报表时，对前期财务报表的相关项</w:t>
      </w:r>
      <w:r>
        <w:rPr>
          <w:spacing w:val="-94"/>
        </w:rPr>
        <w:t> </w:t>
      </w:r>
      <w:r>
        <w:rPr>
          <w:spacing w:val="-94"/>
        </w:rPr>
      </w:r>
      <w:r>
        <w:rPr/>
        <w:t>目进行调整，视同合并后形成的报告主体自最终控制方开始实施控制时一直存在。</w:t>
      </w:r>
    </w:p>
    <w:p>
      <w:pPr>
        <w:spacing w:line="240" w:lineRule="auto" w:before="4"/>
        <w:rPr>
          <w:rFonts w:ascii="宋体" w:hAnsi="宋体" w:cs="宋体" w:eastAsia="宋体" w:hint="default"/>
          <w:sz w:val="23"/>
          <w:szCs w:val="23"/>
        </w:rPr>
      </w:pPr>
    </w:p>
    <w:p>
      <w:pPr>
        <w:pStyle w:val="BodyText"/>
        <w:spacing w:line="312" w:lineRule="exact"/>
        <w:ind w:right="0"/>
        <w:jc w:val="left"/>
      </w:pPr>
      <w:r>
        <w:rPr>
          <w:spacing w:val="-2"/>
        </w:rPr>
        <w:t>如果相关事实和情况的变化导致对控制要素中的一项或多项发生变化的，本集团重新</w:t>
      </w:r>
      <w:r>
        <w:rPr>
          <w:spacing w:val="-94"/>
        </w:rPr>
        <w:t> </w:t>
      </w:r>
      <w:r>
        <w:rPr>
          <w:spacing w:val="-94"/>
        </w:rPr>
      </w:r>
      <w:r>
        <w:rPr/>
        <w:t>评估是否控制被投资方。</w:t>
      </w:r>
    </w:p>
    <w:p>
      <w:pPr>
        <w:spacing w:line="240" w:lineRule="auto" w:before="7"/>
        <w:rPr>
          <w:rFonts w:ascii="宋体" w:hAnsi="宋体" w:cs="宋体" w:eastAsia="宋体" w:hint="default"/>
          <w:sz w:val="18"/>
          <w:szCs w:val="18"/>
        </w:rPr>
      </w:pPr>
    </w:p>
    <w:p>
      <w:pPr>
        <w:pStyle w:val="BodyText"/>
        <w:spacing w:line="240" w:lineRule="auto"/>
        <w:ind w:right="0"/>
        <w:jc w:val="left"/>
      </w:pPr>
      <w:r>
        <w:rPr/>
        <w:t>不丧失控制权情况下，少数股东权益发生变化作为权益性交易。</w:t>
      </w:r>
    </w:p>
    <w:p>
      <w:pPr>
        <w:spacing w:line="240" w:lineRule="auto" w:before="2"/>
        <w:rPr>
          <w:rFonts w:ascii="宋体" w:hAnsi="宋体" w:cs="宋体" w:eastAsia="宋体" w:hint="default"/>
          <w:sz w:val="21"/>
          <w:szCs w:val="21"/>
        </w:rPr>
      </w:pPr>
    </w:p>
    <w:p>
      <w:pPr>
        <w:pStyle w:val="BodyText"/>
        <w:spacing w:line="237" w:lineRule="auto"/>
        <w:ind w:right="0"/>
        <w:jc w:val="left"/>
      </w:pPr>
      <w:r>
        <w:rPr/>
        <w:t>通过多次交易分步处置对子公司股权投资直至丧失控制权，属于一揽子交易的，将各 项交易作为一项处置子公司并丧失控制权的交易进行会计处理；但是，在丧失控制权 之前每一次处置价款与处置投资对应的享有该子公司净资产份额的差额，在合并财务 报表中确认为其他综合收益，在丧失控制权时一并转入丧失控制权当期的损益。通过 多次交易分步处置对子公司股权投资直至丧失控制权，不属于一揽子交易的，对每一 项交易区分是否丧失控制权进行相应的会计处理。不丧失控制权的，少数股东权益发 生变化作为权益性交易处理。丧失控制权的，对于剩余股权，按照其在丧失控制权日 的公允价值进行重新计量；处置股权取得的对价与剩余股权公允价值之和，减去按原 持股比例计算应享有原有子公司自购买日开始持续计算的净资产的份额之间的差额，</w:t>
      </w:r>
      <w:r>
        <w:rPr>
          <w:spacing w:val="-63"/>
        </w:rPr>
        <w:t> </w:t>
      </w:r>
      <w:r>
        <w:rPr>
          <w:spacing w:val="-63"/>
        </w:rPr>
      </w:r>
      <w:r>
        <w:rPr>
          <w:spacing w:val="-5"/>
        </w:rPr>
        <w:t>计入丧失控制权当期损益；存在对该子公司的商誉的，在计算确定处置子公司损益时，</w:t>
      </w:r>
      <w:r>
        <w:rPr>
          <w:spacing w:val="-97"/>
        </w:rPr>
        <w:t> </w:t>
      </w:r>
      <w:r>
        <w:rPr>
          <w:spacing w:val="-97"/>
        </w:rPr>
      </w:r>
      <w:r>
        <w:rPr/>
        <w:t>扣除该项商誉的金额；与原有子公司股权投资相关的其他综合收益，在丧失控制权时</w:t>
      </w:r>
      <w:r>
        <w:rPr/>
        <w:t> 采用与子公司直接处置相关资产或负债相同的基础进行会计处理，因原有子公司相关 的除净损益、其他综合收益和利润分配以外的其他股东权益变动而确认的股东权益，</w:t>
      </w:r>
      <w:r>
        <w:rPr>
          <w:spacing w:val="-63"/>
        </w:rPr>
        <w:t> </w:t>
      </w:r>
      <w:r>
        <w:rPr>
          <w:spacing w:val="-63"/>
        </w:rPr>
      </w:r>
      <w:r>
        <w:rPr/>
        <w:t>在丧失控制权时转为当期损益。</w:t>
      </w:r>
    </w:p>
    <w:p>
      <w:pPr>
        <w:spacing w:line="240" w:lineRule="auto" w:before="8"/>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7.</w:t>
      </w:r>
      <w:r>
        <w:rPr>
          <w:rFonts w:ascii="宋体" w:hAnsi="宋体" w:cs="宋体" w:eastAsia="宋体" w:hint="default"/>
          <w:spacing w:val="60"/>
        </w:rPr>
        <w:t> </w:t>
      </w:r>
      <w:r>
        <w:rPr/>
        <w:t>合营安排分类及共同经营会计处理方法</w:t>
      </w:r>
      <w:r>
        <w:rPr>
          <w:b w:val="0"/>
          <w:bCs w:val="0"/>
        </w:rPr>
      </w:r>
    </w:p>
    <w:p>
      <w:pPr>
        <w:pStyle w:val="BodyText"/>
        <w:tabs>
          <w:tab w:pos="1097" w:val="left" w:leader="none"/>
        </w:tabs>
        <w:spacing w:line="240" w:lineRule="auto" w:before="55"/>
        <w:ind w:right="0"/>
        <w:jc w:val="left"/>
      </w:pPr>
      <w:r>
        <w:rPr/>
        <w:t>□适用</w:t>
        <w:tab/>
        <w:t>√不适用</w:t>
      </w:r>
    </w:p>
    <w:p>
      <w:pPr>
        <w:spacing w:line="240" w:lineRule="auto" w:before="7"/>
        <w:rPr>
          <w:rFonts w:ascii="宋体" w:hAnsi="宋体" w:cs="宋体" w:eastAsia="宋体" w:hint="default"/>
          <w:sz w:val="25"/>
          <w:szCs w:val="25"/>
        </w:rPr>
      </w:pPr>
    </w:p>
    <w:p>
      <w:pPr>
        <w:pStyle w:val="BodyText"/>
        <w:spacing w:line="261" w:lineRule="auto"/>
        <w:ind w:right="234"/>
        <w:jc w:val="left"/>
      </w:pPr>
      <w:r>
        <w:rPr>
          <w:rFonts w:ascii="宋体" w:hAnsi="宋体" w:cs="宋体" w:eastAsia="宋体" w:hint="default"/>
          <w:b/>
          <w:bCs/>
        </w:rPr>
        <w:t>8.</w:t>
      </w:r>
      <w:r>
        <w:rPr>
          <w:rFonts w:ascii="宋体" w:hAnsi="宋体" w:cs="宋体" w:eastAsia="宋体" w:hint="default"/>
          <w:b/>
          <w:bCs/>
          <w:spacing w:val="61"/>
        </w:rPr>
        <w:t> </w:t>
      </w:r>
      <w:r>
        <w:rPr>
          <w:rFonts w:ascii="宋体" w:hAnsi="宋体" w:cs="宋体" w:eastAsia="宋体" w:hint="default"/>
          <w:b/>
          <w:bCs/>
        </w:rPr>
        <w:t>现金及现金等价物的确定标准</w:t>
      </w:r>
      <w:r>
        <w:rPr>
          <w:rFonts w:ascii="宋体" w:hAnsi="宋体" w:cs="宋体" w:eastAsia="宋体" w:hint="default"/>
          <w:b/>
          <w:bCs/>
          <w:w w:val="99"/>
        </w:rPr>
        <w:t> </w:t>
      </w:r>
      <w:r>
        <w:rPr>
          <w:spacing w:val="-2"/>
        </w:rPr>
        <w:t>现金，是指本集团的库存现金以及可以随时用于支付的存款；现金等价物，是指本集</w:t>
      </w:r>
      <w:r>
        <w:rPr>
          <w:spacing w:val="-96"/>
        </w:rPr>
        <w:t> </w:t>
      </w:r>
      <w:r>
        <w:rPr>
          <w:spacing w:val="-96"/>
        </w:rPr>
      </w:r>
      <w:r>
        <w:rPr>
          <w:spacing w:val="-8"/>
        </w:rPr>
        <w:t>团持有的期限短、流动性强、易于转换为已知金额的现金、价值变动风险很小的投资。</w:t>
      </w:r>
    </w:p>
    <w:p>
      <w:pPr>
        <w:spacing w:line="240" w:lineRule="auto" w:before="11"/>
        <w:rPr>
          <w:rFonts w:ascii="宋体" w:hAnsi="宋体" w:cs="宋体" w:eastAsia="宋体" w:hint="default"/>
          <w:sz w:val="23"/>
          <w:szCs w:val="23"/>
        </w:rPr>
      </w:pPr>
    </w:p>
    <w:p>
      <w:pPr>
        <w:pStyle w:val="Heading2"/>
        <w:spacing w:line="240" w:lineRule="auto"/>
        <w:ind w:left="136" w:right="0"/>
        <w:jc w:val="left"/>
        <w:rPr>
          <w:b w:val="0"/>
          <w:bCs w:val="0"/>
        </w:rPr>
      </w:pPr>
      <w:r>
        <w:rPr>
          <w:rFonts w:ascii="宋体" w:hAnsi="宋体" w:cs="宋体" w:eastAsia="宋体" w:hint="default"/>
        </w:rPr>
        <w:t>9.</w:t>
      </w:r>
      <w:r>
        <w:rPr>
          <w:rFonts w:ascii="宋体" w:hAnsi="宋体" w:cs="宋体" w:eastAsia="宋体" w:hint="default"/>
          <w:spacing w:val="59"/>
        </w:rPr>
        <w:t> </w:t>
      </w:r>
      <w:r>
        <w:rPr/>
        <w:t>外币业务和外币报表折算</w:t>
      </w:r>
      <w:r>
        <w:rPr>
          <w:b w:val="0"/>
          <w:bCs w:val="0"/>
        </w:rPr>
      </w:r>
    </w:p>
    <w:p>
      <w:pPr>
        <w:pStyle w:val="BodyText"/>
        <w:tabs>
          <w:tab w:pos="1097" w:val="left" w:leader="none"/>
        </w:tabs>
        <w:spacing w:line="310" w:lineRule="exact" w:before="90"/>
        <w:ind w:right="743"/>
        <w:jc w:val="left"/>
      </w:pPr>
      <w:r>
        <w:rPr/>
        <w:t>√适用</w:t>
        <w:tab/>
        <w:t>□不适用 本集团对于发生的外币交易，将外币金额折算为记账本位币金额。</w:t>
      </w:r>
    </w:p>
    <w:p>
      <w:pPr>
        <w:spacing w:line="240" w:lineRule="auto" w:before="13"/>
        <w:rPr>
          <w:rFonts w:ascii="宋体" w:hAnsi="宋体" w:cs="宋体" w:eastAsia="宋体" w:hint="default"/>
          <w:sz w:val="18"/>
          <w:szCs w:val="18"/>
        </w:rPr>
      </w:pPr>
    </w:p>
    <w:p>
      <w:pPr>
        <w:pStyle w:val="BodyText"/>
        <w:spacing w:line="237" w:lineRule="auto"/>
        <w:ind w:right="235"/>
        <w:jc w:val="both"/>
      </w:pPr>
      <w:r>
        <w:rPr>
          <w:spacing w:val="-2"/>
        </w:rPr>
        <w:t>外币交易在初始确认时，采用交易发生当期平均汇率将外币金额折算为记账本位币金</w:t>
      </w:r>
      <w:r>
        <w:rPr>
          <w:spacing w:val="-94"/>
        </w:rPr>
        <w:t> </w:t>
      </w:r>
      <w:r>
        <w:rPr>
          <w:spacing w:val="-94"/>
        </w:rPr>
      </w:r>
      <w:r>
        <w:rPr>
          <w:spacing w:val="-2"/>
        </w:rPr>
        <w:t>额。于资产负债表日，对于外币货币性项目采用资产负债表日即期汇率折算。由此产</w:t>
      </w:r>
      <w:r>
        <w:rPr>
          <w:spacing w:val="-95"/>
        </w:rPr>
        <w:t> </w:t>
      </w:r>
      <w:r>
        <w:rPr>
          <w:spacing w:val="-95"/>
        </w:rPr>
      </w:r>
      <w:r>
        <w:rPr>
          <w:spacing w:val="-2"/>
        </w:rPr>
        <w:t>生的结算和货币性项目折算差额，除属于与购建符合资本化条件的资产相关的外币专</w:t>
      </w:r>
      <w:r>
        <w:rPr>
          <w:spacing w:val="-94"/>
        </w:rPr>
        <w:t> </w:t>
      </w:r>
      <w:r>
        <w:rPr>
          <w:spacing w:val="-94"/>
        </w:rPr>
      </w:r>
      <w:r>
        <w:rPr>
          <w:spacing w:val="-2"/>
        </w:rPr>
        <w:t>门借款产生的汇兑差额按照借款费用资本化的原则处理之外，均计入当期损益。以历</w:t>
      </w:r>
      <w:r>
        <w:rPr>
          <w:spacing w:val="-94"/>
        </w:rPr>
        <w:t> </w:t>
      </w:r>
      <w:r>
        <w:rPr>
          <w:spacing w:val="-94"/>
        </w:rPr>
      </w:r>
      <w:r>
        <w:rPr>
          <w:spacing w:val="-2"/>
        </w:rPr>
        <w:t>史成本计量的外币非货币性项目，仍采用交易发生日的即期汇率折算，不改变其记账</w:t>
      </w:r>
      <w:r>
        <w:rPr>
          <w:spacing w:val="-94"/>
        </w:rPr>
        <w:t> </w:t>
      </w:r>
      <w:r>
        <w:rPr>
          <w:spacing w:val="-94"/>
        </w:rPr>
      </w:r>
      <w:r>
        <w:rPr>
          <w:spacing w:val="-2"/>
        </w:rPr>
        <w:t>本位币金额。以公允价值计量的外币非货币性项目，采用公允价值确定日的即期汇率</w:t>
      </w:r>
      <w:r>
        <w:rPr>
          <w:spacing w:val="-94"/>
        </w:rPr>
        <w:t> </w:t>
      </w:r>
      <w:r>
        <w:rPr>
          <w:spacing w:val="-94"/>
        </w:rPr>
      </w:r>
      <w:r>
        <w:rPr/>
        <w:t>折算，由此产生的差额根据非货币性项目的性质计入当期损益或其他综合收益。</w:t>
      </w:r>
    </w:p>
    <w:p>
      <w:pPr>
        <w:spacing w:after="0" w:line="237" w:lineRule="auto"/>
        <w:jc w:val="both"/>
        <w:sectPr>
          <w:pgSz w:w="11910" w:h="16840"/>
          <w:pgMar w:header="882" w:footer="1195" w:top="1120" w:bottom="1380" w:left="1140" w:right="1560"/>
        </w:sectPr>
      </w:pPr>
    </w:p>
    <w:p>
      <w:pPr>
        <w:spacing w:line="240" w:lineRule="auto" w:before="13"/>
        <w:rPr>
          <w:rFonts w:ascii="宋体" w:hAnsi="宋体" w:cs="宋体" w:eastAsia="宋体" w:hint="default"/>
          <w:sz w:val="18"/>
          <w:szCs w:val="18"/>
        </w:rPr>
      </w:pPr>
    </w:p>
    <w:p>
      <w:pPr>
        <w:pStyle w:val="BodyText"/>
        <w:spacing w:line="237" w:lineRule="auto" w:before="28"/>
        <w:ind w:right="235"/>
        <w:jc w:val="both"/>
      </w:pPr>
      <w:r>
        <w:rPr>
          <w:spacing w:val="-2"/>
        </w:rPr>
        <w:t>对于境外经营，本集团在编制财务报表时将其记账本位币折算为人民币：对资产负债</w:t>
      </w:r>
      <w:r>
        <w:rPr>
          <w:spacing w:val="-94"/>
        </w:rPr>
        <w:t> </w:t>
      </w:r>
      <w:r>
        <w:rPr>
          <w:spacing w:val="-94"/>
        </w:rPr>
      </w:r>
      <w:r>
        <w:rPr>
          <w:spacing w:val="-2"/>
        </w:rPr>
        <w:t>表中的资产和负债项目，采用资产负债表日的即期汇率折算，股东权益项目除“未分</w:t>
      </w:r>
      <w:r>
        <w:rPr>
          <w:spacing w:val="-96"/>
        </w:rPr>
        <w:t> </w:t>
      </w:r>
      <w:r>
        <w:rPr>
          <w:spacing w:val="-96"/>
        </w:rPr>
      </w:r>
      <w:r>
        <w:rPr>
          <w:spacing w:val="-8"/>
        </w:rPr>
        <w:t>配利润”项目外，其他项目采用发生时的即期汇率折算；利润表中的收入和费用项目，</w:t>
      </w:r>
      <w:r>
        <w:rPr>
          <w:spacing w:val="-104"/>
        </w:rPr>
        <w:t> </w:t>
      </w:r>
      <w:r>
        <w:rPr>
          <w:spacing w:val="-104"/>
        </w:rPr>
      </w:r>
      <w:r>
        <w:rPr>
          <w:spacing w:val="-2"/>
        </w:rPr>
        <w:t>采用交易发生当期平均汇率折算。按照上述折算产生的外币财务报表折算差额，确认</w:t>
      </w:r>
      <w:r>
        <w:rPr>
          <w:spacing w:val="-94"/>
        </w:rPr>
        <w:t> </w:t>
      </w:r>
      <w:r>
        <w:rPr>
          <w:spacing w:val="-94"/>
        </w:rPr>
      </w:r>
      <w:r>
        <w:rPr>
          <w:spacing w:val="-2"/>
        </w:rPr>
        <w:t>为其他综合收益。处置境外经营时，将与该境外经营相关的其他综合收益转入处置当</w:t>
      </w:r>
      <w:r>
        <w:rPr>
          <w:spacing w:val="-94"/>
        </w:rPr>
        <w:t> </w:t>
      </w:r>
      <w:r>
        <w:rPr>
          <w:spacing w:val="-94"/>
        </w:rPr>
      </w:r>
      <w:r>
        <w:rPr/>
        <w:t>期损益，部分处置的按处置比例计算。</w:t>
      </w:r>
    </w:p>
    <w:p>
      <w:pPr>
        <w:spacing w:line="240" w:lineRule="auto" w:before="4"/>
        <w:rPr>
          <w:rFonts w:ascii="宋体" w:hAnsi="宋体" w:cs="宋体" w:eastAsia="宋体" w:hint="default"/>
          <w:sz w:val="23"/>
          <w:szCs w:val="23"/>
        </w:rPr>
      </w:pPr>
    </w:p>
    <w:p>
      <w:pPr>
        <w:pStyle w:val="BodyText"/>
        <w:spacing w:line="312" w:lineRule="exact"/>
        <w:ind w:right="0"/>
        <w:jc w:val="left"/>
      </w:pPr>
      <w:r>
        <w:rPr>
          <w:spacing w:val="-2"/>
        </w:rPr>
        <w:t>外币现金流量以及境外子公司的现金流量，采用现金流量发生当期平均汇率折算。汇</w:t>
      </w:r>
      <w:r>
        <w:rPr>
          <w:spacing w:val="-94"/>
        </w:rPr>
        <w:t> </w:t>
      </w:r>
      <w:r>
        <w:rPr>
          <w:spacing w:val="-94"/>
        </w:rPr>
      </w:r>
      <w:r>
        <w:rPr/>
        <w:t>率变动对现金的影响额作为调节项目，在现金流量表中单独列报。</w:t>
      </w:r>
    </w:p>
    <w:p>
      <w:pPr>
        <w:spacing w:line="240" w:lineRule="auto" w:before="2"/>
        <w:rPr>
          <w:rFonts w:ascii="宋体" w:hAnsi="宋体" w:cs="宋体" w:eastAsia="宋体" w:hint="default"/>
          <w:sz w:val="23"/>
          <w:szCs w:val="23"/>
        </w:rPr>
      </w:pPr>
    </w:p>
    <w:p>
      <w:pPr>
        <w:pStyle w:val="Heading2"/>
        <w:spacing w:line="240" w:lineRule="auto"/>
        <w:ind w:left="136" w:right="0"/>
        <w:jc w:val="left"/>
        <w:rPr>
          <w:b w:val="0"/>
          <w:bCs w:val="0"/>
        </w:rPr>
      </w:pPr>
      <w:r>
        <w:rPr>
          <w:rFonts w:ascii="宋体" w:hAnsi="宋体" w:cs="宋体" w:eastAsia="宋体" w:hint="default"/>
        </w:rPr>
        <w:t>10.</w:t>
      </w:r>
      <w:r>
        <w:rPr>
          <w:rFonts w:ascii="宋体" w:hAnsi="宋体" w:cs="宋体" w:eastAsia="宋体" w:hint="default"/>
          <w:spacing w:val="-59"/>
        </w:rPr>
        <w:t> </w:t>
      </w:r>
      <w:r>
        <w:rPr/>
        <w:t>金融工具</w:t>
      </w:r>
      <w:r>
        <w:rPr>
          <w:b w:val="0"/>
          <w:bCs w:val="0"/>
        </w:rPr>
      </w:r>
    </w:p>
    <w:p>
      <w:pPr>
        <w:pStyle w:val="BodyText"/>
        <w:tabs>
          <w:tab w:pos="1097" w:val="left" w:leader="none"/>
        </w:tabs>
        <w:spacing w:line="237" w:lineRule="auto" w:before="60"/>
        <w:ind w:right="235"/>
        <w:jc w:val="left"/>
      </w:pPr>
      <w:r>
        <w:rPr/>
        <w:t>√适用</w:t>
        <w:tab/>
        <w:t>□不适用 </w:t>
      </w:r>
      <w:r>
        <w:rPr>
          <w:spacing w:val="-2"/>
        </w:rPr>
        <w:t>金融工具，是指形成一个企业的金融资产，并形成其他单位的金融负债或权益工具的</w:t>
      </w:r>
      <w:r>
        <w:rPr>
          <w:spacing w:val="-94"/>
        </w:rPr>
        <w:t> </w:t>
      </w:r>
      <w:r>
        <w:rPr>
          <w:spacing w:val="-94"/>
        </w:rPr>
      </w:r>
      <w:r>
        <w:rPr/>
        <w:t>合同。</w:t>
      </w:r>
    </w:p>
    <w:p>
      <w:pPr>
        <w:spacing w:line="240" w:lineRule="auto" w:before="10"/>
        <w:rPr>
          <w:rFonts w:ascii="宋体" w:hAnsi="宋体" w:cs="宋体" w:eastAsia="宋体" w:hint="default"/>
          <w:sz w:val="20"/>
          <w:szCs w:val="20"/>
        </w:rPr>
      </w:pPr>
    </w:p>
    <w:p>
      <w:pPr>
        <w:pStyle w:val="BodyText"/>
        <w:spacing w:line="240" w:lineRule="auto"/>
        <w:ind w:right="0"/>
        <w:jc w:val="left"/>
      </w:pPr>
      <w:r>
        <w:rPr/>
      </w:r>
      <w:r>
        <w:rPr>
          <w:u w:val="single" w:color="000000"/>
        </w:rPr>
        <w:t>金融工具的确认和终止确认</w:t>
      </w:r>
      <w:r>
        <w:rPr/>
      </w:r>
    </w:p>
    <w:p>
      <w:pPr>
        <w:spacing w:line="240" w:lineRule="auto" w:before="12"/>
        <w:rPr>
          <w:rFonts w:ascii="宋体" w:hAnsi="宋体" w:cs="宋体" w:eastAsia="宋体" w:hint="default"/>
          <w:sz w:val="18"/>
          <w:szCs w:val="18"/>
        </w:rPr>
      </w:pPr>
    </w:p>
    <w:p>
      <w:pPr>
        <w:pStyle w:val="BodyText"/>
        <w:spacing w:line="240" w:lineRule="auto" w:before="26"/>
        <w:ind w:right="0"/>
        <w:jc w:val="both"/>
      </w:pPr>
      <w:r>
        <w:rPr/>
        <w:t>本集团于成为金融工具合同的一方时确认一项金融资产或金融负债。</w:t>
      </w:r>
    </w:p>
    <w:p>
      <w:pPr>
        <w:spacing w:line="240" w:lineRule="auto" w:before="5"/>
        <w:rPr>
          <w:rFonts w:ascii="宋体" w:hAnsi="宋体" w:cs="宋体" w:eastAsia="宋体" w:hint="default"/>
          <w:sz w:val="23"/>
          <w:szCs w:val="23"/>
        </w:rPr>
      </w:pPr>
    </w:p>
    <w:p>
      <w:pPr>
        <w:pStyle w:val="BodyText"/>
        <w:spacing w:line="310" w:lineRule="exact"/>
        <w:ind w:right="233"/>
        <w:jc w:val="both"/>
      </w:pPr>
      <w:r>
        <w:rPr>
          <w:spacing w:val="-2"/>
        </w:rPr>
        <w:t>满足下列条件的，终止确认金融资产（或金融资产的一部分，或一组类似金融资产的</w:t>
      </w:r>
      <w:r>
        <w:rPr>
          <w:spacing w:val="-94"/>
        </w:rPr>
        <w:t> </w:t>
      </w:r>
      <w:r>
        <w:rPr>
          <w:spacing w:val="-94"/>
        </w:rPr>
      </w:r>
      <w:r>
        <w:rPr/>
        <w:t>一部分），即从其账户和资产负债表内予以转销：</w:t>
      </w:r>
    </w:p>
    <w:p>
      <w:pPr>
        <w:spacing w:line="240" w:lineRule="auto" w:before="10"/>
        <w:rPr>
          <w:rFonts w:ascii="宋体" w:hAnsi="宋体" w:cs="宋体" w:eastAsia="宋体" w:hint="default"/>
          <w:sz w:val="18"/>
          <w:szCs w:val="18"/>
        </w:rPr>
      </w:pPr>
    </w:p>
    <w:p>
      <w:pPr>
        <w:pStyle w:val="BodyText"/>
        <w:spacing w:line="322" w:lineRule="exact"/>
        <w:ind w:right="0"/>
        <w:jc w:val="both"/>
      </w:pPr>
      <w:r>
        <w:rPr/>
        <w:t>（</w:t>
      </w:r>
      <w:r>
        <w:rPr>
          <w:rFonts w:ascii="Times New Roman" w:hAnsi="Times New Roman" w:cs="Times New Roman" w:eastAsia="Times New Roman" w:hint="default"/>
        </w:rPr>
        <w:t>1</w:t>
      </w:r>
      <w:r>
        <w:rPr/>
        <w:t>）</w:t>
      </w:r>
      <w:r>
        <w:rPr>
          <w:spacing w:val="119"/>
        </w:rPr>
        <w:t> </w:t>
      </w:r>
      <w:r>
        <w:rPr/>
        <w:t>收取金融资产现金流量的权利届满；</w:t>
      </w:r>
    </w:p>
    <w:p>
      <w:pPr>
        <w:pStyle w:val="BodyText"/>
        <w:spacing w:line="225" w:lineRule="auto" w:before="7"/>
        <w:ind w:right="233"/>
        <w:jc w:val="both"/>
      </w:pPr>
      <w:r>
        <w:rPr/>
        <w:t>（</w:t>
      </w:r>
      <w:r>
        <w:rPr>
          <w:rFonts w:ascii="Times New Roman" w:hAnsi="Times New Roman" w:cs="Times New Roman" w:eastAsia="Times New Roman" w:hint="default"/>
        </w:rPr>
        <w:t>2</w:t>
      </w:r>
      <w:r>
        <w:rPr/>
        <w:t>）</w:t>
      </w:r>
      <w:r>
        <w:rPr>
          <w:spacing w:val="119"/>
        </w:rPr>
        <w:t> </w:t>
      </w:r>
      <w:r>
        <w:rPr/>
        <w:t>转移了收取金融资产现金流量的权利，或在“过手协议”下承担了及时将收</w:t>
      </w:r>
      <w:r>
        <w:rPr/>
        <w:t> 取的现金流量全额支付给第三方的义务；并且（</w:t>
      </w:r>
      <w:r>
        <w:rPr>
          <w:rFonts w:ascii="Times New Roman" w:hAnsi="Times New Roman" w:cs="Times New Roman" w:eastAsia="Times New Roman" w:hint="default"/>
        </w:rPr>
        <w:t>a</w:t>
      </w:r>
      <w:r>
        <w:rPr/>
        <w:t>）实质上转让了金融资产所有权上 几乎所有的风险和报酬，或（</w:t>
      </w:r>
      <w:r>
        <w:rPr>
          <w:rFonts w:ascii="Times New Roman" w:hAnsi="Times New Roman" w:cs="Times New Roman" w:eastAsia="Times New Roman" w:hint="default"/>
        </w:rPr>
        <w:t>b</w:t>
      </w:r>
      <w:r>
        <w:rPr/>
        <w:t>）虽然实质上既没有转移也没有保留金融资产所有权 上几乎所有的风险和报酬，但放弃了对该金融资产的控制。</w:t>
      </w:r>
    </w:p>
    <w:p>
      <w:pPr>
        <w:spacing w:line="240" w:lineRule="auto" w:before="2"/>
        <w:rPr>
          <w:rFonts w:ascii="宋体" w:hAnsi="宋体" w:cs="宋体" w:eastAsia="宋体" w:hint="default"/>
          <w:sz w:val="21"/>
          <w:szCs w:val="21"/>
        </w:rPr>
      </w:pPr>
    </w:p>
    <w:p>
      <w:pPr>
        <w:pStyle w:val="BodyText"/>
        <w:spacing w:line="237" w:lineRule="auto"/>
        <w:ind w:right="233"/>
        <w:jc w:val="both"/>
      </w:pPr>
      <w:r>
        <w:rPr>
          <w:spacing w:val="-2"/>
        </w:rPr>
        <w:t>如果金融负债的责任已履行、撤销或届满，则对金融负债进行终止确认。如果现有金</w:t>
      </w:r>
      <w:r>
        <w:rPr>
          <w:spacing w:val="-93"/>
        </w:rPr>
        <w:t> </w:t>
      </w:r>
      <w:r>
        <w:rPr>
          <w:spacing w:val="-93"/>
        </w:rPr>
      </w:r>
      <w:r>
        <w:rPr>
          <w:spacing w:val="-2"/>
        </w:rPr>
        <w:t>融负债被同一债权人以实质上几乎完全不同条款的另一金融负债所取代，或现有负债</w:t>
      </w:r>
      <w:r>
        <w:rPr>
          <w:spacing w:val="-94"/>
        </w:rPr>
        <w:t> </w:t>
      </w:r>
      <w:r>
        <w:rPr>
          <w:spacing w:val="-94"/>
        </w:rPr>
      </w:r>
      <w:r>
        <w:rPr>
          <w:spacing w:val="-2"/>
        </w:rPr>
        <w:t>的条款几乎全部被实质性修改，则此类替换或修改作为终止确认原负债和确认新负债</w:t>
      </w:r>
      <w:r>
        <w:rPr>
          <w:spacing w:val="-94"/>
        </w:rPr>
        <w:t> </w:t>
      </w:r>
      <w:r>
        <w:rPr>
          <w:spacing w:val="-94"/>
        </w:rPr>
      </w:r>
      <w:r>
        <w:rPr/>
        <w:t>处理，差额计入当期损益。</w:t>
      </w:r>
    </w:p>
    <w:p>
      <w:pPr>
        <w:spacing w:line="240" w:lineRule="auto" w:before="2"/>
        <w:rPr>
          <w:rFonts w:ascii="宋体" w:hAnsi="宋体" w:cs="宋体" w:eastAsia="宋体" w:hint="default"/>
          <w:sz w:val="21"/>
          <w:szCs w:val="21"/>
        </w:rPr>
      </w:pPr>
    </w:p>
    <w:p>
      <w:pPr>
        <w:pStyle w:val="BodyText"/>
        <w:spacing w:line="237" w:lineRule="auto"/>
        <w:ind w:right="0"/>
        <w:jc w:val="left"/>
      </w:pPr>
      <w:r>
        <w:rPr/>
        <w:t>以常规方式买卖金融资产，按交易日会计进行确认和终止确认。常规方式买卖金融资 </w:t>
      </w:r>
      <w:r>
        <w:rPr>
          <w:spacing w:val="-5"/>
        </w:rPr>
        <w:t>产，是指按照合同条款的约定，在法规或通行惯例规定的期限内收取或交付金融资产。</w:t>
      </w:r>
      <w:r>
        <w:rPr>
          <w:spacing w:val="-98"/>
        </w:rPr>
        <w:t> </w:t>
      </w:r>
      <w:r>
        <w:rPr>
          <w:spacing w:val="-98"/>
        </w:rPr>
      </w:r>
      <w:r>
        <w:rPr/>
        <w:t>交易日，是指本集团承诺买入或卖出金融资产的日期。</w:t>
      </w:r>
    </w:p>
    <w:p>
      <w:pPr>
        <w:spacing w:line="240" w:lineRule="auto" w:before="13"/>
        <w:rPr>
          <w:rFonts w:ascii="宋体" w:hAnsi="宋体" w:cs="宋体" w:eastAsia="宋体" w:hint="default"/>
          <w:sz w:val="20"/>
          <w:szCs w:val="20"/>
        </w:rPr>
      </w:pPr>
    </w:p>
    <w:p>
      <w:pPr>
        <w:pStyle w:val="BodyText"/>
        <w:spacing w:line="240" w:lineRule="auto"/>
        <w:ind w:right="0"/>
        <w:jc w:val="both"/>
      </w:pPr>
      <w:r>
        <w:rPr/>
      </w:r>
      <w:r>
        <w:rPr>
          <w:u w:val="single" w:color="000000"/>
        </w:rPr>
        <w:t>金融资产分类和计量</w:t>
      </w:r>
      <w:r>
        <w:rPr/>
      </w:r>
    </w:p>
    <w:p>
      <w:pPr>
        <w:spacing w:line="240" w:lineRule="auto" w:before="12"/>
        <w:rPr>
          <w:rFonts w:ascii="宋体" w:hAnsi="宋体" w:cs="宋体" w:eastAsia="宋体" w:hint="default"/>
          <w:sz w:val="18"/>
          <w:szCs w:val="18"/>
        </w:rPr>
      </w:pPr>
    </w:p>
    <w:p>
      <w:pPr>
        <w:pStyle w:val="BodyText"/>
        <w:spacing w:line="237" w:lineRule="auto" w:before="28"/>
        <w:ind w:right="0"/>
        <w:jc w:val="left"/>
      </w:pPr>
      <w:r>
        <w:rPr/>
        <w:t>本集团的金融资产于初始确认时根据本集团企业管理金融资产的业务模式和金融资 产的合同现金流量特征分类为：以公允价值计量且其变动计入当期损益的金融资产、</w:t>
      </w:r>
      <w:r>
        <w:rPr>
          <w:spacing w:val="-58"/>
        </w:rPr>
        <w:t> </w:t>
      </w:r>
      <w:r>
        <w:rPr>
          <w:spacing w:val="-58"/>
        </w:rPr>
      </w:r>
      <w:r>
        <w:rPr/>
        <w:t>以摊余成本计量的金融资产。</w:t>
      </w:r>
    </w:p>
    <w:p>
      <w:pPr>
        <w:spacing w:after="0" w:line="237" w:lineRule="auto"/>
        <w:jc w:val="left"/>
        <w:sectPr>
          <w:pgSz w:w="11910" w:h="16840"/>
          <w:pgMar w:header="882" w:footer="1195" w:top="1120" w:bottom="1380" w:left="1140" w:right="1560"/>
        </w:sectPr>
      </w:pPr>
    </w:p>
    <w:p>
      <w:pPr>
        <w:spacing w:line="240" w:lineRule="auto" w:before="13"/>
        <w:rPr>
          <w:rFonts w:ascii="宋体" w:hAnsi="宋体" w:cs="宋体" w:eastAsia="宋体" w:hint="default"/>
          <w:sz w:val="18"/>
          <w:szCs w:val="18"/>
        </w:rPr>
      </w:pPr>
    </w:p>
    <w:p>
      <w:pPr>
        <w:pStyle w:val="BodyText"/>
        <w:spacing w:line="237" w:lineRule="auto" w:before="28"/>
        <w:ind w:right="215"/>
        <w:jc w:val="both"/>
      </w:pPr>
      <w:r>
        <w:rPr>
          <w:spacing w:val="-2"/>
        </w:rPr>
        <w:t>金融资产在初始确认时以公允价值计量，但是因销售商品或提供服务等产生的应收账</w:t>
      </w:r>
      <w:r>
        <w:rPr>
          <w:spacing w:val="-94"/>
        </w:rPr>
        <w:t> </w:t>
      </w:r>
      <w:r>
        <w:rPr>
          <w:spacing w:val="-94"/>
        </w:rPr>
      </w:r>
      <w:r>
        <w:rPr>
          <w:spacing w:val="-2"/>
        </w:rPr>
        <w:t>款或应收票据未包含重大融资成分或不考虑不超过一年的融资成分的，按照交易价格</w:t>
      </w:r>
      <w:r>
        <w:rPr>
          <w:spacing w:val="-94"/>
        </w:rPr>
        <w:t> </w:t>
      </w:r>
      <w:r>
        <w:rPr>
          <w:spacing w:val="-94"/>
        </w:rPr>
      </w:r>
      <w:r>
        <w:rPr/>
        <w:t>进行初始计量。</w:t>
      </w:r>
    </w:p>
    <w:p>
      <w:pPr>
        <w:spacing w:line="240" w:lineRule="auto" w:before="4"/>
        <w:rPr>
          <w:rFonts w:ascii="宋体" w:hAnsi="宋体" w:cs="宋体" w:eastAsia="宋体" w:hint="default"/>
          <w:sz w:val="23"/>
          <w:szCs w:val="23"/>
        </w:rPr>
      </w:pPr>
    </w:p>
    <w:p>
      <w:pPr>
        <w:pStyle w:val="BodyText"/>
        <w:spacing w:line="312" w:lineRule="exact"/>
        <w:ind w:right="215"/>
        <w:jc w:val="both"/>
      </w:pPr>
      <w:r>
        <w:rPr>
          <w:spacing w:val="-2"/>
        </w:rPr>
        <w:t>对于以公允价值计量且其变动计入当期损益的金融资产，相关交易费用直接计入当期</w:t>
      </w:r>
      <w:r>
        <w:rPr>
          <w:spacing w:val="-94"/>
        </w:rPr>
        <w:t> </w:t>
      </w:r>
      <w:r>
        <w:rPr>
          <w:spacing w:val="-94"/>
        </w:rPr>
      </w:r>
      <w:r>
        <w:rPr/>
        <w:t>损益，其他类别的金融资产相关交易费用计入其初始确认金额。</w:t>
      </w:r>
    </w:p>
    <w:p>
      <w:pPr>
        <w:pStyle w:val="BodyText"/>
        <w:spacing w:line="588" w:lineRule="exact" w:before="53"/>
        <w:ind w:right="5190"/>
        <w:jc w:val="left"/>
      </w:pPr>
      <w:r>
        <w:rPr/>
        <w:t>金融资产的后续计量取决于其分类： 以摊余成本计量的债务工具投资</w:t>
      </w:r>
    </w:p>
    <w:p>
      <w:pPr>
        <w:pStyle w:val="BodyText"/>
        <w:spacing w:line="226" w:lineRule="exact"/>
        <w:ind w:right="0"/>
        <w:jc w:val="both"/>
      </w:pPr>
      <w:r>
        <w:rPr/>
        <w:t>金融资产同时符合下列条件的，分类为以摊余成本计量的金融资产：管理该金融资产</w:t>
      </w:r>
    </w:p>
    <w:p>
      <w:pPr>
        <w:pStyle w:val="BodyText"/>
        <w:spacing w:line="237" w:lineRule="auto"/>
        <w:ind w:right="215"/>
        <w:jc w:val="both"/>
      </w:pPr>
      <w:r>
        <w:rPr>
          <w:spacing w:val="-2"/>
        </w:rPr>
        <w:t>的业务模式是以收取合同现金流量为目标；该金融资产的合同条款规定，在特定日期</w:t>
      </w:r>
      <w:r>
        <w:rPr>
          <w:spacing w:val="-94"/>
        </w:rPr>
        <w:t> </w:t>
      </w:r>
      <w:r>
        <w:rPr>
          <w:spacing w:val="-94"/>
        </w:rPr>
      </w:r>
      <w:r>
        <w:rPr>
          <w:spacing w:val="-2"/>
        </w:rPr>
        <w:t>产生的现金流量仅为对本金和以未偿付本金金额为基础的利息的支付。此类金融资产</w:t>
      </w:r>
      <w:r>
        <w:rPr>
          <w:spacing w:val="-94"/>
        </w:rPr>
        <w:t> </w:t>
      </w:r>
      <w:r>
        <w:rPr>
          <w:spacing w:val="-94"/>
        </w:rPr>
      </w:r>
      <w:r>
        <w:rPr>
          <w:spacing w:val="-2"/>
        </w:rPr>
        <w:t>采用实际利率法确认利息收入，其终止确认、修改或减值产生的利得或损失，均计入</w:t>
      </w:r>
      <w:r>
        <w:rPr>
          <w:spacing w:val="-95"/>
        </w:rPr>
        <w:t> </w:t>
      </w:r>
      <w:r>
        <w:rPr>
          <w:spacing w:val="-95"/>
        </w:rPr>
      </w:r>
      <w:r>
        <w:rPr/>
        <w:t>当期损益。</w:t>
      </w:r>
    </w:p>
    <w:p>
      <w:pPr>
        <w:spacing w:line="240" w:lineRule="auto" w:before="13"/>
        <w:rPr>
          <w:rFonts w:ascii="宋体" w:hAnsi="宋体" w:cs="宋体" w:eastAsia="宋体" w:hint="default"/>
          <w:sz w:val="20"/>
          <w:szCs w:val="20"/>
        </w:rPr>
      </w:pPr>
    </w:p>
    <w:p>
      <w:pPr>
        <w:pStyle w:val="BodyText"/>
        <w:spacing w:line="237" w:lineRule="auto"/>
        <w:ind w:right="94"/>
        <w:jc w:val="left"/>
      </w:pPr>
      <w:r>
        <w:rPr/>
        <w:t>以公允价值计量且其变动计入当期损益的金融资产 上述以摊余成本计量的金融资产和以公允价值计量且其变动计入其他综合收益的金 融资产之外的金融资产，分类为以公允价值计量且其变动计入当期损益的金融资产。</w:t>
      </w:r>
      <w:r>
        <w:rPr>
          <w:spacing w:val="-63"/>
        </w:rPr>
        <w:t> </w:t>
      </w:r>
      <w:r>
        <w:rPr>
          <w:spacing w:val="-63"/>
        </w:rPr>
      </w:r>
      <w:r>
        <w:rPr/>
        <w:t>对于此类金融资产，采用公允价值进行后续计量，所有公允价值变动计入当期损益。</w:t>
      </w:r>
    </w:p>
    <w:p>
      <w:pPr>
        <w:spacing w:line="240" w:lineRule="auto" w:before="13"/>
        <w:rPr>
          <w:rFonts w:ascii="宋体" w:hAnsi="宋体" w:cs="宋体" w:eastAsia="宋体" w:hint="default"/>
          <w:sz w:val="20"/>
          <w:szCs w:val="20"/>
        </w:rPr>
      </w:pPr>
    </w:p>
    <w:p>
      <w:pPr>
        <w:pStyle w:val="BodyText"/>
        <w:spacing w:line="240" w:lineRule="auto"/>
        <w:ind w:right="0"/>
        <w:jc w:val="both"/>
      </w:pPr>
      <w:r>
        <w:rPr/>
      </w:r>
      <w:r>
        <w:rPr>
          <w:u w:val="single" w:color="000000"/>
        </w:rPr>
        <w:t>金融负债分类和计量</w:t>
      </w:r>
      <w:r>
        <w:rPr/>
      </w:r>
    </w:p>
    <w:p>
      <w:pPr>
        <w:spacing w:line="240" w:lineRule="auto" w:before="12"/>
        <w:rPr>
          <w:rFonts w:ascii="宋体" w:hAnsi="宋体" w:cs="宋体" w:eastAsia="宋体" w:hint="default"/>
          <w:sz w:val="18"/>
          <w:szCs w:val="18"/>
        </w:rPr>
      </w:pPr>
    </w:p>
    <w:p>
      <w:pPr>
        <w:pStyle w:val="BodyText"/>
        <w:spacing w:line="237" w:lineRule="auto" w:before="28"/>
        <w:ind w:right="213"/>
        <w:jc w:val="both"/>
      </w:pPr>
      <w:r>
        <w:rPr>
          <w:spacing w:val="-2"/>
        </w:rPr>
        <w:t>本集团的金融负债于初始确认时分类为：以公允价值计量且其变动计入当期损益的金</w:t>
      </w:r>
      <w:r>
        <w:rPr>
          <w:spacing w:val="-94"/>
        </w:rPr>
        <w:t> </w:t>
      </w:r>
      <w:r>
        <w:rPr>
          <w:spacing w:val="-94"/>
        </w:rPr>
      </w:r>
      <w:r>
        <w:rPr>
          <w:spacing w:val="-2"/>
        </w:rPr>
        <w:t>融负债、其他金融负债、被指定为有效套期工具的衍生工具。对于以公允价值计量且</w:t>
      </w:r>
      <w:r>
        <w:rPr>
          <w:spacing w:val="-94"/>
        </w:rPr>
        <w:t> </w:t>
      </w:r>
      <w:r>
        <w:rPr>
          <w:spacing w:val="-94"/>
        </w:rPr>
      </w:r>
      <w:r>
        <w:rPr>
          <w:spacing w:val="-2"/>
        </w:rPr>
        <w:t>其变动计入当期损益的金融负债，相关交易费用直接计入当期损益，其他金融负债的</w:t>
      </w:r>
      <w:r>
        <w:rPr>
          <w:spacing w:val="-94"/>
        </w:rPr>
        <w:t> </w:t>
      </w:r>
      <w:r>
        <w:rPr>
          <w:spacing w:val="-94"/>
        </w:rPr>
      </w:r>
      <w:r>
        <w:rPr/>
        <w:t>相关交易费用计入其初始确认金额。</w:t>
      </w:r>
    </w:p>
    <w:p>
      <w:pPr>
        <w:spacing w:line="240" w:lineRule="auto" w:before="10"/>
        <w:rPr>
          <w:rFonts w:ascii="宋体" w:hAnsi="宋体" w:cs="宋体" w:eastAsia="宋体" w:hint="default"/>
          <w:sz w:val="20"/>
          <w:szCs w:val="20"/>
        </w:rPr>
      </w:pPr>
    </w:p>
    <w:p>
      <w:pPr>
        <w:pStyle w:val="BodyText"/>
        <w:spacing w:line="240" w:lineRule="auto"/>
        <w:ind w:right="94"/>
        <w:jc w:val="left"/>
      </w:pPr>
      <w:r>
        <w:rPr/>
        <w:t>金融负债的后续计量取决于其分类：</w:t>
      </w:r>
    </w:p>
    <w:p>
      <w:pPr>
        <w:spacing w:line="240" w:lineRule="auto" w:before="2"/>
        <w:rPr>
          <w:rFonts w:ascii="宋体" w:hAnsi="宋体" w:cs="宋体" w:eastAsia="宋体" w:hint="default"/>
          <w:sz w:val="21"/>
          <w:szCs w:val="21"/>
        </w:rPr>
      </w:pPr>
    </w:p>
    <w:p>
      <w:pPr>
        <w:pStyle w:val="BodyText"/>
        <w:spacing w:line="237" w:lineRule="auto"/>
        <w:ind w:right="94"/>
        <w:jc w:val="left"/>
      </w:pPr>
      <w:r>
        <w:rPr/>
        <w:t>以公允价值计量且其变动计入当期损益的金融负债 </w:t>
      </w:r>
      <w:r>
        <w:rPr>
          <w:spacing w:val="-2"/>
        </w:rPr>
        <w:t>以公允价值计量且其变动计入当期损益的金融负债，包括交易性金融负债（含属于金</w:t>
      </w:r>
      <w:r>
        <w:rPr>
          <w:spacing w:val="-94"/>
        </w:rPr>
        <w:t> </w:t>
      </w:r>
      <w:r>
        <w:rPr>
          <w:spacing w:val="-94"/>
        </w:rPr>
      </w:r>
      <w:r>
        <w:rPr>
          <w:spacing w:val="-2"/>
        </w:rPr>
        <w:t>融负债的衍生工具）和初始确认时指定为以公允价值计量且其变动计入当期损益的金</w:t>
      </w:r>
      <w:r>
        <w:rPr>
          <w:spacing w:val="-94"/>
        </w:rPr>
        <w:t> </w:t>
      </w:r>
      <w:r>
        <w:rPr>
          <w:spacing w:val="-94"/>
        </w:rPr>
      </w:r>
      <w:r>
        <w:rPr>
          <w:spacing w:val="-2"/>
        </w:rPr>
        <w:t>融负债。交易性金融负债（含属于金融负债的衍生工具），按照公允价值进行后续计</w:t>
      </w:r>
      <w:r>
        <w:rPr>
          <w:spacing w:val="-94"/>
        </w:rPr>
        <w:t> </w:t>
      </w:r>
      <w:r>
        <w:rPr>
          <w:spacing w:val="-94"/>
        </w:rPr>
      </w:r>
      <w:r>
        <w:rPr>
          <w:spacing w:val="-2"/>
        </w:rPr>
        <w:t>量，所有公允价值变动均计入当期损益。对于指定为以公允价值计量且其变动计入当</w:t>
      </w:r>
      <w:r>
        <w:rPr>
          <w:spacing w:val="-94"/>
        </w:rPr>
        <w:t> </w:t>
      </w:r>
      <w:r>
        <w:rPr>
          <w:spacing w:val="-94"/>
        </w:rPr>
      </w:r>
      <w:r>
        <w:rPr>
          <w:spacing w:val="-2"/>
        </w:rPr>
        <w:t>期损益的金融负债，按照公允价值进行后续计量，除由本集团自身信用风险变动引起</w:t>
      </w:r>
      <w:r>
        <w:rPr>
          <w:spacing w:val="-94"/>
        </w:rPr>
        <w:t> </w:t>
      </w:r>
      <w:r>
        <w:rPr>
          <w:spacing w:val="-94"/>
        </w:rPr>
      </w:r>
      <w:r>
        <w:rPr>
          <w:spacing w:val="-2"/>
        </w:rPr>
        <w:t>的公允价值变动计入其他综合收益之外，其他公允价值变动计入当期损益；如果由本</w:t>
      </w:r>
      <w:r>
        <w:rPr>
          <w:spacing w:val="-94"/>
        </w:rPr>
        <w:t> </w:t>
      </w:r>
      <w:r>
        <w:rPr>
          <w:spacing w:val="-94"/>
        </w:rPr>
      </w:r>
      <w:r>
        <w:rPr/>
        <w:t>集团自身信用风险变动引起的公允价值变动计入其他综合收益会造成或扩大损益中 </w:t>
      </w:r>
      <w:r>
        <w:rPr>
          <w:spacing w:val="-2"/>
        </w:rPr>
        <w:t>的会计错配，本集团将所有公允价值变动（包括自身信用风险变动的影响金额）计入</w:t>
      </w:r>
      <w:r>
        <w:rPr>
          <w:spacing w:val="-96"/>
        </w:rPr>
        <w:t> </w:t>
      </w:r>
      <w:r>
        <w:rPr>
          <w:spacing w:val="-96"/>
        </w:rPr>
      </w:r>
      <w:r>
        <w:rPr/>
        <w:t>当期损益。</w:t>
      </w:r>
    </w:p>
    <w:p>
      <w:pPr>
        <w:spacing w:line="240" w:lineRule="auto" w:before="4"/>
        <w:rPr>
          <w:rFonts w:ascii="宋体" w:hAnsi="宋体" w:cs="宋体" w:eastAsia="宋体" w:hint="default"/>
          <w:sz w:val="23"/>
          <w:szCs w:val="23"/>
        </w:rPr>
      </w:pPr>
    </w:p>
    <w:p>
      <w:pPr>
        <w:pStyle w:val="BodyText"/>
        <w:spacing w:line="312" w:lineRule="exact"/>
        <w:ind w:right="1830"/>
        <w:jc w:val="left"/>
      </w:pPr>
      <w:r>
        <w:rPr/>
        <w:t>其他金融负债 对于此类金融负债，采用实际利率法，按照摊余成本进行后续计量。</w:t>
      </w:r>
    </w:p>
    <w:p>
      <w:pPr>
        <w:spacing w:line="240" w:lineRule="auto" w:before="7"/>
        <w:rPr>
          <w:rFonts w:ascii="宋体" w:hAnsi="宋体" w:cs="宋体" w:eastAsia="宋体" w:hint="default"/>
          <w:sz w:val="18"/>
          <w:szCs w:val="18"/>
        </w:rPr>
      </w:pPr>
    </w:p>
    <w:p>
      <w:pPr>
        <w:pStyle w:val="BodyText"/>
        <w:spacing w:line="240" w:lineRule="auto"/>
        <w:ind w:right="94"/>
        <w:jc w:val="left"/>
      </w:pPr>
      <w:r>
        <w:rPr/>
      </w:r>
      <w:r>
        <w:rPr>
          <w:u w:val="single" w:color="000000"/>
        </w:rPr>
        <w:t>金融工具减值</w:t>
      </w:r>
      <w:r>
        <w:rPr/>
      </w:r>
    </w:p>
    <w:p>
      <w:pPr>
        <w:spacing w:after="0" w:line="240" w:lineRule="auto"/>
        <w:jc w:val="left"/>
        <w:sectPr>
          <w:footerReference w:type="default" r:id="rId54"/>
          <w:pgSz w:w="11910" w:h="16840"/>
          <w:pgMar w:footer="1195" w:header="882" w:top="1120" w:bottom="1380" w:left="1140" w:right="15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312" w:lineRule="exact" w:before="56"/>
        <w:ind w:right="355"/>
        <w:jc w:val="both"/>
      </w:pPr>
      <w:r>
        <w:rPr>
          <w:spacing w:val="-2"/>
        </w:rPr>
        <w:t>本集团以预期信用损失为基础，对以摊余成本计量的金融资产及财务担保合同进行减</w:t>
      </w:r>
      <w:r>
        <w:rPr>
          <w:spacing w:val="-94"/>
        </w:rPr>
        <w:t> </w:t>
      </w:r>
      <w:r>
        <w:rPr>
          <w:spacing w:val="-94"/>
        </w:rPr>
      </w:r>
      <w:r>
        <w:rPr/>
        <w:t>值处理并确认损失准备。</w:t>
      </w:r>
    </w:p>
    <w:p>
      <w:pPr>
        <w:spacing w:line="240" w:lineRule="auto" w:before="12"/>
        <w:rPr>
          <w:rFonts w:ascii="宋体" w:hAnsi="宋体" w:cs="宋体" w:eastAsia="宋体" w:hint="default"/>
          <w:sz w:val="20"/>
          <w:szCs w:val="20"/>
        </w:rPr>
      </w:pPr>
    </w:p>
    <w:p>
      <w:pPr>
        <w:pStyle w:val="BodyText"/>
        <w:spacing w:line="312" w:lineRule="exact"/>
        <w:ind w:right="355"/>
        <w:jc w:val="both"/>
      </w:pPr>
      <w:r>
        <w:rPr>
          <w:spacing w:val="-2"/>
        </w:rPr>
        <w:t>对于不含重大融资成分的应收款项以及合同资产，本集团运用简化计量方法，按照相</w:t>
      </w:r>
      <w:r>
        <w:rPr>
          <w:spacing w:val="-94"/>
        </w:rPr>
        <w:t> </w:t>
      </w:r>
      <w:r>
        <w:rPr>
          <w:spacing w:val="-94"/>
        </w:rPr>
      </w:r>
      <w:r>
        <w:rPr/>
        <w:t>当于整个存续期内的预期信用损失金额计量损失准备。</w:t>
      </w:r>
    </w:p>
    <w:p>
      <w:pPr>
        <w:spacing w:line="240" w:lineRule="auto" w:before="13"/>
        <w:rPr>
          <w:rFonts w:ascii="宋体" w:hAnsi="宋体" w:cs="宋体" w:eastAsia="宋体" w:hint="default"/>
          <w:sz w:val="18"/>
          <w:szCs w:val="18"/>
        </w:rPr>
      </w:pPr>
    </w:p>
    <w:p>
      <w:pPr>
        <w:pStyle w:val="BodyText"/>
        <w:spacing w:line="237" w:lineRule="auto"/>
        <w:ind w:right="353"/>
        <w:jc w:val="both"/>
      </w:pPr>
      <w:r>
        <w:rPr>
          <w:spacing w:val="-2"/>
        </w:rPr>
        <w:t>除上述采用简化计量方法以外的金融资产及财务担保合同，本集团在每个资产负债表</w:t>
      </w:r>
      <w:r>
        <w:rPr>
          <w:spacing w:val="-94"/>
        </w:rPr>
        <w:t> </w:t>
      </w:r>
      <w:r>
        <w:rPr>
          <w:spacing w:val="-94"/>
        </w:rPr>
      </w:r>
      <w:r>
        <w:rPr>
          <w:spacing w:val="-2"/>
        </w:rPr>
        <w:t>日评估其信用风险自初始确认后是否已经显著增加，如果信用风险自初始确认后未显</w:t>
      </w:r>
      <w:r>
        <w:rPr>
          <w:spacing w:val="-94"/>
        </w:rPr>
        <w:t> </w:t>
      </w:r>
      <w:r>
        <w:rPr>
          <w:spacing w:val="-94"/>
        </w:rPr>
      </w:r>
      <w:r>
        <w:rPr/>
        <w:t>著增加，处于第一阶段，本集团按照相当于未来</w:t>
      </w:r>
      <w:r>
        <w:rPr>
          <w:spacing w:val="-59"/>
        </w:rPr>
        <w:t> </w:t>
      </w:r>
      <w:r>
        <w:rPr>
          <w:rFonts w:ascii="Times New Roman" w:hAnsi="Times New Roman" w:cs="Times New Roman" w:eastAsia="Times New Roman" w:hint="default"/>
        </w:rPr>
        <w:t>12 </w:t>
      </w:r>
      <w:r>
        <w:rPr/>
        <w:t>个月内预期信用损失的金额计量 </w:t>
      </w:r>
      <w:r>
        <w:rPr>
          <w:spacing w:val="-2"/>
        </w:rPr>
        <w:t>损失准备，并按照账面余额和实际利率计算利息收入；如果信用风险自初始确认后已</w:t>
      </w:r>
      <w:r>
        <w:rPr>
          <w:spacing w:val="-94"/>
        </w:rPr>
        <w:t> </w:t>
      </w:r>
      <w:r>
        <w:rPr>
          <w:spacing w:val="-94"/>
        </w:rPr>
      </w:r>
      <w:r>
        <w:rPr>
          <w:spacing w:val="-2"/>
        </w:rPr>
        <w:t>显著增加但尚未发生信用减值的，处于第二阶段，本集团按照相当于整个存续期内预</w:t>
      </w:r>
      <w:r>
        <w:rPr>
          <w:spacing w:val="-94"/>
        </w:rPr>
        <w:t> </w:t>
      </w:r>
      <w:r>
        <w:rPr>
          <w:spacing w:val="-94"/>
        </w:rPr>
      </w:r>
      <w:r>
        <w:rPr>
          <w:spacing w:val="-2"/>
        </w:rPr>
        <w:t>期信用损失的金额计量损失准备，并按照账面余额和实际利率计算利息收入；如果初</w:t>
      </w:r>
      <w:r>
        <w:rPr>
          <w:spacing w:val="-94"/>
        </w:rPr>
        <w:t> </w:t>
      </w:r>
      <w:r>
        <w:rPr>
          <w:spacing w:val="-94"/>
        </w:rPr>
      </w:r>
      <w:r>
        <w:rPr>
          <w:spacing w:val="-2"/>
        </w:rPr>
        <w:t>始确认后发生信用减值的，处于第三阶段，本集团按照相当于整个存续期内预期信用</w:t>
      </w:r>
      <w:r>
        <w:rPr>
          <w:spacing w:val="-92"/>
        </w:rPr>
        <w:t> </w:t>
      </w:r>
      <w:r>
        <w:rPr>
          <w:spacing w:val="-92"/>
        </w:rPr>
      </w:r>
      <w:r>
        <w:rPr>
          <w:spacing w:val="-2"/>
        </w:rPr>
        <w:t>损失的金额计量损失准备，并按照摊余成本和实际利率计算利息收入。对于资产负债</w:t>
      </w:r>
      <w:r>
        <w:rPr>
          <w:spacing w:val="-94"/>
        </w:rPr>
        <w:t> </w:t>
      </w:r>
      <w:r>
        <w:rPr>
          <w:spacing w:val="-94"/>
        </w:rPr>
      </w:r>
      <w:r>
        <w:rPr>
          <w:spacing w:val="-2"/>
        </w:rPr>
        <w:t>表日只具有较低信用风险的金融工具，本集团假设其信用风险自初始确认后未显著增</w:t>
      </w:r>
      <w:r>
        <w:rPr>
          <w:spacing w:val="-94"/>
        </w:rPr>
        <w:t> </w:t>
      </w:r>
      <w:r>
        <w:rPr>
          <w:spacing w:val="-94"/>
        </w:rPr>
      </w:r>
      <w:r>
        <w:rPr/>
        <w:t>加。</w:t>
      </w:r>
    </w:p>
    <w:p>
      <w:pPr>
        <w:spacing w:line="240" w:lineRule="auto" w:before="6"/>
        <w:rPr>
          <w:rFonts w:ascii="宋体" w:hAnsi="宋体" w:cs="宋体" w:eastAsia="宋体" w:hint="default"/>
          <w:sz w:val="23"/>
          <w:szCs w:val="23"/>
        </w:rPr>
      </w:pPr>
    </w:p>
    <w:p>
      <w:pPr>
        <w:pStyle w:val="BodyText"/>
        <w:spacing w:line="310" w:lineRule="exact"/>
        <w:ind w:right="355"/>
        <w:jc w:val="both"/>
      </w:pPr>
      <w:r>
        <w:rPr>
          <w:spacing w:val="-2"/>
        </w:rPr>
        <w:t>本集团基于单项和组合评估金融工具的预期信用损失。本集团考虑了不同客户的信用</w:t>
      </w:r>
      <w:r>
        <w:rPr>
          <w:spacing w:val="-94"/>
        </w:rPr>
        <w:t> </w:t>
      </w:r>
      <w:r>
        <w:rPr>
          <w:spacing w:val="-94"/>
        </w:rPr>
      </w:r>
      <w:r>
        <w:rPr/>
        <w:t>风险特征，以账龄组合为基础评估应收账款和其他应收款的预期信用损失。</w:t>
      </w:r>
    </w:p>
    <w:p>
      <w:pPr>
        <w:spacing w:line="240" w:lineRule="auto" w:before="2"/>
        <w:rPr>
          <w:rFonts w:ascii="宋体" w:hAnsi="宋体" w:cs="宋体" w:eastAsia="宋体" w:hint="default"/>
          <w:sz w:val="21"/>
          <w:szCs w:val="21"/>
        </w:rPr>
      </w:pPr>
    </w:p>
    <w:p>
      <w:pPr>
        <w:pStyle w:val="BodyText"/>
        <w:spacing w:line="312" w:lineRule="exact"/>
        <w:ind w:right="355"/>
        <w:jc w:val="both"/>
      </w:pPr>
      <w:r>
        <w:rPr>
          <w:spacing w:val="-2"/>
        </w:rPr>
        <w:t>关于本集团对信用风险显著增加判断标准、已发生信用减值资产的定义、预期信用损</w:t>
      </w:r>
      <w:r>
        <w:rPr>
          <w:spacing w:val="-94"/>
        </w:rPr>
        <w:t> </w:t>
      </w:r>
      <w:r>
        <w:rPr>
          <w:spacing w:val="-94"/>
        </w:rPr>
      </w:r>
      <w:r>
        <w:rPr/>
        <w:t>失计量的假设等披露参见附注八、</w:t>
      </w:r>
      <w:r>
        <w:rPr>
          <w:rFonts w:ascii="Times New Roman" w:hAnsi="Times New Roman" w:cs="Times New Roman" w:eastAsia="Times New Roman" w:hint="default"/>
        </w:rPr>
        <w:t>2</w:t>
      </w:r>
      <w:r>
        <w:rPr/>
        <w:t>。</w:t>
      </w:r>
    </w:p>
    <w:p>
      <w:pPr>
        <w:spacing w:line="240" w:lineRule="auto" w:before="12"/>
        <w:rPr>
          <w:rFonts w:ascii="宋体" w:hAnsi="宋体" w:cs="宋体" w:eastAsia="宋体" w:hint="default"/>
          <w:sz w:val="20"/>
          <w:szCs w:val="20"/>
        </w:rPr>
      </w:pPr>
    </w:p>
    <w:p>
      <w:pPr>
        <w:pStyle w:val="BodyText"/>
        <w:spacing w:line="312" w:lineRule="exact"/>
        <w:ind w:right="355"/>
        <w:jc w:val="both"/>
      </w:pPr>
      <w:r>
        <w:rPr>
          <w:spacing w:val="-2"/>
        </w:rPr>
        <w:t>当本集团不再合理预期能够全部或部分收回金融资产合同现金流量时，本集团直接减</w:t>
      </w:r>
      <w:r>
        <w:rPr>
          <w:spacing w:val="-94"/>
        </w:rPr>
        <w:t> </w:t>
      </w:r>
      <w:r>
        <w:rPr>
          <w:spacing w:val="-94"/>
        </w:rPr>
      </w:r>
      <w:r>
        <w:rPr/>
        <w:t>记该金融资产的账面余额。</w:t>
      </w:r>
    </w:p>
    <w:p>
      <w:pPr>
        <w:spacing w:line="240" w:lineRule="auto" w:before="10"/>
        <w:rPr>
          <w:rFonts w:ascii="宋体" w:hAnsi="宋体" w:cs="宋体" w:eastAsia="宋体" w:hint="default"/>
          <w:sz w:val="18"/>
          <w:szCs w:val="18"/>
        </w:rPr>
      </w:pPr>
    </w:p>
    <w:p>
      <w:pPr>
        <w:pStyle w:val="BodyText"/>
        <w:spacing w:line="240" w:lineRule="auto"/>
        <w:ind w:right="0"/>
        <w:jc w:val="both"/>
      </w:pPr>
      <w:r>
        <w:rPr/>
      </w:r>
      <w:r>
        <w:rPr>
          <w:u w:val="single" w:color="000000"/>
        </w:rPr>
        <w:t>金融工具抵销</w:t>
      </w:r>
      <w:r>
        <w:rPr/>
      </w:r>
    </w:p>
    <w:p>
      <w:pPr>
        <w:spacing w:line="240" w:lineRule="auto" w:before="10"/>
        <w:rPr>
          <w:rFonts w:ascii="宋体" w:hAnsi="宋体" w:cs="宋体" w:eastAsia="宋体" w:hint="default"/>
          <w:sz w:val="18"/>
          <w:szCs w:val="18"/>
        </w:rPr>
      </w:pPr>
    </w:p>
    <w:p>
      <w:pPr>
        <w:pStyle w:val="BodyText"/>
        <w:spacing w:line="312" w:lineRule="exact" w:before="56"/>
        <w:ind w:right="0"/>
        <w:jc w:val="left"/>
      </w:pPr>
      <w:r>
        <w:rPr>
          <w:spacing w:val="-2"/>
        </w:rPr>
        <w:t>同时满足下列条件的，金融资产和金融负债以相互抵销后的净额在资产负债表内列示：</w:t>
      </w:r>
      <w:r>
        <w:rPr>
          <w:spacing w:val="-92"/>
        </w:rPr>
        <w:t> </w:t>
      </w:r>
      <w:r>
        <w:rPr>
          <w:spacing w:val="-92"/>
        </w:rPr>
      </w:r>
      <w:r>
        <w:rPr>
          <w:spacing w:val="-5"/>
        </w:rPr>
        <w:t>具有抵销已确认金额的法定权利，且该种法定权利是当前可执行的；计划以净额结算，</w:t>
      </w:r>
      <w:r>
        <w:rPr>
          <w:spacing w:val="-98"/>
        </w:rPr>
        <w:t> </w:t>
      </w:r>
      <w:r>
        <w:rPr>
          <w:spacing w:val="-98"/>
        </w:rPr>
      </w:r>
      <w:r>
        <w:rPr/>
        <w:t>或同时变现该金融资产和清偿该金融负债。</w:t>
      </w:r>
    </w:p>
    <w:p>
      <w:pPr>
        <w:spacing w:line="240" w:lineRule="auto" w:before="7"/>
        <w:rPr>
          <w:rFonts w:ascii="宋体" w:hAnsi="宋体" w:cs="宋体" w:eastAsia="宋体" w:hint="default"/>
          <w:sz w:val="18"/>
          <w:szCs w:val="18"/>
        </w:rPr>
      </w:pPr>
    </w:p>
    <w:p>
      <w:pPr>
        <w:pStyle w:val="BodyText"/>
        <w:spacing w:line="240" w:lineRule="auto"/>
        <w:ind w:right="0"/>
        <w:jc w:val="left"/>
      </w:pPr>
      <w:r>
        <w:rPr/>
      </w:r>
      <w:r>
        <w:rPr>
          <w:u w:val="single" w:color="000000"/>
        </w:rPr>
        <w:t>财务担保合同</w:t>
      </w:r>
      <w:r>
        <w:rPr/>
      </w:r>
    </w:p>
    <w:p>
      <w:pPr>
        <w:spacing w:line="240" w:lineRule="auto" w:before="12"/>
        <w:rPr>
          <w:rFonts w:ascii="宋体" w:hAnsi="宋体" w:cs="宋体" w:eastAsia="宋体" w:hint="default"/>
          <w:sz w:val="18"/>
          <w:szCs w:val="18"/>
        </w:rPr>
      </w:pPr>
    </w:p>
    <w:p>
      <w:pPr>
        <w:pStyle w:val="BodyText"/>
        <w:spacing w:line="237" w:lineRule="auto" w:before="28"/>
        <w:ind w:right="0"/>
        <w:jc w:val="left"/>
      </w:pPr>
      <w:r>
        <w:rPr/>
        <w:t>财务担保合同，是指特定债务人到期不能按照债务工具条款偿付债务时，发行方向蒙 受损失的合同持有人赔付特定金额的合同。财务担保合同在初始确认时按照公允价值 </w:t>
      </w:r>
      <w:r>
        <w:rPr>
          <w:spacing w:val="-2"/>
        </w:rPr>
        <w:t>计量，除指定为以公允价值计量且其变动计入当期损益的金融负债的财务担保合同外，</w:t>
      </w:r>
      <w:r>
        <w:rPr>
          <w:spacing w:val="-92"/>
        </w:rPr>
        <w:t> </w:t>
      </w:r>
      <w:r>
        <w:rPr>
          <w:spacing w:val="-92"/>
        </w:rPr>
      </w:r>
      <w:r>
        <w:rPr/>
        <w:t>其余财务担保合同在初始确认后按照资产负债表日确定的预期信用损失准备金额和</w:t>
      </w:r>
      <w:r>
        <w:rPr/>
        <w:t> 初始确认金额扣除按照收入确认原则确定的累计摊销额后的余额两者孰高者进行后 续计量。</w:t>
      </w:r>
    </w:p>
    <w:p>
      <w:pPr>
        <w:spacing w:line="240" w:lineRule="auto" w:before="10"/>
        <w:rPr>
          <w:rFonts w:ascii="宋体" w:hAnsi="宋体" w:cs="宋体" w:eastAsia="宋体" w:hint="default"/>
          <w:sz w:val="20"/>
          <w:szCs w:val="20"/>
        </w:rPr>
      </w:pPr>
    </w:p>
    <w:p>
      <w:pPr>
        <w:pStyle w:val="BodyText"/>
        <w:spacing w:line="240" w:lineRule="auto"/>
        <w:ind w:right="0"/>
        <w:jc w:val="left"/>
      </w:pPr>
      <w:r>
        <w:rPr/>
      </w:r>
      <w:r>
        <w:rPr>
          <w:u w:val="single" w:color="000000"/>
        </w:rPr>
        <w:t>衍生金融工具</w:t>
      </w:r>
      <w:r>
        <w:rPr/>
      </w:r>
    </w:p>
    <w:p>
      <w:pPr>
        <w:spacing w:after="0" w:line="240" w:lineRule="auto"/>
        <w:jc w:val="left"/>
        <w:sectPr>
          <w:footerReference w:type="default" r:id="rId55"/>
          <w:pgSz w:w="11910" w:h="16840"/>
          <w:pgMar w:footer="1195" w:header="882" w:top="1120" w:bottom="1380" w:left="1140" w:right="1440"/>
          <w:pgNumType w:start="41"/>
        </w:sectPr>
      </w:pPr>
    </w:p>
    <w:p>
      <w:pPr>
        <w:spacing w:line="240" w:lineRule="auto" w:before="13"/>
        <w:rPr>
          <w:rFonts w:ascii="宋体" w:hAnsi="宋体" w:cs="宋体" w:eastAsia="宋体" w:hint="default"/>
          <w:sz w:val="18"/>
          <w:szCs w:val="18"/>
        </w:rPr>
      </w:pPr>
    </w:p>
    <w:p>
      <w:pPr>
        <w:pStyle w:val="BodyText"/>
        <w:spacing w:line="237" w:lineRule="auto" w:before="28"/>
        <w:ind w:right="235"/>
        <w:jc w:val="both"/>
      </w:pPr>
      <w:r>
        <w:rPr>
          <w:spacing w:val="-2"/>
        </w:rPr>
        <w:t>本集团使用衍生金融工具，以外汇远期合同对汇率风险进行套期。衍生金融工具初始</w:t>
      </w:r>
      <w:r>
        <w:rPr>
          <w:spacing w:val="-94"/>
        </w:rPr>
        <w:t> </w:t>
      </w:r>
      <w:r>
        <w:rPr>
          <w:spacing w:val="-94"/>
        </w:rPr>
      </w:r>
      <w:r>
        <w:rPr>
          <w:spacing w:val="-2"/>
        </w:rPr>
        <w:t>以衍生交易合同签订当日的公允价值进行计量，并以其公允价值进行后续计量。公允</w:t>
      </w:r>
      <w:r>
        <w:rPr>
          <w:spacing w:val="-94"/>
        </w:rPr>
        <w:t> </w:t>
      </w:r>
      <w:r>
        <w:rPr>
          <w:spacing w:val="-94"/>
        </w:rPr>
      </w:r>
      <w:r>
        <w:rPr/>
        <w:t>价值为正数的衍生金融工具确认为一项资产，公允价值为负数的确认为一项负债。</w:t>
      </w:r>
    </w:p>
    <w:p>
      <w:pPr>
        <w:spacing w:line="240" w:lineRule="auto" w:before="2"/>
        <w:rPr>
          <w:rFonts w:ascii="宋体" w:hAnsi="宋体" w:cs="宋体" w:eastAsia="宋体" w:hint="default"/>
          <w:sz w:val="21"/>
          <w:szCs w:val="21"/>
        </w:rPr>
      </w:pPr>
    </w:p>
    <w:p>
      <w:pPr>
        <w:pStyle w:val="BodyText"/>
        <w:spacing w:line="237" w:lineRule="auto"/>
        <w:ind w:right="410"/>
        <w:jc w:val="left"/>
      </w:pPr>
      <w:r>
        <w:rPr/>
        <w:t>除现金流量套期中属于有效套期的部分计入其他综合收益并于被套期项目影响损益 时转出计入 当期损益之外，衍生工具公允价值变动而产生的利得或损失，直接计入当期损益。</w:t>
      </w:r>
    </w:p>
    <w:p>
      <w:pPr>
        <w:spacing w:line="240" w:lineRule="auto" w:before="13"/>
        <w:rPr>
          <w:rFonts w:ascii="宋体" w:hAnsi="宋体" w:cs="宋体" w:eastAsia="宋体" w:hint="default"/>
          <w:sz w:val="20"/>
          <w:szCs w:val="20"/>
        </w:rPr>
      </w:pPr>
    </w:p>
    <w:p>
      <w:pPr>
        <w:pStyle w:val="BodyText"/>
        <w:spacing w:line="240" w:lineRule="auto"/>
        <w:ind w:right="0"/>
        <w:jc w:val="left"/>
      </w:pPr>
      <w:r>
        <w:rPr/>
      </w:r>
      <w:r>
        <w:rPr>
          <w:u w:val="single" w:color="000000"/>
        </w:rPr>
        <w:t>金融资产转移</w:t>
      </w:r>
      <w:r>
        <w:rPr/>
      </w:r>
    </w:p>
    <w:p>
      <w:pPr>
        <w:spacing w:line="240" w:lineRule="auto" w:before="12"/>
        <w:rPr>
          <w:rFonts w:ascii="宋体" w:hAnsi="宋体" w:cs="宋体" w:eastAsia="宋体" w:hint="default"/>
          <w:sz w:val="18"/>
          <w:szCs w:val="18"/>
        </w:rPr>
      </w:pPr>
    </w:p>
    <w:p>
      <w:pPr>
        <w:pStyle w:val="BodyText"/>
        <w:spacing w:line="310" w:lineRule="exact" w:before="58"/>
        <w:ind w:right="0"/>
        <w:jc w:val="left"/>
      </w:pPr>
      <w:r>
        <w:rPr/>
        <w:t>本集团已将金融资产所有权上几乎所有的风险和报酬转移给转入方的，终止确认该金 </w:t>
      </w:r>
      <w:r>
        <w:rPr>
          <w:spacing w:val="-5"/>
        </w:rPr>
        <w:t>融资产；保留了金融资产所有权上几乎所有的风险和报酬的，不终止确认该金融资产。</w:t>
      </w:r>
    </w:p>
    <w:p>
      <w:pPr>
        <w:spacing w:line="240" w:lineRule="auto" w:before="0"/>
        <w:rPr>
          <w:rFonts w:ascii="宋体" w:hAnsi="宋体" w:cs="宋体" w:eastAsia="宋体" w:hint="default"/>
          <w:sz w:val="19"/>
          <w:szCs w:val="19"/>
        </w:rPr>
      </w:pPr>
    </w:p>
    <w:p>
      <w:pPr>
        <w:pStyle w:val="BodyText"/>
        <w:spacing w:line="237" w:lineRule="auto"/>
        <w:ind w:right="235"/>
        <w:jc w:val="both"/>
      </w:pPr>
      <w:r>
        <w:rPr>
          <w:spacing w:val="-2"/>
        </w:rPr>
        <w:t>本集团既没有转移也没有保留金融资产所有权上几乎所有的风险和报酬的，分别下列</w:t>
      </w:r>
      <w:r>
        <w:rPr>
          <w:spacing w:val="-94"/>
        </w:rPr>
        <w:t> </w:t>
      </w:r>
      <w:r>
        <w:rPr>
          <w:spacing w:val="-94"/>
        </w:rPr>
      </w:r>
      <w:r>
        <w:rPr>
          <w:spacing w:val="-2"/>
        </w:rPr>
        <w:t>情况处理：放弃了对该金融资产控制的，终止确认该金融资产并确认产生的资产和负</w:t>
      </w:r>
      <w:r>
        <w:rPr>
          <w:spacing w:val="-94"/>
        </w:rPr>
        <w:t> </w:t>
      </w:r>
      <w:r>
        <w:rPr>
          <w:spacing w:val="-94"/>
        </w:rPr>
      </w:r>
      <w:r>
        <w:rPr>
          <w:spacing w:val="-2"/>
        </w:rPr>
        <w:t>债；未放弃对该金融资产控制的，按照其继续涉入所转移金融资产的程度确认有关金</w:t>
      </w:r>
      <w:r>
        <w:rPr>
          <w:spacing w:val="-94"/>
        </w:rPr>
        <w:t> </w:t>
      </w:r>
      <w:r>
        <w:rPr>
          <w:spacing w:val="-94"/>
        </w:rPr>
      </w:r>
      <w:r>
        <w:rPr/>
        <w:t>融资产，并相应确认有关负债。</w:t>
      </w:r>
    </w:p>
    <w:p>
      <w:pPr>
        <w:spacing w:line="240" w:lineRule="auto" w:before="2"/>
        <w:rPr>
          <w:rFonts w:ascii="宋体" w:hAnsi="宋体" w:cs="宋体" w:eastAsia="宋体" w:hint="default"/>
          <w:sz w:val="21"/>
          <w:szCs w:val="21"/>
        </w:rPr>
      </w:pPr>
    </w:p>
    <w:p>
      <w:pPr>
        <w:pStyle w:val="BodyText"/>
        <w:spacing w:line="237" w:lineRule="auto"/>
        <w:ind w:right="235"/>
        <w:jc w:val="both"/>
      </w:pPr>
      <w:r>
        <w:rPr>
          <w:spacing w:val="-2"/>
        </w:rPr>
        <w:t>通过对所转移金融资产提供财务担保方式继续涉入的，按照金融资产的账面价值和财</w:t>
      </w:r>
      <w:r>
        <w:rPr>
          <w:spacing w:val="-94"/>
        </w:rPr>
        <w:t> </w:t>
      </w:r>
      <w:r>
        <w:rPr>
          <w:spacing w:val="-94"/>
        </w:rPr>
      </w:r>
      <w:r>
        <w:rPr>
          <w:spacing w:val="-2"/>
        </w:rPr>
        <w:t>务担保金额两者之中的较低者，确认继续涉入形成的资产。财务担保金额，是指所收</w:t>
      </w:r>
      <w:r>
        <w:rPr>
          <w:spacing w:val="-96"/>
        </w:rPr>
        <w:t> </w:t>
      </w:r>
      <w:r>
        <w:rPr>
          <w:spacing w:val="-96"/>
        </w:rPr>
      </w:r>
      <w:r>
        <w:rPr/>
        <w:t>到的对价中，将被要求偿还的最高金额。</w:t>
      </w:r>
    </w:p>
    <w:p>
      <w:pPr>
        <w:spacing w:line="240" w:lineRule="auto" w:before="7"/>
        <w:rPr>
          <w:rFonts w:ascii="宋体" w:hAnsi="宋体" w:cs="宋体" w:eastAsia="宋体" w:hint="default"/>
          <w:sz w:val="25"/>
          <w:szCs w:val="25"/>
        </w:rPr>
      </w:pPr>
    </w:p>
    <w:p>
      <w:pPr>
        <w:pStyle w:val="Heading2"/>
        <w:spacing w:line="285" w:lineRule="auto"/>
        <w:ind w:left="136" w:right="2159"/>
        <w:jc w:val="left"/>
        <w:rPr>
          <w:rFonts w:ascii="宋体" w:hAnsi="宋体" w:cs="宋体" w:eastAsia="宋体" w:hint="default"/>
          <w:b w:val="0"/>
          <w:bCs w:val="0"/>
        </w:rPr>
      </w:pPr>
      <w:r>
        <w:rPr>
          <w:rFonts w:ascii="宋体" w:hAnsi="宋体" w:cs="宋体" w:eastAsia="宋体" w:hint="default"/>
        </w:rPr>
        <w:t>11.</w:t>
      </w:r>
      <w:r>
        <w:rPr>
          <w:rFonts w:ascii="宋体" w:hAnsi="宋体" w:cs="宋体" w:eastAsia="宋体" w:hint="default"/>
          <w:spacing w:val="-58"/>
        </w:rPr>
        <w:t> </w:t>
      </w:r>
      <w:r>
        <w:rPr/>
        <w:t>应收票据</w:t>
      </w:r>
      <w:r>
        <w:rPr>
          <w:rFonts w:ascii="宋体" w:hAnsi="宋体" w:cs="宋体" w:eastAsia="宋体" w:hint="default"/>
          <w:w w:val="99"/>
        </w:rPr>
        <w:t> </w:t>
      </w:r>
      <w:r>
        <w:rPr/>
        <w:t>应收票据的预期信用损失的确定方法及会计处理方法</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40"/>
        <w:ind w:right="6950"/>
        <w:jc w:val="left"/>
      </w:pPr>
      <w:r>
        <w:rPr/>
        <w:t>√适用 □不适用 见五、 </w:t>
      </w:r>
      <w:r>
        <w:rPr>
          <w:rFonts w:ascii="Times New Roman" w:hAnsi="Times New Roman" w:cs="Times New Roman" w:eastAsia="Times New Roman" w:hint="default"/>
        </w:rPr>
        <w:t>10.</w:t>
      </w:r>
      <w:r>
        <w:rPr/>
        <w:t>金融工具</w:t>
      </w:r>
    </w:p>
    <w:p>
      <w:pPr>
        <w:spacing w:line="240" w:lineRule="auto" w:before="4"/>
        <w:rPr>
          <w:rFonts w:ascii="宋体" w:hAnsi="宋体" w:cs="宋体" w:eastAsia="宋体" w:hint="default"/>
          <w:sz w:val="23"/>
          <w:szCs w:val="23"/>
        </w:rPr>
      </w:pPr>
    </w:p>
    <w:p>
      <w:pPr>
        <w:pStyle w:val="Heading2"/>
        <w:spacing w:line="283" w:lineRule="auto"/>
        <w:ind w:left="136" w:right="2159"/>
        <w:jc w:val="left"/>
        <w:rPr>
          <w:rFonts w:ascii="宋体" w:hAnsi="宋体" w:cs="宋体" w:eastAsia="宋体" w:hint="default"/>
          <w:b w:val="0"/>
          <w:bCs w:val="0"/>
        </w:rPr>
      </w:pPr>
      <w:r>
        <w:rPr>
          <w:rFonts w:ascii="宋体" w:hAnsi="宋体" w:cs="宋体" w:eastAsia="宋体" w:hint="default"/>
        </w:rPr>
        <w:t>12.</w:t>
      </w:r>
      <w:r>
        <w:rPr>
          <w:rFonts w:ascii="宋体" w:hAnsi="宋体" w:cs="宋体" w:eastAsia="宋体" w:hint="default"/>
          <w:spacing w:val="-58"/>
        </w:rPr>
        <w:t> </w:t>
      </w:r>
      <w:r>
        <w:rPr/>
        <w:t>应收账款</w:t>
      </w:r>
      <w:r>
        <w:rPr>
          <w:rFonts w:ascii="宋体" w:hAnsi="宋体" w:cs="宋体" w:eastAsia="宋体" w:hint="default"/>
          <w:w w:val="99"/>
        </w:rPr>
        <w:t> </w:t>
      </w:r>
      <w:r>
        <w:rPr/>
        <w:t>应收账款的预期信用损失的确定方法及会计处理方法</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45"/>
        <w:ind w:right="6950"/>
        <w:jc w:val="left"/>
      </w:pPr>
      <w:r>
        <w:rPr/>
        <w:t>√适用 □不适用 见五、 </w:t>
      </w:r>
      <w:r>
        <w:rPr>
          <w:rFonts w:ascii="Times New Roman" w:hAnsi="Times New Roman" w:cs="Times New Roman" w:eastAsia="Times New Roman" w:hint="default"/>
        </w:rPr>
        <w:t>10.</w:t>
      </w:r>
      <w:r>
        <w:rPr/>
        <w:t>金融工具</w:t>
      </w:r>
    </w:p>
    <w:p>
      <w:pPr>
        <w:spacing w:line="240" w:lineRule="auto" w:before="2"/>
        <w:rPr>
          <w:rFonts w:ascii="宋体" w:hAnsi="宋体" w:cs="宋体" w:eastAsia="宋体" w:hint="default"/>
          <w:sz w:val="23"/>
          <w:szCs w:val="23"/>
        </w:rPr>
      </w:pPr>
    </w:p>
    <w:p>
      <w:pPr>
        <w:pStyle w:val="Heading2"/>
        <w:spacing w:line="240" w:lineRule="auto"/>
        <w:ind w:left="136" w:right="0"/>
        <w:jc w:val="both"/>
        <w:rPr>
          <w:b w:val="0"/>
          <w:bCs w:val="0"/>
        </w:rPr>
      </w:pPr>
      <w:r>
        <w:rPr>
          <w:rFonts w:ascii="宋体" w:hAnsi="宋体" w:cs="宋体" w:eastAsia="宋体" w:hint="default"/>
        </w:rPr>
        <w:t>13.</w:t>
      </w:r>
      <w:r>
        <w:rPr>
          <w:rFonts w:ascii="宋体" w:hAnsi="宋体" w:cs="宋体" w:eastAsia="宋体" w:hint="default"/>
          <w:spacing w:val="-61"/>
        </w:rPr>
        <w:t> </w:t>
      </w:r>
      <w:r>
        <w:rPr/>
        <w:t>应收款项融资</w:t>
      </w:r>
      <w:r>
        <w:rPr>
          <w:b w:val="0"/>
          <w:bCs w:val="0"/>
        </w:rPr>
      </w:r>
    </w:p>
    <w:p>
      <w:pPr>
        <w:pStyle w:val="BodyText"/>
        <w:spacing w:line="240" w:lineRule="auto" w:before="58"/>
        <w:ind w:right="0"/>
        <w:jc w:val="both"/>
      </w:pPr>
      <w:r>
        <w:rPr/>
        <w:t>□适用 √不适用</w:t>
      </w:r>
    </w:p>
    <w:p>
      <w:pPr>
        <w:spacing w:line="240" w:lineRule="auto" w:before="7"/>
        <w:rPr>
          <w:rFonts w:ascii="宋体" w:hAnsi="宋体" w:cs="宋体" w:eastAsia="宋体" w:hint="default"/>
          <w:sz w:val="25"/>
          <w:szCs w:val="25"/>
        </w:rPr>
      </w:pPr>
    </w:p>
    <w:p>
      <w:pPr>
        <w:pStyle w:val="Heading2"/>
        <w:spacing w:line="283" w:lineRule="auto"/>
        <w:ind w:left="136" w:right="2159"/>
        <w:jc w:val="left"/>
        <w:rPr>
          <w:rFonts w:ascii="宋体" w:hAnsi="宋体" w:cs="宋体" w:eastAsia="宋体" w:hint="default"/>
          <w:b w:val="0"/>
          <w:bCs w:val="0"/>
        </w:rPr>
      </w:pPr>
      <w:r>
        <w:rPr>
          <w:rFonts w:ascii="宋体" w:hAnsi="宋体" w:cs="宋体" w:eastAsia="宋体" w:hint="default"/>
        </w:rPr>
        <w:t>14.</w:t>
      </w:r>
      <w:r>
        <w:rPr>
          <w:rFonts w:ascii="宋体" w:hAnsi="宋体" w:cs="宋体" w:eastAsia="宋体" w:hint="default"/>
          <w:spacing w:val="-58"/>
        </w:rPr>
        <w:t> </w:t>
      </w:r>
      <w:r>
        <w:rPr/>
        <w:t>其他应收款</w:t>
      </w:r>
      <w:r>
        <w:rPr>
          <w:w w:val="99"/>
        </w:rPr>
        <w:t> </w:t>
      </w:r>
      <w:r>
        <w:rPr/>
        <w:t>其他应收款预期信用损失的确定方法及会计处理方法</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45"/>
        <w:ind w:right="6950"/>
        <w:jc w:val="left"/>
      </w:pPr>
      <w:r>
        <w:rPr/>
        <w:t>√适用 □不适用 见五、 </w:t>
      </w:r>
      <w:r>
        <w:rPr>
          <w:rFonts w:ascii="Times New Roman" w:hAnsi="Times New Roman" w:cs="Times New Roman" w:eastAsia="Times New Roman" w:hint="default"/>
        </w:rPr>
        <w:t>10.</w:t>
      </w:r>
      <w:r>
        <w:rPr/>
        <w:t>金融工具</w:t>
      </w:r>
    </w:p>
    <w:p>
      <w:pPr>
        <w:spacing w:line="240" w:lineRule="auto" w:before="4"/>
        <w:rPr>
          <w:rFonts w:ascii="宋体" w:hAnsi="宋体" w:cs="宋体" w:eastAsia="宋体" w:hint="default"/>
          <w:sz w:val="23"/>
          <w:szCs w:val="23"/>
        </w:rPr>
      </w:pPr>
    </w:p>
    <w:p>
      <w:pPr>
        <w:pStyle w:val="Heading2"/>
        <w:spacing w:line="240" w:lineRule="auto"/>
        <w:ind w:left="136" w:right="0"/>
        <w:jc w:val="both"/>
        <w:rPr>
          <w:b w:val="0"/>
          <w:bCs w:val="0"/>
        </w:rPr>
      </w:pPr>
      <w:r>
        <w:rPr>
          <w:rFonts w:ascii="宋体" w:hAnsi="宋体" w:cs="宋体" w:eastAsia="宋体" w:hint="default"/>
        </w:rPr>
        <w:t>15.</w:t>
      </w:r>
      <w:r>
        <w:rPr>
          <w:rFonts w:ascii="宋体" w:hAnsi="宋体" w:cs="宋体" w:eastAsia="宋体" w:hint="default"/>
          <w:spacing w:val="-57"/>
        </w:rPr>
        <w:t> </w:t>
      </w:r>
      <w:r>
        <w:rPr/>
        <w:t>存货</w:t>
      </w:r>
      <w:r>
        <w:rPr>
          <w:b w:val="0"/>
          <w:bCs w:val="0"/>
        </w:rPr>
      </w:r>
    </w:p>
    <w:p>
      <w:pPr>
        <w:pStyle w:val="BodyText"/>
        <w:tabs>
          <w:tab w:pos="1097" w:val="left" w:leader="none"/>
        </w:tabs>
        <w:spacing w:line="312" w:lineRule="exact" w:before="86"/>
        <w:ind w:right="5947"/>
        <w:jc w:val="left"/>
      </w:pPr>
      <w:r>
        <w:rPr/>
        <w:t>√适用</w:t>
        <w:tab/>
        <w:t>□不适用 存货包括原材料和库存商品。</w:t>
      </w:r>
    </w:p>
    <w:p>
      <w:pPr>
        <w:spacing w:after="0" w:line="312" w:lineRule="exact"/>
        <w:jc w:val="left"/>
        <w:sectPr>
          <w:pgSz w:w="11910" w:h="16840"/>
          <w:pgMar w:header="882" w:footer="1195" w:top="1120" w:bottom="1380" w:left="1140" w:right="15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37" w:lineRule="auto" w:before="28"/>
        <w:ind w:right="355"/>
        <w:jc w:val="both"/>
      </w:pPr>
      <w:r>
        <w:rPr>
          <w:spacing w:val="-2"/>
        </w:rPr>
        <w:t>存货按照成本进行初始计量。存货成本包括采购成本和其他成本。发出存货，采用加</w:t>
      </w:r>
      <w:r>
        <w:rPr>
          <w:spacing w:val="-96"/>
        </w:rPr>
        <w:t> </w:t>
      </w:r>
      <w:r>
        <w:rPr>
          <w:spacing w:val="-96"/>
        </w:rPr>
      </w:r>
      <w:r>
        <w:rPr>
          <w:spacing w:val="-2"/>
        </w:rPr>
        <w:t>权平均法确定其实际成本。周转材料包括低值易耗品和包装物等，低值易耗品和包装</w:t>
      </w:r>
      <w:r>
        <w:rPr>
          <w:spacing w:val="-94"/>
        </w:rPr>
        <w:t> </w:t>
      </w:r>
      <w:r>
        <w:rPr>
          <w:spacing w:val="-94"/>
        </w:rPr>
      </w:r>
      <w:r>
        <w:rPr/>
        <w:t>物采用一次转销法进行摊销。</w:t>
      </w:r>
    </w:p>
    <w:p>
      <w:pPr>
        <w:spacing w:line="240" w:lineRule="auto" w:before="13"/>
        <w:rPr>
          <w:rFonts w:ascii="宋体" w:hAnsi="宋体" w:cs="宋体" w:eastAsia="宋体" w:hint="default"/>
          <w:sz w:val="20"/>
          <w:szCs w:val="20"/>
        </w:rPr>
      </w:pPr>
    </w:p>
    <w:p>
      <w:pPr>
        <w:pStyle w:val="BodyText"/>
        <w:spacing w:line="240" w:lineRule="auto"/>
        <w:ind w:right="0"/>
        <w:jc w:val="both"/>
      </w:pPr>
      <w:r>
        <w:rPr/>
        <w:t>存货的盘存制度采用永续盘存制。</w:t>
      </w:r>
    </w:p>
    <w:p>
      <w:pPr>
        <w:spacing w:line="240" w:lineRule="auto" w:before="2"/>
        <w:rPr>
          <w:rFonts w:ascii="宋体" w:hAnsi="宋体" w:cs="宋体" w:eastAsia="宋体" w:hint="default"/>
          <w:sz w:val="21"/>
          <w:szCs w:val="21"/>
        </w:rPr>
      </w:pPr>
    </w:p>
    <w:p>
      <w:pPr>
        <w:pStyle w:val="BodyText"/>
        <w:spacing w:line="237" w:lineRule="auto"/>
        <w:ind w:right="0"/>
        <w:jc w:val="left"/>
      </w:pPr>
      <w:r>
        <w:rPr/>
        <w:t>于资产负债表日，存货按照成本与可变现净值孰低计量，对成本高于可变现净值的，</w:t>
      </w:r>
      <w:r>
        <w:rPr>
          <w:spacing w:val="-63"/>
        </w:rPr>
        <w:t> </w:t>
      </w:r>
      <w:r>
        <w:rPr>
          <w:spacing w:val="-63"/>
        </w:rPr>
      </w:r>
      <w:r>
        <w:rPr>
          <w:spacing w:val="-5"/>
        </w:rPr>
        <w:t>计提存货跌价准备，计入当期损益。如果以前计提存货跌价准备的影响因素已经消失，</w:t>
      </w:r>
      <w:r>
        <w:rPr>
          <w:spacing w:val="-98"/>
        </w:rPr>
        <w:t> </w:t>
      </w:r>
      <w:r>
        <w:rPr>
          <w:spacing w:val="-98"/>
        </w:rPr>
      </w:r>
      <w:r>
        <w:rPr/>
        <w:t>使得存货的可变现净值高于其账面价值，则在原已计提的存货跌价准备金额内，将以</w:t>
      </w:r>
      <w:r>
        <w:rPr/>
        <w:t> 前减记的金额予以恢复，转回的金额计入当期损益。</w:t>
      </w:r>
    </w:p>
    <w:p>
      <w:pPr>
        <w:spacing w:line="240" w:lineRule="auto" w:before="2"/>
        <w:rPr>
          <w:rFonts w:ascii="宋体" w:hAnsi="宋体" w:cs="宋体" w:eastAsia="宋体" w:hint="default"/>
          <w:sz w:val="23"/>
          <w:szCs w:val="23"/>
        </w:rPr>
      </w:pPr>
    </w:p>
    <w:p>
      <w:pPr>
        <w:pStyle w:val="BodyText"/>
        <w:spacing w:line="312" w:lineRule="exact"/>
        <w:ind w:right="235"/>
        <w:jc w:val="both"/>
      </w:pPr>
      <w:r>
        <w:rPr>
          <w:spacing w:val="-5"/>
        </w:rPr>
        <w:t>可变现净值，是指在日常活动中，存货的估计售价减去至完工时估计将要发生的成本、</w:t>
      </w:r>
      <w:r>
        <w:rPr>
          <w:spacing w:val="-98"/>
        </w:rPr>
        <w:t> </w:t>
      </w:r>
      <w:r>
        <w:rPr>
          <w:spacing w:val="-98"/>
        </w:rPr>
      </w:r>
      <w:r>
        <w:rPr/>
        <w:t>估计的销售费用以及相关税费后的金额。计提存货跌价准备时，原材料按类别计提，</w:t>
      </w:r>
      <w:r>
        <w:rPr>
          <w:spacing w:val="-63"/>
        </w:rPr>
        <w:t> </w:t>
      </w:r>
      <w:r>
        <w:rPr>
          <w:spacing w:val="-63"/>
        </w:rPr>
      </w:r>
      <w:r>
        <w:rPr/>
        <w:t>库存商品按单个存货项目计提。</w:t>
      </w:r>
    </w:p>
    <w:p>
      <w:pPr>
        <w:spacing w:line="240" w:lineRule="auto" w:before="4"/>
        <w:rPr>
          <w:rFonts w:ascii="宋体" w:hAnsi="宋体" w:cs="宋体" w:eastAsia="宋体" w:hint="default"/>
          <w:sz w:val="23"/>
          <w:szCs w:val="23"/>
        </w:rPr>
      </w:pPr>
    </w:p>
    <w:p>
      <w:pPr>
        <w:pStyle w:val="Heading2"/>
        <w:spacing w:line="240" w:lineRule="auto"/>
        <w:ind w:left="136" w:right="0"/>
        <w:jc w:val="both"/>
        <w:rPr>
          <w:b w:val="0"/>
          <w:bCs w:val="0"/>
        </w:rPr>
      </w:pPr>
      <w:r>
        <w:rPr>
          <w:rFonts w:ascii="宋体" w:hAnsi="宋体" w:cs="宋体" w:eastAsia="宋体" w:hint="default"/>
        </w:rPr>
        <w:t>16.</w:t>
      </w:r>
      <w:r>
        <w:rPr>
          <w:rFonts w:ascii="宋体" w:hAnsi="宋体" w:cs="宋体" w:eastAsia="宋体" w:hint="default"/>
          <w:spacing w:val="-62"/>
        </w:rPr>
        <w:t> </w:t>
      </w:r>
      <w:r>
        <w:rPr/>
        <w:t>持有待售资产</w:t>
      </w:r>
      <w:r>
        <w:rPr>
          <w:b w:val="0"/>
          <w:bCs w:val="0"/>
        </w:rPr>
      </w:r>
    </w:p>
    <w:p>
      <w:pPr>
        <w:pStyle w:val="BodyText"/>
        <w:tabs>
          <w:tab w:pos="1097" w:val="left" w:leader="none"/>
        </w:tabs>
        <w:spacing w:line="237" w:lineRule="auto" w:before="58"/>
        <w:ind w:right="115"/>
        <w:jc w:val="left"/>
      </w:pPr>
      <w:r>
        <w:rPr/>
        <w:t>√适用</w:t>
        <w:tab/>
        <w:t>□不适用 主要通过出售而非持续使用一项非流动资产或处置组收回其账面价值的，划分为持有 待售类别。同时满足下列条件的，划分为持有待售类别：根据类似交易中出售此类资 产或处置组的惯例，在当前状况下即可立即出售；出售极可能发生，即企业已经就一 项出售计划作出决议且获得确定的购买承诺，预计出售将在一年内完成（有关规定要 求企业相关权力机构或者监管部门批准后方可出售的，已经获得批准）。因出售对子 </w:t>
      </w:r>
      <w:r>
        <w:rPr>
          <w:spacing w:val="-2"/>
        </w:rPr>
        <w:t>公司的投资等原因导致丧失对子公司控制权的，无论出售后是否保留部分权益性投资，</w:t>
      </w:r>
      <w:r>
        <w:rPr>
          <w:spacing w:val="-92"/>
        </w:rPr>
        <w:t> </w:t>
      </w:r>
      <w:r>
        <w:rPr>
          <w:spacing w:val="-92"/>
        </w:rPr>
      </w:r>
      <w:r>
        <w:rPr/>
        <w:t>满足持有待售划分条件的，在个别财务报表中将对子公司投资整体划分为持有待售类</w:t>
      </w:r>
      <w:r>
        <w:rPr/>
        <w:t> 别，在合并财务报表中将子公司所有资产和负债划分为持有待售类别。</w:t>
      </w:r>
    </w:p>
    <w:p>
      <w:pPr>
        <w:spacing w:line="240" w:lineRule="auto" w:before="13"/>
        <w:rPr>
          <w:rFonts w:ascii="宋体" w:hAnsi="宋体" w:cs="宋体" w:eastAsia="宋体" w:hint="default"/>
          <w:sz w:val="20"/>
          <w:szCs w:val="20"/>
        </w:rPr>
      </w:pPr>
    </w:p>
    <w:p>
      <w:pPr>
        <w:pStyle w:val="BodyText"/>
        <w:spacing w:line="237" w:lineRule="auto"/>
        <w:ind w:right="353"/>
        <w:jc w:val="both"/>
      </w:pPr>
      <w:r>
        <w:rPr>
          <w:spacing w:val="-2"/>
        </w:rPr>
        <w:t>持有待售的非流动资产或处置组（除金融资产、递延所得税资产、职工薪酬形成的资</w:t>
      </w:r>
      <w:r>
        <w:rPr>
          <w:spacing w:val="-93"/>
        </w:rPr>
        <w:t> </w:t>
      </w:r>
      <w:r>
        <w:rPr>
          <w:spacing w:val="-93"/>
        </w:rPr>
      </w:r>
      <w:r>
        <w:rPr>
          <w:spacing w:val="-2"/>
        </w:rPr>
        <w:t>产外），其账面价值高于公允价值减去出售费用后的净额的，将账面价值减记至公允</w:t>
      </w:r>
      <w:r>
        <w:rPr>
          <w:spacing w:val="-93"/>
        </w:rPr>
        <w:t> </w:t>
      </w:r>
      <w:r>
        <w:rPr>
          <w:spacing w:val="-93"/>
        </w:rPr>
      </w:r>
      <w:r>
        <w:rPr>
          <w:spacing w:val="-2"/>
        </w:rPr>
        <w:t>价值减去出售费用后的净额，减记的金额确认为资产减值损失，计入当期损益，同时</w:t>
      </w:r>
      <w:r>
        <w:rPr>
          <w:spacing w:val="-96"/>
        </w:rPr>
        <w:t> </w:t>
      </w:r>
      <w:r>
        <w:rPr>
          <w:spacing w:val="-96"/>
        </w:rPr>
      </w:r>
      <w:r>
        <w:rPr>
          <w:spacing w:val="-2"/>
        </w:rPr>
        <w:t>计提持有待售资产减值准备。持有待售的非流动资产或处置组中的非流动资产，不计</w:t>
      </w:r>
      <w:r>
        <w:rPr>
          <w:spacing w:val="-93"/>
        </w:rPr>
        <w:t> </w:t>
      </w:r>
      <w:r>
        <w:rPr>
          <w:spacing w:val="-93"/>
        </w:rPr>
      </w:r>
      <w:r>
        <w:rPr/>
        <w:t>提折旧或摊销。</w:t>
      </w:r>
    </w:p>
    <w:p>
      <w:pPr>
        <w:spacing w:line="240" w:lineRule="auto" w:before="7"/>
        <w:rPr>
          <w:rFonts w:ascii="宋体" w:hAnsi="宋体" w:cs="宋体" w:eastAsia="宋体" w:hint="default"/>
          <w:sz w:val="25"/>
          <w:szCs w:val="25"/>
        </w:rPr>
      </w:pPr>
    </w:p>
    <w:p>
      <w:pPr>
        <w:pStyle w:val="Heading2"/>
        <w:spacing w:line="240" w:lineRule="auto"/>
        <w:ind w:left="136" w:right="0"/>
        <w:jc w:val="both"/>
        <w:rPr>
          <w:b w:val="0"/>
          <w:bCs w:val="0"/>
        </w:rPr>
      </w:pPr>
      <w:r>
        <w:rPr>
          <w:rFonts w:ascii="宋体" w:hAnsi="宋体" w:cs="宋体" w:eastAsia="宋体" w:hint="default"/>
        </w:rPr>
        <w:t>17.</w:t>
      </w:r>
      <w:r>
        <w:rPr>
          <w:rFonts w:ascii="宋体" w:hAnsi="宋体" w:cs="宋体" w:eastAsia="宋体" w:hint="default"/>
          <w:spacing w:val="-59"/>
        </w:rPr>
        <w:t> </w:t>
      </w:r>
      <w:r>
        <w:rPr/>
        <w:t>债权投资</w:t>
      </w:r>
      <w:r>
        <w:rPr>
          <w:b w:val="0"/>
          <w:bCs w:val="0"/>
        </w:rPr>
      </w:r>
    </w:p>
    <w:p>
      <w:pPr>
        <w:pStyle w:val="Heading2"/>
        <w:spacing w:line="240" w:lineRule="auto" w:before="56"/>
        <w:ind w:left="136" w:right="0"/>
        <w:jc w:val="both"/>
        <w:rPr>
          <w:rFonts w:ascii="宋体" w:hAnsi="宋体" w:cs="宋体" w:eastAsia="宋体" w:hint="default"/>
          <w:b w:val="0"/>
          <w:bCs w:val="0"/>
        </w:rPr>
      </w:pPr>
      <w:r>
        <w:rPr>
          <w:rFonts w:ascii="宋体" w:hAnsi="宋体" w:cs="宋体" w:eastAsia="宋体" w:hint="default"/>
        </w:rPr>
        <w:t>(1). </w:t>
      </w:r>
      <w:r>
        <w:rPr>
          <w:rFonts w:ascii="宋体" w:hAnsi="宋体" w:cs="宋体" w:eastAsia="宋体" w:hint="default"/>
          <w:spacing w:val="114"/>
        </w:rPr>
        <w:t> </w:t>
      </w:r>
      <w:r>
        <w:rPr/>
        <w:t>债权投资预期信用损失的确定方法及会计处理方法</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both"/>
      </w:pPr>
      <w:r>
        <w:rPr/>
        <w:t>□适用 √不适用</w:t>
      </w:r>
    </w:p>
    <w:p>
      <w:pPr>
        <w:spacing w:line="240" w:lineRule="auto" w:before="7"/>
        <w:rPr>
          <w:rFonts w:ascii="宋体" w:hAnsi="宋体" w:cs="宋体" w:eastAsia="宋体" w:hint="default"/>
          <w:sz w:val="25"/>
          <w:szCs w:val="25"/>
        </w:rPr>
      </w:pPr>
    </w:p>
    <w:p>
      <w:pPr>
        <w:pStyle w:val="Heading2"/>
        <w:spacing w:line="240" w:lineRule="auto"/>
        <w:ind w:left="136" w:right="0"/>
        <w:jc w:val="both"/>
        <w:rPr>
          <w:b w:val="0"/>
          <w:bCs w:val="0"/>
        </w:rPr>
      </w:pPr>
      <w:r>
        <w:rPr>
          <w:rFonts w:ascii="宋体" w:hAnsi="宋体" w:cs="宋体" w:eastAsia="宋体" w:hint="default"/>
        </w:rPr>
        <w:t>18.</w:t>
      </w:r>
      <w:r>
        <w:rPr>
          <w:rFonts w:ascii="宋体" w:hAnsi="宋体" w:cs="宋体" w:eastAsia="宋体" w:hint="default"/>
          <w:spacing w:val="-61"/>
        </w:rPr>
        <w:t> </w:t>
      </w:r>
      <w:r>
        <w:rPr/>
        <w:t>其他债权投资</w:t>
      </w:r>
      <w:r>
        <w:rPr>
          <w:b w:val="0"/>
          <w:bCs w:val="0"/>
        </w:rPr>
      </w:r>
    </w:p>
    <w:p>
      <w:pPr>
        <w:pStyle w:val="Heading2"/>
        <w:spacing w:line="240" w:lineRule="auto" w:before="58"/>
        <w:ind w:left="136" w:right="0"/>
        <w:jc w:val="both"/>
        <w:rPr>
          <w:rFonts w:ascii="宋体" w:hAnsi="宋体" w:cs="宋体" w:eastAsia="宋体" w:hint="default"/>
          <w:b w:val="0"/>
          <w:bCs w:val="0"/>
        </w:rPr>
      </w:pPr>
      <w:r>
        <w:rPr>
          <w:rFonts w:ascii="宋体" w:hAnsi="宋体" w:cs="宋体" w:eastAsia="宋体" w:hint="default"/>
        </w:rPr>
        <w:t>(1). </w:t>
      </w:r>
      <w:r>
        <w:rPr>
          <w:rFonts w:ascii="宋体" w:hAnsi="宋体" w:cs="宋体" w:eastAsia="宋体" w:hint="default"/>
          <w:spacing w:val="113"/>
        </w:rPr>
        <w:t> </w:t>
      </w:r>
      <w:r>
        <w:rPr/>
        <w:t>其他债权投资预期信用损失的确定方法及会计处理方法</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right="0"/>
        <w:jc w:val="both"/>
      </w:pPr>
      <w:r>
        <w:rPr/>
        <w:t>□适用 √不适用</w:t>
      </w:r>
    </w:p>
    <w:p>
      <w:pPr>
        <w:spacing w:after="0" w:line="240" w:lineRule="auto"/>
        <w:jc w:val="both"/>
        <w:sectPr>
          <w:pgSz w:w="11910" w:h="16840"/>
          <w:pgMar w:header="882" w:footer="1195" w:top="1120" w:bottom="1380" w:left="1140" w:right="1440"/>
        </w:sectPr>
      </w:pPr>
    </w:p>
    <w:p>
      <w:pPr>
        <w:spacing w:line="240" w:lineRule="auto" w:before="13"/>
        <w:rPr>
          <w:rFonts w:ascii="宋体" w:hAnsi="宋体" w:cs="宋体" w:eastAsia="宋体" w:hint="default"/>
          <w:sz w:val="18"/>
          <w:szCs w:val="18"/>
        </w:rPr>
      </w:pPr>
    </w:p>
    <w:p>
      <w:pPr>
        <w:pStyle w:val="Heading2"/>
        <w:spacing w:line="240" w:lineRule="auto" w:before="26"/>
        <w:ind w:left="136" w:right="0"/>
        <w:jc w:val="both"/>
        <w:rPr>
          <w:b w:val="0"/>
          <w:bCs w:val="0"/>
        </w:rPr>
      </w:pPr>
      <w:r>
        <w:rPr>
          <w:rFonts w:ascii="宋体" w:hAnsi="宋体" w:cs="宋体" w:eastAsia="宋体" w:hint="default"/>
        </w:rPr>
        <w:t>19.</w:t>
      </w:r>
      <w:r>
        <w:rPr>
          <w:rFonts w:ascii="宋体" w:hAnsi="宋体" w:cs="宋体" w:eastAsia="宋体" w:hint="default"/>
          <w:spacing w:val="-60"/>
        </w:rPr>
        <w:t> </w:t>
      </w:r>
      <w:r>
        <w:rPr/>
        <w:t>长期应收款</w:t>
      </w:r>
      <w:r>
        <w:rPr>
          <w:b w:val="0"/>
          <w:bCs w:val="0"/>
        </w:rPr>
      </w:r>
    </w:p>
    <w:p>
      <w:pPr>
        <w:pStyle w:val="Heading2"/>
        <w:spacing w:line="240" w:lineRule="auto" w:before="58"/>
        <w:ind w:left="136" w:right="0"/>
        <w:jc w:val="both"/>
        <w:rPr>
          <w:rFonts w:ascii="宋体" w:hAnsi="宋体" w:cs="宋体" w:eastAsia="宋体" w:hint="default"/>
          <w:b w:val="0"/>
          <w:bCs w:val="0"/>
        </w:rPr>
      </w:pPr>
      <w:r>
        <w:rPr>
          <w:rFonts w:ascii="宋体" w:hAnsi="宋体" w:cs="宋体" w:eastAsia="宋体" w:hint="default"/>
        </w:rPr>
        <w:t>(1). </w:t>
      </w:r>
      <w:r>
        <w:rPr>
          <w:rFonts w:ascii="宋体" w:hAnsi="宋体" w:cs="宋体" w:eastAsia="宋体" w:hint="default"/>
          <w:spacing w:val="111"/>
        </w:rPr>
        <w:t> </w:t>
      </w:r>
      <w:r>
        <w:rPr/>
        <w:t>长期应收款预期信用损失的确定方法及会计处理方法</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right="0"/>
        <w:jc w:val="both"/>
      </w:pPr>
      <w:r>
        <w:rPr/>
        <w:t>□适用 √不适用</w:t>
      </w:r>
    </w:p>
    <w:p>
      <w:pPr>
        <w:spacing w:line="240" w:lineRule="auto" w:before="7"/>
        <w:rPr>
          <w:rFonts w:ascii="宋体" w:hAnsi="宋体" w:cs="宋体" w:eastAsia="宋体" w:hint="default"/>
          <w:sz w:val="25"/>
          <w:szCs w:val="25"/>
        </w:rPr>
      </w:pPr>
    </w:p>
    <w:p>
      <w:pPr>
        <w:pStyle w:val="Heading2"/>
        <w:spacing w:line="240" w:lineRule="auto"/>
        <w:ind w:left="136" w:right="0"/>
        <w:jc w:val="both"/>
        <w:rPr>
          <w:b w:val="0"/>
          <w:bCs w:val="0"/>
        </w:rPr>
      </w:pPr>
      <w:r>
        <w:rPr>
          <w:rFonts w:ascii="宋体" w:hAnsi="宋体" w:cs="宋体" w:eastAsia="宋体" w:hint="default"/>
        </w:rPr>
        <w:t>20.</w:t>
      </w:r>
      <w:r>
        <w:rPr>
          <w:rFonts w:ascii="宋体" w:hAnsi="宋体" w:cs="宋体" w:eastAsia="宋体" w:hint="default"/>
          <w:spacing w:val="-61"/>
        </w:rPr>
        <w:t> </w:t>
      </w:r>
      <w:r>
        <w:rPr/>
        <w:t>长期股权投资</w:t>
      </w:r>
      <w:r>
        <w:rPr>
          <w:b w:val="0"/>
          <w:bCs w:val="0"/>
        </w:rPr>
      </w:r>
    </w:p>
    <w:p>
      <w:pPr>
        <w:pStyle w:val="BodyText"/>
        <w:tabs>
          <w:tab w:pos="1097" w:val="left" w:leader="none"/>
        </w:tabs>
        <w:spacing w:line="310" w:lineRule="exact" w:before="90"/>
        <w:ind w:right="3287"/>
        <w:jc w:val="left"/>
      </w:pPr>
      <w:r>
        <w:rPr/>
        <w:t>√适用</w:t>
        <w:tab/>
        <w:t>□不适用 长期股权投资包括对子公司和联营企业的权益性投资。</w:t>
      </w:r>
    </w:p>
    <w:p>
      <w:pPr>
        <w:spacing w:line="240" w:lineRule="auto" w:before="3"/>
        <w:rPr>
          <w:rFonts w:ascii="宋体" w:hAnsi="宋体" w:cs="宋体" w:eastAsia="宋体" w:hint="default"/>
          <w:sz w:val="19"/>
          <w:szCs w:val="19"/>
        </w:rPr>
      </w:pPr>
    </w:p>
    <w:p>
      <w:pPr>
        <w:pStyle w:val="BodyText"/>
        <w:spacing w:line="235" w:lineRule="auto"/>
        <w:ind w:right="94"/>
        <w:jc w:val="left"/>
      </w:pPr>
      <w:r>
        <w:rPr/>
        <w:t>长期股权投资在取得时以初始投资成本进行初始计量。通过同一控制下的企业合并取 得的长期股权投资，以合并日取得被合并方所有者权益在最终控制方合并财务报表中 的账面价值的份额作为初始投资成本；初始投资成本与合并对价账面价值之间差额，</w:t>
      </w:r>
      <w:r>
        <w:rPr>
          <w:spacing w:val="-63"/>
        </w:rPr>
        <w:t> </w:t>
      </w:r>
      <w:r>
        <w:rPr>
          <w:spacing w:val="-63"/>
        </w:rPr>
      </w:r>
      <w:r>
        <w:rPr/>
        <w:t>调整资本公积</w:t>
      </w:r>
      <w:r>
        <w:rPr>
          <w:rFonts w:ascii="Times New Roman" w:hAnsi="Times New Roman" w:cs="Times New Roman" w:eastAsia="Times New Roman" w:hint="default"/>
        </w:rPr>
        <w:t>(</w:t>
      </w:r>
      <w:r>
        <w:rPr/>
        <w:t>不足冲减的，冲减留存收益</w:t>
      </w:r>
      <w:r>
        <w:rPr>
          <w:rFonts w:ascii="Times New Roman" w:hAnsi="Times New Roman" w:cs="Times New Roman" w:eastAsia="Times New Roman" w:hint="default"/>
        </w:rPr>
        <w:t>)</w:t>
      </w:r>
      <w:r>
        <w:rPr/>
        <w:t>；合并日之前的其他综合收益，在处置该 项投资时采用与被投资单位直接处置相关资产或负债相同的基础进行会计处理，因被 投资方除净损益、其他综合收益和利润分配以外的其他股东权益变动而确认的股东权 </w:t>
      </w:r>
      <w:r>
        <w:rPr>
          <w:spacing w:val="-8"/>
        </w:rPr>
        <w:t>益，在处置该项投资时转入当期损益；其中，处置后仍为长期股权投资的按比例结转，</w:t>
      </w:r>
      <w:r>
        <w:rPr>
          <w:spacing w:val="-103"/>
        </w:rPr>
        <w:t> </w:t>
      </w:r>
      <w:r>
        <w:rPr>
          <w:spacing w:val="-103"/>
        </w:rPr>
      </w:r>
      <w:r>
        <w:rPr/>
        <w:t>处置后转换为金融工具的则全额结转。</w:t>
      </w:r>
    </w:p>
    <w:p>
      <w:pPr>
        <w:spacing w:line="240" w:lineRule="auto" w:before="5"/>
        <w:rPr>
          <w:rFonts w:ascii="宋体" w:hAnsi="宋体" w:cs="宋体" w:eastAsia="宋体" w:hint="default"/>
          <w:sz w:val="21"/>
          <w:szCs w:val="21"/>
        </w:rPr>
      </w:pPr>
    </w:p>
    <w:p>
      <w:pPr>
        <w:pStyle w:val="BodyText"/>
        <w:spacing w:line="235" w:lineRule="auto"/>
        <w:ind w:right="94"/>
        <w:jc w:val="left"/>
      </w:pPr>
      <w:r>
        <w:rPr/>
        <w:t>通过非同一控制下的企业合并取得的长期股权投资，以合并成本作为初始投资成本 </w:t>
      </w:r>
      <w:r>
        <w:rPr>
          <w:rFonts w:ascii="Times New Roman" w:hAnsi="Times New Roman" w:cs="Times New Roman" w:eastAsia="Times New Roman" w:hint="default"/>
        </w:rPr>
        <w:t>(</w:t>
      </w:r>
      <w:r>
        <w:rPr/>
        <w:t>通过多次交易分步实现非同一控制下的企业合并的，以购买日之前所持被购买方的 股权投资的账面价值与购买日新增投资成本之和作为初始投资成本</w:t>
      </w:r>
      <w:r>
        <w:rPr>
          <w:rFonts w:ascii="Times New Roman" w:hAnsi="Times New Roman" w:cs="Times New Roman" w:eastAsia="Times New Roman" w:hint="default"/>
        </w:rPr>
        <w:t>)</w:t>
      </w:r>
      <w:r>
        <w:rPr/>
        <w:t>，合并成本包括 </w:t>
      </w:r>
      <w:r>
        <w:rPr>
          <w:spacing w:val="-2"/>
        </w:rPr>
        <w:t>购买方付出的资产、发生或承担的负债、发行的权益性证券的公允价值之和；购买日</w:t>
      </w:r>
      <w:r>
        <w:rPr>
          <w:spacing w:val="-96"/>
        </w:rPr>
        <w:t> </w:t>
      </w:r>
      <w:r>
        <w:rPr>
          <w:spacing w:val="-96"/>
        </w:rPr>
      </w:r>
      <w:r>
        <w:rPr>
          <w:spacing w:val="-2"/>
        </w:rPr>
        <w:t>之前持有的因采用权益法核算而确认的其他综合收益，在处置该项投资时采用与被投</w:t>
      </w:r>
      <w:r>
        <w:rPr>
          <w:spacing w:val="-94"/>
        </w:rPr>
        <w:t> </w:t>
      </w:r>
      <w:r>
        <w:rPr>
          <w:spacing w:val="-94"/>
        </w:rPr>
      </w:r>
      <w:r>
        <w:rPr>
          <w:spacing w:val="-2"/>
        </w:rPr>
        <w:t>资单位直接处置相关资产或负债相同的基础进行会计处理，因被投资方除净损益、其</w:t>
      </w:r>
      <w:r>
        <w:rPr>
          <w:spacing w:val="-94"/>
        </w:rPr>
        <w:t> </w:t>
      </w:r>
      <w:r>
        <w:rPr>
          <w:spacing w:val="-94"/>
        </w:rPr>
      </w:r>
      <w:r>
        <w:rPr>
          <w:spacing w:val="-2"/>
        </w:rPr>
        <w:t>他综合收益和利润分配以外的其他股东权益变动而确认的股东权益，在处置该项投资</w:t>
      </w:r>
      <w:r>
        <w:rPr>
          <w:spacing w:val="-93"/>
        </w:rPr>
        <w:t> </w:t>
      </w:r>
      <w:r>
        <w:rPr>
          <w:spacing w:val="-93"/>
        </w:rPr>
      </w:r>
      <w:r>
        <w:rPr>
          <w:spacing w:val="-2"/>
        </w:rPr>
        <w:t>时转入当期损益；其中，处置后仍为长期股权投资的按比例结转，处置后转换为金融</w:t>
      </w:r>
      <w:r>
        <w:rPr>
          <w:spacing w:val="-94"/>
        </w:rPr>
        <w:t> </w:t>
      </w:r>
      <w:r>
        <w:rPr>
          <w:spacing w:val="-94"/>
        </w:rPr>
      </w:r>
      <w:r>
        <w:rPr/>
        <w:t>工具的则全额结转。</w:t>
      </w:r>
    </w:p>
    <w:p>
      <w:pPr>
        <w:spacing w:line="240" w:lineRule="auto" w:before="3"/>
        <w:rPr>
          <w:rFonts w:ascii="宋体" w:hAnsi="宋体" w:cs="宋体" w:eastAsia="宋体" w:hint="default"/>
          <w:sz w:val="21"/>
          <w:szCs w:val="21"/>
        </w:rPr>
      </w:pPr>
    </w:p>
    <w:p>
      <w:pPr>
        <w:pStyle w:val="BodyText"/>
        <w:spacing w:line="237" w:lineRule="auto"/>
        <w:ind w:right="215"/>
        <w:jc w:val="both"/>
      </w:pPr>
      <w:r>
        <w:rPr>
          <w:spacing w:val="-2"/>
        </w:rPr>
        <w:t>除企业合并形成的长期股权投资以外方式取得的长期股权投资，按照下列方法确定初</w:t>
      </w:r>
      <w:r>
        <w:rPr>
          <w:spacing w:val="-94"/>
        </w:rPr>
        <w:t> </w:t>
      </w:r>
      <w:r>
        <w:rPr>
          <w:spacing w:val="-94"/>
        </w:rPr>
      </w:r>
      <w:r>
        <w:rPr>
          <w:spacing w:val="-2"/>
        </w:rPr>
        <w:t>始投资成本：支付现金取得的，以实际支付的购买价款及与取得长期股权投资直接相</w:t>
      </w:r>
      <w:r>
        <w:rPr>
          <w:spacing w:val="-94"/>
        </w:rPr>
        <w:t> </w:t>
      </w:r>
      <w:r>
        <w:rPr>
          <w:spacing w:val="-94"/>
        </w:rPr>
      </w:r>
      <w:r>
        <w:rPr>
          <w:spacing w:val="-2"/>
        </w:rPr>
        <w:t>关的费用、税金及其他必要支出作为初始投资成本；发行权益性证券取得的，以发行</w:t>
      </w:r>
      <w:r>
        <w:rPr>
          <w:spacing w:val="-96"/>
        </w:rPr>
        <w:t> </w:t>
      </w:r>
      <w:r>
        <w:rPr>
          <w:spacing w:val="-96"/>
        </w:rPr>
      </w:r>
      <w:r>
        <w:rPr/>
        <w:t>权益性证券的公允价值作为初始投资成本。</w:t>
      </w:r>
    </w:p>
    <w:p>
      <w:pPr>
        <w:spacing w:line="240" w:lineRule="auto" w:before="2"/>
        <w:rPr>
          <w:rFonts w:ascii="宋体" w:hAnsi="宋体" w:cs="宋体" w:eastAsia="宋体" w:hint="default"/>
          <w:sz w:val="21"/>
          <w:szCs w:val="21"/>
        </w:rPr>
      </w:pPr>
    </w:p>
    <w:p>
      <w:pPr>
        <w:pStyle w:val="BodyText"/>
        <w:spacing w:line="237" w:lineRule="auto"/>
        <w:ind w:right="212"/>
        <w:jc w:val="both"/>
      </w:pPr>
      <w:r>
        <w:rPr>
          <w:spacing w:val="-2"/>
        </w:rPr>
        <w:t>本公司能够对被投资单位实施控制的长期股权投资，在本公司个别财务报表中采用成</w:t>
      </w:r>
      <w:r>
        <w:rPr>
          <w:spacing w:val="-94"/>
        </w:rPr>
        <w:t> </w:t>
      </w:r>
      <w:r>
        <w:rPr>
          <w:spacing w:val="-94"/>
        </w:rPr>
      </w:r>
      <w:r>
        <w:rPr>
          <w:spacing w:val="-2"/>
        </w:rPr>
        <w:t>本法核算。控制，是指拥有对被投资方的权力，通过参与被投资方的相关活动而享有</w:t>
      </w:r>
      <w:r>
        <w:rPr>
          <w:spacing w:val="-92"/>
        </w:rPr>
        <w:t> </w:t>
      </w:r>
      <w:r>
        <w:rPr>
          <w:spacing w:val="-92"/>
        </w:rPr>
      </w:r>
      <w:r>
        <w:rPr/>
        <w:t>可变回报，并且有能力运用对被投资方的权力影响回报金额。</w:t>
      </w:r>
    </w:p>
    <w:p>
      <w:pPr>
        <w:spacing w:line="240" w:lineRule="auto" w:before="6"/>
        <w:rPr>
          <w:rFonts w:ascii="宋体" w:hAnsi="宋体" w:cs="宋体" w:eastAsia="宋体" w:hint="default"/>
          <w:sz w:val="23"/>
          <w:szCs w:val="23"/>
        </w:rPr>
      </w:pPr>
    </w:p>
    <w:p>
      <w:pPr>
        <w:pStyle w:val="BodyText"/>
        <w:spacing w:line="310" w:lineRule="exact"/>
        <w:ind w:right="94"/>
        <w:jc w:val="left"/>
      </w:pPr>
      <w:r>
        <w:rPr>
          <w:spacing w:val="-2"/>
        </w:rPr>
        <w:t>采用成本法时，长期股权投资按初始投资成本计价。追加或收回投资的，调整长期股</w:t>
      </w:r>
      <w:r>
        <w:rPr>
          <w:spacing w:val="-96"/>
        </w:rPr>
        <w:t> </w:t>
      </w:r>
      <w:r>
        <w:rPr>
          <w:spacing w:val="-96"/>
        </w:rPr>
      </w:r>
      <w:r>
        <w:rPr/>
        <w:t>权投资的成本。被投资单位宣告分派的现金股利或利润，确认为当期投资收益。</w:t>
      </w:r>
    </w:p>
    <w:p>
      <w:pPr>
        <w:spacing w:line="240" w:lineRule="auto" w:before="13"/>
        <w:rPr>
          <w:rFonts w:ascii="宋体" w:hAnsi="宋体" w:cs="宋体" w:eastAsia="宋体" w:hint="default"/>
          <w:sz w:val="18"/>
          <w:szCs w:val="18"/>
        </w:rPr>
      </w:pPr>
    </w:p>
    <w:p>
      <w:pPr>
        <w:pStyle w:val="BodyText"/>
        <w:spacing w:line="237" w:lineRule="auto"/>
        <w:ind w:right="214"/>
        <w:jc w:val="both"/>
      </w:pPr>
      <w:r>
        <w:rPr>
          <w:spacing w:val="-2"/>
        </w:rPr>
        <w:t>本集团对被投资单位具有共同控制或重大影响的，长期股权投资采用权益法核算。共</w:t>
      </w:r>
      <w:r>
        <w:rPr>
          <w:spacing w:val="-94"/>
        </w:rPr>
        <w:t> </w:t>
      </w:r>
      <w:r>
        <w:rPr>
          <w:spacing w:val="-94"/>
        </w:rPr>
      </w:r>
      <w:r>
        <w:rPr>
          <w:spacing w:val="-2"/>
        </w:rPr>
        <w:t>同控制，是指按照相关约定对某项安排所共有的控制，并且该安排的相关活动必须经</w:t>
      </w:r>
      <w:r>
        <w:rPr>
          <w:spacing w:val="-94"/>
        </w:rPr>
        <w:t> </w:t>
      </w:r>
      <w:r>
        <w:rPr>
          <w:spacing w:val="-94"/>
        </w:rPr>
      </w:r>
      <w:r>
        <w:rPr>
          <w:spacing w:val="-2"/>
        </w:rPr>
        <w:t>过分享控制权的参与方一致同意后才能决策。重大影响，是指对被投资单位的财务和</w:t>
      </w:r>
      <w:r>
        <w:rPr>
          <w:spacing w:val="-94"/>
        </w:rPr>
        <w:t> </w:t>
      </w:r>
      <w:r>
        <w:rPr>
          <w:spacing w:val="-94"/>
        </w:rPr>
      </w:r>
      <w:r>
        <w:rPr>
          <w:spacing w:val="-2"/>
        </w:rPr>
        <w:t>经营政策有参与决策的权力，但并不能够控制或者与其他方一起共同控制这些政策的</w:t>
      </w:r>
      <w:r>
        <w:rPr>
          <w:spacing w:val="-93"/>
        </w:rPr>
        <w:t> </w:t>
      </w:r>
      <w:r>
        <w:rPr>
          <w:spacing w:val="-93"/>
        </w:rPr>
      </w:r>
      <w:r>
        <w:rPr/>
        <w:t>制定。</w:t>
      </w:r>
    </w:p>
    <w:p>
      <w:pPr>
        <w:spacing w:after="0" w:line="237" w:lineRule="auto"/>
        <w:jc w:val="both"/>
        <w:sectPr>
          <w:pgSz w:w="11910" w:h="16840"/>
          <w:pgMar w:header="882" w:footer="1195" w:top="1120" w:bottom="1380" w:left="1140" w:right="15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37" w:lineRule="auto" w:before="28"/>
        <w:ind w:right="355"/>
        <w:jc w:val="both"/>
      </w:pPr>
      <w:r>
        <w:rPr>
          <w:spacing w:val="-2"/>
        </w:rPr>
        <w:t>采用权益法时，长期股权投资的初始投资成本大于投资时应享有被投资单位可辨认净</w:t>
      </w:r>
      <w:r>
        <w:rPr>
          <w:spacing w:val="-94"/>
        </w:rPr>
        <w:t> </w:t>
      </w:r>
      <w:r>
        <w:rPr>
          <w:spacing w:val="-94"/>
        </w:rPr>
      </w:r>
      <w:r>
        <w:rPr>
          <w:spacing w:val="-2"/>
        </w:rPr>
        <w:t>资产公允价值份额的，归入长期股权投资的初始投资成本；长期股权投资的初始投资</w:t>
      </w:r>
      <w:r>
        <w:rPr>
          <w:spacing w:val="-94"/>
        </w:rPr>
        <w:t> </w:t>
      </w:r>
      <w:r>
        <w:rPr>
          <w:spacing w:val="-94"/>
        </w:rPr>
      </w:r>
      <w:r>
        <w:rPr>
          <w:spacing w:val="-2"/>
        </w:rPr>
        <w:t>成本小于投资时应享有被投资单位可辨认净资产公允价值份额的，其差额计入当期损</w:t>
      </w:r>
      <w:r>
        <w:rPr>
          <w:spacing w:val="-94"/>
        </w:rPr>
        <w:t> </w:t>
      </w:r>
      <w:r>
        <w:rPr>
          <w:spacing w:val="-94"/>
        </w:rPr>
      </w:r>
      <w:r>
        <w:rPr/>
        <w:t>益，同时调整长期股权投资的成本。</w:t>
      </w:r>
    </w:p>
    <w:p>
      <w:pPr>
        <w:spacing w:line="240" w:lineRule="auto" w:before="5"/>
        <w:rPr>
          <w:rFonts w:ascii="宋体" w:hAnsi="宋体" w:cs="宋体" w:eastAsia="宋体" w:hint="default"/>
          <w:sz w:val="21"/>
          <w:szCs w:val="21"/>
        </w:rPr>
      </w:pPr>
    </w:p>
    <w:p>
      <w:pPr>
        <w:pStyle w:val="BodyText"/>
        <w:spacing w:line="235" w:lineRule="auto"/>
        <w:ind w:right="0"/>
        <w:jc w:val="left"/>
      </w:pPr>
      <w:r>
        <w:rPr>
          <w:spacing w:val="-2"/>
        </w:rPr>
        <w:t>采用权益法时，取得长期股权投资后，按照应享有或应分担的被投资单位实现的净损</w:t>
      </w:r>
      <w:r>
        <w:rPr>
          <w:spacing w:val="-94"/>
        </w:rPr>
        <w:t> </w:t>
      </w:r>
      <w:r>
        <w:rPr>
          <w:spacing w:val="-94"/>
        </w:rPr>
      </w:r>
      <w:r>
        <w:rPr>
          <w:spacing w:val="-2"/>
        </w:rPr>
        <w:t>益和其他综合收益的份额，分别确认投资损益和其他综合收益并调整长期股权投资的</w:t>
      </w:r>
      <w:r>
        <w:rPr>
          <w:spacing w:val="-94"/>
        </w:rPr>
        <w:t> </w:t>
      </w:r>
      <w:r>
        <w:rPr>
          <w:spacing w:val="-94"/>
        </w:rPr>
      </w:r>
      <w:r>
        <w:rPr>
          <w:spacing w:val="-2"/>
        </w:rPr>
        <w:t>账面价值。在确认应享有被投资单位净损益的份额时，以取得投资时被投资单位可辨</w:t>
      </w:r>
      <w:r>
        <w:rPr>
          <w:spacing w:val="-93"/>
        </w:rPr>
        <w:t> </w:t>
      </w:r>
      <w:r>
        <w:rPr>
          <w:spacing w:val="-93"/>
        </w:rPr>
      </w:r>
      <w:r>
        <w:rPr>
          <w:spacing w:val="-2"/>
        </w:rPr>
        <w:t>认资产等的公允价值为基础，按照本集团的会计政策及会计期间，并抵销与联营企业</w:t>
      </w:r>
      <w:r>
        <w:rPr>
          <w:spacing w:val="-94"/>
        </w:rPr>
        <w:t> </w:t>
      </w:r>
      <w:r>
        <w:rPr>
          <w:spacing w:val="-94"/>
        </w:rPr>
      </w:r>
      <w:r>
        <w:rPr/>
        <w:t>及合营企业之间发生的内部交易损益按照应享有的比例计算归属于投资方的部分</w:t>
      </w:r>
      <w:r>
        <w:rPr>
          <w:rFonts w:ascii="Times New Roman" w:hAnsi="Times New Roman" w:cs="Times New Roman" w:eastAsia="Times New Roman" w:hint="default"/>
        </w:rPr>
        <w:t>(</w:t>
      </w:r>
      <w:r>
        <w:rPr/>
        <w:t>但 内部交易损失属于资产减值损失的，应全额确认</w:t>
      </w:r>
      <w:r>
        <w:rPr>
          <w:rFonts w:ascii="Times New Roman" w:hAnsi="Times New Roman" w:cs="Times New Roman" w:eastAsia="Times New Roman" w:hint="default"/>
        </w:rPr>
        <w:t>)</w:t>
      </w:r>
      <w:r>
        <w:rPr/>
        <w:t>，对被投资单位的净利润进行调整 </w:t>
      </w:r>
      <w:r>
        <w:rPr>
          <w:spacing w:val="-2"/>
        </w:rPr>
        <w:t>后确认，但投出或出售的资产构成业务的除外。按照被投资单位宣告分派的利润或现</w:t>
      </w:r>
      <w:r>
        <w:rPr>
          <w:spacing w:val="-94"/>
        </w:rPr>
        <w:t> </w:t>
      </w:r>
      <w:r>
        <w:rPr>
          <w:spacing w:val="-94"/>
        </w:rPr>
      </w:r>
      <w:r>
        <w:rPr>
          <w:spacing w:val="-2"/>
        </w:rPr>
        <w:t>金股利计算应享有的部分，相应减少长期股权投资的账面价值。本集团确认被投资单</w:t>
      </w:r>
      <w:r>
        <w:rPr>
          <w:spacing w:val="-94"/>
        </w:rPr>
        <w:t> </w:t>
      </w:r>
      <w:r>
        <w:rPr>
          <w:spacing w:val="-94"/>
        </w:rPr>
      </w:r>
      <w:r>
        <w:rPr>
          <w:spacing w:val="-2"/>
        </w:rPr>
        <w:t>位发生的净亏损，以长期股权投资的账面价值以及其他实质上构成对被投资单位净投</w:t>
      </w:r>
      <w:r>
        <w:rPr>
          <w:spacing w:val="-94"/>
        </w:rPr>
        <w:t> </w:t>
      </w:r>
      <w:r>
        <w:rPr>
          <w:spacing w:val="-94"/>
        </w:rPr>
      </w:r>
      <w:r>
        <w:rPr>
          <w:spacing w:val="-2"/>
        </w:rPr>
        <w:t>资的长期权益减记至零为限，本集团负有承担额外损失义务的除外。对于被投资单位</w:t>
      </w:r>
      <w:r>
        <w:rPr>
          <w:spacing w:val="-93"/>
        </w:rPr>
        <w:t> </w:t>
      </w:r>
      <w:r>
        <w:rPr>
          <w:spacing w:val="-93"/>
        </w:rPr>
      </w:r>
      <w:r>
        <w:rPr>
          <w:spacing w:val="-2"/>
        </w:rPr>
        <w:t>除净损益、其他综合收益和利润分配以外股东权益的其他变动，调整长期股权投资的</w:t>
      </w:r>
      <w:r>
        <w:rPr>
          <w:spacing w:val="-94"/>
        </w:rPr>
        <w:t> </w:t>
      </w:r>
      <w:r>
        <w:rPr>
          <w:spacing w:val="-94"/>
        </w:rPr>
      </w:r>
      <w:r>
        <w:rPr/>
        <w:t>账面价值并计入股东权益。</w:t>
      </w:r>
    </w:p>
    <w:p>
      <w:pPr>
        <w:spacing w:line="240" w:lineRule="auto" w:before="3"/>
        <w:rPr>
          <w:rFonts w:ascii="宋体" w:hAnsi="宋体" w:cs="宋体" w:eastAsia="宋体" w:hint="default"/>
          <w:sz w:val="21"/>
          <w:szCs w:val="21"/>
        </w:rPr>
      </w:pPr>
    </w:p>
    <w:p>
      <w:pPr>
        <w:pStyle w:val="BodyText"/>
        <w:spacing w:line="237" w:lineRule="auto"/>
        <w:ind w:right="0"/>
        <w:jc w:val="left"/>
      </w:pPr>
      <w:r>
        <w:rPr/>
        <w:t>处置长期股权投资，其账面价值与实际取得价款的差额，计入当期损益。采用权益法 核算的长期股权投资，因处置终止采用权益法的，原权益法核算的相关其他综合收益 采用与被投资单位直接处置相关资产或负债相同的基础进行会计处理，因被投资方除 净损益、其他综合收益和利润分配以外的其他股东权益变动而确认的股东权益，全部 转入当期损益；仍采用权益法的，原权益法核算的相关其他综合收益采用与被投资单 位直接处置相关资产或负债相同的基础进行会计处理并按比例转入当期损益，因被投 </w:t>
      </w:r>
      <w:r>
        <w:rPr>
          <w:spacing w:val="-2"/>
        </w:rPr>
        <w:t>资方除净损益、其他综合收益和利润分配以外的其他股东权益变动而确认的股东权益，</w:t>
      </w:r>
      <w:r>
        <w:rPr>
          <w:spacing w:val="-92"/>
        </w:rPr>
        <w:t> </w:t>
      </w:r>
      <w:r>
        <w:rPr>
          <w:spacing w:val="-92"/>
        </w:rPr>
      </w:r>
      <w:r>
        <w:rPr/>
        <w:t>按相应的比例转入当期损益。</w:t>
      </w:r>
    </w:p>
    <w:p>
      <w:pPr>
        <w:spacing w:line="240" w:lineRule="auto" w:before="5"/>
        <w:rPr>
          <w:rFonts w:ascii="宋体" w:hAnsi="宋体" w:cs="宋体" w:eastAsia="宋体" w:hint="default"/>
          <w:sz w:val="25"/>
          <w:szCs w:val="25"/>
        </w:rPr>
      </w:pPr>
    </w:p>
    <w:p>
      <w:pPr>
        <w:spacing w:line="283" w:lineRule="auto" w:before="0"/>
        <w:ind w:left="136" w:right="7302" w:firstLine="0"/>
        <w:jc w:val="left"/>
        <w:rPr>
          <w:rFonts w:ascii="宋体" w:hAnsi="宋体" w:cs="宋体" w:eastAsia="宋体" w:hint="default"/>
          <w:sz w:val="24"/>
          <w:szCs w:val="24"/>
        </w:rPr>
      </w:pPr>
      <w:r>
        <w:rPr>
          <w:rFonts w:ascii="宋体" w:hAnsi="宋体" w:cs="宋体" w:eastAsia="宋体" w:hint="default"/>
          <w:b/>
          <w:bCs/>
          <w:sz w:val="24"/>
          <w:szCs w:val="24"/>
        </w:rPr>
        <w:t>21.</w:t>
      </w:r>
      <w:r>
        <w:rPr>
          <w:rFonts w:ascii="宋体" w:hAnsi="宋体" w:cs="宋体" w:eastAsia="宋体" w:hint="default"/>
          <w:b/>
          <w:bCs/>
          <w:spacing w:val="-61"/>
          <w:sz w:val="24"/>
          <w:szCs w:val="24"/>
        </w:rPr>
        <w:t> </w:t>
      </w:r>
      <w:r>
        <w:rPr>
          <w:rFonts w:ascii="宋体" w:hAnsi="宋体" w:cs="宋体" w:eastAsia="宋体" w:hint="default"/>
          <w:b/>
          <w:bCs/>
          <w:sz w:val="24"/>
          <w:szCs w:val="24"/>
        </w:rPr>
        <w:t>投资性房地产</w:t>
      </w:r>
      <w:r>
        <w:rPr>
          <w:rFonts w:ascii="宋体" w:hAnsi="宋体" w:cs="宋体" w:eastAsia="宋体" w:hint="default"/>
          <w:b/>
          <w:bCs/>
          <w:w w:val="99"/>
          <w:sz w:val="24"/>
          <w:szCs w:val="24"/>
        </w:rPr>
        <w:t> </w:t>
      </w:r>
      <w:r>
        <w:rPr>
          <w:rFonts w:ascii="宋体" w:hAnsi="宋体" w:cs="宋体" w:eastAsia="宋体" w:hint="default"/>
          <w:sz w:val="24"/>
          <w:szCs w:val="24"/>
        </w:rPr>
        <w:t>不适用</w:t>
      </w:r>
    </w:p>
    <w:p>
      <w:pPr>
        <w:spacing w:line="240" w:lineRule="auto" w:before="3"/>
        <w:rPr>
          <w:rFonts w:ascii="宋体" w:hAnsi="宋体" w:cs="宋体" w:eastAsia="宋体" w:hint="default"/>
          <w:sz w:val="22"/>
          <w:szCs w:val="22"/>
        </w:rPr>
      </w:pPr>
    </w:p>
    <w:p>
      <w:pPr>
        <w:pStyle w:val="Heading2"/>
        <w:spacing w:line="240" w:lineRule="auto"/>
        <w:ind w:left="136" w:right="0"/>
        <w:jc w:val="left"/>
        <w:rPr>
          <w:b w:val="0"/>
          <w:bCs w:val="0"/>
        </w:rPr>
      </w:pPr>
      <w:r>
        <w:rPr>
          <w:rFonts w:ascii="宋体" w:hAnsi="宋体" w:cs="宋体" w:eastAsia="宋体" w:hint="default"/>
        </w:rPr>
        <w:t>22.</w:t>
      </w:r>
      <w:r>
        <w:rPr>
          <w:rFonts w:ascii="宋体" w:hAnsi="宋体" w:cs="宋体" w:eastAsia="宋体" w:hint="default"/>
          <w:spacing w:val="-59"/>
        </w:rPr>
        <w:t> </w:t>
      </w:r>
      <w:r>
        <w:rPr/>
        <w:t>固定资产</w:t>
      </w:r>
      <w:r>
        <w:rPr>
          <w:b w:val="0"/>
          <w:bCs w:val="0"/>
        </w:rPr>
      </w:r>
    </w:p>
    <w:p>
      <w:pPr>
        <w:pStyle w:val="Heading2"/>
        <w:tabs>
          <w:tab w:pos="977" w:val="left" w:leader="none"/>
        </w:tabs>
        <w:spacing w:line="240" w:lineRule="auto" w:before="58"/>
        <w:ind w:left="136" w:right="0"/>
        <w:jc w:val="left"/>
        <w:rPr>
          <w:rFonts w:ascii="宋体" w:hAnsi="宋体" w:cs="宋体" w:eastAsia="宋体" w:hint="default"/>
          <w:b w:val="0"/>
          <w:bCs w:val="0"/>
        </w:rPr>
      </w:pPr>
      <w:r>
        <w:rPr>
          <w:rFonts w:ascii="宋体" w:hAnsi="宋体" w:cs="宋体" w:eastAsia="宋体" w:hint="default"/>
        </w:rPr>
        <w:t>(1).</w:t>
        <w:tab/>
      </w:r>
      <w:r>
        <w:rPr/>
        <w:t>确认条件</w:t>
      </w:r>
      <w:r>
        <w:rPr>
          <w:rFonts w:ascii="宋体" w:hAnsi="宋体" w:cs="宋体" w:eastAsia="宋体" w:hint="default"/>
          <w:w w:val="99"/>
        </w:rPr>
        <w:t> </w:t>
      </w:r>
      <w:r>
        <w:rPr>
          <w:rFonts w:ascii="宋体" w:hAnsi="宋体" w:cs="宋体" w:eastAsia="宋体" w:hint="default"/>
          <w:b w:val="0"/>
          <w:bCs w:val="0"/>
        </w:rPr>
      </w:r>
    </w:p>
    <w:p>
      <w:pPr>
        <w:pStyle w:val="BodyText"/>
        <w:spacing w:line="237" w:lineRule="auto" w:before="58"/>
        <w:ind w:right="0"/>
        <w:jc w:val="left"/>
      </w:pPr>
      <w:r>
        <w:rPr/>
        <w:t>√适用 □不适用 </w:t>
      </w:r>
      <w:r>
        <w:rPr>
          <w:spacing w:val="-2"/>
        </w:rPr>
        <w:t>固定资产仅在与其有关的经济利益很可能流入本集团，且其成本能够可靠地计量时才</w:t>
      </w:r>
      <w:r>
        <w:rPr>
          <w:spacing w:val="-94"/>
        </w:rPr>
        <w:t> </w:t>
      </w:r>
      <w:r>
        <w:rPr>
          <w:spacing w:val="-94"/>
        </w:rPr>
      </w:r>
      <w:r>
        <w:rPr>
          <w:spacing w:val="-2"/>
        </w:rPr>
        <w:t>予以确认。与固定资产有关的后续支出，符合该确认条件的，计入固定资产成本，并</w:t>
      </w:r>
      <w:r>
        <w:rPr>
          <w:spacing w:val="-94"/>
        </w:rPr>
        <w:t> </w:t>
      </w:r>
      <w:r>
        <w:rPr>
          <w:spacing w:val="-94"/>
        </w:rPr>
      </w:r>
      <w:r>
        <w:rPr/>
        <w:t>终止确认被替换部分的账面价值；否则，在发生时计入当期损益。</w:t>
      </w:r>
    </w:p>
    <w:p>
      <w:pPr>
        <w:spacing w:line="240" w:lineRule="auto" w:before="4"/>
        <w:rPr>
          <w:rFonts w:ascii="宋体" w:hAnsi="宋体" w:cs="宋体" w:eastAsia="宋体" w:hint="default"/>
          <w:sz w:val="23"/>
          <w:szCs w:val="23"/>
        </w:rPr>
      </w:pPr>
    </w:p>
    <w:p>
      <w:pPr>
        <w:pStyle w:val="BodyText"/>
        <w:spacing w:line="312" w:lineRule="exact"/>
        <w:ind w:right="0"/>
        <w:jc w:val="left"/>
      </w:pPr>
      <w:r>
        <w:rPr>
          <w:spacing w:val="-2"/>
        </w:rPr>
        <w:t>固定资产按照成本进行初始计量。购置固定资产的成本包括购买价款、相关税费、使</w:t>
      </w:r>
      <w:r>
        <w:rPr>
          <w:spacing w:val="-95"/>
        </w:rPr>
        <w:t> </w:t>
      </w:r>
      <w:r>
        <w:rPr>
          <w:spacing w:val="-95"/>
        </w:rPr>
      </w:r>
      <w:r>
        <w:rPr/>
        <w:t>固定资产达到预定可使用状态前所发生的可直接归属于该项资产的其他支出。</w:t>
      </w:r>
    </w:p>
    <w:p>
      <w:pPr>
        <w:spacing w:line="240" w:lineRule="auto" w:before="2"/>
        <w:rPr>
          <w:rFonts w:ascii="宋体" w:hAnsi="宋体" w:cs="宋体" w:eastAsia="宋体" w:hint="default"/>
          <w:sz w:val="23"/>
          <w:szCs w:val="23"/>
        </w:rPr>
      </w:pPr>
    </w:p>
    <w:p>
      <w:pPr>
        <w:pStyle w:val="Heading2"/>
        <w:tabs>
          <w:tab w:pos="977" w:val="left" w:leader="none"/>
        </w:tabs>
        <w:spacing w:line="240" w:lineRule="auto"/>
        <w:ind w:left="136" w:right="0"/>
        <w:jc w:val="left"/>
        <w:rPr>
          <w:rFonts w:ascii="宋体" w:hAnsi="宋体" w:cs="宋体" w:eastAsia="宋体" w:hint="default"/>
          <w:b w:val="0"/>
          <w:bCs w:val="0"/>
        </w:rPr>
      </w:pPr>
      <w:r>
        <w:rPr>
          <w:rFonts w:ascii="宋体" w:hAnsi="宋体" w:cs="宋体" w:eastAsia="宋体" w:hint="default"/>
        </w:rPr>
        <w:t>(2).</w:t>
        <w:tab/>
      </w:r>
      <w:r>
        <w:rPr/>
        <w:t>折旧方法</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pPr>
      <w:r>
        <w:rPr/>
        <w:t>√适用 □不适用</w:t>
      </w:r>
    </w:p>
    <w:p>
      <w:pPr>
        <w:spacing w:after="0" w:line="240" w:lineRule="auto"/>
        <w:jc w:val="left"/>
        <w:sectPr>
          <w:pgSz w:w="11910" w:h="16840"/>
          <w:pgMar w:header="882" w:footer="1195" w:top="1120" w:bottom="1380" w:left="1140" w:right="1440"/>
        </w:sectPr>
      </w:pPr>
    </w:p>
    <w:p>
      <w:pPr>
        <w:spacing w:line="240" w:lineRule="auto" w:before="0"/>
        <w:rPr>
          <w:rFonts w:ascii="宋体" w:hAnsi="宋体" w:cs="宋体" w:eastAsia="宋体" w:hint="default"/>
          <w:sz w:val="24"/>
          <w:szCs w:val="24"/>
        </w:rPr>
      </w:pPr>
    </w:p>
    <w:tbl>
      <w:tblPr>
        <w:tblW w:w="0" w:type="auto"/>
        <w:jc w:val="left"/>
        <w:tblInd w:w="103" w:type="dxa"/>
        <w:tblLayout w:type="fixed"/>
        <w:tblCellMar>
          <w:top w:w="0" w:type="dxa"/>
          <w:left w:w="0" w:type="dxa"/>
          <w:bottom w:w="0" w:type="dxa"/>
          <w:right w:w="0" w:type="dxa"/>
        </w:tblCellMar>
        <w:tblLook w:val="01E0"/>
      </w:tblPr>
      <w:tblGrid>
        <w:gridCol w:w="2180"/>
        <w:gridCol w:w="1599"/>
        <w:gridCol w:w="1606"/>
        <w:gridCol w:w="1834"/>
        <w:gridCol w:w="1832"/>
      </w:tblGrid>
      <w:tr>
        <w:trPr>
          <w:trHeight w:val="634"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24"/>
                <w:szCs w:val="24"/>
              </w:rPr>
            </w:pPr>
            <w:r>
              <w:rPr>
                <w:rFonts w:ascii="宋体" w:hAnsi="宋体" w:cs="宋体" w:eastAsia="宋体" w:hint="default"/>
                <w:sz w:val="24"/>
                <w:szCs w:val="24"/>
              </w:rPr>
              <w:t>类别</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315"/>
              <w:jc w:val="right"/>
              <w:rPr>
                <w:rFonts w:ascii="宋体" w:hAnsi="宋体" w:cs="宋体" w:eastAsia="宋体" w:hint="default"/>
                <w:sz w:val="24"/>
                <w:szCs w:val="24"/>
              </w:rPr>
            </w:pPr>
            <w:r>
              <w:rPr>
                <w:rFonts w:ascii="宋体" w:hAnsi="宋体" w:cs="宋体" w:eastAsia="宋体" w:hint="default"/>
                <w:sz w:val="24"/>
                <w:szCs w:val="24"/>
              </w:rPr>
              <w:t>折旧方法</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折旧年限</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（年）</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24"/>
                <w:szCs w:val="24"/>
              </w:rPr>
            </w:pPr>
            <w:r>
              <w:rPr>
                <w:rFonts w:ascii="宋体" w:hAnsi="宋体" w:cs="宋体" w:eastAsia="宋体" w:hint="default"/>
                <w:sz w:val="24"/>
                <w:szCs w:val="24"/>
              </w:rPr>
              <w:t>残值率</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
              <w:jc w:val="center"/>
              <w:rPr>
                <w:rFonts w:ascii="宋体" w:hAnsi="宋体" w:cs="宋体" w:eastAsia="宋体" w:hint="default"/>
                <w:sz w:val="24"/>
                <w:szCs w:val="24"/>
              </w:rPr>
            </w:pPr>
            <w:r>
              <w:rPr>
                <w:rFonts w:ascii="宋体" w:hAnsi="宋体" w:cs="宋体" w:eastAsia="宋体" w:hint="default"/>
                <w:sz w:val="24"/>
                <w:szCs w:val="24"/>
              </w:rPr>
              <w:t>年折旧率</w:t>
            </w:r>
          </w:p>
        </w:tc>
      </w:tr>
      <w:tr>
        <w:trPr>
          <w:trHeight w:val="319"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房屋及建筑物</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86"/>
              <w:jc w:val="right"/>
              <w:rPr>
                <w:rFonts w:ascii="宋体" w:hAnsi="宋体" w:cs="宋体" w:eastAsia="宋体" w:hint="default"/>
                <w:sz w:val="24"/>
                <w:szCs w:val="24"/>
              </w:rPr>
            </w:pPr>
            <w:r>
              <w:rPr>
                <w:rFonts w:ascii="宋体" w:hAnsi="宋体" w:cs="宋体" w:eastAsia="宋体" w:hint="default"/>
                <w:sz w:val="24"/>
                <w:szCs w:val="24"/>
              </w:rPr>
              <w:t>年限平均法</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40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sz w:val="24"/>
              </w:rPr>
              <w:t>3%</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2.40%</w:t>
            </w:r>
          </w:p>
        </w:tc>
      </w:tr>
      <w:tr>
        <w:trPr>
          <w:trHeight w:val="322"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运输工具</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86"/>
              <w:jc w:val="right"/>
              <w:rPr>
                <w:rFonts w:ascii="宋体" w:hAnsi="宋体" w:cs="宋体" w:eastAsia="宋体" w:hint="default"/>
                <w:sz w:val="24"/>
                <w:szCs w:val="24"/>
              </w:rPr>
            </w:pPr>
            <w:r>
              <w:rPr>
                <w:rFonts w:ascii="宋体" w:hAnsi="宋体" w:cs="宋体" w:eastAsia="宋体" w:hint="default"/>
                <w:sz w:val="24"/>
                <w:szCs w:val="24"/>
              </w:rPr>
              <w:t>年限平均法</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Times New Roman" w:hAnsi="Times New Roman" w:cs="Times New Roman" w:eastAsia="Times New Roman" w:hint="default"/>
                <w:sz w:val="24"/>
                <w:szCs w:val="24"/>
              </w:rPr>
            </w:pPr>
            <w:r>
              <w:rPr>
                <w:rFonts w:ascii="Times New Roman"/>
                <w:sz w:val="24"/>
              </w:rPr>
              <w:t>6</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
              <w:jc w:val="center"/>
              <w:rPr>
                <w:rFonts w:ascii="Times New Roman" w:hAnsi="Times New Roman" w:cs="Times New Roman" w:eastAsia="Times New Roman" w:hint="default"/>
                <w:sz w:val="24"/>
                <w:szCs w:val="24"/>
              </w:rPr>
            </w:pPr>
            <w:r>
              <w:rPr>
                <w:rFonts w:ascii="Times New Roman"/>
                <w:sz w:val="24"/>
              </w:rPr>
              <w:t>3%</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Times New Roman" w:hAnsi="Times New Roman" w:cs="Times New Roman" w:eastAsia="Times New Roman" w:hint="default"/>
                <w:sz w:val="24"/>
                <w:szCs w:val="24"/>
              </w:rPr>
            </w:pPr>
            <w:r>
              <w:rPr>
                <w:rFonts w:ascii="Times New Roman"/>
                <w:sz w:val="24"/>
              </w:rPr>
              <w:t>16.20%</w:t>
            </w:r>
          </w:p>
        </w:tc>
      </w:tr>
      <w:tr>
        <w:trPr>
          <w:trHeight w:val="322"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机器设备</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86"/>
              <w:jc w:val="right"/>
              <w:rPr>
                <w:rFonts w:ascii="宋体" w:hAnsi="宋体" w:cs="宋体" w:eastAsia="宋体" w:hint="default"/>
                <w:sz w:val="24"/>
                <w:szCs w:val="24"/>
              </w:rPr>
            </w:pPr>
            <w:r>
              <w:rPr>
                <w:rFonts w:ascii="宋体" w:hAnsi="宋体" w:cs="宋体" w:eastAsia="宋体" w:hint="default"/>
                <w:sz w:val="24"/>
                <w:szCs w:val="24"/>
              </w:rPr>
              <w:t>年限平均法</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8-20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sz w:val="24"/>
              </w:rPr>
              <w:t>3%</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4"/>
              <w:jc w:val="center"/>
              <w:rPr>
                <w:rFonts w:ascii="Times New Roman" w:hAnsi="Times New Roman" w:cs="Times New Roman" w:eastAsia="Times New Roman" w:hint="default"/>
                <w:sz w:val="24"/>
                <w:szCs w:val="24"/>
              </w:rPr>
            </w:pPr>
            <w:r>
              <w:rPr>
                <w:rFonts w:ascii="Times New Roman"/>
                <w:sz w:val="24"/>
              </w:rPr>
              <w:t>4.9-12.1%</w:t>
            </w:r>
          </w:p>
        </w:tc>
      </w:tr>
      <w:tr>
        <w:trPr>
          <w:trHeight w:val="322"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办公及电子设备</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86"/>
              <w:jc w:val="right"/>
              <w:rPr>
                <w:rFonts w:ascii="宋体" w:hAnsi="宋体" w:cs="宋体" w:eastAsia="宋体" w:hint="default"/>
                <w:sz w:val="24"/>
                <w:szCs w:val="24"/>
              </w:rPr>
            </w:pPr>
            <w:r>
              <w:rPr>
                <w:rFonts w:ascii="宋体" w:hAnsi="宋体" w:cs="宋体" w:eastAsia="宋体" w:hint="default"/>
                <w:sz w:val="24"/>
                <w:szCs w:val="24"/>
              </w:rPr>
              <w:t>年限平均法</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3-5</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
              <w:jc w:val="center"/>
              <w:rPr>
                <w:rFonts w:ascii="Calibri" w:hAnsi="Calibri" w:cs="Calibri" w:eastAsia="Calibri" w:hint="default"/>
                <w:sz w:val="24"/>
                <w:szCs w:val="24"/>
              </w:rPr>
            </w:pPr>
            <w:r>
              <w:rPr>
                <w:rFonts w:ascii="Calibri"/>
                <w:sz w:val="24"/>
              </w:rPr>
              <w:t>20.0-33.3%</w:t>
            </w:r>
          </w:p>
        </w:tc>
      </w:tr>
    </w:tbl>
    <w:p>
      <w:pPr>
        <w:spacing w:line="240" w:lineRule="auto" w:before="0"/>
        <w:rPr>
          <w:rFonts w:ascii="宋体" w:hAnsi="宋体" w:cs="宋体" w:eastAsia="宋体" w:hint="default"/>
          <w:sz w:val="16"/>
          <w:szCs w:val="16"/>
        </w:rPr>
      </w:pPr>
    </w:p>
    <w:p>
      <w:pPr>
        <w:pStyle w:val="BodyText"/>
        <w:spacing w:line="312" w:lineRule="exact" w:before="56"/>
        <w:ind w:left="216" w:right="0"/>
        <w:jc w:val="left"/>
      </w:pPr>
      <w:r>
        <w:rPr>
          <w:spacing w:val="-2"/>
        </w:rPr>
        <w:t>本集团至少于每年年度终了，对固定资产的使用寿命、预计净残值和折旧方法进行复</w:t>
      </w:r>
      <w:r>
        <w:rPr>
          <w:spacing w:val="-94"/>
        </w:rPr>
        <w:t> </w:t>
      </w:r>
      <w:r>
        <w:rPr>
          <w:spacing w:val="-94"/>
        </w:rPr>
      </w:r>
      <w:r>
        <w:rPr/>
        <w:t>核，必要时进行调整。</w:t>
      </w:r>
    </w:p>
    <w:p>
      <w:pPr>
        <w:spacing w:line="240" w:lineRule="auto" w:before="2"/>
        <w:rPr>
          <w:rFonts w:ascii="宋体" w:hAnsi="宋体" w:cs="宋体" w:eastAsia="宋体" w:hint="default"/>
          <w:sz w:val="23"/>
          <w:szCs w:val="23"/>
        </w:rPr>
      </w:pPr>
    </w:p>
    <w:p>
      <w:pPr>
        <w:pStyle w:val="Heading2"/>
        <w:tabs>
          <w:tab w:pos="1057" w:val="left" w:leader="none"/>
        </w:tabs>
        <w:spacing w:line="240" w:lineRule="auto"/>
        <w:ind w:right="0"/>
        <w:jc w:val="left"/>
        <w:rPr>
          <w:rFonts w:ascii="宋体" w:hAnsi="宋体" w:cs="宋体" w:eastAsia="宋体" w:hint="default"/>
          <w:b w:val="0"/>
          <w:bCs w:val="0"/>
        </w:rPr>
      </w:pPr>
      <w:r>
        <w:rPr>
          <w:rFonts w:ascii="宋体" w:hAnsi="宋体" w:cs="宋体" w:eastAsia="宋体" w:hint="default"/>
        </w:rPr>
        <w:t>(3).</w:t>
        <w:tab/>
      </w:r>
      <w:r>
        <w:rPr/>
        <w:t>融资租入固定资产的认定依据、计价和折旧方法</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8"/>
        <w:ind w:left="216" w:right="0"/>
        <w:jc w:val="left"/>
      </w:pPr>
      <w:r>
        <w:rPr/>
        <w:t>□适用</w:t>
        <w:tab/>
        <w:t>√不适用</w:t>
      </w:r>
    </w:p>
    <w:p>
      <w:pPr>
        <w:spacing w:line="240" w:lineRule="auto" w:before="7"/>
        <w:rPr>
          <w:rFonts w:ascii="宋体" w:hAnsi="宋体" w:cs="宋体" w:eastAsia="宋体" w:hint="default"/>
          <w:sz w:val="25"/>
          <w:szCs w:val="25"/>
        </w:rPr>
      </w:pPr>
    </w:p>
    <w:p>
      <w:pPr>
        <w:pStyle w:val="Heading2"/>
        <w:spacing w:line="240" w:lineRule="auto"/>
        <w:ind w:right="0"/>
        <w:jc w:val="left"/>
        <w:rPr>
          <w:b w:val="0"/>
          <w:bCs w:val="0"/>
        </w:rPr>
      </w:pPr>
      <w:r>
        <w:rPr>
          <w:rFonts w:ascii="宋体" w:hAnsi="宋体" w:cs="宋体" w:eastAsia="宋体" w:hint="default"/>
        </w:rPr>
        <w:t>23.</w:t>
      </w:r>
      <w:r>
        <w:rPr>
          <w:rFonts w:ascii="宋体" w:hAnsi="宋体" w:cs="宋体" w:eastAsia="宋体" w:hint="default"/>
          <w:spacing w:val="-59"/>
        </w:rPr>
        <w:t> </w:t>
      </w:r>
      <w:r>
        <w:rPr/>
        <w:t>在建工程</w:t>
      </w:r>
      <w:r>
        <w:rPr>
          <w:b w:val="0"/>
          <w:bCs w:val="0"/>
        </w:rPr>
      </w:r>
    </w:p>
    <w:p>
      <w:pPr>
        <w:pStyle w:val="BodyText"/>
        <w:tabs>
          <w:tab w:pos="1177" w:val="left" w:leader="none"/>
        </w:tabs>
        <w:spacing w:line="237" w:lineRule="auto" w:before="60"/>
        <w:ind w:left="216" w:right="235"/>
        <w:jc w:val="left"/>
      </w:pPr>
      <w:r>
        <w:rPr/>
        <w:t>√适用</w:t>
        <w:tab/>
        <w:t>□不适用 </w:t>
      </w:r>
      <w:r>
        <w:rPr>
          <w:spacing w:val="-2"/>
        </w:rPr>
        <w:t>在建工程成本按实际工程支出确定，包括在建期间发生的各项必要工程支出、工程达</w:t>
      </w:r>
      <w:r>
        <w:rPr>
          <w:spacing w:val="-94"/>
        </w:rPr>
        <w:t> </w:t>
      </w:r>
      <w:r>
        <w:rPr>
          <w:spacing w:val="-94"/>
        </w:rPr>
      </w:r>
      <w:r>
        <w:rPr/>
        <w:t>到预定可使用状态前的应予资本化的借款费用以及其他相关费用等。</w:t>
      </w:r>
    </w:p>
    <w:p>
      <w:pPr>
        <w:spacing w:line="646" w:lineRule="exact" w:before="37"/>
        <w:ind w:left="216" w:right="3770" w:firstLine="0"/>
        <w:jc w:val="left"/>
        <w:rPr>
          <w:rFonts w:ascii="宋体" w:hAnsi="宋体" w:cs="宋体" w:eastAsia="宋体" w:hint="default"/>
          <w:sz w:val="24"/>
          <w:szCs w:val="24"/>
        </w:rPr>
      </w:pPr>
      <w:r>
        <w:rPr>
          <w:rFonts w:ascii="宋体" w:hAnsi="宋体" w:cs="宋体" w:eastAsia="宋体" w:hint="default"/>
          <w:sz w:val="24"/>
          <w:szCs w:val="24"/>
        </w:rPr>
        <w:t>在建工程在达到预定可使用状态时转入固定资产。 </w:t>
      </w:r>
      <w:r>
        <w:rPr>
          <w:rFonts w:ascii="宋体" w:hAnsi="宋体" w:cs="宋体" w:eastAsia="宋体" w:hint="default"/>
          <w:b/>
          <w:bCs/>
          <w:sz w:val="24"/>
          <w:szCs w:val="24"/>
        </w:rPr>
        <w:t>24.</w:t>
      </w:r>
      <w:r>
        <w:rPr>
          <w:rFonts w:ascii="宋体" w:hAnsi="宋体" w:cs="宋体" w:eastAsia="宋体" w:hint="default"/>
          <w:b/>
          <w:bCs/>
          <w:spacing w:val="-59"/>
          <w:sz w:val="24"/>
          <w:szCs w:val="24"/>
        </w:rPr>
        <w:t> </w:t>
      </w:r>
      <w:r>
        <w:rPr>
          <w:rFonts w:ascii="宋体" w:hAnsi="宋体" w:cs="宋体" w:eastAsia="宋体" w:hint="default"/>
          <w:b/>
          <w:bCs/>
          <w:sz w:val="24"/>
          <w:szCs w:val="24"/>
        </w:rPr>
        <w:t>借款费用</w:t>
      </w:r>
      <w:r>
        <w:rPr>
          <w:rFonts w:ascii="宋体" w:hAnsi="宋体" w:cs="宋体" w:eastAsia="宋体" w:hint="default"/>
          <w:sz w:val="24"/>
          <w:szCs w:val="24"/>
        </w:rPr>
      </w:r>
    </w:p>
    <w:p>
      <w:pPr>
        <w:pStyle w:val="BodyText"/>
        <w:tabs>
          <w:tab w:pos="1177" w:val="left" w:leader="none"/>
        </w:tabs>
        <w:spacing w:line="276" w:lineRule="exact"/>
        <w:ind w:left="216" w:right="0"/>
        <w:jc w:val="left"/>
      </w:pPr>
      <w:r>
        <w:rPr/>
        <w:t>√适用</w:t>
        <w:tab/>
        <w:t>□不适用</w:t>
      </w:r>
    </w:p>
    <w:p>
      <w:pPr>
        <w:pStyle w:val="BodyText"/>
        <w:spacing w:line="310" w:lineRule="exact" w:before="31"/>
        <w:ind w:left="216" w:right="0"/>
        <w:jc w:val="left"/>
      </w:pPr>
      <w:r>
        <w:rPr>
          <w:spacing w:val="-2"/>
        </w:rPr>
        <w:t>借款费用，是指本集团因借款而发生的利息及其他相关成本，包括借款利息、折价或</w:t>
      </w:r>
      <w:r>
        <w:rPr>
          <w:spacing w:val="-96"/>
        </w:rPr>
        <w:t> </w:t>
      </w:r>
      <w:r>
        <w:rPr>
          <w:spacing w:val="-96"/>
        </w:rPr>
      </w:r>
      <w:r>
        <w:rPr/>
        <w:t>者溢价的摊销、辅助费用以及因外币借款而发生的汇兑差额等。</w:t>
      </w:r>
    </w:p>
    <w:p>
      <w:pPr>
        <w:spacing w:line="240" w:lineRule="auto" w:before="13"/>
        <w:rPr>
          <w:rFonts w:ascii="宋体" w:hAnsi="宋体" w:cs="宋体" w:eastAsia="宋体" w:hint="default"/>
          <w:sz w:val="18"/>
          <w:szCs w:val="18"/>
        </w:rPr>
      </w:pPr>
    </w:p>
    <w:p>
      <w:pPr>
        <w:pStyle w:val="BodyText"/>
        <w:spacing w:line="237" w:lineRule="auto"/>
        <w:ind w:left="216" w:right="235"/>
        <w:jc w:val="both"/>
      </w:pPr>
      <w:r>
        <w:rPr>
          <w:spacing w:val="-2"/>
        </w:rPr>
        <w:t>可直接归属于符合资本化条件的资产的购建或者生产的借款费用，予以资本化，其他</w:t>
      </w:r>
      <w:r>
        <w:rPr>
          <w:spacing w:val="-94"/>
        </w:rPr>
        <w:t> </w:t>
      </w:r>
      <w:r>
        <w:rPr>
          <w:spacing w:val="-94"/>
        </w:rPr>
      </w:r>
      <w:r>
        <w:rPr>
          <w:spacing w:val="-2"/>
        </w:rPr>
        <w:t>借款费用计入当期损益。符合资本化条件的资产，是指需要经过相当长时间的购建或</w:t>
      </w:r>
      <w:r>
        <w:rPr>
          <w:spacing w:val="-94"/>
        </w:rPr>
        <w:t> </w:t>
      </w:r>
      <w:r>
        <w:rPr>
          <w:spacing w:val="-94"/>
        </w:rPr>
      </w:r>
      <w:r>
        <w:rPr>
          <w:spacing w:val="-2"/>
        </w:rPr>
        <w:t>者生产活动才能达到预定可使用或者可销售状态的固定资产、投资性房地产和存货等</w:t>
      </w:r>
      <w:r>
        <w:rPr>
          <w:spacing w:val="-94"/>
        </w:rPr>
        <w:t> </w:t>
      </w:r>
      <w:r>
        <w:rPr>
          <w:spacing w:val="-94"/>
        </w:rPr>
      </w:r>
      <w:r>
        <w:rPr/>
        <w:t>资产。</w:t>
      </w:r>
    </w:p>
    <w:p>
      <w:pPr>
        <w:spacing w:line="240" w:lineRule="auto" w:before="13"/>
        <w:rPr>
          <w:rFonts w:ascii="宋体" w:hAnsi="宋体" w:cs="宋体" w:eastAsia="宋体" w:hint="default"/>
          <w:sz w:val="20"/>
          <w:szCs w:val="20"/>
        </w:rPr>
      </w:pPr>
    </w:p>
    <w:p>
      <w:pPr>
        <w:pStyle w:val="BodyText"/>
        <w:spacing w:line="240" w:lineRule="auto"/>
        <w:ind w:left="216" w:right="0"/>
        <w:jc w:val="left"/>
      </w:pPr>
      <w:r>
        <w:rPr/>
        <w:t>借款费用同时满足下列条件的，才能开始资本化：</w:t>
      </w:r>
    </w:p>
    <w:p>
      <w:pPr>
        <w:spacing w:line="240" w:lineRule="auto" w:before="10"/>
        <w:rPr>
          <w:rFonts w:ascii="宋体" w:hAnsi="宋体" w:cs="宋体" w:eastAsia="宋体" w:hint="default"/>
          <w:sz w:val="20"/>
          <w:szCs w:val="20"/>
        </w:rPr>
      </w:pPr>
    </w:p>
    <w:p>
      <w:pPr>
        <w:pStyle w:val="BodyText"/>
        <w:tabs>
          <w:tab w:pos="1057" w:val="left" w:leader="none"/>
        </w:tabs>
        <w:spacing w:line="322" w:lineRule="exact"/>
        <w:ind w:left="216" w:right="0"/>
        <w:jc w:val="left"/>
      </w:pPr>
      <w:r>
        <w:rPr/>
        <w:t>（</w:t>
      </w:r>
      <w:r>
        <w:rPr>
          <w:rFonts w:ascii="Times New Roman" w:hAnsi="Times New Roman" w:cs="Times New Roman" w:eastAsia="Times New Roman" w:hint="default"/>
        </w:rPr>
        <w:t>1</w:t>
      </w:r>
      <w:r>
        <w:rPr/>
        <w:t>）</w:t>
        <w:tab/>
        <w:t>资产支出已经发生；</w:t>
      </w:r>
    </w:p>
    <w:p>
      <w:pPr>
        <w:pStyle w:val="BodyText"/>
        <w:tabs>
          <w:tab w:pos="1057" w:val="left" w:leader="none"/>
        </w:tabs>
        <w:spacing w:line="312" w:lineRule="exact"/>
        <w:ind w:left="216" w:right="0"/>
        <w:jc w:val="left"/>
      </w:pPr>
      <w:r>
        <w:rPr/>
        <w:t>（</w:t>
      </w:r>
      <w:r>
        <w:rPr>
          <w:rFonts w:ascii="Times New Roman" w:hAnsi="Times New Roman" w:cs="Times New Roman" w:eastAsia="Times New Roman" w:hint="default"/>
        </w:rPr>
        <w:t>2</w:t>
      </w:r>
      <w:r>
        <w:rPr/>
        <w:t>）</w:t>
        <w:tab/>
        <w:t>借款费用已经发生；</w:t>
      </w:r>
    </w:p>
    <w:p>
      <w:pPr>
        <w:pStyle w:val="BodyText"/>
        <w:tabs>
          <w:tab w:pos="1057" w:val="left" w:leader="none"/>
        </w:tabs>
        <w:spacing w:line="310" w:lineRule="exact" w:before="22"/>
        <w:ind w:left="216" w:right="235"/>
        <w:jc w:val="left"/>
      </w:pPr>
      <w:r>
        <w:rPr/>
        <w:t>（</w:t>
      </w:r>
      <w:r>
        <w:rPr>
          <w:rFonts w:ascii="Times New Roman" w:hAnsi="Times New Roman" w:cs="Times New Roman" w:eastAsia="Times New Roman" w:hint="default"/>
        </w:rPr>
        <w:t>3</w:t>
      </w:r>
      <w:r>
        <w:rPr/>
        <w:t>）</w:t>
        <w:tab/>
        <w:t>为使资产达到预定可使用或者可销售状态所必要的购建或者生产活动已经开 始。</w:t>
      </w:r>
    </w:p>
    <w:p>
      <w:pPr>
        <w:spacing w:line="240" w:lineRule="auto" w:before="2"/>
        <w:rPr>
          <w:rFonts w:ascii="宋体" w:hAnsi="宋体" w:cs="宋体" w:eastAsia="宋体" w:hint="default"/>
          <w:sz w:val="21"/>
          <w:szCs w:val="21"/>
        </w:rPr>
      </w:pPr>
    </w:p>
    <w:p>
      <w:pPr>
        <w:pStyle w:val="BodyText"/>
        <w:spacing w:line="312" w:lineRule="exact"/>
        <w:ind w:left="216" w:right="0"/>
        <w:jc w:val="left"/>
      </w:pPr>
      <w:r>
        <w:rPr>
          <w:spacing w:val="-2"/>
        </w:rPr>
        <w:t>购建或者生产符合资本化条件的资产达到预定可使用或者可销售状态时，借款费用停</w:t>
      </w:r>
      <w:r>
        <w:rPr>
          <w:spacing w:val="-94"/>
        </w:rPr>
        <w:t> </w:t>
      </w:r>
      <w:r>
        <w:rPr>
          <w:spacing w:val="-94"/>
        </w:rPr>
      </w:r>
      <w:r>
        <w:rPr/>
        <w:t>止资本化。之后发生的借款费用计入当期损益。</w:t>
      </w:r>
    </w:p>
    <w:p>
      <w:pPr>
        <w:spacing w:line="240" w:lineRule="auto" w:before="10"/>
        <w:rPr>
          <w:rFonts w:ascii="宋体" w:hAnsi="宋体" w:cs="宋体" w:eastAsia="宋体" w:hint="default"/>
          <w:sz w:val="18"/>
          <w:szCs w:val="18"/>
        </w:rPr>
      </w:pPr>
    </w:p>
    <w:p>
      <w:pPr>
        <w:pStyle w:val="BodyText"/>
        <w:spacing w:line="240" w:lineRule="auto"/>
        <w:ind w:left="216" w:right="0"/>
        <w:jc w:val="left"/>
      </w:pPr>
      <w:r>
        <w:rPr/>
        <w:t>在资本化期间内，每一会计期间的利息资本化金额，按照下列方法确定：</w:t>
      </w:r>
    </w:p>
    <w:p>
      <w:pPr>
        <w:spacing w:line="240" w:lineRule="auto" w:before="1"/>
        <w:rPr>
          <w:rFonts w:ascii="宋体" w:hAnsi="宋体" w:cs="宋体" w:eastAsia="宋体" w:hint="default"/>
          <w:sz w:val="23"/>
          <w:szCs w:val="23"/>
        </w:rPr>
      </w:pPr>
    </w:p>
    <w:p>
      <w:pPr>
        <w:pStyle w:val="BodyText"/>
        <w:tabs>
          <w:tab w:pos="1057" w:val="left" w:leader="none"/>
        </w:tabs>
        <w:spacing w:line="312" w:lineRule="exact"/>
        <w:ind w:left="216" w:right="307"/>
        <w:jc w:val="left"/>
      </w:pPr>
      <w:r>
        <w:rPr/>
        <w:t>（</w:t>
      </w:r>
      <w:r>
        <w:rPr>
          <w:rFonts w:ascii="Times New Roman" w:hAnsi="Times New Roman" w:cs="Times New Roman" w:eastAsia="Times New Roman" w:hint="default"/>
        </w:rPr>
        <w:t>1</w:t>
      </w:r>
      <w:r>
        <w:rPr/>
        <w:t>）</w:t>
        <w:tab/>
        <w:t>专门借款以当期实际发生的利息费用，减去暂时性的存款利息收入或投资收 益后的金额确定。</w:t>
      </w:r>
    </w:p>
    <w:p>
      <w:pPr>
        <w:spacing w:after="0" w:line="312" w:lineRule="exact"/>
        <w:jc w:val="left"/>
        <w:sectPr>
          <w:pgSz w:w="11910" w:h="16840"/>
          <w:pgMar w:header="882" w:footer="1195" w:top="1120" w:bottom="1380" w:left="1060" w:right="1560"/>
        </w:sectPr>
      </w:pPr>
    </w:p>
    <w:p>
      <w:pPr>
        <w:spacing w:line="240" w:lineRule="auto" w:before="13"/>
        <w:rPr>
          <w:rFonts w:ascii="宋体" w:hAnsi="宋体" w:cs="宋体" w:eastAsia="宋体" w:hint="default"/>
          <w:sz w:val="18"/>
          <w:szCs w:val="18"/>
        </w:rPr>
      </w:pPr>
    </w:p>
    <w:p>
      <w:pPr>
        <w:pStyle w:val="BodyText"/>
        <w:tabs>
          <w:tab w:pos="977" w:val="left" w:leader="none"/>
        </w:tabs>
        <w:spacing w:line="312" w:lineRule="exact" w:before="56"/>
        <w:ind w:right="115"/>
        <w:jc w:val="left"/>
      </w:pPr>
      <w:r>
        <w:rPr/>
        <w:t>（</w:t>
      </w:r>
      <w:r>
        <w:rPr>
          <w:rFonts w:ascii="Times New Roman" w:hAnsi="Times New Roman" w:cs="Times New Roman" w:eastAsia="Times New Roman" w:hint="default"/>
        </w:rPr>
        <w:t>2</w:t>
      </w:r>
      <w:r>
        <w:rPr/>
        <w:t>）</w:t>
        <w:tab/>
        <w:t>占用的一般借款，根据累计资产支出超过专门借款部分的资产支出加权平均 数乘以所占用一般借款的加权平均利率计算确定。</w:t>
      </w:r>
    </w:p>
    <w:p>
      <w:pPr>
        <w:spacing w:line="240" w:lineRule="auto" w:before="3"/>
        <w:rPr>
          <w:rFonts w:ascii="宋体" w:hAnsi="宋体" w:cs="宋体" w:eastAsia="宋体" w:hint="default"/>
          <w:sz w:val="19"/>
          <w:szCs w:val="19"/>
        </w:rPr>
      </w:pPr>
    </w:p>
    <w:p>
      <w:pPr>
        <w:pStyle w:val="BodyText"/>
        <w:spacing w:line="232" w:lineRule="auto"/>
        <w:ind w:right="112"/>
        <w:jc w:val="both"/>
      </w:pPr>
      <w:r>
        <w:rPr>
          <w:spacing w:val="-2"/>
        </w:rPr>
        <w:t>符合资本化条件的资产在购建或者生产过程中，发生除达到预定可使用或者可销售状</w:t>
      </w:r>
      <w:r>
        <w:rPr>
          <w:spacing w:val="-94"/>
        </w:rPr>
        <w:t> </w:t>
      </w:r>
      <w:r>
        <w:rPr>
          <w:spacing w:val="-94"/>
        </w:rPr>
      </w:r>
      <w:r>
        <w:rPr/>
        <w:t>态必要的程序之外的非正常中断、且中断时间连续超过</w:t>
      </w:r>
      <w:r>
        <w:rPr>
          <w:spacing w:val="-82"/>
        </w:rPr>
        <w:t> </w:t>
      </w:r>
      <w:r>
        <w:rPr>
          <w:rFonts w:ascii="Times New Roman" w:hAnsi="Times New Roman" w:cs="Times New Roman" w:eastAsia="Times New Roman" w:hint="default"/>
        </w:rPr>
        <w:t>3</w:t>
      </w:r>
      <w:r>
        <w:rPr>
          <w:rFonts w:ascii="Times New Roman" w:hAnsi="Times New Roman" w:cs="Times New Roman" w:eastAsia="Times New Roman" w:hint="default"/>
          <w:spacing w:val="-23"/>
        </w:rPr>
        <w:t> </w:t>
      </w:r>
      <w:r>
        <w:rPr/>
        <w:t>个月的，暂停借款费用的资 </w:t>
      </w:r>
      <w:r>
        <w:rPr>
          <w:spacing w:val="-2"/>
        </w:rPr>
        <w:t>本化。在中断期间发生的借款费用确认为费用，计入当期损益，直至资产的购建或者</w:t>
      </w:r>
      <w:r>
        <w:rPr>
          <w:spacing w:val="-92"/>
        </w:rPr>
        <w:t> </w:t>
      </w:r>
      <w:r>
        <w:rPr>
          <w:spacing w:val="-92"/>
        </w:rPr>
      </w:r>
      <w:r>
        <w:rPr/>
        <w:t>生产活动重新开始。</w:t>
      </w:r>
    </w:p>
    <w:p>
      <w:pPr>
        <w:spacing w:line="240" w:lineRule="auto" w:before="8"/>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25.</w:t>
      </w:r>
      <w:r>
        <w:rPr>
          <w:rFonts w:ascii="宋体" w:hAnsi="宋体" w:cs="宋体" w:eastAsia="宋体" w:hint="default"/>
          <w:spacing w:val="-59"/>
        </w:rPr>
        <w:t> </w:t>
      </w:r>
      <w:r>
        <w:rPr/>
        <w:t>生物资产</w:t>
      </w:r>
      <w:r>
        <w:rPr>
          <w:b w:val="0"/>
          <w:bCs w:val="0"/>
        </w:rPr>
      </w:r>
    </w:p>
    <w:p>
      <w:pPr>
        <w:pStyle w:val="BodyText"/>
        <w:tabs>
          <w:tab w:pos="1097" w:val="left" w:leader="none"/>
        </w:tabs>
        <w:spacing w:line="240" w:lineRule="auto" w:before="58"/>
        <w:ind w:right="0"/>
        <w:jc w:val="left"/>
      </w:pPr>
      <w:r>
        <w:rPr/>
        <w:t>□适用</w:t>
        <w:tab/>
        <w:t>√不适用</w:t>
      </w:r>
    </w:p>
    <w:p>
      <w:pPr>
        <w:spacing w:line="240" w:lineRule="auto" w:before="4"/>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26.</w:t>
      </w:r>
      <w:r>
        <w:rPr>
          <w:rFonts w:ascii="宋体" w:hAnsi="宋体" w:cs="宋体" w:eastAsia="宋体" w:hint="default"/>
          <w:spacing w:val="-59"/>
        </w:rPr>
        <w:t> </w:t>
      </w:r>
      <w:r>
        <w:rPr/>
        <w:t>油气资产</w:t>
      </w:r>
      <w:r>
        <w:rPr>
          <w:b w:val="0"/>
          <w:bCs w:val="0"/>
        </w:rPr>
      </w:r>
    </w:p>
    <w:p>
      <w:pPr>
        <w:pStyle w:val="BodyText"/>
        <w:tabs>
          <w:tab w:pos="1097" w:val="left" w:leader="none"/>
        </w:tabs>
        <w:spacing w:line="240" w:lineRule="auto" w:before="58"/>
        <w:ind w:right="0"/>
        <w:jc w:val="left"/>
      </w:pPr>
      <w:r>
        <w:rPr/>
        <w:t>□适用</w:t>
        <w:tab/>
        <w:t>√不适用</w:t>
      </w:r>
    </w:p>
    <w:p>
      <w:pPr>
        <w:spacing w:line="240" w:lineRule="auto" w:before="7"/>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27.</w:t>
      </w:r>
      <w:r>
        <w:rPr>
          <w:rFonts w:ascii="宋体" w:hAnsi="宋体" w:cs="宋体" w:eastAsia="宋体" w:hint="default"/>
          <w:spacing w:val="-60"/>
        </w:rPr>
        <w:t> </w:t>
      </w:r>
      <w:r>
        <w:rPr/>
        <w:t>使用权资产</w:t>
      </w:r>
      <w:r>
        <w:rPr>
          <w:b w:val="0"/>
          <w:bCs w:val="0"/>
        </w:rPr>
      </w:r>
    </w:p>
    <w:p>
      <w:pPr>
        <w:pStyle w:val="BodyText"/>
        <w:spacing w:line="240" w:lineRule="auto" w:before="58"/>
        <w:ind w:right="0"/>
        <w:jc w:val="left"/>
      </w:pPr>
      <w:r>
        <w:rPr/>
        <w:t>□适用 √不适用</w:t>
      </w:r>
    </w:p>
    <w:p>
      <w:pPr>
        <w:spacing w:line="240" w:lineRule="auto" w:before="4"/>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28.</w:t>
      </w:r>
      <w:r>
        <w:rPr>
          <w:rFonts w:ascii="宋体" w:hAnsi="宋体" w:cs="宋体" w:eastAsia="宋体" w:hint="default"/>
          <w:spacing w:val="-59"/>
        </w:rPr>
        <w:t> </w:t>
      </w:r>
      <w:r>
        <w:rPr/>
        <w:t>无形资产</w:t>
      </w:r>
      <w:r>
        <w:rPr>
          <w:b w:val="0"/>
          <w:bCs w:val="0"/>
        </w:rPr>
      </w:r>
    </w:p>
    <w:p>
      <w:pPr>
        <w:pStyle w:val="Heading2"/>
        <w:tabs>
          <w:tab w:pos="977" w:val="left" w:leader="none"/>
        </w:tabs>
        <w:spacing w:line="240" w:lineRule="auto" w:before="58"/>
        <w:ind w:left="136" w:right="0"/>
        <w:jc w:val="left"/>
        <w:rPr>
          <w:rFonts w:ascii="宋体" w:hAnsi="宋体" w:cs="宋体" w:eastAsia="宋体" w:hint="default"/>
          <w:b w:val="0"/>
          <w:bCs w:val="0"/>
        </w:rPr>
      </w:pPr>
      <w:r>
        <w:rPr>
          <w:rFonts w:ascii="宋体" w:hAnsi="宋体" w:cs="宋体" w:eastAsia="宋体" w:hint="default"/>
        </w:rPr>
        <w:t>(1).</w:t>
        <w:tab/>
      </w:r>
      <w:r>
        <w:rPr/>
        <w:t>计价方法、使用寿命、减值测试</w:t>
      </w:r>
      <w:r>
        <w:rPr>
          <w:rFonts w:ascii="宋体" w:hAnsi="宋体" w:cs="宋体" w:eastAsia="宋体" w:hint="default"/>
          <w:w w:val="99"/>
        </w:rPr>
        <w:t> </w:t>
      </w:r>
      <w:r>
        <w:rPr>
          <w:rFonts w:ascii="宋体" w:hAnsi="宋体" w:cs="宋体" w:eastAsia="宋体" w:hint="default"/>
          <w:b w:val="0"/>
          <w:bCs w:val="0"/>
        </w:rPr>
      </w:r>
    </w:p>
    <w:p>
      <w:pPr>
        <w:pStyle w:val="BodyText"/>
        <w:spacing w:line="237" w:lineRule="auto" w:before="60"/>
        <w:ind w:right="0"/>
        <w:jc w:val="left"/>
      </w:pPr>
      <w:r>
        <w:rPr/>
        <w:t>√适用 □不适用 </w:t>
      </w:r>
      <w:r>
        <w:rPr>
          <w:spacing w:val="-2"/>
        </w:rPr>
        <w:t>无形资产仅在与其有关的经济利益很可能流入本集团，且其成本能够可靠地计量时才</w:t>
      </w:r>
      <w:r>
        <w:rPr>
          <w:spacing w:val="-94"/>
        </w:rPr>
        <w:t> </w:t>
      </w:r>
      <w:r>
        <w:rPr>
          <w:spacing w:val="-94"/>
        </w:rPr>
      </w:r>
      <w:r>
        <w:rPr>
          <w:spacing w:val="-2"/>
        </w:rPr>
        <w:t>予以确认，并以成本进行初始计量。但非同一控制下企业合并中取得的无形资产，其</w:t>
      </w:r>
      <w:r>
        <w:rPr>
          <w:spacing w:val="-96"/>
        </w:rPr>
        <w:t> </w:t>
      </w:r>
      <w:r>
        <w:rPr>
          <w:spacing w:val="-96"/>
        </w:rPr>
      </w:r>
      <w:r>
        <w:rPr/>
        <w:t>公允价值能够可靠地计量的，即单独确认为无形资产并按照公允价值计量。</w:t>
      </w:r>
    </w:p>
    <w:p>
      <w:pPr>
        <w:spacing w:line="240" w:lineRule="auto" w:before="2"/>
        <w:rPr>
          <w:rFonts w:ascii="宋体" w:hAnsi="宋体" w:cs="宋体" w:eastAsia="宋体" w:hint="default"/>
          <w:sz w:val="23"/>
          <w:szCs w:val="23"/>
        </w:rPr>
      </w:pPr>
    </w:p>
    <w:p>
      <w:pPr>
        <w:pStyle w:val="BodyText"/>
        <w:spacing w:line="312" w:lineRule="exact"/>
        <w:ind w:right="0"/>
        <w:jc w:val="left"/>
      </w:pPr>
      <w:r>
        <w:rPr>
          <w:spacing w:val="-2"/>
        </w:rPr>
        <w:t>无形资产按照其能为本集团带来经济利益的期限确定使用寿命，无法预见其为本集团</w:t>
      </w:r>
      <w:r>
        <w:rPr>
          <w:spacing w:val="-94"/>
        </w:rPr>
        <w:t> </w:t>
      </w:r>
      <w:r>
        <w:rPr>
          <w:spacing w:val="-94"/>
        </w:rPr>
      </w:r>
      <w:r>
        <w:rPr/>
        <w:t>带来经济利益期限的作为使用寿命不确定的无形资产。</w:t>
      </w:r>
    </w:p>
    <w:p>
      <w:pPr>
        <w:spacing w:line="240" w:lineRule="auto" w:before="10"/>
        <w:rPr>
          <w:rFonts w:ascii="宋体" w:hAnsi="宋体" w:cs="宋体" w:eastAsia="宋体" w:hint="default"/>
          <w:sz w:val="18"/>
          <w:szCs w:val="18"/>
        </w:rPr>
      </w:pPr>
    </w:p>
    <w:p>
      <w:pPr>
        <w:pStyle w:val="BodyText"/>
        <w:spacing w:line="240" w:lineRule="auto"/>
        <w:ind w:right="0"/>
        <w:jc w:val="left"/>
      </w:pPr>
      <w:r>
        <w:rPr/>
        <w:t>各项无形资产的使用寿命如下：</w:t>
      </w:r>
    </w:p>
    <w:p>
      <w:pPr>
        <w:spacing w:line="240" w:lineRule="auto" w:before="10"/>
        <w:rPr>
          <w:rFonts w:ascii="宋体" w:hAnsi="宋体" w:cs="宋体" w:eastAsia="宋体" w:hint="default"/>
          <w:sz w:val="20"/>
          <w:szCs w:val="20"/>
        </w:rPr>
      </w:pPr>
    </w:p>
    <w:p>
      <w:pPr>
        <w:pStyle w:val="BodyText"/>
        <w:tabs>
          <w:tab w:pos="3821" w:val="left" w:leader="none"/>
          <w:tab w:pos="7510" w:val="left" w:leader="none"/>
        </w:tabs>
        <w:spacing w:line="240" w:lineRule="auto"/>
        <w:ind w:right="0"/>
        <w:jc w:val="left"/>
      </w:pPr>
      <w:r>
        <w:rPr>
          <w:rFonts w:ascii="宋体" w:hAnsi="宋体" w:cs="宋体" w:eastAsia="宋体" w:hint="default"/>
          <w:position w:val="-15"/>
        </w:rPr>
        <w:t> </w:t>
        <w:tab/>
      </w:r>
      <w:r>
        <w:rPr>
          <w:rFonts w:ascii="宋体" w:hAnsi="宋体" w:cs="宋体" w:eastAsia="宋体" w:hint="default"/>
        </w:rPr>
        <w:t>  </w:t>
        <w:tab/>
      </w:r>
      <w:r>
        <w:rPr/>
        <w:t>使用寿命</w:t>
      </w:r>
    </w:p>
    <w:p>
      <w:pPr>
        <w:spacing w:line="240" w:lineRule="auto" w:before="7"/>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2778"/>
        <w:gridCol w:w="2127"/>
        <w:gridCol w:w="3500"/>
      </w:tblGrid>
      <w:tr>
        <w:trPr>
          <w:trHeight w:val="276"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宋体" w:hAnsi="宋体" w:cs="宋体" w:eastAsia="宋体" w:hint="default"/>
                <w:sz w:val="24"/>
                <w:szCs w:val="24"/>
              </w:rPr>
            </w:pPr>
            <w:r>
              <w:rPr>
                <w:rFonts w:ascii="宋体"/>
                <w:sz w:val="24"/>
              </w:rPr>
              <w:t>  </w:t>
            </w:r>
          </w:p>
        </w:tc>
        <w:tc>
          <w:tcPr>
            <w:tcW w:w="2127" w:type="dxa"/>
            <w:tcBorders>
              <w:top w:val="nil" w:sz="6" w:space="0" w:color="auto"/>
              <w:left w:val="nil" w:sz="6" w:space="0" w:color="auto"/>
              <w:bottom w:val="nil" w:sz="6" w:space="0" w:color="auto"/>
              <w:right w:val="nil" w:sz="6" w:space="0" w:color="auto"/>
            </w:tcBorders>
          </w:tcPr>
          <w:p>
            <w:pPr>
              <w:pStyle w:val="TableParagraph"/>
              <w:spacing w:line="240" w:lineRule="exact"/>
              <w:ind w:right="0"/>
              <w:jc w:val="center"/>
              <w:rPr>
                <w:rFonts w:ascii="宋体" w:hAnsi="宋体" w:cs="宋体" w:eastAsia="宋体" w:hint="default"/>
                <w:sz w:val="24"/>
                <w:szCs w:val="24"/>
              </w:rPr>
            </w:pPr>
            <w:r>
              <w:rPr>
                <w:rFonts w:ascii="宋体"/>
                <w:sz w:val="24"/>
              </w:rPr>
              <w:t>  </w:t>
            </w:r>
          </w:p>
        </w:tc>
        <w:tc>
          <w:tcPr>
            <w:tcW w:w="3500" w:type="dxa"/>
            <w:tcBorders>
              <w:top w:val="nil" w:sz="6" w:space="0" w:color="auto"/>
              <w:left w:val="nil" w:sz="6" w:space="0" w:color="auto"/>
              <w:bottom w:val="nil" w:sz="6" w:space="0" w:color="auto"/>
              <w:right w:val="nil" w:sz="6" w:space="0" w:color="auto"/>
            </w:tcBorders>
          </w:tcPr>
          <w:p>
            <w:pPr/>
          </w:p>
        </w:tc>
      </w:tr>
      <w:tr>
        <w:trPr>
          <w:trHeight w:val="311"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76" w:lineRule="exact"/>
              <w:ind w:left="35" w:right="0"/>
              <w:jc w:val="left"/>
              <w:rPr>
                <w:rFonts w:ascii="宋体" w:hAnsi="宋体" w:cs="宋体" w:eastAsia="宋体" w:hint="default"/>
                <w:sz w:val="24"/>
                <w:szCs w:val="24"/>
              </w:rPr>
            </w:pPr>
            <w:r>
              <w:rPr>
                <w:rFonts w:ascii="宋体" w:hAnsi="宋体" w:cs="宋体" w:eastAsia="宋体" w:hint="default"/>
                <w:sz w:val="24"/>
                <w:szCs w:val="24"/>
              </w:rPr>
              <w:t>土地使用权</w:t>
            </w:r>
            <w:r>
              <w:rPr>
                <w:rFonts w:ascii="宋体" w:hAnsi="宋体" w:cs="宋体" w:eastAsia="宋体" w:hint="default"/>
                <w:sz w:val="24"/>
                <w:szCs w:val="24"/>
              </w:rPr>
              <w:t> </w:t>
            </w:r>
          </w:p>
        </w:tc>
        <w:tc>
          <w:tcPr>
            <w:tcW w:w="2127" w:type="dxa"/>
            <w:tcBorders>
              <w:top w:val="nil" w:sz="6" w:space="0" w:color="auto"/>
              <w:left w:val="nil" w:sz="6" w:space="0" w:color="auto"/>
              <w:bottom w:val="nil" w:sz="6" w:space="0" w:color="auto"/>
              <w:right w:val="nil" w:sz="6" w:space="0" w:color="auto"/>
            </w:tcBorders>
          </w:tcPr>
          <w:p>
            <w:pPr>
              <w:pStyle w:val="TableParagraph"/>
              <w:spacing w:line="276" w:lineRule="exact"/>
              <w:ind w:right="0"/>
              <w:jc w:val="center"/>
              <w:rPr>
                <w:rFonts w:ascii="宋体" w:hAnsi="宋体" w:cs="宋体" w:eastAsia="宋体" w:hint="default"/>
                <w:sz w:val="24"/>
                <w:szCs w:val="24"/>
              </w:rPr>
            </w:pPr>
            <w:r>
              <w:rPr>
                <w:rFonts w:ascii="宋体"/>
                <w:sz w:val="24"/>
              </w:rPr>
              <w:t>  </w:t>
            </w:r>
          </w:p>
        </w:tc>
        <w:tc>
          <w:tcPr>
            <w:tcW w:w="3500" w:type="dxa"/>
            <w:tcBorders>
              <w:top w:val="nil" w:sz="6" w:space="0" w:color="auto"/>
              <w:left w:val="nil" w:sz="6" w:space="0" w:color="auto"/>
              <w:bottom w:val="nil" w:sz="6" w:space="0" w:color="auto"/>
              <w:right w:val="nil" w:sz="6" w:space="0" w:color="auto"/>
            </w:tcBorders>
          </w:tcPr>
          <w:p>
            <w:pPr>
              <w:pStyle w:val="TableParagraph"/>
              <w:spacing w:line="276" w:lineRule="exact"/>
              <w:ind w:right="33"/>
              <w:jc w:val="right"/>
              <w:rPr>
                <w:rFonts w:ascii="宋体" w:hAnsi="宋体" w:cs="宋体" w:eastAsia="宋体" w:hint="default"/>
                <w:sz w:val="24"/>
                <w:szCs w:val="24"/>
              </w:rPr>
            </w:pPr>
            <w:r>
              <w:rPr>
                <w:rFonts w:ascii="宋体" w:hAnsi="宋体" w:cs="宋体" w:eastAsia="宋体" w:hint="default"/>
                <w:sz w:val="24"/>
                <w:szCs w:val="24"/>
              </w:rPr>
              <w:t> 50</w:t>
            </w:r>
            <w:r>
              <w:rPr>
                <w:rFonts w:ascii="宋体" w:hAnsi="宋体" w:cs="宋体" w:eastAsia="宋体" w:hint="default"/>
                <w:sz w:val="24"/>
                <w:szCs w:val="24"/>
              </w:rPr>
              <w:t>年</w:t>
            </w:r>
          </w:p>
        </w:tc>
      </w:tr>
      <w:tr>
        <w:trPr>
          <w:trHeight w:val="311"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75" w:lineRule="exact"/>
              <w:ind w:left="35" w:right="0"/>
              <w:jc w:val="left"/>
              <w:rPr>
                <w:rFonts w:ascii="宋体" w:hAnsi="宋体" w:cs="宋体" w:eastAsia="宋体" w:hint="default"/>
                <w:sz w:val="24"/>
                <w:szCs w:val="24"/>
              </w:rPr>
            </w:pPr>
            <w:r>
              <w:rPr>
                <w:rFonts w:ascii="宋体" w:hAnsi="宋体" w:cs="宋体" w:eastAsia="宋体" w:hint="default"/>
                <w:sz w:val="24"/>
                <w:szCs w:val="24"/>
              </w:rPr>
              <w:t>软件著作权</w:t>
            </w:r>
            <w:r>
              <w:rPr>
                <w:rFonts w:ascii="宋体" w:hAnsi="宋体" w:cs="宋体" w:eastAsia="宋体" w:hint="default"/>
                <w:sz w:val="24"/>
                <w:szCs w:val="24"/>
              </w:rPr>
              <w:t> </w:t>
            </w:r>
          </w:p>
        </w:tc>
        <w:tc>
          <w:tcPr>
            <w:tcW w:w="2127" w:type="dxa"/>
            <w:tcBorders>
              <w:top w:val="nil" w:sz="6" w:space="0" w:color="auto"/>
              <w:left w:val="nil" w:sz="6" w:space="0" w:color="auto"/>
              <w:bottom w:val="nil" w:sz="6" w:space="0" w:color="auto"/>
              <w:right w:val="nil" w:sz="6" w:space="0" w:color="auto"/>
            </w:tcBorders>
          </w:tcPr>
          <w:p>
            <w:pPr>
              <w:pStyle w:val="TableParagraph"/>
              <w:spacing w:line="275" w:lineRule="exact"/>
              <w:ind w:right="0"/>
              <w:jc w:val="center"/>
              <w:rPr>
                <w:rFonts w:ascii="宋体" w:hAnsi="宋体" w:cs="宋体" w:eastAsia="宋体" w:hint="default"/>
                <w:sz w:val="24"/>
                <w:szCs w:val="24"/>
              </w:rPr>
            </w:pPr>
            <w:r>
              <w:rPr>
                <w:rFonts w:ascii="宋体"/>
                <w:sz w:val="24"/>
              </w:rPr>
              <w:t>  </w:t>
            </w:r>
          </w:p>
        </w:tc>
        <w:tc>
          <w:tcPr>
            <w:tcW w:w="3500" w:type="dxa"/>
            <w:tcBorders>
              <w:top w:val="nil" w:sz="6" w:space="0" w:color="auto"/>
              <w:left w:val="nil" w:sz="6" w:space="0" w:color="auto"/>
              <w:bottom w:val="nil" w:sz="6" w:space="0" w:color="auto"/>
              <w:right w:val="nil" w:sz="6" w:space="0" w:color="auto"/>
            </w:tcBorders>
          </w:tcPr>
          <w:p>
            <w:pPr>
              <w:pStyle w:val="TableParagraph"/>
              <w:spacing w:line="275" w:lineRule="exact"/>
              <w:ind w:right="33"/>
              <w:jc w:val="right"/>
              <w:rPr>
                <w:rFonts w:ascii="宋体" w:hAnsi="宋体" w:cs="宋体" w:eastAsia="宋体" w:hint="default"/>
                <w:sz w:val="24"/>
                <w:szCs w:val="24"/>
              </w:rPr>
            </w:pPr>
            <w:r>
              <w:rPr>
                <w:rFonts w:ascii="宋体" w:hAnsi="宋体" w:cs="宋体" w:eastAsia="宋体" w:hint="default"/>
                <w:sz w:val="24"/>
                <w:szCs w:val="24"/>
              </w:rPr>
              <w:t> 5-10</w:t>
            </w:r>
            <w:r>
              <w:rPr>
                <w:rFonts w:ascii="宋体" w:hAnsi="宋体" w:cs="宋体" w:eastAsia="宋体" w:hint="default"/>
                <w:sz w:val="24"/>
                <w:szCs w:val="24"/>
              </w:rPr>
              <w:t>年</w:t>
            </w:r>
          </w:p>
        </w:tc>
      </w:tr>
      <w:tr>
        <w:trPr>
          <w:trHeight w:val="312"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76" w:lineRule="exact"/>
              <w:ind w:left="35" w:right="0"/>
              <w:jc w:val="left"/>
              <w:rPr>
                <w:rFonts w:ascii="宋体" w:hAnsi="宋体" w:cs="宋体" w:eastAsia="宋体" w:hint="default"/>
                <w:sz w:val="24"/>
                <w:szCs w:val="24"/>
              </w:rPr>
            </w:pPr>
            <w:r>
              <w:rPr>
                <w:rFonts w:ascii="宋体" w:hAnsi="宋体" w:cs="宋体" w:eastAsia="宋体" w:hint="default"/>
                <w:sz w:val="24"/>
                <w:szCs w:val="24"/>
              </w:rPr>
              <w:t>软件使用权</w:t>
            </w:r>
            <w:r>
              <w:rPr>
                <w:rFonts w:ascii="宋体" w:hAnsi="宋体" w:cs="宋体" w:eastAsia="宋体" w:hint="default"/>
                <w:sz w:val="24"/>
                <w:szCs w:val="24"/>
              </w:rPr>
              <w:t> </w:t>
            </w:r>
          </w:p>
        </w:tc>
        <w:tc>
          <w:tcPr>
            <w:tcW w:w="2127" w:type="dxa"/>
            <w:tcBorders>
              <w:top w:val="nil" w:sz="6" w:space="0" w:color="auto"/>
              <w:left w:val="nil" w:sz="6" w:space="0" w:color="auto"/>
              <w:bottom w:val="nil" w:sz="6" w:space="0" w:color="auto"/>
              <w:right w:val="nil" w:sz="6" w:space="0" w:color="auto"/>
            </w:tcBorders>
          </w:tcPr>
          <w:p>
            <w:pPr>
              <w:pStyle w:val="TableParagraph"/>
              <w:spacing w:line="276" w:lineRule="exact"/>
              <w:ind w:right="0"/>
              <w:jc w:val="center"/>
              <w:rPr>
                <w:rFonts w:ascii="宋体" w:hAnsi="宋体" w:cs="宋体" w:eastAsia="宋体" w:hint="default"/>
                <w:sz w:val="24"/>
                <w:szCs w:val="24"/>
              </w:rPr>
            </w:pPr>
            <w:r>
              <w:rPr>
                <w:rFonts w:ascii="宋体"/>
                <w:sz w:val="24"/>
              </w:rPr>
              <w:t>  </w:t>
            </w:r>
          </w:p>
        </w:tc>
        <w:tc>
          <w:tcPr>
            <w:tcW w:w="3500" w:type="dxa"/>
            <w:tcBorders>
              <w:top w:val="nil" w:sz="6" w:space="0" w:color="auto"/>
              <w:left w:val="nil" w:sz="6" w:space="0" w:color="auto"/>
              <w:bottom w:val="nil" w:sz="6" w:space="0" w:color="auto"/>
              <w:right w:val="nil" w:sz="6" w:space="0" w:color="auto"/>
            </w:tcBorders>
          </w:tcPr>
          <w:p>
            <w:pPr>
              <w:pStyle w:val="TableParagraph"/>
              <w:spacing w:line="276" w:lineRule="exact"/>
              <w:ind w:right="33"/>
              <w:jc w:val="right"/>
              <w:rPr>
                <w:rFonts w:ascii="宋体" w:hAnsi="宋体" w:cs="宋体" w:eastAsia="宋体" w:hint="default"/>
                <w:sz w:val="24"/>
                <w:szCs w:val="24"/>
              </w:rPr>
            </w:pPr>
            <w:r>
              <w:rPr>
                <w:rFonts w:ascii="宋体" w:hAnsi="宋体" w:cs="宋体" w:eastAsia="宋体" w:hint="default"/>
                <w:sz w:val="24"/>
                <w:szCs w:val="24"/>
              </w:rPr>
              <w:t>10</w:t>
            </w:r>
            <w:r>
              <w:rPr>
                <w:rFonts w:ascii="宋体" w:hAnsi="宋体" w:cs="宋体" w:eastAsia="宋体" w:hint="default"/>
                <w:sz w:val="24"/>
                <w:szCs w:val="24"/>
              </w:rPr>
              <w:t>年</w:t>
            </w:r>
            <w:r>
              <w:rPr>
                <w:rFonts w:ascii="宋体" w:hAnsi="宋体" w:cs="宋体" w:eastAsia="宋体" w:hint="default"/>
                <w:sz w:val="24"/>
                <w:szCs w:val="24"/>
              </w:rPr>
              <w:t>/</w:t>
            </w:r>
            <w:r>
              <w:rPr>
                <w:rFonts w:ascii="宋体" w:hAnsi="宋体" w:cs="宋体" w:eastAsia="宋体" w:hint="default"/>
                <w:sz w:val="24"/>
                <w:szCs w:val="24"/>
              </w:rPr>
              <w:t>按合同规定的年限</w:t>
            </w:r>
          </w:p>
        </w:tc>
      </w:tr>
      <w:tr>
        <w:trPr>
          <w:trHeight w:val="311"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76" w:lineRule="exact"/>
              <w:ind w:left="35" w:right="0"/>
              <w:jc w:val="left"/>
              <w:rPr>
                <w:rFonts w:ascii="宋体" w:hAnsi="宋体" w:cs="宋体" w:eastAsia="宋体" w:hint="default"/>
                <w:sz w:val="24"/>
                <w:szCs w:val="24"/>
              </w:rPr>
            </w:pPr>
            <w:r>
              <w:rPr>
                <w:rFonts w:ascii="宋体" w:hAnsi="宋体" w:cs="宋体" w:eastAsia="宋体" w:hint="default"/>
                <w:sz w:val="24"/>
                <w:szCs w:val="24"/>
              </w:rPr>
              <w:t>云应用系统平台</w:t>
            </w:r>
            <w:r>
              <w:rPr>
                <w:rFonts w:ascii="宋体" w:hAnsi="宋体" w:cs="宋体" w:eastAsia="宋体" w:hint="default"/>
                <w:sz w:val="24"/>
                <w:szCs w:val="24"/>
              </w:rPr>
              <w:t> </w:t>
            </w:r>
          </w:p>
        </w:tc>
        <w:tc>
          <w:tcPr>
            <w:tcW w:w="2127" w:type="dxa"/>
            <w:tcBorders>
              <w:top w:val="nil" w:sz="6" w:space="0" w:color="auto"/>
              <w:left w:val="nil" w:sz="6" w:space="0" w:color="auto"/>
              <w:bottom w:val="nil" w:sz="6" w:space="0" w:color="auto"/>
              <w:right w:val="nil" w:sz="6" w:space="0" w:color="auto"/>
            </w:tcBorders>
          </w:tcPr>
          <w:p>
            <w:pPr>
              <w:pStyle w:val="TableParagraph"/>
              <w:spacing w:line="276" w:lineRule="exact"/>
              <w:ind w:right="0"/>
              <w:jc w:val="center"/>
              <w:rPr>
                <w:rFonts w:ascii="宋体" w:hAnsi="宋体" w:cs="宋体" w:eastAsia="宋体" w:hint="default"/>
                <w:sz w:val="24"/>
                <w:szCs w:val="24"/>
              </w:rPr>
            </w:pPr>
            <w:r>
              <w:rPr>
                <w:rFonts w:ascii="宋体"/>
                <w:sz w:val="24"/>
              </w:rPr>
              <w:t>  </w:t>
            </w:r>
          </w:p>
        </w:tc>
        <w:tc>
          <w:tcPr>
            <w:tcW w:w="3500" w:type="dxa"/>
            <w:tcBorders>
              <w:top w:val="nil" w:sz="6" w:space="0" w:color="auto"/>
              <w:left w:val="nil" w:sz="6" w:space="0" w:color="auto"/>
              <w:bottom w:val="nil" w:sz="6" w:space="0" w:color="auto"/>
              <w:right w:val="nil" w:sz="6" w:space="0" w:color="auto"/>
            </w:tcBorders>
          </w:tcPr>
          <w:p>
            <w:pPr>
              <w:pStyle w:val="TableParagraph"/>
              <w:spacing w:line="276" w:lineRule="exact"/>
              <w:ind w:right="33"/>
              <w:jc w:val="right"/>
              <w:rPr>
                <w:rFonts w:ascii="宋体" w:hAnsi="宋体" w:cs="宋体" w:eastAsia="宋体" w:hint="default"/>
                <w:sz w:val="24"/>
                <w:szCs w:val="24"/>
              </w:rPr>
            </w:pPr>
            <w:r>
              <w:rPr>
                <w:rFonts w:ascii="宋体" w:hAnsi="宋体" w:cs="宋体" w:eastAsia="宋体" w:hint="default"/>
                <w:sz w:val="24"/>
                <w:szCs w:val="24"/>
              </w:rPr>
              <w:t> 5</w:t>
            </w:r>
            <w:r>
              <w:rPr>
                <w:rFonts w:ascii="宋体" w:hAnsi="宋体" w:cs="宋体" w:eastAsia="宋体" w:hint="default"/>
                <w:sz w:val="24"/>
                <w:szCs w:val="24"/>
              </w:rPr>
              <w:t>年</w:t>
            </w:r>
          </w:p>
        </w:tc>
      </w:tr>
      <w:tr>
        <w:trPr>
          <w:trHeight w:val="375" w:hRule="exact"/>
        </w:trPr>
        <w:tc>
          <w:tcPr>
            <w:tcW w:w="2778" w:type="dxa"/>
            <w:tcBorders>
              <w:top w:val="nil" w:sz="6" w:space="0" w:color="auto"/>
              <w:left w:val="nil" w:sz="6" w:space="0" w:color="auto"/>
              <w:bottom w:val="nil" w:sz="6" w:space="0" w:color="auto"/>
              <w:right w:val="nil" w:sz="6" w:space="0" w:color="auto"/>
            </w:tcBorders>
          </w:tcPr>
          <w:p>
            <w:pPr>
              <w:pStyle w:val="TableParagraph"/>
              <w:spacing w:line="275" w:lineRule="exact"/>
              <w:ind w:left="35" w:right="0"/>
              <w:jc w:val="left"/>
              <w:rPr>
                <w:rFonts w:ascii="宋体" w:hAnsi="宋体" w:cs="宋体" w:eastAsia="宋体" w:hint="default"/>
                <w:sz w:val="24"/>
                <w:szCs w:val="24"/>
              </w:rPr>
            </w:pPr>
            <w:r>
              <w:rPr>
                <w:rFonts w:ascii="宋体" w:hAnsi="宋体" w:cs="宋体" w:eastAsia="宋体" w:hint="default"/>
                <w:sz w:val="24"/>
                <w:szCs w:val="24"/>
              </w:rPr>
              <w:t>其他</w:t>
            </w:r>
            <w:r>
              <w:rPr>
                <w:rFonts w:ascii="宋体" w:hAnsi="宋体" w:cs="宋体" w:eastAsia="宋体" w:hint="default"/>
                <w:sz w:val="24"/>
                <w:szCs w:val="24"/>
              </w:rPr>
              <w:t> </w:t>
            </w:r>
          </w:p>
        </w:tc>
        <w:tc>
          <w:tcPr>
            <w:tcW w:w="2127" w:type="dxa"/>
            <w:tcBorders>
              <w:top w:val="nil" w:sz="6" w:space="0" w:color="auto"/>
              <w:left w:val="nil" w:sz="6" w:space="0" w:color="auto"/>
              <w:bottom w:val="nil" w:sz="6" w:space="0" w:color="auto"/>
              <w:right w:val="nil" w:sz="6" w:space="0" w:color="auto"/>
            </w:tcBorders>
          </w:tcPr>
          <w:p>
            <w:pPr>
              <w:pStyle w:val="TableParagraph"/>
              <w:spacing w:line="275" w:lineRule="exact"/>
              <w:ind w:right="0"/>
              <w:jc w:val="center"/>
              <w:rPr>
                <w:rFonts w:ascii="宋体" w:hAnsi="宋体" w:cs="宋体" w:eastAsia="宋体" w:hint="default"/>
                <w:sz w:val="24"/>
                <w:szCs w:val="24"/>
              </w:rPr>
            </w:pPr>
            <w:r>
              <w:rPr>
                <w:rFonts w:ascii="宋体"/>
                <w:sz w:val="24"/>
              </w:rPr>
              <w:t>  </w:t>
            </w:r>
          </w:p>
        </w:tc>
        <w:tc>
          <w:tcPr>
            <w:tcW w:w="3500" w:type="dxa"/>
            <w:tcBorders>
              <w:top w:val="nil" w:sz="6" w:space="0" w:color="auto"/>
              <w:left w:val="nil" w:sz="6" w:space="0" w:color="auto"/>
              <w:bottom w:val="nil" w:sz="6" w:space="0" w:color="auto"/>
              <w:right w:val="nil" w:sz="6" w:space="0" w:color="auto"/>
            </w:tcBorders>
          </w:tcPr>
          <w:p>
            <w:pPr>
              <w:pStyle w:val="TableParagraph"/>
              <w:spacing w:line="275" w:lineRule="exact"/>
              <w:ind w:right="33"/>
              <w:jc w:val="right"/>
              <w:rPr>
                <w:rFonts w:ascii="宋体" w:hAnsi="宋体" w:cs="宋体" w:eastAsia="宋体" w:hint="default"/>
                <w:sz w:val="24"/>
                <w:szCs w:val="24"/>
              </w:rPr>
            </w:pPr>
            <w:r>
              <w:rPr>
                <w:rFonts w:ascii="宋体" w:hAnsi="宋体" w:cs="宋体" w:eastAsia="宋体" w:hint="default"/>
                <w:sz w:val="24"/>
                <w:szCs w:val="24"/>
              </w:rPr>
              <w:t>权属企业受益年限</w:t>
            </w:r>
          </w:p>
        </w:tc>
      </w:tr>
    </w:tbl>
    <w:p>
      <w:pPr>
        <w:spacing w:line="240" w:lineRule="auto" w:before="11"/>
        <w:rPr>
          <w:rFonts w:ascii="宋体" w:hAnsi="宋体" w:cs="宋体" w:eastAsia="宋体" w:hint="default"/>
          <w:sz w:val="7"/>
          <w:szCs w:val="7"/>
        </w:rPr>
      </w:pPr>
    </w:p>
    <w:p>
      <w:pPr>
        <w:pStyle w:val="BodyText"/>
        <w:spacing w:line="237" w:lineRule="auto" w:before="28"/>
        <w:ind w:right="115"/>
        <w:jc w:val="both"/>
      </w:pPr>
      <w:r>
        <w:rPr>
          <w:spacing w:val="-2"/>
        </w:rPr>
        <w:t>本集团取得的土地使用权，通常作为无形资产核算。自行开发建造厂房等建筑物，相</w:t>
      </w:r>
      <w:r>
        <w:rPr>
          <w:spacing w:val="-96"/>
        </w:rPr>
        <w:t> </w:t>
      </w:r>
      <w:r>
        <w:rPr>
          <w:spacing w:val="-96"/>
        </w:rPr>
      </w:r>
      <w:r>
        <w:rPr>
          <w:spacing w:val="-2"/>
        </w:rPr>
        <w:t>关的土地使用权和建筑物分别作为无形资产和固定资产核算。外购土地及建筑物支付</w:t>
      </w:r>
      <w:r>
        <w:rPr>
          <w:spacing w:val="-94"/>
        </w:rPr>
        <w:t> </w:t>
      </w:r>
      <w:r>
        <w:rPr>
          <w:spacing w:val="-94"/>
        </w:rPr>
      </w:r>
      <w:r>
        <w:rPr>
          <w:spacing w:val="-2"/>
        </w:rPr>
        <w:t>的价款在土地使用权和建筑物之间进行分配，难以合理分配的，全部作为固定资产处</w:t>
      </w:r>
      <w:r>
        <w:rPr>
          <w:spacing w:val="-94"/>
        </w:rPr>
        <w:t> </w:t>
      </w:r>
      <w:r>
        <w:rPr>
          <w:spacing w:val="-94"/>
        </w:rPr>
      </w:r>
      <w:r>
        <w:rPr/>
        <w:t>理。</w:t>
      </w:r>
    </w:p>
    <w:p>
      <w:pPr>
        <w:spacing w:after="0" w:line="237" w:lineRule="auto"/>
        <w:jc w:val="both"/>
        <w:sectPr>
          <w:pgSz w:w="11910" w:h="16840"/>
          <w:pgMar w:header="882" w:footer="1195" w:top="1120" w:bottom="1380" w:left="1140" w:right="1680"/>
        </w:sectPr>
      </w:pPr>
    </w:p>
    <w:p>
      <w:pPr>
        <w:spacing w:line="240" w:lineRule="auto" w:before="13"/>
        <w:rPr>
          <w:rFonts w:ascii="宋体" w:hAnsi="宋体" w:cs="宋体" w:eastAsia="宋体" w:hint="default"/>
          <w:sz w:val="18"/>
          <w:szCs w:val="18"/>
        </w:rPr>
      </w:pPr>
    </w:p>
    <w:p>
      <w:pPr>
        <w:pStyle w:val="BodyText"/>
        <w:spacing w:line="237" w:lineRule="auto" w:before="28"/>
        <w:ind w:right="0"/>
        <w:jc w:val="left"/>
      </w:pPr>
      <w:r>
        <w:rPr/>
        <w:t>使用寿命有限的无形资产，在其使用寿命内采用直线法摊销。本集团至少于每年年度 </w:t>
      </w:r>
      <w:r>
        <w:rPr>
          <w:spacing w:val="-5"/>
        </w:rPr>
        <w:t>终了，对使用寿命有限的无形资产的使用寿命及摊销方法进行复核，必要时进行调整。</w:t>
      </w:r>
      <w:r>
        <w:rPr>
          <w:spacing w:val="-98"/>
        </w:rPr>
        <w:t> </w:t>
      </w:r>
      <w:r>
        <w:rPr>
          <w:spacing w:val="-98"/>
        </w:rPr>
      </w:r>
      <w:r>
        <w:rPr/>
        <w:t>其中，其他无形资产包括客户关系、营销网络、非竞争性协议和已签合同等。</w:t>
      </w:r>
    </w:p>
    <w:p>
      <w:pPr>
        <w:spacing w:line="240" w:lineRule="auto" w:before="2"/>
        <w:rPr>
          <w:rFonts w:ascii="宋体" w:hAnsi="宋体" w:cs="宋体" w:eastAsia="宋体" w:hint="default"/>
          <w:sz w:val="21"/>
          <w:szCs w:val="21"/>
        </w:rPr>
      </w:pPr>
    </w:p>
    <w:p>
      <w:pPr>
        <w:pStyle w:val="BodyText"/>
        <w:spacing w:line="237" w:lineRule="auto"/>
        <w:ind w:right="234"/>
        <w:jc w:val="both"/>
      </w:pPr>
      <w:r>
        <w:rPr>
          <w:spacing w:val="-2"/>
        </w:rPr>
        <w:t>对使用寿命不确定的无形资产，无论是否存在减值迹象，每年均进行减值测试。此类</w:t>
      </w:r>
      <w:r>
        <w:rPr>
          <w:spacing w:val="-94"/>
        </w:rPr>
        <w:t> </w:t>
      </w:r>
      <w:r>
        <w:rPr>
          <w:spacing w:val="-94"/>
        </w:rPr>
      </w:r>
      <w:r>
        <w:rPr>
          <w:spacing w:val="-2"/>
        </w:rPr>
        <w:t>无形资产不予摊销，在每个会计期间对其使用寿命进行复核。如果有证据表明使用寿</w:t>
      </w:r>
      <w:r>
        <w:rPr>
          <w:spacing w:val="-94"/>
        </w:rPr>
        <w:t> </w:t>
      </w:r>
      <w:r>
        <w:rPr>
          <w:spacing w:val="-94"/>
        </w:rPr>
      </w:r>
      <w:r>
        <w:rPr/>
        <w:t>命是有限的，则按上述使用寿命有限的无形资产的政策进行会计处理。</w:t>
      </w:r>
    </w:p>
    <w:p>
      <w:pPr>
        <w:spacing w:line="240" w:lineRule="auto" w:before="7"/>
        <w:rPr>
          <w:rFonts w:ascii="宋体" w:hAnsi="宋体" w:cs="宋体" w:eastAsia="宋体" w:hint="default"/>
          <w:sz w:val="25"/>
          <w:szCs w:val="25"/>
        </w:rPr>
      </w:pPr>
    </w:p>
    <w:p>
      <w:pPr>
        <w:pStyle w:val="Heading2"/>
        <w:tabs>
          <w:tab w:pos="977" w:val="left" w:leader="none"/>
        </w:tabs>
        <w:spacing w:line="240" w:lineRule="auto"/>
        <w:ind w:left="136" w:right="0"/>
        <w:jc w:val="left"/>
        <w:rPr>
          <w:rFonts w:ascii="宋体" w:hAnsi="宋体" w:cs="宋体" w:eastAsia="宋体" w:hint="default"/>
          <w:b w:val="0"/>
          <w:bCs w:val="0"/>
        </w:rPr>
      </w:pPr>
      <w:r>
        <w:rPr>
          <w:rFonts w:ascii="宋体" w:hAnsi="宋体" w:cs="宋体" w:eastAsia="宋体" w:hint="default"/>
        </w:rPr>
        <w:t>(2).</w:t>
        <w:tab/>
      </w:r>
      <w:r>
        <w:rPr/>
        <w:t>内部研究开发支出会计政策</w:t>
      </w:r>
      <w:r>
        <w:rPr>
          <w:rFonts w:ascii="宋体" w:hAnsi="宋体" w:cs="宋体" w:eastAsia="宋体" w:hint="default"/>
          <w:w w:val="99"/>
        </w:rPr>
        <w:t> </w:t>
      </w:r>
      <w:r>
        <w:rPr>
          <w:rFonts w:ascii="宋体" w:hAnsi="宋体" w:cs="宋体" w:eastAsia="宋体" w:hint="default"/>
          <w:b w:val="0"/>
          <w:bCs w:val="0"/>
        </w:rPr>
      </w:r>
    </w:p>
    <w:p>
      <w:pPr>
        <w:pStyle w:val="BodyText"/>
        <w:spacing w:line="237" w:lineRule="auto" w:before="60"/>
        <w:ind w:right="0"/>
        <w:jc w:val="left"/>
      </w:pPr>
      <w:r>
        <w:rPr/>
        <w:t>√适用 □不适用 </w:t>
      </w:r>
      <w:r>
        <w:rPr>
          <w:spacing w:val="-2"/>
        </w:rPr>
        <w:t>本集团将内部研究开发项目的支出，区分为研究阶段支出和开发阶段支出。研究阶段</w:t>
      </w:r>
      <w:r>
        <w:rPr>
          <w:spacing w:val="-94"/>
        </w:rPr>
        <w:t> </w:t>
      </w:r>
      <w:r>
        <w:rPr>
          <w:spacing w:val="-94"/>
        </w:rPr>
      </w:r>
      <w:r>
        <w:rPr>
          <w:spacing w:val="-2"/>
        </w:rPr>
        <w:t>的支出，于发生时计入当期损益。开发阶段的支出，只有在同时满足下列条件时，才</w:t>
      </w:r>
      <w:r>
        <w:rPr>
          <w:spacing w:val="-94"/>
        </w:rPr>
        <w:t> </w:t>
      </w:r>
      <w:r>
        <w:rPr>
          <w:spacing w:val="-94"/>
        </w:rPr>
      </w:r>
      <w:r>
        <w:rPr>
          <w:spacing w:val="-2"/>
        </w:rPr>
        <w:t>能予以资本化，即：完成该无形资产以使其能够使用或出售在技术上具有可行性；具</w:t>
      </w:r>
      <w:r>
        <w:rPr>
          <w:spacing w:val="-95"/>
        </w:rPr>
        <w:t> </w:t>
      </w:r>
      <w:r>
        <w:rPr>
          <w:spacing w:val="-95"/>
        </w:rPr>
      </w:r>
      <w:r>
        <w:rPr>
          <w:spacing w:val="-2"/>
        </w:rPr>
        <w:t>有完成该无形资产并使用或出售的意图；无形资产产生经济利益的方式，包括能够证</w:t>
      </w:r>
      <w:r>
        <w:rPr>
          <w:spacing w:val="-94"/>
        </w:rPr>
        <w:t> </w:t>
      </w:r>
      <w:r>
        <w:rPr>
          <w:spacing w:val="-94"/>
        </w:rPr>
      </w:r>
      <w:r>
        <w:rPr>
          <w:spacing w:val="-2"/>
        </w:rPr>
        <w:t>明运用该无形资产生产的产品存在市场或无形资产自身存在市场，无形资产将在内部</w:t>
      </w:r>
      <w:r>
        <w:rPr>
          <w:spacing w:val="-94"/>
        </w:rPr>
        <w:t> </w:t>
      </w:r>
      <w:r>
        <w:rPr>
          <w:spacing w:val="-94"/>
        </w:rPr>
      </w:r>
      <w:r>
        <w:rPr>
          <w:spacing w:val="-2"/>
        </w:rPr>
        <w:t>使用的，能够证明其有用性；有足够的技术、财务资源和其他资源支持，以完成该无</w:t>
      </w:r>
      <w:r>
        <w:rPr>
          <w:spacing w:val="-94"/>
        </w:rPr>
        <w:t> </w:t>
      </w:r>
      <w:r>
        <w:rPr>
          <w:spacing w:val="-94"/>
        </w:rPr>
      </w:r>
      <w:r>
        <w:rPr>
          <w:spacing w:val="-2"/>
        </w:rPr>
        <w:t>形资产的开发，并有能力使用或出售该无形资产；归属于该无形资产开发阶段的支出</w:t>
      </w:r>
      <w:r>
        <w:rPr>
          <w:spacing w:val="-92"/>
        </w:rPr>
        <w:t> </w:t>
      </w:r>
      <w:r>
        <w:rPr>
          <w:spacing w:val="-92"/>
        </w:rPr>
      </w:r>
      <w:r>
        <w:rPr/>
        <w:t>能够可靠地计量。不满足上述条件的开发支出，于发生时计入当期损益。</w:t>
      </w:r>
    </w:p>
    <w:p>
      <w:pPr>
        <w:spacing w:line="240" w:lineRule="auto" w:before="7"/>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29.</w:t>
      </w:r>
      <w:r>
        <w:rPr>
          <w:rFonts w:ascii="宋体" w:hAnsi="宋体" w:cs="宋体" w:eastAsia="宋体" w:hint="default"/>
          <w:spacing w:val="-61"/>
        </w:rPr>
        <w:t> </w:t>
      </w:r>
      <w:r>
        <w:rPr/>
        <w:t>长期资产减值</w:t>
      </w:r>
      <w:r>
        <w:rPr>
          <w:b w:val="0"/>
          <w:bCs w:val="0"/>
        </w:rPr>
      </w:r>
    </w:p>
    <w:p>
      <w:pPr>
        <w:pStyle w:val="BodyText"/>
        <w:tabs>
          <w:tab w:pos="1097" w:val="left" w:leader="none"/>
        </w:tabs>
        <w:spacing w:line="237" w:lineRule="auto" w:before="60"/>
        <w:ind w:right="235"/>
        <w:jc w:val="left"/>
      </w:pPr>
      <w:r>
        <w:rPr/>
        <w:t>√适用</w:t>
        <w:tab/>
        <w:t>□不适用 </w:t>
      </w:r>
      <w:r>
        <w:rPr>
          <w:spacing w:val="-2"/>
        </w:rPr>
        <w:t>本集团对除存货、递延所得税、金融资产、持有待售资产外的资产减值，按以下方法</w:t>
      </w:r>
      <w:r>
        <w:rPr>
          <w:spacing w:val="-94"/>
        </w:rPr>
        <w:t> </w:t>
      </w:r>
      <w:r>
        <w:rPr>
          <w:spacing w:val="-94"/>
        </w:rPr>
      </w:r>
      <w:r>
        <w:rPr/>
        <w:t>确定：</w:t>
      </w:r>
    </w:p>
    <w:p>
      <w:pPr>
        <w:spacing w:line="240" w:lineRule="auto" w:before="3"/>
        <w:rPr>
          <w:rFonts w:ascii="宋体" w:hAnsi="宋体" w:cs="宋体" w:eastAsia="宋体" w:hint="default"/>
          <w:sz w:val="21"/>
          <w:szCs w:val="21"/>
        </w:rPr>
      </w:pPr>
    </w:p>
    <w:p>
      <w:pPr>
        <w:pStyle w:val="BodyText"/>
        <w:spacing w:line="237" w:lineRule="auto"/>
        <w:ind w:right="235"/>
        <w:jc w:val="both"/>
      </w:pPr>
      <w:r>
        <w:rPr>
          <w:spacing w:val="-2"/>
        </w:rPr>
        <w:t>本集团于资产负债表日判断资产是否存在可能发生减值的迹象，存在减值迹象的，本</w:t>
      </w:r>
      <w:r>
        <w:rPr>
          <w:spacing w:val="-94"/>
        </w:rPr>
        <w:t> </w:t>
      </w:r>
      <w:r>
        <w:rPr>
          <w:spacing w:val="-94"/>
        </w:rPr>
      </w:r>
      <w:r>
        <w:rPr>
          <w:spacing w:val="-2"/>
        </w:rPr>
        <w:t>集团将估计其可收回金额，进行减值测试。对因企业合并所形成的商誉和使用寿命不</w:t>
      </w:r>
      <w:r>
        <w:rPr>
          <w:spacing w:val="-94"/>
        </w:rPr>
        <w:t> </w:t>
      </w:r>
      <w:r>
        <w:rPr>
          <w:spacing w:val="-94"/>
        </w:rPr>
      </w:r>
      <w:r>
        <w:rPr>
          <w:spacing w:val="-2"/>
        </w:rPr>
        <w:t>确定的无形资产，无论是否存在减值迹象，至少于每年末进行减值测试。对于尚未达</w:t>
      </w:r>
      <w:r>
        <w:rPr>
          <w:spacing w:val="-96"/>
        </w:rPr>
        <w:t> </w:t>
      </w:r>
      <w:r>
        <w:rPr>
          <w:spacing w:val="-96"/>
        </w:rPr>
      </w:r>
      <w:r>
        <w:rPr/>
        <w:t>到可使用状态的无形资产，也每年进行减值测试。</w:t>
      </w:r>
    </w:p>
    <w:p>
      <w:pPr>
        <w:spacing w:line="240" w:lineRule="auto" w:before="13"/>
        <w:rPr>
          <w:rFonts w:ascii="宋体" w:hAnsi="宋体" w:cs="宋体" w:eastAsia="宋体" w:hint="default"/>
          <w:sz w:val="20"/>
          <w:szCs w:val="20"/>
        </w:rPr>
      </w:pPr>
    </w:p>
    <w:p>
      <w:pPr>
        <w:pStyle w:val="BodyText"/>
        <w:spacing w:line="237" w:lineRule="auto"/>
        <w:ind w:right="0"/>
        <w:jc w:val="left"/>
      </w:pPr>
      <w:r>
        <w:rPr/>
        <w:t>可收回金额根据资产的公允价值减去处置费用后的净额与资产预计未来现金流量的 </w:t>
      </w:r>
      <w:r>
        <w:rPr>
          <w:spacing w:val="-2"/>
        </w:rPr>
        <w:t>现值两者之间较高者确定。本集团以单项资产为基础估计其可收回金额；难以对单项</w:t>
      </w:r>
      <w:r>
        <w:rPr>
          <w:spacing w:val="-94"/>
        </w:rPr>
        <w:t> </w:t>
      </w:r>
      <w:r>
        <w:rPr>
          <w:spacing w:val="-94"/>
        </w:rPr>
      </w:r>
      <w:r>
        <w:rPr>
          <w:spacing w:val="-2"/>
        </w:rPr>
        <w:t>资产的可收回金额进行估计的，以该资产所属的资产组为基础确定资产组的可收回金</w:t>
      </w:r>
      <w:r>
        <w:rPr>
          <w:spacing w:val="-94"/>
        </w:rPr>
        <w:t> </w:t>
      </w:r>
      <w:r>
        <w:rPr>
          <w:spacing w:val="-94"/>
        </w:rPr>
      </w:r>
      <w:r>
        <w:rPr>
          <w:spacing w:val="-2"/>
        </w:rPr>
        <w:t>额。资产组的认定，以资产组产生的主要现金流入是否独立于其他资产或者资产组的</w:t>
      </w:r>
      <w:r>
        <w:rPr>
          <w:spacing w:val="-94"/>
        </w:rPr>
        <w:t> </w:t>
      </w:r>
      <w:r>
        <w:rPr>
          <w:spacing w:val="-94"/>
        </w:rPr>
      </w:r>
      <w:r>
        <w:rPr/>
        <w:t>现金流入为依据。</w:t>
      </w:r>
    </w:p>
    <w:p>
      <w:pPr>
        <w:spacing w:line="240" w:lineRule="auto" w:before="5"/>
        <w:rPr>
          <w:rFonts w:ascii="宋体" w:hAnsi="宋体" w:cs="宋体" w:eastAsia="宋体" w:hint="default"/>
          <w:sz w:val="23"/>
          <w:szCs w:val="23"/>
        </w:rPr>
      </w:pPr>
    </w:p>
    <w:p>
      <w:pPr>
        <w:pStyle w:val="BodyText"/>
        <w:spacing w:line="312" w:lineRule="exact"/>
        <w:ind w:right="0"/>
        <w:jc w:val="left"/>
      </w:pPr>
      <w:r>
        <w:rPr>
          <w:spacing w:val="-2"/>
        </w:rPr>
        <w:t>当资产或者资产组的可收回金额低于其账面价值时，本集团将其账面价值减记至可收</w:t>
      </w:r>
      <w:r>
        <w:rPr>
          <w:spacing w:val="-94"/>
        </w:rPr>
        <w:t> </w:t>
      </w:r>
      <w:r>
        <w:rPr>
          <w:spacing w:val="-94"/>
        </w:rPr>
      </w:r>
      <w:r>
        <w:rPr/>
        <w:t>回金额，减记的金额计入当期损益，同时计提相应的资产减值准备。</w:t>
      </w:r>
    </w:p>
    <w:p>
      <w:pPr>
        <w:spacing w:line="240" w:lineRule="auto" w:before="10"/>
        <w:rPr>
          <w:rFonts w:ascii="宋体" w:hAnsi="宋体" w:cs="宋体" w:eastAsia="宋体" w:hint="default"/>
          <w:sz w:val="18"/>
          <w:szCs w:val="18"/>
        </w:rPr>
      </w:pPr>
    </w:p>
    <w:p>
      <w:pPr>
        <w:pStyle w:val="BodyText"/>
        <w:spacing w:line="237" w:lineRule="auto"/>
        <w:ind w:right="235"/>
        <w:jc w:val="both"/>
      </w:pPr>
      <w:r>
        <w:rPr>
          <w:spacing w:val="-2"/>
        </w:rPr>
        <w:t>就商誉的减值测试而言，对于因企业合并形成的商誉的账面价值，自购买日起按照合</w:t>
      </w:r>
      <w:r>
        <w:rPr>
          <w:spacing w:val="-94"/>
        </w:rPr>
        <w:t> </w:t>
      </w:r>
      <w:r>
        <w:rPr>
          <w:spacing w:val="-94"/>
        </w:rPr>
      </w:r>
      <w:r>
        <w:rPr>
          <w:spacing w:val="-2"/>
        </w:rPr>
        <w:t>理的方法分摊至相关的资产组；难以分摊至相关的资产组的，将其分摊至相关的资产</w:t>
      </w:r>
      <w:r>
        <w:rPr>
          <w:spacing w:val="-94"/>
        </w:rPr>
        <w:t> </w:t>
      </w:r>
      <w:r>
        <w:rPr>
          <w:spacing w:val="-94"/>
        </w:rPr>
      </w:r>
      <w:r>
        <w:rPr>
          <w:spacing w:val="-2"/>
        </w:rPr>
        <w:t>组组合。相关的资产组或者资产组组合，是能够从企业合并的协同效应中受益的资产</w:t>
      </w:r>
      <w:r>
        <w:rPr>
          <w:spacing w:val="-94"/>
        </w:rPr>
        <w:t> </w:t>
      </w:r>
      <w:r>
        <w:rPr>
          <w:spacing w:val="-94"/>
        </w:rPr>
      </w:r>
      <w:r>
        <w:rPr/>
        <w:t>组或者资产组组合，且不大于本集团确定的报告分部。</w:t>
      </w:r>
    </w:p>
    <w:p>
      <w:pPr>
        <w:spacing w:after="0" w:line="237" w:lineRule="auto"/>
        <w:jc w:val="both"/>
        <w:sectPr>
          <w:pgSz w:w="11910" w:h="16840"/>
          <w:pgMar w:header="882" w:footer="1195" w:top="1120" w:bottom="1380" w:left="1140" w:right="1560"/>
        </w:sectPr>
      </w:pPr>
    </w:p>
    <w:p>
      <w:pPr>
        <w:spacing w:line="240" w:lineRule="auto" w:before="13"/>
        <w:rPr>
          <w:rFonts w:ascii="宋体" w:hAnsi="宋体" w:cs="宋体" w:eastAsia="宋体" w:hint="default"/>
          <w:sz w:val="18"/>
          <w:szCs w:val="18"/>
        </w:rPr>
      </w:pPr>
    </w:p>
    <w:p>
      <w:pPr>
        <w:pStyle w:val="BodyText"/>
        <w:spacing w:line="237" w:lineRule="auto" w:before="28"/>
        <w:ind w:right="0"/>
        <w:jc w:val="left"/>
      </w:pPr>
      <w:r>
        <w:rPr/>
        <w:t>对包含商誉的相关资产组或者资产组组合进行减值测试时，如与商誉相关的资产组或 者资产组组合存在减值迹象的，首先对不包含商誉的资产组或者资产组组合进行减值 测试，计算可收回金额，确认相应的减值损失。然后对包含商誉的资产组或者资产组 组合进行减值测试，比较其账面价值与可收回金额，如可收回金额低于账面价值的，</w:t>
      </w:r>
      <w:r>
        <w:rPr>
          <w:spacing w:val="-63"/>
        </w:rPr>
        <w:t> </w:t>
      </w:r>
      <w:r>
        <w:rPr>
          <w:spacing w:val="-63"/>
        </w:rPr>
      </w:r>
      <w:r>
        <w:rPr/>
        <w:t>减值损失金额首先抵减分摊至资产组或者资产组组合中商誉的账面价值，再根据资产</w:t>
      </w:r>
      <w:r>
        <w:rPr/>
        <w:t> 组或者资产组组合中除商誉之外的其他各项资产的账面价值所占比重，按比例抵减其 他各项资产的账面价值。</w:t>
      </w:r>
    </w:p>
    <w:p>
      <w:pPr>
        <w:spacing w:line="646" w:lineRule="exact" w:before="37"/>
        <w:ind w:left="136" w:right="3170" w:firstLine="0"/>
        <w:jc w:val="left"/>
        <w:rPr>
          <w:rFonts w:ascii="宋体" w:hAnsi="宋体" w:cs="宋体" w:eastAsia="宋体" w:hint="default"/>
          <w:sz w:val="24"/>
          <w:szCs w:val="24"/>
        </w:rPr>
      </w:pPr>
      <w:r>
        <w:rPr>
          <w:rFonts w:ascii="宋体" w:hAnsi="宋体" w:cs="宋体" w:eastAsia="宋体" w:hint="default"/>
          <w:sz w:val="24"/>
          <w:szCs w:val="24"/>
        </w:rPr>
        <w:t>上述资产减值损失一经确认，在以后会计期间不再转回。 </w:t>
      </w:r>
      <w:r>
        <w:rPr>
          <w:rFonts w:ascii="宋体" w:hAnsi="宋体" w:cs="宋体" w:eastAsia="宋体" w:hint="default"/>
          <w:b/>
          <w:bCs/>
          <w:sz w:val="24"/>
          <w:szCs w:val="24"/>
        </w:rPr>
        <w:t>30.</w:t>
      </w:r>
      <w:r>
        <w:rPr>
          <w:rFonts w:ascii="宋体" w:hAnsi="宋体" w:cs="宋体" w:eastAsia="宋体" w:hint="default"/>
          <w:b/>
          <w:bCs/>
          <w:spacing w:val="-61"/>
          <w:sz w:val="24"/>
          <w:szCs w:val="24"/>
        </w:rPr>
        <w:t> </w:t>
      </w:r>
      <w:r>
        <w:rPr>
          <w:rFonts w:ascii="宋体" w:hAnsi="宋体" w:cs="宋体" w:eastAsia="宋体" w:hint="default"/>
          <w:b/>
          <w:bCs/>
          <w:sz w:val="24"/>
          <w:szCs w:val="24"/>
        </w:rPr>
        <w:t>长期待摊费用</w:t>
      </w:r>
      <w:r>
        <w:rPr>
          <w:rFonts w:ascii="宋体" w:hAnsi="宋体" w:cs="宋体" w:eastAsia="宋体" w:hint="default"/>
          <w:sz w:val="24"/>
          <w:szCs w:val="24"/>
        </w:rPr>
      </w:r>
    </w:p>
    <w:p>
      <w:pPr>
        <w:pStyle w:val="BodyText"/>
        <w:tabs>
          <w:tab w:pos="1097" w:val="left" w:leader="none"/>
        </w:tabs>
        <w:spacing w:line="276" w:lineRule="exact"/>
        <w:ind w:right="0"/>
        <w:jc w:val="left"/>
      </w:pPr>
      <w:r>
        <w:rPr/>
        <w:t>√适用</w:t>
        <w:tab/>
        <w:t>□不适用</w:t>
      </w:r>
    </w:p>
    <w:p>
      <w:pPr>
        <w:pStyle w:val="BodyText"/>
        <w:spacing w:line="230" w:lineRule="auto" w:before="10"/>
        <w:ind w:right="354"/>
        <w:jc w:val="both"/>
      </w:pPr>
      <w:r>
        <w:rPr/>
        <w:t>本集团的长期待摊费用是指企业已经支出，但摊销年限在</w:t>
      </w:r>
      <w:r>
        <w:rPr>
          <w:spacing w:val="-82"/>
        </w:rPr>
        <w:t> </w:t>
      </w:r>
      <w:r>
        <w:rPr>
          <w:rFonts w:ascii="Times New Roman" w:hAnsi="Times New Roman" w:cs="Times New Roman" w:eastAsia="Times New Roman" w:hint="default"/>
        </w:rPr>
        <w:t>1</w:t>
      </w:r>
      <w:r>
        <w:rPr>
          <w:rFonts w:ascii="Times New Roman" w:hAnsi="Times New Roman" w:cs="Times New Roman" w:eastAsia="Times New Roman" w:hint="default"/>
          <w:spacing w:val="-23"/>
        </w:rPr>
        <w:t> </w:t>
      </w:r>
      <w:r>
        <w:rPr/>
        <w:t>年以上的各项费用或因收 </w:t>
      </w:r>
      <w:r>
        <w:rPr>
          <w:spacing w:val="-2"/>
        </w:rPr>
        <w:t>购一些资产及业务而付出的收购对价超出收购资产的账面金额的部分。长期待摊费用</w:t>
      </w:r>
      <w:r>
        <w:rPr>
          <w:spacing w:val="-94"/>
        </w:rPr>
        <w:t> </w:t>
      </w:r>
      <w:r>
        <w:rPr>
          <w:spacing w:val="-94"/>
        </w:rPr>
      </w:r>
      <w:r>
        <w:rPr/>
        <w:t>在受益期限内采用直线法摊销。</w:t>
      </w:r>
    </w:p>
    <w:p>
      <w:pPr>
        <w:spacing w:line="240" w:lineRule="auto" w:before="8"/>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31.</w:t>
      </w:r>
      <w:r>
        <w:rPr>
          <w:rFonts w:ascii="宋体" w:hAnsi="宋体" w:cs="宋体" w:eastAsia="宋体" w:hint="default"/>
          <w:spacing w:val="-59"/>
        </w:rPr>
        <w:t> </w:t>
      </w:r>
      <w:r>
        <w:rPr/>
        <w:t>职工薪酬</w:t>
      </w:r>
      <w:r>
        <w:rPr>
          <w:b w:val="0"/>
          <w:bCs w:val="0"/>
        </w:rPr>
      </w:r>
    </w:p>
    <w:p>
      <w:pPr>
        <w:pStyle w:val="Heading2"/>
        <w:tabs>
          <w:tab w:pos="977" w:val="left" w:leader="none"/>
        </w:tabs>
        <w:spacing w:line="240" w:lineRule="auto" w:before="58"/>
        <w:ind w:left="136" w:right="0"/>
        <w:jc w:val="left"/>
        <w:rPr>
          <w:rFonts w:ascii="宋体" w:hAnsi="宋体" w:cs="宋体" w:eastAsia="宋体" w:hint="default"/>
          <w:b w:val="0"/>
          <w:bCs w:val="0"/>
        </w:rPr>
      </w:pPr>
      <w:r>
        <w:rPr>
          <w:rFonts w:ascii="宋体" w:hAnsi="宋体" w:cs="宋体" w:eastAsia="宋体" w:hint="default"/>
        </w:rPr>
        <w:t>(1).</w:t>
        <w:tab/>
      </w:r>
      <w:r>
        <w:rPr/>
        <w:t>短期薪酬的会计处理方法</w:t>
      </w:r>
      <w:r>
        <w:rPr>
          <w:rFonts w:ascii="宋体" w:hAnsi="宋体" w:cs="宋体" w:eastAsia="宋体" w:hint="default"/>
          <w:w w:val="99"/>
        </w:rPr>
        <w:t> </w:t>
      </w:r>
      <w:r>
        <w:rPr>
          <w:rFonts w:ascii="宋体" w:hAnsi="宋体" w:cs="宋体" w:eastAsia="宋体" w:hint="default"/>
          <w:b w:val="0"/>
          <w:bCs w:val="0"/>
        </w:rPr>
      </w:r>
    </w:p>
    <w:p>
      <w:pPr>
        <w:pStyle w:val="BodyText"/>
        <w:tabs>
          <w:tab w:pos="1097" w:val="left" w:leader="none"/>
        </w:tabs>
        <w:spacing w:line="312" w:lineRule="exact" w:before="86"/>
        <w:ind w:right="355"/>
        <w:jc w:val="left"/>
      </w:pPr>
      <w:r>
        <w:rPr/>
        <w:t>√适用</w:t>
        <w:tab/>
        <w:t>□不适用 </w:t>
      </w:r>
      <w:r>
        <w:rPr>
          <w:spacing w:val="-2"/>
        </w:rPr>
        <w:t>在职工提供服务的会计期间，将实际发生的短期薪酬确认为负债，并计入当期损益或</w:t>
      </w:r>
      <w:r>
        <w:rPr>
          <w:spacing w:val="-94"/>
        </w:rPr>
        <w:t> </w:t>
      </w:r>
      <w:r>
        <w:rPr>
          <w:spacing w:val="-94"/>
        </w:rPr>
      </w:r>
      <w:r>
        <w:rPr/>
        <w:t>相关资产成本。</w:t>
      </w:r>
    </w:p>
    <w:p>
      <w:pPr>
        <w:spacing w:line="240" w:lineRule="auto" w:before="2"/>
        <w:rPr>
          <w:rFonts w:ascii="宋体" w:hAnsi="宋体" w:cs="宋体" w:eastAsia="宋体" w:hint="default"/>
          <w:sz w:val="23"/>
          <w:szCs w:val="23"/>
        </w:rPr>
      </w:pPr>
    </w:p>
    <w:p>
      <w:pPr>
        <w:pStyle w:val="Heading2"/>
        <w:tabs>
          <w:tab w:pos="977" w:val="left" w:leader="none"/>
        </w:tabs>
        <w:spacing w:line="240" w:lineRule="auto"/>
        <w:ind w:left="136" w:right="0"/>
        <w:jc w:val="left"/>
        <w:rPr>
          <w:rFonts w:ascii="宋体" w:hAnsi="宋体" w:cs="宋体" w:eastAsia="宋体" w:hint="default"/>
          <w:b w:val="0"/>
          <w:bCs w:val="0"/>
        </w:rPr>
      </w:pPr>
      <w:r>
        <w:rPr>
          <w:rFonts w:ascii="宋体" w:hAnsi="宋体" w:cs="宋体" w:eastAsia="宋体" w:hint="default"/>
        </w:rPr>
        <w:t>(2).</w:t>
        <w:tab/>
      </w:r>
      <w:r>
        <w:rPr/>
        <w:t>离职后福利的会计处理方法</w:t>
      </w:r>
      <w:r>
        <w:rPr>
          <w:rFonts w:ascii="宋体" w:hAnsi="宋体" w:cs="宋体" w:eastAsia="宋体" w:hint="default"/>
          <w:w w:val="99"/>
        </w:rPr>
        <w:t> </w:t>
      </w:r>
      <w:r>
        <w:rPr>
          <w:rFonts w:ascii="宋体" w:hAnsi="宋体" w:cs="宋体" w:eastAsia="宋体" w:hint="default"/>
          <w:b w:val="0"/>
          <w:bCs w:val="0"/>
        </w:rPr>
      </w:r>
    </w:p>
    <w:p>
      <w:pPr>
        <w:pStyle w:val="BodyText"/>
        <w:tabs>
          <w:tab w:pos="1097" w:val="left" w:leader="none"/>
        </w:tabs>
        <w:spacing w:line="237" w:lineRule="auto" w:before="61"/>
        <w:ind w:right="355"/>
        <w:jc w:val="left"/>
      </w:pPr>
      <w:r>
        <w:rPr/>
        <w:t>√适用</w:t>
        <w:tab/>
        <w:t>□不适用 </w:t>
      </w:r>
      <w:r>
        <w:rPr>
          <w:spacing w:val="-2"/>
        </w:rPr>
        <w:t>本集团的职工参加由当地政府管理的养老保险和失业保险，相应支出在发生时计入相</w:t>
      </w:r>
      <w:r>
        <w:rPr>
          <w:spacing w:val="-94"/>
        </w:rPr>
        <w:t> </w:t>
      </w:r>
      <w:r>
        <w:rPr>
          <w:spacing w:val="-94"/>
        </w:rPr>
      </w:r>
      <w:r>
        <w:rPr/>
        <w:t>关资产成本或当期损益。</w:t>
      </w:r>
    </w:p>
    <w:p>
      <w:pPr>
        <w:spacing w:line="240" w:lineRule="auto" w:before="7"/>
        <w:rPr>
          <w:rFonts w:ascii="宋体" w:hAnsi="宋体" w:cs="宋体" w:eastAsia="宋体" w:hint="default"/>
          <w:sz w:val="25"/>
          <w:szCs w:val="25"/>
        </w:rPr>
      </w:pPr>
    </w:p>
    <w:p>
      <w:pPr>
        <w:pStyle w:val="Heading2"/>
        <w:tabs>
          <w:tab w:pos="977" w:val="left" w:leader="none"/>
        </w:tabs>
        <w:spacing w:line="240" w:lineRule="auto"/>
        <w:ind w:left="136" w:right="0"/>
        <w:jc w:val="left"/>
        <w:rPr>
          <w:rFonts w:ascii="宋体" w:hAnsi="宋体" w:cs="宋体" w:eastAsia="宋体" w:hint="default"/>
          <w:b w:val="0"/>
          <w:bCs w:val="0"/>
        </w:rPr>
      </w:pPr>
      <w:r>
        <w:rPr>
          <w:rFonts w:ascii="宋体" w:hAnsi="宋体" w:cs="宋体" w:eastAsia="宋体" w:hint="default"/>
        </w:rPr>
        <w:t>(3).</w:t>
        <w:tab/>
      </w:r>
      <w:r>
        <w:rPr/>
        <w:t>辞退福利的会计处理方法</w:t>
      </w:r>
      <w:r>
        <w:rPr>
          <w:rFonts w:ascii="宋体" w:hAnsi="宋体" w:cs="宋体" w:eastAsia="宋体" w:hint="default"/>
          <w:w w:val="99"/>
        </w:rPr>
        <w:t> </w:t>
      </w:r>
      <w:r>
        <w:rPr>
          <w:rFonts w:ascii="宋体" w:hAnsi="宋体" w:cs="宋体" w:eastAsia="宋体" w:hint="default"/>
          <w:b w:val="0"/>
          <w:bCs w:val="0"/>
        </w:rPr>
      </w:r>
    </w:p>
    <w:p>
      <w:pPr>
        <w:pStyle w:val="BodyText"/>
        <w:tabs>
          <w:tab w:pos="1097" w:val="left" w:leader="none"/>
        </w:tabs>
        <w:spacing w:line="237" w:lineRule="auto" w:before="60"/>
        <w:ind w:right="115"/>
        <w:jc w:val="left"/>
      </w:pPr>
      <w:r>
        <w:rPr/>
        <w:t>√适用</w:t>
        <w:tab/>
        <w:t>□不适用 </w:t>
      </w:r>
      <w:r>
        <w:rPr>
          <w:spacing w:val="-2"/>
        </w:rPr>
        <w:t>本集团向职工提供辞退福利的，在下列两者孰早日确认辞退福利产生的职工薪酬负债，</w:t>
      </w:r>
      <w:r>
        <w:rPr>
          <w:spacing w:val="-92"/>
        </w:rPr>
        <w:t> </w:t>
      </w:r>
      <w:r>
        <w:rPr>
          <w:spacing w:val="-92"/>
        </w:rPr>
      </w:r>
      <w:r>
        <w:rPr/>
        <w:t>并计入当期损益：企业不能单方面撤回因解除劳动关系计划或裁减建议所提供的辞退</w:t>
      </w:r>
      <w:r>
        <w:rPr/>
        <w:t> 福利时；企业确认与涉及支付辞退福利的重组相关的成本或费用时。</w:t>
      </w:r>
    </w:p>
    <w:p>
      <w:pPr>
        <w:spacing w:line="240" w:lineRule="auto" w:before="8"/>
        <w:rPr>
          <w:rFonts w:ascii="宋体" w:hAnsi="宋体" w:cs="宋体" w:eastAsia="宋体" w:hint="default"/>
          <w:sz w:val="25"/>
          <w:szCs w:val="25"/>
        </w:rPr>
      </w:pPr>
    </w:p>
    <w:p>
      <w:pPr>
        <w:pStyle w:val="Heading2"/>
        <w:tabs>
          <w:tab w:pos="977" w:val="left" w:leader="none"/>
        </w:tabs>
        <w:spacing w:line="240" w:lineRule="auto"/>
        <w:ind w:left="136" w:right="0"/>
        <w:jc w:val="left"/>
        <w:rPr>
          <w:rFonts w:ascii="宋体" w:hAnsi="宋体" w:cs="宋体" w:eastAsia="宋体" w:hint="default"/>
          <w:b w:val="0"/>
          <w:bCs w:val="0"/>
        </w:rPr>
      </w:pPr>
      <w:r>
        <w:rPr>
          <w:rFonts w:ascii="宋体" w:hAnsi="宋体" w:cs="宋体" w:eastAsia="宋体" w:hint="default"/>
        </w:rPr>
        <w:t>(4).</w:t>
        <w:tab/>
      </w:r>
      <w:r>
        <w:rPr/>
        <w:t>其他长期职工福利的会计处理方法</w:t>
      </w:r>
      <w:r>
        <w:rPr>
          <w:rFonts w:ascii="宋体" w:hAnsi="宋体" w:cs="宋体" w:eastAsia="宋体" w:hint="default"/>
          <w:w w:val="99"/>
        </w:rPr>
        <w:t> </w:t>
      </w:r>
      <w:r>
        <w:rPr>
          <w:rFonts w:ascii="宋体" w:hAnsi="宋体" w:cs="宋体" w:eastAsia="宋体" w:hint="default"/>
          <w:b w:val="0"/>
          <w:bCs w:val="0"/>
        </w:rPr>
      </w:r>
    </w:p>
    <w:p>
      <w:pPr>
        <w:pStyle w:val="BodyText"/>
        <w:tabs>
          <w:tab w:pos="1097" w:val="left" w:leader="none"/>
        </w:tabs>
        <w:spacing w:line="240" w:lineRule="auto" w:before="55"/>
        <w:ind w:right="0"/>
        <w:jc w:val="left"/>
      </w:pPr>
      <w:r>
        <w:rPr/>
        <w:t>□适用</w:t>
        <w:tab/>
        <w:t>√不适用</w:t>
      </w:r>
    </w:p>
    <w:p>
      <w:pPr>
        <w:spacing w:line="240" w:lineRule="auto" w:before="7"/>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32.</w:t>
      </w:r>
      <w:r>
        <w:rPr>
          <w:rFonts w:ascii="宋体" w:hAnsi="宋体" w:cs="宋体" w:eastAsia="宋体" w:hint="default"/>
          <w:spacing w:val="-59"/>
        </w:rPr>
        <w:t> </w:t>
      </w:r>
      <w:r>
        <w:rPr/>
        <w:t>租赁负债</w:t>
      </w:r>
      <w:r>
        <w:rPr>
          <w:b w:val="0"/>
          <w:bCs w:val="0"/>
        </w:rPr>
      </w:r>
    </w:p>
    <w:p>
      <w:pPr>
        <w:pStyle w:val="BodyText"/>
        <w:spacing w:line="240" w:lineRule="auto" w:before="58"/>
        <w:ind w:right="0"/>
        <w:jc w:val="left"/>
      </w:pPr>
      <w:r>
        <w:rPr/>
        <w:t>□适用 √不适用</w:t>
      </w:r>
    </w:p>
    <w:p>
      <w:pPr>
        <w:spacing w:line="240" w:lineRule="auto" w:before="4"/>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33.</w:t>
      </w:r>
      <w:r>
        <w:rPr>
          <w:rFonts w:ascii="宋体" w:hAnsi="宋体" w:cs="宋体" w:eastAsia="宋体" w:hint="default"/>
          <w:spacing w:val="-59"/>
        </w:rPr>
        <w:t> </w:t>
      </w:r>
      <w:r>
        <w:rPr/>
        <w:t>预计负债</w:t>
      </w:r>
      <w:r>
        <w:rPr>
          <w:b w:val="0"/>
          <w:bCs w:val="0"/>
        </w:rPr>
      </w:r>
    </w:p>
    <w:p>
      <w:pPr>
        <w:pStyle w:val="BodyText"/>
        <w:tabs>
          <w:tab w:pos="1097" w:val="left" w:leader="none"/>
        </w:tabs>
        <w:spacing w:line="240" w:lineRule="auto" w:before="58"/>
        <w:ind w:right="0"/>
        <w:jc w:val="left"/>
      </w:pPr>
      <w:r>
        <w:rPr/>
        <w:t>√适用</w:t>
        <w:tab/>
        <w:t>□不适用</w:t>
      </w:r>
    </w:p>
    <w:p>
      <w:pPr>
        <w:spacing w:after="0" w:line="240" w:lineRule="auto"/>
        <w:jc w:val="left"/>
        <w:sectPr>
          <w:pgSz w:w="11910" w:h="16840"/>
          <w:pgMar w:header="882" w:footer="1195" w:top="1120" w:bottom="1380" w:left="1140" w:right="1440"/>
        </w:sectPr>
      </w:pPr>
    </w:p>
    <w:p>
      <w:pPr>
        <w:spacing w:line="240" w:lineRule="auto" w:before="13"/>
        <w:rPr>
          <w:rFonts w:ascii="宋体" w:hAnsi="宋体" w:cs="宋体" w:eastAsia="宋体" w:hint="default"/>
          <w:sz w:val="18"/>
          <w:szCs w:val="18"/>
        </w:rPr>
      </w:pPr>
    </w:p>
    <w:p>
      <w:pPr>
        <w:pStyle w:val="BodyText"/>
        <w:spacing w:line="240" w:lineRule="auto" w:before="26"/>
        <w:ind w:right="0"/>
        <w:jc w:val="left"/>
      </w:pPr>
      <w:r>
        <w:rPr>
          <w:spacing w:val="-2"/>
        </w:rPr>
        <w:t>除了非同一控制下企业合并中的或有对价及承担的或有负债之外，当与或有事项相关</w:t>
      </w:r>
      <w:r>
        <w:rPr>
          <w:spacing w:val="-94"/>
        </w:rPr>
        <w:t> </w:t>
      </w:r>
      <w:r>
        <w:rPr>
          <w:spacing w:val="-94"/>
        </w:rPr>
      </w:r>
      <w:r>
        <w:rPr/>
        <w:t>的义务同时符合以下条件，本集团将其确认为预计负债：</w:t>
      </w:r>
    </w:p>
    <w:p>
      <w:pPr>
        <w:spacing w:line="240" w:lineRule="auto" w:before="10"/>
        <w:rPr>
          <w:rFonts w:ascii="宋体" w:hAnsi="宋体" w:cs="宋体" w:eastAsia="宋体" w:hint="default"/>
          <w:sz w:val="20"/>
          <w:szCs w:val="20"/>
        </w:rPr>
      </w:pPr>
    </w:p>
    <w:p>
      <w:pPr>
        <w:pStyle w:val="BodyText"/>
        <w:tabs>
          <w:tab w:pos="977" w:val="left" w:leader="none"/>
        </w:tabs>
        <w:spacing w:line="322" w:lineRule="exact"/>
        <w:ind w:right="0"/>
        <w:jc w:val="left"/>
      </w:pPr>
      <w:r>
        <w:rPr/>
        <w:t>（</w:t>
      </w:r>
      <w:r>
        <w:rPr>
          <w:rFonts w:ascii="Times New Roman" w:hAnsi="Times New Roman" w:cs="Times New Roman" w:eastAsia="Times New Roman" w:hint="default"/>
        </w:rPr>
        <w:t>1</w:t>
      </w:r>
      <w:r>
        <w:rPr/>
        <w:t>）</w:t>
        <w:tab/>
        <w:t>该义务是本集团承担的现时义务；</w:t>
      </w:r>
    </w:p>
    <w:p>
      <w:pPr>
        <w:pStyle w:val="BodyText"/>
        <w:tabs>
          <w:tab w:pos="977" w:val="left" w:leader="none"/>
        </w:tabs>
        <w:spacing w:line="312" w:lineRule="exact"/>
        <w:ind w:right="0"/>
        <w:jc w:val="left"/>
      </w:pPr>
      <w:r>
        <w:rPr/>
        <w:t>（</w:t>
      </w:r>
      <w:r>
        <w:rPr>
          <w:rFonts w:ascii="Times New Roman" w:hAnsi="Times New Roman" w:cs="Times New Roman" w:eastAsia="Times New Roman" w:hint="default"/>
        </w:rPr>
        <w:t>2</w:t>
      </w:r>
      <w:r>
        <w:rPr/>
        <w:t>）</w:t>
        <w:tab/>
        <w:t>该义务的履行很可能导致经济利益流出本集团；</w:t>
      </w:r>
    </w:p>
    <w:p>
      <w:pPr>
        <w:pStyle w:val="BodyText"/>
        <w:tabs>
          <w:tab w:pos="977" w:val="left" w:leader="none"/>
        </w:tabs>
        <w:spacing w:line="322" w:lineRule="exact"/>
        <w:ind w:right="0"/>
        <w:jc w:val="left"/>
      </w:pPr>
      <w:r>
        <w:rPr/>
        <w:t>（</w:t>
      </w:r>
      <w:r>
        <w:rPr>
          <w:rFonts w:ascii="Times New Roman" w:hAnsi="Times New Roman" w:cs="Times New Roman" w:eastAsia="Times New Roman" w:hint="default"/>
        </w:rPr>
        <w:t>3</w:t>
      </w:r>
      <w:r>
        <w:rPr/>
        <w:t>）</w:t>
        <w:tab/>
        <w:t>该义务的金额能够可靠地计量。</w:t>
      </w:r>
    </w:p>
    <w:p>
      <w:pPr>
        <w:spacing w:line="240" w:lineRule="auto" w:before="8"/>
        <w:rPr>
          <w:rFonts w:ascii="宋体" w:hAnsi="宋体" w:cs="宋体" w:eastAsia="宋体" w:hint="default"/>
          <w:sz w:val="19"/>
          <w:szCs w:val="19"/>
        </w:rPr>
      </w:pPr>
    </w:p>
    <w:p>
      <w:pPr>
        <w:pStyle w:val="BodyText"/>
        <w:spacing w:line="237" w:lineRule="auto"/>
        <w:ind w:right="244"/>
        <w:jc w:val="both"/>
      </w:pPr>
      <w:r>
        <w:rPr/>
        <w:t>预计负债按照履行相关现时义务所需支出的最佳估计数进行初始计量，并综合考虑与 或有事项有关的风险、不确定性和货币时间价值等因素。每个资产负债表日对预计负 债的账面价值进行复核。有确凿证据表明该账面价值不能反映当前最佳估计数的，按 照当前最佳估计数对该账面价值进行调整。</w:t>
      </w:r>
    </w:p>
    <w:p>
      <w:pPr>
        <w:spacing w:line="240" w:lineRule="auto" w:before="5"/>
        <w:rPr>
          <w:rFonts w:ascii="宋体" w:hAnsi="宋体" w:cs="宋体" w:eastAsia="宋体" w:hint="default"/>
          <w:sz w:val="23"/>
          <w:szCs w:val="23"/>
        </w:rPr>
      </w:pPr>
    </w:p>
    <w:p>
      <w:pPr>
        <w:pStyle w:val="BodyText"/>
        <w:spacing w:line="312" w:lineRule="exact"/>
        <w:ind w:right="0"/>
        <w:jc w:val="left"/>
      </w:pPr>
      <w:r>
        <w:rPr/>
        <w:t>非同一控制下企业合并中取得的被购买方或有负债在初始确认时按照公允价值计量，</w:t>
      </w:r>
      <w:r>
        <w:rPr>
          <w:spacing w:val="-63"/>
        </w:rPr>
        <w:t> </w:t>
      </w:r>
      <w:r>
        <w:rPr>
          <w:spacing w:val="-63"/>
        </w:rPr>
      </w:r>
      <w:r>
        <w:rPr/>
        <w:t>在初始确认后，按照预计负债确认的金额，和初始确认金额扣除收入确认原则确定的</w:t>
      </w:r>
      <w:r>
        <w:rPr/>
        <w:t> 累计摊销额后的余额，以两者之中的较高者进行后续计量。</w:t>
      </w:r>
    </w:p>
    <w:p>
      <w:pPr>
        <w:spacing w:line="240" w:lineRule="auto" w:before="2"/>
        <w:rPr>
          <w:rFonts w:ascii="宋体" w:hAnsi="宋体" w:cs="宋体" w:eastAsia="宋体" w:hint="default"/>
          <w:sz w:val="23"/>
          <w:szCs w:val="23"/>
        </w:rPr>
      </w:pPr>
    </w:p>
    <w:p>
      <w:pPr>
        <w:pStyle w:val="Heading2"/>
        <w:spacing w:line="240" w:lineRule="auto"/>
        <w:ind w:left="136" w:right="0"/>
        <w:jc w:val="left"/>
        <w:rPr>
          <w:b w:val="0"/>
          <w:bCs w:val="0"/>
        </w:rPr>
      </w:pPr>
      <w:r>
        <w:rPr>
          <w:rFonts w:ascii="宋体" w:hAnsi="宋体" w:cs="宋体" w:eastAsia="宋体" w:hint="default"/>
        </w:rPr>
        <w:t>34.</w:t>
      </w:r>
      <w:r>
        <w:rPr>
          <w:rFonts w:ascii="宋体" w:hAnsi="宋体" w:cs="宋体" w:eastAsia="宋体" w:hint="default"/>
          <w:spacing w:val="-59"/>
        </w:rPr>
        <w:t> </w:t>
      </w:r>
      <w:r>
        <w:rPr/>
        <w:t>股份支付</w:t>
      </w:r>
      <w:r>
        <w:rPr>
          <w:b w:val="0"/>
          <w:bCs w:val="0"/>
        </w:rPr>
      </w:r>
    </w:p>
    <w:p>
      <w:pPr>
        <w:pStyle w:val="BodyText"/>
        <w:tabs>
          <w:tab w:pos="1097" w:val="left" w:leader="none"/>
        </w:tabs>
        <w:spacing w:line="237" w:lineRule="auto" w:before="60"/>
        <w:ind w:right="244"/>
        <w:jc w:val="left"/>
      </w:pPr>
      <w:r>
        <w:rPr/>
        <w:t>√适用</w:t>
        <w:tab/>
        <w:t>□不适用 股份支付，分为以权益结算的股份支付和以现金结算的股份支付。以权益结算的股份 支付，是指本集团为获取服务以股份或其他权益工具作为对价进行结算的交易。</w:t>
      </w:r>
    </w:p>
    <w:p>
      <w:pPr>
        <w:spacing w:line="240" w:lineRule="auto" w:before="5"/>
        <w:rPr>
          <w:rFonts w:ascii="宋体" w:hAnsi="宋体" w:cs="宋体" w:eastAsia="宋体" w:hint="default"/>
          <w:sz w:val="21"/>
          <w:szCs w:val="21"/>
        </w:rPr>
      </w:pPr>
    </w:p>
    <w:p>
      <w:pPr>
        <w:pStyle w:val="BodyText"/>
        <w:spacing w:line="235" w:lineRule="auto"/>
        <w:ind w:right="115"/>
        <w:jc w:val="left"/>
      </w:pPr>
      <w:r>
        <w:rPr/>
        <w:t>以权益结算的股份支付换取职工提供服务的，以授予职工权益工具的公允价值计量。</w:t>
      </w:r>
      <w:r>
        <w:rPr>
          <w:spacing w:val="-63"/>
        </w:rPr>
        <w:t> </w:t>
      </w:r>
      <w:r>
        <w:rPr>
          <w:spacing w:val="-63"/>
        </w:rPr>
      </w:r>
      <w:r>
        <w:rPr/>
        <w:t>授予后立即可行权的，在授予日按照公允价值计入相关成本或费用，相应增加资本公</w:t>
      </w:r>
      <w:r>
        <w:rPr/>
        <w:t> 积；完成等待期内的服务或达到规定业绩条件才可行权的，在等待期内每个资产负债 表日，本集团根据最新取得的可行权职工人数变动等后续信息对可行权权益工具数量 作出最佳估计，以此为基础，按照授予日的公允价值，将当期取得的服务计入相关成 </w:t>
      </w:r>
      <w:r>
        <w:rPr>
          <w:spacing w:val="-4"/>
        </w:rPr>
        <w:t>本或费用，相应增加资本公积。权益工具的公允价值采用布莱克</w:t>
      </w:r>
      <w:r>
        <w:rPr>
          <w:rFonts w:ascii="Times New Roman" w:hAnsi="Times New Roman" w:cs="Times New Roman" w:eastAsia="Times New Roman" w:hint="default"/>
          <w:spacing w:val="-4"/>
        </w:rPr>
        <w:t>-</w:t>
      </w:r>
      <w:r>
        <w:rPr>
          <w:spacing w:val="-4"/>
        </w:rPr>
        <w:t>斯科尔斯模型确定，</w:t>
      </w:r>
      <w:r>
        <w:rPr>
          <w:spacing w:val="-94"/>
        </w:rPr>
        <w:t> </w:t>
      </w:r>
      <w:r>
        <w:rPr/>
        <w:t>参见附注十一、股份支付。</w:t>
      </w:r>
    </w:p>
    <w:p>
      <w:pPr>
        <w:spacing w:line="240" w:lineRule="auto" w:before="3"/>
        <w:rPr>
          <w:rFonts w:ascii="宋体" w:hAnsi="宋体" w:cs="宋体" w:eastAsia="宋体" w:hint="default"/>
          <w:sz w:val="21"/>
          <w:szCs w:val="21"/>
        </w:rPr>
      </w:pPr>
    </w:p>
    <w:p>
      <w:pPr>
        <w:pStyle w:val="BodyText"/>
        <w:spacing w:line="237" w:lineRule="auto"/>
        <w:ind w:right="0"/>
        <w:jc w:val="left"/>
      </w:pPr>
      <w:r>
        <w:rPr>
          <w:spacing w:val="-2"/>
        </w:rPr>
        <w:t>在满足业绩条件和服务期限条件的期间，应确认以权益结算的股份支付的成本或费用，</w:t>
      </w:r>
      <w:r>
        <w:rPr>
          <w:spacing w:val="-92"/>
        </w:rPr>
        <w:t> </w:t>
      </w:r>
      <w:r>
        <w:rPr>
          <w:spacing w:val="-92"/>
        </w:rPr>
      </w:r>
      <w:r>
        <w:rPr/>
        <w:t>并相应增加资本公积。可行权日之前，于每个资产负债表日为以权益结算的股份支付</w:t>
      </w:r>
      <w:r>
        <w:rPr/>
        <w:t> 确认的累计金额反映了等待期已届满的部分以及本集团对最终可行权的权益工具数 量的最佳估计。</w:t>
      </w:r>
    </w:p>
    <w:p>
      <w:pPr>
        <w:spacing w:line="240" w:lineRule="auto" w:before="5"/>
        <w:rPr>
          <w:rFonts w:ascii="宋体" w:hAnsi="宋体" w:cs="宋体" w:eastAsia="宋体" w:hint="default"/>
          <w:sz w:val="21"/>
          <w:szCs w:val="21"/>
        </w:rPr>
      </w:pPr>
    </w:p>
    <w:p>
      <w:pPr>
        <w:pStyle w:val="BodyText"/>
        <w:spacing w:line="232" w:lineRule="auto"/>
        <w:ind w:right="352"/>
        <w:jc w:val="both"/>
      </w:pPr>
      <w:r>
        <w:rPr>
          <w:spacing w:val="-3"/>
        </w:rPr>
        <w:t>对由于未满足非市场条件和</w:t>
      </w:r>
      <w:r>
        <w:rPr>
          <w:rFonts w:ascii="Times New Roman" w:hAnsi="Times New Roman" w:cs="Times New Roman" w:eastAsia="Times New Roman" w:hint="default"/>
          <w:spacing w:val="-3"/>
        </w:rPr>
        <w:t>/</w:t>
      </w:r>
      <w:r>
        <w:rPr>
          <w:spacing w:val="-3"/>
        </w:rPr>
        <w:t>或服务期限条件而最终未能行权的股份支付，不确认成本</w:t>
      </w:r>
      <w:r>
        <w:rPr>
          <w:spacing w:val="-118"/>
        </w:rPr>
        <w:t> </w:t>
      </w:r>
      <w:r>
        <w:rPr>
          <w:spacing w:val="-118"/>
        </w:rPr>
      </w:r>
      <w:r>
        <w:rPr>
          <w:spacing w:val="-2"/>
        </w:rPr>
        <w:t>或费用。股份支付协议中规定了市场条件或非可行权条件的，无论是否满足市场条件</w:t>
      </w:r>
      <w:r>
        <w:rPr>
          <w:spacing w:val="-94"/>
        </w:rPr>
        <w:t> </w:t>
      </w:r>
      <w:r>
        <w:rPr>
          <w:spacing w:val="-94"/>
        </w:rPr>
      </w:r>
      <w:r>
        <w:rPr/>
        <w:t>或非可行权条件，只要满足所有其他业绩条件和</w:t>
      </w:r>
      <w:r>
        <w:rPr>
          <w:rFonts w:ascii="Times New Roman" w:hAnsi="Times New Roman" w:cs="Times New Roman" w:eastAsia="Times New Roman" w:hint="default"/>
        </w:rPr>
        <w:t>/</w:t>
      </w:r>
      <w:r>
        <w:rPr/>
        <w:t>或服务期限条件，即视为可行权。</w:t>
      </w:r>
    </w:p>
    <w:p>
      <w:pPr>
        <w:spacing w:line="240" w:lineRule="auto" w:before="12"/>
        <w:rPr>
          <w:rFonts w:ascii="宋体" w:hAnsi="宋体" w:cs="宋体" w:eastAsia="宋体" w:hint="default"/>
          <w:sz w:val="19"/>
          <w:szCs w:val="19"/>
        </w:rPr>
      </w:pPr>
    </w:p>
    <w:p>
      <w:pPr>
        <w:pStyle w:val="BodyText"/>
        <w:spacing w:line="237" w:lineRule="auto"/>
        <w:ind w:right="355"/>
        <w:jc w:val="both"/>
      </w:pPr>
      <w:r>
        <w:rPr>
          <w:spacing w:val="-2"/>
        </w:rPr>
        <w:t>如果修改了以权益结算的股份支付的条款，至少按照未修改条款的情况确认取得的服</w:t>
      </w:r>
      <w:r>
        <w:rPr>
          <w:spacing w:val="-94"/>
        </w:rPr>
        <w:t> </w:t>
      </w:r>
      <w:r>
        <w:rPr>
          <w:spacing w:val="-94"/>
        </w:rPr>
      </w:r>
      <w:r>
        <w:rPr>
          <w:spacing w:val="-2"/>
        </w:rPr>
        <w:t>务。此外，增加所授予权益工具公允价值的修改，或在修改日对职工有利的变更，均</w:t>
      </w:r>
      <w:r>
        <w:rPr>
          <w:spacing w:val="-94"/>
        </w:rPr>
        <w:t> </w:t>
      </w:r>
      <w:r>
        <w:rPr>
          <w:spacing w:val="-94"/>
        </w:rPr>
      </w:r>
      <w:r>
        <w:rPr/>
        <w:t>确认取得服务的增加。</w:t>
      </w:r>
    </w:p>
    <w:p>
      <w:pPr>
        <w:spacing w:line="240" w:lineRule="auto" w:before="2"/>
        <w:rPr>
          <w:rFonts w:ascii="宋体" w:hAnsi="宋体" w:cs="宋体" w:eastAsia="宋体" w:hint="default"/>
          <w:sz w:val="21"/>
          <w:szCs w:val="21"/>
        </w:rPr>
      </w:pPr>
    </w:p>
    <w:p>
      <w:pPr>
        <w:pStyle w:val="BodyText"/>
        <w:spacing w:line="237" w:lineRule="auto"/>
        <w:ind w:right="353"/>
        <w:jc w:val="both"/>
      </w:pPr>
      <w:r>
        <w:rPr>
          <w:spacing w:val="-2"/>
        </w:rPr>
        <w:t>如果取消了以权益结算的股份支付，则于取消日作为加速行权处理，立即确认尚未确</w:t>
      </w:r>
      <w:r>
        <w:rPr>
          <w:spacing w:val="-94"/>
        </w:rPr>
        <w:t> </w:t>
      </w:r>
      <w:r>
        <w:rPr>
          <w:spacing w:val="-94"/>
        </w:rPr>
      </w:r>
      <w:r>
        <w:rPr>
          <w:spacing w:val="-2"/>
        </w:rPr>
        <w:t>认的金额。职工或其他方能够选择满足非可行权条件但在等待期内未满足的，作为取</w:t>
      </w:r>
      <w:r>
        <w:rPr>
          <w:spacing w:val="-94"/>
        </w:rPr>
        <w:t> </w:t>
      </w:r>
      <w:r>
        <w:rPr>
          <w:spacing w:val="-94"/>
        </w:rPr>
      </w:r>
      <w:r>
        <w:rPr>
          <w:spacing w:val="-2"/>
        </w:rPr>
        <w:t>消以权益结算的股份支付处理。但是，如果授予新的权益工具，并在新权益工具授予</w:t>
      </w:r>
    </w:p>
    <w:p>
      <w:pPr>
        <w:spacing w:after="0" w:line="237" w:lineRule="auto"/>
        <w:jc w:val="both"/>
        <w:sectPr>
          <w:footerReference w:type="default" r:id="rId56"/>
          <w:pgSz w:w="11910" w:h="16840"/>
          <w:pgMar w:footer="1195" w:header="882" w:top="1120" w:bottom="1380" w:left="1140" w:right="1440"/>
        </w:sectPr>
      </w:pPr>
    </w:p>
    <w:p>
      <w:pPr>
        <w:spacing w:line="240" w:lineRule="auto" w:before="13"/>
        <w:rPr>
          <w:rFonts w:ascii="宋体" w:hAnsi="宋体" w:cs="宋体" w:eastAsia="宋体" w:hint="default"/>
          <w:sz w:val="18"/>
          <w:szCs w:val="18"/>
        </w:rPr>
      </w:pPr>
    </w:p>
    <w:p>
      <w:pPr>
        <w:pStyle w:val="BodyText"/>
        <w:spacing w:line="240" w:lineRule="auto" w:before="26"/>
        <w:ind w:right="0"/>
        <w:jc w:val="left"/>
      </w:pPr>
      <w:r>
        <w:rPr>
          <w:spacing w:val="-2"/>
        </w:rPr>
        <w:t>日认定所授予的新权益工具是用于替代被取消的权益工具的，则以与处理原权益工具</w:t>
      </w:r>
      <w:r>
        <w:rPr>
          <w:spacing w:val="-93"/>
        </w:rPr>
        <w:t> </w:t>
      </w:r>
      <w:r>
        <w:rPr>
          <w:spacing w:val="-93"/>
        </w:rPr>
      </w:r>
      <w:r>
        <w:rPr/>
        <w:t>条款和条件修改相同的方式，对所授予的替代权益工具进行处理。</w:t>
      </w:r>
    </w:p>
    <w:p>
      <w:pPr>
        <w:spacing w:line="240" w:lineRule="auto" w:before="4"/>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35.</w:t>
      </w:r>
      <w:r>
        <w:rPr>
          <w:rFonts w:ascii="宋体" w:hAnsi="宋体" w:cs="宋体" w:eastAsia="宋体" w:hint="default"/>
          <w:spacing w:val="-60"/>
        </w:rPr>
        <w:t> </w:t>
      </w:r>
      <w:r>
        <w:rPr/>
        <w:t>优先股、永续债等其他金融工具</w:t>
      </w:r>
      <w:r>
        <w:rPr>
          <w:b w:val="0"/>
          <w:bCs w:val="0"/>
        </w:rPr>
      </w:r>
    </w:p>
    <w:p>
      <w:pPr>
        <w:pStyle w:val="BodyText"/>
        <w:tabs>
          <w:tab w:pos="1097" w:val="left" w:leader="none"/>
        </w:tabs>
        <w:spacing w:line="240" w:lineRule="auto" w:before="58"/>
        <w:ind w:right="0"/>
        <w:jc w:val="left"/>
      </w:pPr>
      <w:r>
        <w:rPr/>
        <w:t>□适用</w:t>
        <w:tab/>
        <w:t>√不适用</w:t>
      </w:r>
    </w:p>
    <w:p>
      <w:pPr>
        <w:spacing w:line="240" w:lineRule="auto" w:before="7"/>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36.</w:t>
      </w:r>
      <w:r>
        <w:rPr>
          <w:rFonts w:ascii="宋体" w:hAnsi="宋体" w:cs="宋体" w:eastAsia="宋体" w:hint="default"/>
          <w:spacing w:val="-57"/>
        </w:rPr>
        <w:t> </w:t>
      </w:r>
      <w:r>
        <w:rPr/>
        <w:t>收入</w:t>
      </w:r>
      <w:r>
        <w:rPr>
          <w:b w:val="0"/>
          <w:bCs w:val="0"/>
        </w:rPr>
      </w:r>
    </w:p>
    <w:p>
      <w:pPr>
        <w:pStyle w:val="BodyText"/>
        <w:tabs>
          <w:tab w:pos="1097" w:val="left" w:leader="none"/>
        </w:tabs>
        <w:spacing w:line="313" w:lineRule="exact" w:before="55"/>
        <w:ind w:right="0"/>
        <w:jc w:val="left"/>
      </w:pPr>
      <w:r>
        <w:rPr/>
        <w:t>√适用</w:t>
        <w:tab/>
        <w:t>□不适用</w:t>
      </w:r>
    </w:p>
    <w:p>
      <w:pPr>
        <w:pStyle w:val="BodyText"/>
        <w:spacing w:line="230" w:lineRule="auto" w:before="10"/>
        <w:ind w:right="0"/>
        <w:jc w:val="left"/>
      </w:pPr>
      <w:r>
        <w:rPr/>
        <w:t>根据财政部关于修订印发《企业会计准则第</w:t>
      </w:r>
      <w:r>
        <w:rPr>
          <w:spacing w:val="-60"/>
        </w:rPr>
        <w:t> </w:t>
      </w:r>
      <w:r>
        <w:rPr>
          <w:rFonts w:ascii="Times New Roman" w:hAnsi="Times New Roman" w:cs="Times New Roman" w:eastAsia="Times New Roman" w:hint="default"/>
        </w:rPr>
        <w:t>14</w:t>
      </w:r>
      <w:r>
        <w:rPr>
          <w:rFonts w:ascii="Times New Roman" w:hAnsi="Times New Roman" w:cs="Times New Roman" w:eastAsia="Times New Roman" w:hint="default"/>
          <w:spacing w:val="-1"/>
        </w:rPr>
        <w:t> </w:t>
      </w:r>
      <w:r>
        <w:rPr/>
        <w:t>号——收入》</w:t>
      </w:r>
      <w:r>
        <w:rPr>
          <w:rFonts w:ascii="Times New Roman" w:hAnsi="Times New Roman" w:cs="Times New Roman" w:eastAsia="Times New Roman" w:hint="default"/>
        </w:rPr>
        <w:t>(</w:t>
      </w:r>
      <w:r>
        <w:rPr/>
        <w:t>财会〔</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22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的 </w:t>
      </w:r>
      <w:r>
        <w:rPr>
          <w:spacing w:val="-2"/>
        </w:rPr>
        <w:t>通知，本集团之子公司畅捷通，作为在境外上市并采用国际财务报告准则编制财务报</w:t>
      </w:r>
      <w:r>
        <w:rPr>
          <w:spacing w:val="-94"/>
        </w:rPr>
        <w:t> </w:t>
      </w:r>
      <w:r>
        <w:rPr>
          <w:spacing w:val="-94"/>
        </w:rPr>
      </w:r>
      <w:r>
        <w:rPr/>
        <w:t>表的企业，自</w:t>
      </w:r>
      <w:r>
        <w:rPr>
          <w:spacing w:val="-61"/>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日起适用修订后收入准则</w:t>
      </w:r>
      <w:r>
        <w:rPr>
          <w:rFonts w:ascii="Times New Roman" w:hAnsi="Times New Roman" w:cs="Times New Roman" w:eastAsia="Times New Roman" w:hint="default"/>
        </w:rPr>
        <w:t>(</w:t>
      </w:r>
      <w:r>
        <w:rPr/>
        <w:t>以下简称“新收入准则”</w:t>
      </w:r>
      <w:r>
        <w:rPr>
          <w:rFonts w:ascii="Times New Roman" w:hAnsi="Times New Roman" w:cs="Times New Roman" w:eastAsia="Times New Roman" w:hint="default"/>
        </w:rPr>
        <w:t>)</w:t>
      </w:r>
      <w:r>
        <w:rPr/>
        <w:t>。</w:t>
      </w:r>
    </w:p>
    <w:p>
      <w:pPr>
        <w:spacing w:line="240" w:lineRule="auto" w:before="1"/>
        <w:rPr>
          <w:rFonts w:ascii="宋体" w:hAnsi="宋体" w:cs="宋体" w:eastAsia="宋体" w:hint="default"/>
          <w:sz w:val="22"/>
          <w:szCs w:val="22"/>
        </w:rPr>
      </w:pPr>
    </w:p>
    <w:p>
      <w:pPr>
        <w:pStyle w:val="BodyText"/>
        <w:spacing w:line="312" w:lineRule="exact"/>
        <w:ind w:right="0"/>
        <w:jc w:val="left"/>
      </w:pPr>
      <w:r>
        <w:rPr>
          <w:spacing w:val="-2"/>
        </w:rPr>
        <w:t>除本集团之子公司畅捷通外，本公司及其他子公司未适用新收入准则，即收入在经济</w:t>
      </w:r>
      <w:r>
        <w:rPr>
          <w:spacing w:val="-94"/>
        </w:rPr>
        <w:t> </w:t>
      </w:r>
      <w:r>
        <w:rPr>
          <w:spacing w:val="-94"/>
        </w:rPr>
      </w:r>
      <w:r>
        <w:rPr/>
        <w:t>利益很可能流入本集团、且金额能够可靠计量，并同时满足下列条件时予以确认。</w:t>
      </w:r>
    </w:p>
    <w:p>
      <w:pPr>
        <w:spacing w:line="240" w:lineRule="auto" w:before="10"/>
        <w:rPr>
          <w:rFonts w:ascii="宋体" w:hAnsi="宋体" w:cs="宋体" w:eastAsia="宋体" w:hint="default"/>
          <w:sz w:val="18"/>
          <w:szCs w:val="18"/>
        </w:rPr>
      </w:pPr>
    </w:p>
    <w:p>
      <w:pPr>
        <w:pStyle w:val="BodyText"/>
        <w:spacing w:line="240" w:lineRule="auto"/>
        <w:ind w:right="0"/>
        <w:jc w:val="left"/>
      </w:pPr>
      <w:r>
        <w:rPr/>
      </w:r>
      <w:r>
        <w:rPr>
          <w:u w:val="single" w:color="000000"/>
        </w:rPr>
        <w:t>销售商品收入</w:t>
      </w:r>
      <w:r>
        <w:rPr/>
      </w:r>
    </w:p>
    <w:p>
      <w:pPr>
        <w:spacing w:line="240" w:lineRule="auto" w:before="10"/>
        <w:rPr>
          <w:rFonts w:ascii="宋体" w:hAnsi="宋体" w:cs="宋体" w:eastAsia="宋体" w:hint="default"/>
          <w:sz w:val="18"/>
          <w:szCs w:val="18"/>
        </w:rPr>
      </w:pPr>
    </w:p>
    <w:p>
      <w:pPr>
        <w:pStyle w:val="BodyText"/>
        <w:spacing w:line="237" w:lineRule="auto" w:before="28"/>
        <w:ind w:right="113"/>
        <w:jc w:val="both"/>
      </w:pPr>
      <w:r>
        <w:rPr>
          <w:spacing w:val="-2"/>
        </w:rPr>
        <w:t>本集团已将商品所有权上的主要风险和报酬转移给购货方，并不再对该商品保留通常</w:t>
      </w:r>
      <w:r>
        <w:rPr>
          <w:spacing w:val="-94"/>
        </w:rPr>
        <w:t> </w:t>
      </w:r>
      <w:r>
        <w:rPr>
          <w:spacing w:val="-94"/>
        </w:rPr>
      </w:r>
      <w:r>
        <w:rPr>
          <w:spacing w:val="-2"/>
        </w:rPr>
        <w:t>与所有权相联系的继续管理权和实施有效控制，且相关的已发生或将发生的成本能够</w:t>
      </w:r>
      <w:r>
        <w:rPr>
          <w:spacing w:val="-94"/>
        </w:rPr>
        <w:t> </w:t>
      </w:r>
      <w:r>
        <w:rPr>
          <w:spacing w:val="-94"/>
        </w:rPr>
      </w:r>
      <w:r>
        <w:rPr>
          <w:spacing w:val="-2"/>
        </w:rPr>
        <w:t>可靠地计量，确认为收入的实现。销售商品收入金额，按照从购货方已收或应收的合</w:t>
      </w:r>
      <w:r>
        <w:rPr>
          <w:spacing w:val="-94"/>
        </w:rPr>
        <w:t> </w:t>
      </w:r>
      <w:r>
        <w:rPr>
          <w:spacing w:val="-94"/>
        </w:rPr>
      </w:r>
      <w:r>
        <w:rPr>
          <w:spacing w:val="-2"/>
        </w:rPr>
        <w:t>同或协议价款确定，但已收或应收的合同或协议价款不公允的除外；合同或协议价款</w:t>
      </w:r>
      <w:r>
        <w:rPr>
          <w:spacing w:val="-94"/>
        </w:rPr>
        <w:t> </w:t>
      </w:r>
      <w:r>
        <w:rPr>
          <w:spacing w:val="-94"/>
        </w:rPr>
      </w:r>
      <w:r>
        <w:rPr>
          <w:spacing w:val="-2"/>
        </w:rPr>
        <w:t>的收取采用递延方式，实质上具有融资性质的，按照应收的合同或协议价款的公允价</w:t>
      </w:r>
      <w:r>
        <w:rPr>
          <w:spacing w:val="-94"/>
        </w:rPr>
        <w:t> </w:t>
      </w:r>
      <w:r>
        <w:rPr>
          <w:spacing w:val="-94"/>
        </w:rPr>
      </w:r>
      <w:r>
        <w:rPr/>
        <w:t>值确定。</w:t>
      </w:r>
    </w:p>
    <w:p>
      <w:pPr>
        <w:spacing w:line="240" w:lineRule="auto" w:before="2"/>
        <w:rPr>
          <w:rFonts w:ascii="宋体" w:hAnsi="宋体" w:cs="宋体" w:eastAsia="宋体" w:hint="default"/>
          <w:sz w:val="23"/>
          <w:szCs w:val="23"/>
        </w:rPr>
      </w:pPr>
    </w:p>
    <w:p>
      <w:pPr>
        <w:pStyle w:val="BodyText"/>
        <w:spacing w:line="312" w:lineRule="exact"/>
        <w:ind w:right="115"/>
        <w:jc w:val="both"/>
      </w:pPr>
      <w:r>
        <w:rPr>
          <w:spacing w:val="-2"/>
        </w:rPr>
        <w:t>软件产品销售以收到客户收货确认单、且预计相关的经济利益很可能流入企业的原则</w:t>
      </w:r>
      <w:r>
        <w:rPr>
          <w:spacing w:val="-94"/>
        </w:rPr>
        <w:t> </w:t>
      </w:r>
      <w:r>
        <w:rPr>
          <w:spacing w:val="-94"/>
        </w:rPr>
      </w:r>
      <w:r>
        <w:rPr/>
        <w:t>确认收入。</w:t>
      </w:r>
    </w:p>
    <w:p>
      <w:pPr>
        <w:spacing w:line="240" w:lineRule="auto" w:before="10"/>
        <w:rPr>
          <w:rFonts w:ascii="宋体" w:hAnsi="宋体" w:cs="宋体" w:eastAsia="宋体" w:hint="default"/>
          <w:sz w:val="18"/>
          <w:szCs w:val="18"/>
        </w:rPr>
      </w:pPr>
    </w:p>
    <w:p>
      <w:pPr>
        <w:pStyle w:val="BodyText"/>
        <w:spacing w:line="240" w:lineRule="auto"/>
        <w:ind w:right="0"/>
        <w:jc w:val="both"/>
      </w:pPr>
      <w:r>
        <w:rPr/>
      </w:r>
      <w:r>
        <w:rPr>
          <w:u w:val="single" w:color="000000"/>
        </w:rPr>
        <w:t>提供劳务收入</w:t>
      </w:r>
      <w:r>
        <w:rPr/>
      </w:r>
    </w:p>
    <w:p>
      <w:pPr>
        <w:spacing w:line="240" w:lineRule="auto" w:before="10"/>
        <w:rPr>
          <w:rFonts w:ascii="宋体" w:hAnsi="宋体" w:cs="宋体" w:eastAsia="宋体" w:hint="default"/>
          <w:sz w:val="18"/>
          <w:szCs w:val="18"/>
        </w:rPr>
      </w:pPr>
    </w:p>
    <w:p>
      <w:pPr>
        <w:pStyle w:val="BodyText"/>
        <w:spacing w:line="237" w:lineRule="auto" w:before="28"/>
        <w:ind w:right="114"/>
        <w:jc w:val="both"/>
      </w:pPr>
      <w:r>
        <w:rPr>
          <w:spacing w:val="-2"/>
        </w:rPr>
        <w:t>于资产负债表日，在提供劳务交易的结果能够可靠估计的情况下，按完工百分比法确</w:t>
      </w:r>
      <w:r>
        <w:rPr>
          <w:spacing w:val="-93"/>
        </w:rPr>
        <w:t> </w:t>
      </w:r>
      <w:r>
        <w:rPr>
          <w:spacing w:val="-93"/>
        </w:rPr>
      </w:r>
      <w:r>
        <w:rPr>
          <w:spacing w:val="-2"/>
        </w:rPr>
        <w:t>认提供劳务收入；否则按已经发生并预计能够得到补偿的劳务成本金额确认收入。提</w:t>
      </w:r>
      <w:r>
        <w:rPr>
          <w:spacing w:val="-94"/>
        </w:rPr>
        <w:t> </w:t>
      </w:r>
      <w:r>
        <w:rPr>
          <w:spacing w:val="-94"/>
        </w:rPr>
      </w:r>
      <w:r>
        <w:rPr>
          <w:spacing w:val="-2"/>
        </w:rPr>
        <w:t>供劳务交易的结果能够可靠估计，是指同时满足下列条件：收入的金额能够可靠地计</w:t>
      </w:r>
      <w:r>
        <w:rPr>
          <w:spacing w:val="-94"/>
        </w:rPr>
        <w:t> </w:t>
      </w:r>
      <w:r>
        <w:rPr>
          <w:spacing w:val="-94"/>
        </w:rPr>
      </w:r>
      <w:r>
        <w:rPr>
          <w:spacing w:val="-2"/>
        </w:rPr>
        <w:t>量，相关的经济利益很可能流入本集团，交易的完工进度能够可靠地确定，交易中已</w:t>
      </w:r>
      <w:r>
        <w:rPr>
          <w:spacing w:val="-96"/>
        </w:rPr>
        <w:t> </w:t>
      </w:r>
      <w:r>
        <w:rPr>
          <w:spacing w:val="-96"/>
        </w:rPr>
      </w:r>
      <w:r>
        <w:rPr>
          <w:spacing w:val="-1"/>
        </w:rPr>
        <w:t>发生和将发生的成本能够可靠地计量。本集团以已经提供的劳务</w:t>
      </w:r>
      <w:r>
        <w:rPr>
          <w:rFonts w:ascii="Times New Roman" w:hAnsi="Times New Roman" w:cs="Times New Roman" w:eastAsia="Times New Roman" w:hint="default"/>
          <w:spacing w:val="-1"/>
        </w:rPr>
        <w:t>/(</w:t>
      </w:r>
      <w:r>
        <w:rPr>
          <w:spacing w:val="-1"/>
        </w:rPr>
        <w:t>成本</w:t>
      </w:r>
      <w:r>
        <w:rPr>
          <w:rFonts w:ascii="Times New Roman" w:hAnsi="Times New Roman" w:cs="Times New Roman" w:eastAsia="Times New Roman" w:hint="default"/>
          <w:spacing w:val="-1"/>
        </w:rPr>
        <w:t>)</w:t>
      </w:r>
      <w:r>
        <w:rPr>
          <w:spacing w:val="-1"/>
        </w:rPr>
        <w:t>占应提供劳务</w:t>
      </w:r>
    </w:p>
    <w:p>
      <w:pPr>
        <w:pStyle w:val="BodyText"/>
        <w:spacing w:line="230" w:lineRule="auto"/>
        <w:ind w:right="115"/>
        <w:jc w:val="both"/>
      </w:pPr>
      <w:r>
        <w:rPr>
          <w:rFonts w:ascii="Times New Roman" w:hAnsi="Times New Roman" w:cs="Times New Roman" w:eastAsia="Times New Roman" w:hint="default"/>
          <w:spacing w:val="-1"/>
        </w:rPr>
        <w:t>/(</w:t>
      </w:r>
      <w:r>
        <w:rPr>
          <w:spacing w:val="-1"/>
        </w:rPr>
        <w:t>成本</w:t>
      </w:r>
      <w:r>
        <w:rPr>
          <w:rFonts w:ascii="Times New Roman" w:hAnsi="Times New Roman" w:cs="Times New Roman" w:eastAsia="Times New Roman" w:hint="default"/>
          <w:spacing w:val="-1"/>
        </w:rPr>
        <w:t>)</w:t>
      </w:r>
      <w:r>
        <w:rPr>
          <w:spacing w:val="-1"/>
        </w:rPr>
        <w:t>总量的比例确定提供劳务交易的完工进度。提供劳务收入总额，按照从接受劳</w:t>
      </w:r>
      <w:r>
        <w:rPr>
          <w:spacing w:val="-118"/>
        </w:rPr>
        <w:t> </w:t>
      </w:r>
      <w:r>
        <w:rPr>
          <w:spacing w:val="-118"/>
        </w:rPr>
      </w:r>
      <w:r>
        <w:rPr>
          <w:spacing w:val="-2"/>
        </w:rPr>
        <w:t>务方已收或应收的合同或协议价款确定，但已收或应收的合同或协议价款不公允的除</w:t>
      </w:r>
      <w:r>
        <w:rPr>
          <w:spacing w:val="-95"/>
        </w:rPr>
        <w:t> </w:t>
      </w:r>
      <w:r>
        <w:rPr>
          <w:spacing w:val="-95"/>
        </w:rPr>
      </w:r>
      <w:r>
        <w:rPr/>
        <w:t>外。</w:t>
      </w:r>
    </w:p>
    <w:p>
      <w:pPr>
        <w:spacing w:line="240" w:lineRule="auto" w:before="0"/>
        <w:rPr>
          <w:rFonts w:ascii="宋体" w:hAnsi="宋体" w:cs="宋体" w:eastAsia="宋体" w:hint="default"/>
          <w:sz w:val="21"/>
          <w:szCs w:val="21"/>
        </w:rPr>
      </w:pPr>
    </w:p>
    <w:p>
      <w:pPr>
        <w:pStyle w:val="BodyText"/>
        <w:spacing w:line="240" w:lineRule="auto"/>
        <w:ind w:right="0"/>
        <w:jc w:val="both"/>
      </w:pPr>
      <w:r>
        <w:rPr/>
      </w:r>
      <w:r>
        <w:rPr>
          <w:u w:val="single" w:color="000000"/>
        </w:rPr>
        <w:t>服务费收入</w:t>
      </w:r>
      <w:r>
        <w:rPr/>
      </w:r>
    </w:p>
    <w:p>
      <w:pPr>
        <w:spacing w:line="240" w:lineRule="auto" w:before="12"/>
        <w:rPr>
          <w:rFonts w:ascii="宋体" w:hAnsi="宋体" w:cs="宋体" w:eastAsia="宋体" w:hint="default"/>
          <w:sz w:val="18"/>
          <w:szCs w:val="18"/>
        </w:rPr>
      </w:pPr>
    </w:p>
    <w:p>
      <w:pPr>
        <w:pStyle w:val="BodyText"/>
        <w:spacing w:line="240" w:lineRule="auto" w:before="26"/>
        <w:ind w:right="0"/>
        <w:jc w:val="both"/>
      </w:pPr>
      <w:r>
        <w:rPr/>
        <w:t>按照有关合同或协议约定的收费方法，在被服务双方结算时确认。</w:t>
      </w:r>
    </w:p>
    <w:p>
      <w:pPr>
        <w:spacing w:line="240" w:lineRule="auto" w:before="1"/>
        <w:rPr>
          <w:rFonts w:ascii="宋体" w:hAnsi="宋体" w:cs="宋体" w:eastAsia="宋体" w:hint="default"/>
          <w:sz w:val="23"/>
          <w:szCs w:val="23"/>
        </w:rPr>
      </w:pPr>
    </w:p>
    <w:p>
      <w:pPr>
        <w:pStyle w:val="BodyText"/>
        <w:spacing w:line="312" w:lineRule="exact"/>
        <w:ind w:right="115"/>
        <w:jc w:val="both"/>
      </w:pPr>
      <w:r>
        <w:rPr>
          <w:spacing w:val="-2"/>
        </w:rPr>
        <w:t>本集团服务费收入主要为互联网金融服务费收入。本公司之子公司深圳前海用友力合</w:t>
      </w:r>
      <w:r>
        <w:rPr>
          <w:spacing w:val="-94"/>
        </w:rPr>
        <w:t> </w:t>
      </w:r>
      <w:r>
        <w:rPr>
          <w:spacing w:val="-94"/>
        </w:rPr>
      </w:r>
      <w:r>
        <w:rPr>
          <w:spacing w:val="-2"/>
        </w:rPr>
        <w:t>金融服务有限公司主要提供互联网金融信息中介服务，为借款人与出借人（包括机构</w:t>
      </w:r>
      <w:r>
        <w:rPr>
          <w:spacing w:val="-94"/>
        </w:rPr>
        <w:t> </w:t>
      </w:r>
      <w:r>
        <w:rPr>
          <w:spacing w:val="-94"/>
        </w:rPr>
      </w:r>
      <w:r>
        <w:rPr>
          <w:spacing w:val="-2"/>
        </w:rPr>
        <w:t>和个人）之间的直接借贷提供信息撮合等中介服务，依据协议在提供信息中介服务时</w:t>
      </w:r>
    </w:p>
    <w:p>
      <w:pPr>
        <w:spacing w:after="0" w:line="312" w:lineRule="exact"/>
        <w:jc w:val="both"/>
        <w:sectPr>
          <w:footerReference w:type="default" r:id="rId57"/>
          <w:pgSz w:w="11910" w:h="16840"/>
          <w:pgMar w:footer="1195" w:header="882" w:top="1120" w:bottom="1380" w:left="1140" w:right="1680"/>
          <w:pgNumType w:start="51"/>
        </w:sectPr>
      </w:pPr>
    </w:p>
    <w:p>
      <w:pPr>
        <w:spacing w:line="240" w:lineRule="auto" w:before="13"/>
        <w:rPr>
          <w:rFonts w:ascii="宋体" w:hAnsi="宋体" w:cs="宋体" w:eastAsia="宋体" w:hint="default"/>
          <w:sz w:val="18"/>
          <w:szCs w:val="18"/>
        </w:rPr>
      </w:pPr>
    </w:p>
    <w:p>
      <w:pPr>
        <w:pStyle w:val="BodyText"/>
        <w:spacing w:line="312" w:lineRule="exact" w:before="56"/>
        <w:ind w:right="450"/>
        <w:jc w:val="left"/>
      </w:pPr>
      <w:r>
        <w:rPr/>
        <w:t>确认服务费收入。本公司之子公司北京畅捷通支付技术有限公司</w:t>
      </w:r>
      <w:r>
        <w:rPr>
          <w:rFonts w:ascii="Times New Roman" w:hAnsi="Times New Roman" w:cs="Times New Roman" w:eastAsia="Times New Roman" w:hint="default"/>
        </w:rPr>
        <w:t>(</w:t>
      </w:r>
      <w:r>
        <w:rPr/>
        <w:t>以下简称“畅捷支 付”</w:t>
      </w:r>
      <w:r>
        <w:rPr>
          <w:rFonts w:ascii="Times New Roman" w:hAnsi="Times New Roman" w:cs="Times New Roman" w:eastAsia="Times New Roman" w:hint="default"/>
        </w:rPr>
        <w:t>)</w:t>
      </w:r>
      <w:r>
        <w:rPr/>
        <w:t>主要提供支付结算服务，提供相关服务时确认服务费收入。</w:t>
      </w:r>
    </w:p>
    <w:p>
      <w:pPr>
        <w:spacing w:line="240" w:lineRule="auto" w:before="7"/>
        <w:rPr>
          <w:rFonts w:ascii="宋体" w:hAnsi="宋体" w:cs="宋体" w:eastAsia="宋体" w:hint="default"/>
          <w:sz w:val="18"/>
          <w:szCs w:val="18"/>
        </w:rPr>
      </w:pPr>
    </w:p>
    <w:p>
      <w:pPr>
        <w:pStyle w:val="BodyText"/>
        <w:spacing w:line="240" w:lineRule="auto"/>
        <w:ind w:right="0"/>
        <w:jc w:val="left"/>
      </w:pPr>
      <w:r>
        <w:rPr/>
      </w:r>
      <w:r>
        <w:rPr>
          <w:u w:val="single" w:color="000000"/>
        </w:rPr>
        <w:t>利息收入</w:t>
      </w:r>
      <w:r>
        <w:rPr/>
      </w:r>
    </w:p>
    <w:p>
      <w:pPr>
        <w:spacing w:line="240" w:lineRule="auto" w:before="12"/>
        <w:rPr>
          <w:rFonts w:ascii="宋体" w:hAnsi="宋体" w:cs="宋体" w:eastAsia="宋体" w:hint="default"/>
          <w:sz w:val="18"/>
          <w:szCs w:val="18"/>
        </w:rPr>
      </w:pPr>
    </w:p>
    <w:p>
      <w:pPr>
        <w:pStyle w:val="BodyText"/>
        <w:spacing w:line="448" w:lineRule="auto" w:before="26"/>
        <w:ind w:right="2930"/>
        <w:jc w:val="left"/>
      </w:pPr>
      <w:r>
        <w:rPr/>
        <w:t>按照他人使用本集团货币资金的时间和实际利率计算确定。 </w:t>
      </w:r>
      <w:r>
        <w:rPr>
          <w:u w:val="single" w:color="000000"/>
        </w:rPr>
        <w:t>使用费收入</w:t>
      </w:r>
      <w:r>
        <w:rPr/>
      </w:r>
    </w:p>
    <w:p>
      <w:pPr>
        <w:pStyle w:val="BodyText"/>
        <w:spacing w:line="448" w:lineRule="auto" w:before="62"/>
        <w:ind w:right="3410"/>
        <w:jc w:val="left"/>
      </w:pPr>
      <w:r>
        <w:rPr/>
        <w:t>按照有关合同或协议约定的收费时间和方法计算确定。 </w:t>
      </w:r>
      <w:r>
        <w:rPr>
          <w:u w:val="single" w:color="000000"/>
        </w:rPr>
        <w:t>租赁收入</w:t>
      </w:r>
      <w:r>
        <w:rPr/>
      </w:r>
    </w:p>
    <w:p>
      <w:pPr>
        <w:pStyle w:val="BodyText"/>
        <w:spacing w:line="446" w:lineRule="auto" w:before="65"/>
        <w:ind w:right="0"/>
        <w:jc w:val="left"/>
      </w:pPr>
      <w:r>
        <w:rPr/>
        <w:t>经营租赁的租金收入在租赁期内各个期间按照直线法确认。 本集团之子公司畅捷通适用新收入准则，即以下政策：</w:t>
      </w:r>
    </w:p>
    <w:p>
      <w:pPr>
        <w:pStyle w:val="BodyText"/>
        <w:spacing w:line="237" w:lineRule="auto" w:before="70"/>
        <w:ind w:right="0"/>
        <w:jc w:val="left"/>
      </w:pPr>
      <w:r>
        <w:rPr>
          <w:spacing w:val="-2"/>
        </w:rPr>
        <w:t>畅捷通在履行了合同中的履约义务，即在客户取得相关商品或服务控制权时确认收入。</w:t>
      </w:r>
      <w:r>
        <w:rPr>
          <w:spacing w:val="-92"/>
        </w:rPr>
        <w:t> </w:t>
      </w:r>
      <w:r>
        <w:rPr>
          <w:spacing w:val="-92"/>
        </w:rPr>
      </w:r>
      <w:r>
        <w:rPr/>
        <w:t>取得相关商品或服务的控制权，是指能够主导该商品的使用或该服务的提供并从中获</w:t>
      </w:r>
      <w:r>
        <w:rPr/>
        <w:t> 得几乎全部的经济利益。</w:t>
      </w:r>
    </w:p>
    <w:p>
      <w:pPr>
        <w:spacing w:line="240" w:lineRule="auto" w:before="13"/>
        <w:rPr>
          <w:rFonts w:ascii="宋体" w:hAnsi="宋体" w:cs="宋体" w:eastAsia="宋体" w:hint="default"/>
          <w:sz w:val="20"/>
          <w:szCs w:val="20"/>
        </w:rPr>
      </w:pPr>
    </w:p>
    <w:p>
      <w:pPr>
        <w:pStyle w:val="BodyText"/>
        <w:spacing w:line="240" w:lineRule="auto"/>
        <w:ind w:right="0"/>
        <w:jc w:val="left"/>
      </w:pPr>
      <w:r>
        <w:rPr/>
      </w:r>
      <w:r>
        <w:rPr>
          <w:u w:val="single" w:color="000000"/>
        </w:rPr>
        <w:t>销售商品合同</w:t>
      </w:r>
      <w:r>
        <w:rPr/>
      </w:r>
    </w:p>
    <w:p>
      <w:pPr>
        <w:spacing w:line="240" w:lineRule="auto" w:before="12"/>
        <w:rPr>
          <w:rFonts w:ascii="宋体" w:hAnsi="宋体" w:cs="宋体" w:eastAsia="宋体" w:hint="default"/>
          <w:sz w:val="18"/>
          <w:szCs w:val="18"/>
        </w:rPr>
      </w:pPr>
    </w:p>
    <w:p>
      <w:pPr>
        <w:pStyle w:val="BodyText"/>
        <w:spacing w:line="237" w:lineRule="auto" w:before="28"/>
        <w:ind w:right="0"/>
        <w:jc w:val="left"/>
      </w:pPr>
      <w:r>
        <w:rPr/>
        <w:t>畅捷通与客户之间的销售商品合同通常包含销售软件产品及提供售后支持服务的履 </w:t>
      </w:r>
      <w:r>
        <w:rPr>
          <w:spacing w:val="-2"/>
        </w:rPr>
        <w:t>约义务。畅捷通通常在综合考虑了下列因素的基础上，以集团发出软件商品时点确认</w:t>
      </w:r>
      <w:r>
        <w:rPr>
          <w:spacing w:val="-94"/>
        </w:rPr>
        <w:t> </w:t>
      </w:r>
      <w:r>
        <w:rPr>
          <w:spacing w:val="-94"/>
        </w:rPr>
      </w:r>
      <w:r>
        <w:rPr>
          <w:spacing w:val="-2"/>
        </w:rPr>
        <w:t>销售软件产品收入：取得商品的现时收款权利、商品所有权上的主要风险和报酬的转</w:t>
      </w:r>
      <w:r>
        <w:rPr>
          <w:spacing w:val="-94"/>
        </w:rPr>
        <w:t> </w:t>
      </w:r>
      <w:r>
        <w:rPr>
          <w:spacing w:val="-94"/>
        </w:rPr>
      </w:r>
      <w:r>
        <w:rPr>
          <w:spacing w:val="-2"/>
        </w:rPr>
        <w:t>移、商品的法定所有权的转移、商品实物资产的转移、客户接受该商品。对于提供售</w:t>
      </w:r>
      <w:r>
        <w:rPr>
          <w:spacing w:val="-94"/>
        </w:rPr>
        <w:t> </w:t>
      </w:r>
      <w:r>
        <w:rPr>
          <w:spacing w:val="-94"/>
        </w:rPr>
      </w:r>
      <w:r>
        <w:rPr/>
        <w:t>后支持服务的履约义务，畅捷通按照下述提供服务合同相关政策确认收入。</w:t>
      </w:r>
    </w:p>
    <w:p>
      <w:pPr>
        <w:spacing w:line="240" w:lineRule="auto" w:before="10"/>
        <w:rPr>
          <w:rFonts w:ascii="宋体" w:hAnsi="宋体" w:cs="宋体" w:eastAsia="宋体" w:hint="default"/>
          <w:sz w:val="20"/>
          <w:szCs w:val="20"/>
        </w:rPr>
      </w:pPr>
    </w:p>
    <w:p>
      <w:pPr>
        <w:pStyle w:val="BodyText"/>
        <w:spacing w:line="240" w:lineRule="auto"/>
        <w:ind w:right="0"/>
        <w:jc w:val="left"/>
      </w:pPr>
      <w:r>
        <w:rPr/>
      </w:r>
      <w:r>
        <w:rPr>
          <w:u w:val="single" w:color="000000"/>
        </w:rPr>
        <w:t>提供服务合同</w:t>
      </w:r>
      <w:r>
        <w:rPr/>
      </w:r>
    </w:p>
    <w:p>
      <w:pPr>
        <w:spacing w:line="240" w:lineRule="auto" w:before="12"/>
        <w:rPr>
          <w:rFonts w:ascii="宋体" w:hAnsi="宋体" w:cs="宋体" w:eastAsia="宋体" w:hint="default"/>
          <w:sz w:val="18"/>
          <w:szCs w:val="18"/>
        </w:rPr>
      </w:pPr>
    </w:p>
    <w:p>
      <w:pPr>
        <w:pStyle w:val="BodyText"/>
        <w:spacing w:line="237" w:lineRule="auto" w:before="28"/>
        <w:ind w:right="0"/>
        <w:jc w:val="left"/>
      </w:pPr>
      <w:r>
        <w:rPr/>
        <w:t>畅捷通与客户之间的提供服务合同通常包含云服务业务中提供云服务的履约义务，由 于畅捷通履约的同时客户即取得并消耗畅捷通履约所带来的经济利益，畅捷通将其作 为在某一时段内履行的履约义务，按照履约进度确认收入，履约进度不能合理确定的 除外。畅捷通按照投入法确定提供服务的履约进度。对于履约进度不能合理确定时，</w:t>
      </w:r>
      <w:r>
        <w:rPr>
          <w:spacing w:val="-63"/>
        </w:rPr>
        <w:t> </w:t>
      </w:r>
      <w:r>
        <w:rPr>
          <w:spacing w:val="-63"/>
        </w:rPr>
      </w:r>
      <w:r>
        <w:rPr/>
        <w:t>畅捷通已经发生的成本预计能够得到补偿的，按照已经发生的成本金额确认收入，直</w:t>
      </w:r>
      <w:r>
        <w:rPr/>
        <w:t> 到履约进度能够合理确定为止。</w:t>
      </w:r>
    </w:p>
    <w:p>
      <w:pPr>
        <w:spacing w:line="240" w:lineRule="auto" w:before="13"/>
        <w:rPr>
          <w:rFonts w:ascii="宋体" w:hAnsi="宋体" w:cs="宋体" w:eastAsia="宋体" w:hint="default"/>
          <w:sz w:val="20"/>
          <w:szCs w:val="20"/>
        </w:rPr>
      </w:pPr>
    </w:p>
    <w:p>
      <w:pPr>
        <w:pStyle w:val="BodyText"/>
        <w:spacing w:line="240" w:lineRule="auto"/>
        <w:ind w:right="0"/>
        <w:jc w:val="left"/>
      </w:pPr>
      <w:r>
        <w:rPr/>
      </w:r>
      <w:r>
        <w:rPr>
          <w:u w:val="single" w:color="000000"/>
        </w:rPr>
        <w:t>应付客户对价</w:t>
      </w:r>
      <w:r>
        <w:rPr/>
      </w:r>
    </w:p>
    <w:p>
      <w:pPr>
        <w:spacing w:line="240" w:lineRule="auto" w:before="12"/>
        <w:rPr>
          <w:rFonts w:ascii="宋体" w:hAnsi="宋体" w:cs="宋体" w:eastAsia="宋体" w:hint="default"/>
          <w:sz w:val="18"/>
          <w:szCs w:val="18"/>
        </w:rPr>
      </w:pPr>
    </w:p>
    <w:p>
      <w:pPr>
        <w:pStyle w:val="BodyText"/>
        <w:spacing w:line="230" w:lineRule="auto" w:before="37"/>
        <w:ind w:right="355"/>
        <w:jc w:val="both"/>
      </w:pPr>
      <w:r>
        <w:rPr>
          <w:spacing w:val="-2"/>
        </w:rPr>
        <w:t>对于应付客户对价，畅捷通将该应付客户对价冲减交易价格，并在确认相关收入与支</w:t>
      </w:r>
      <w:r>
        <w:rPr>
          <w:spacing w:val="-94"/>
        </w:rPr>
        <w:t> </w:t>
      </w:r>
      <w:r>
        <w:rPr>
          <w:spacing w:val="-94"/>
        </w:rPr>
      </w:r>
      <w:r>
        <w:rPr/>
        <w:t>付</w:t>
      </w:r>
      <w:r>
        <w:rPr>
          <w:rFonts w:ascii="Times New Roman" w:hAnsi="Times New Roman" w:cs="Times New Roman" w:eastAsia="Times New Roman" w:hint="default"/>
        </w:rPr>
        <w:t>(</w:t>
      </w:r>
      <w:r>
        <w:rPr/>
        <w:t>或承诺支付</w:t>
      </w:r>
      <w:r>
        <w:rPr>
          <w:rFonts w:ascii="Times New Roman" w:hAnsi="Times New Roman" w:cs="Times New Roman" w:eastAsia="Times New Roman" w:hint="default"/>
        </w:rPr>
        <w:t>)</w:t>
      </w:r>
      <w:r>
        <w:rPr/>
        <w:t>客户对价二者孰晚的时点冲减当期收入，除非该应付对价是为了向客 户取得其他可明确区分商品。</w:t>
      </w:r>
    </w:p>
    <w:p>
      <w:pPr>
        <w:spacing w:after="0" w:line="230" w:lineRule="auto"/>
        <w:jc w:val="both"/>
        <w:sectPr>
          <w:pgSz w:w="11910" w:h="16840"/>
          <w:pgMar w:header="882" w:footer="1195" w:top="1120" w:bottom="1380" w:left="1140" w:right="1440"/>
        </w:sectPr>
      </w:pPr>
    </w:p>
    <w:p>
      <w:pPr>
        <w:spacing w:line="240" w:lineRule="auto" w:before="13"/>
        <w:rPr>
          <w:rFonts w:ascii="宋体" w:hAnsi="宋体" w:cs="宋体" w:eastAsia="宋体" w:hint="default"/>
          <w:sz w:val="18"/>
          <w:szCs w:val="18"/>
        </w:rPr>
      </w:pPr>
    </w:p>
    <w:p>
      <w:pPr>
        <w:pStyle w:val="Heading2"/>
        <w:spacing w:line="240" w:lineRule="auto" w:before="26"/>
        <w:ind w:left="136" w:right="0"/>
        <w:jc w:val="left"/>
        <w:rPr>
          <w:b w:val="0"/>
          <w:bCs w:val="0"/>
        </w:rPr>
      </w:pPr>
      <w:r>
        <w:rPr>
          <w:rFonts w:ascii="宋体" w:hAnsi="宋体" w:cs="宋体" w:eastAsia="宋体" w:hint="default"/>
        </w:rPr>
        <w:t>37.</w:t>
      </w:r>
      <w:r>
        <w:rPr>
          <w:rFonts w:ascii="宋体" w:hAnsi="宋体" w:cs="宋体" w:eastAsia="宋体" w:hint="default"/>
          <w:spacing w:val="-59"/>
        </w:rPr>
        <w:t> </w:t>
      </w:r>
      <w:r>
        <w:rPr/>
        <w:t>政府补助</w:t>
      </w:r>
      <w:r>
        <w:rPr>
          <w:b w:val="0"/>
          <w:bCs w:val="0"/>
        </w:rPr>
      </w:r>
    </w:p>
    <w:p>
      <w:pPr>
        <w:pStyle w:val="BodyText"/>
        <w:spacing w:line="237" w:lineRule="auto" w:before="61"/>
        <w:ind w:right="0"/>
        <w:jc w:val="left"/>
      </w:pPr>
      <w:r>
        <w:rPr/>
        <w:t>√适用 □不适用 政府补助在能够满足其所附的条件并且能够收到时，予以确认。政府补助为货币性资 </w:t>
      </w:r>
      <w:r>
        <w:rPr>
          <w:spacing w:val="-8"/>
        </w:rPr>
        <w:t>产的，按照收到或应收的金额计量。政府补助为非货币性资产的，按照公允价值计量；</w:t>
      </w:r>
      <w:r>
        <w:rPr>
          <w:spacing w:val="-104"/>
        </w:rPr>
        <w:t> </w:t>
      </w:r>
      <w:r>
        <w:rPr>
          <w:spacing w:val="-104"/>
        </w:rPr>
      </w:r>
      <w:r>
        <w:rPr/>
        <w:t>公允价值不能可靠取得的，按照名义金额计量。</w:t>
      </w:r>
    </w:p>
    <w:p>
      <w:pPr>
        <w:spacing w:line="240" w:lineRule="auto" w:before="13"/>
        <w:rPr>
          <w:rFonts w:ascii="宋体" w:hAnsi="宋体" w:cs="宋体" w:eastAsia="宋体" w:hint="default"/>
          <w:sz w:val="20"/>
          <w:szCs w:val="20"/>
        </w:rPr>
      </w:pPr>
    </w:p>
    <w:p>
      <w:pPr>
        <w:pStyle w:val="BodyText"/>
        <w:spacing w:line="237" w:lineRule="auto"/>
        <w:ind w:right="0"/>
        <w:jc w:val="left"/>
      </w:pPr>
      <w:r>
        <w:rPr/>
        <w:t>政府文件规定用于购建或以其他方式形成长期资产的，作为与资产相关的政府补助；</w:t>
      </w:r>
      <w:r>
        <w:rPr>
          <w:spacing w:val="-63"/>
        </w:rPr>
        <w:t> </w:t>
      </w:r>
      <w:r>
        <w:rPr>
          <w:spacing w:val="-63"/>
        </w:rPr>
      </w:r>
      <w:r>
        <w:rPr/>
        <w:t>政府文件不明确的，以取得该补助必须具备的基本条件为基础进行判断，以购建或其</w:t>
      </w:r>
      <w:r>
        <w:rPr/>
        <w:t> 他方式形成长期资产为基本条件的作为与资产相关的政府补助，除此之外的作为与收 益相关的政府补助。</w:t>
      </w:r>
    </w:p>
    <w:p>
      <w:pPr>
        <w:spacing w:line="240" w:lineRule="auto" w:before="2"/>
        <w:rPr>
          <w:rFonts w:ascii="宋体" w:hAnsi="宋体" w:cs="宋体" w:eastAsia="宋体" w:hint="default"/>
          <w:sz w:val="21"/>
          <w:szCs w:val="21"/>
        </w:rPr>
      </w:pPr>
    </w:p>
    <w:p>
      <w:pPr>
        <w:pStyle w:val="BodyText"/>
        <w:spacing w:line="237" w:lineRule="auto"/>
        <w:ind w:right="355"/>
        <w:jc w:val="both"/>
      </w:pPr>
      <w:r>
        <w:rPr>
          <w:spacing w:val="-2"/>
        </w:rPr>
        <w:t>与收益相关的政府补助，用于补偿以后期间的相关成本费用或损失的，确认为递延收</w:t>
      </w:r>
      <w:r>
        <w:rPr>
          <w:spacing w:val="-94"/>
        </w:rPr>
        <w:t> </w:t>
      </w:r>
      <w:r>
        <w:rPr>
          <w:spacing w:val="-94"/>
        </w:rPr>
      </w:r>
      <w:r>
        <w:rPr>
          <w:spacing w:val="-2"/>
        </w:rPr>
        <w:t>益，并在确认相关成本费用或损失的期间计入当期损益或冲减相关成本；用于补偿已</w:t>
      </w:r>
      <w:r>
        <w:rPr>
          <w:spacing w:val="-94"/>
        </w:rPr>
        <w:t> </w:t>
      </w:r>
      <w:r>
        <w:rPr>
          <w:spacing w:val="-94"/>
        </w:rPr>
      </w:r>
      <w:r>
        <w:rPr/>
        <w:t>发生的相关成本费用或损失的，直接计入当期损益或冲减相关成本。</w:t>
      </w:r>
    </w:p>
    <w:p>
      <w:pPr>
        <w:spacing w:line="240" w:lineRule="auto" w:before="11"/>
        <w:rPr>
          <w:rFonts w:ascii="宋体" w:hAnsi="宋体" w:cs="宋体" w:eastAsia="宋体" w:hint="default"/>
          <w:sz w:val="21"/>
          <w:szCs w:val="21"/>
        </w:rPr>
      </w:pPr>
    </w:p>
    <w:p>
      <w:pPr>
        <w:pStyle w:val="BodyText"/>
        <w:spacing w:line="228" w:lineRule="auto"/>
        <w:ind w:right="351"/>
        <w:jc w:val="both"/>
      </w:pPr>
      <w:r>
        <w:rPr>
          <w:spacing w:val="-2"/>
        </w:rPr>
        <w:t>与资产相关的政府补助，冲减相关资产的账面价值；或确认为递延收益，在相关资产</w:t>
      </w:r>
      <w:r>
        <w:rPr>
          <w:spacing w:val="-96"/>
        </w:rPr>
        <w:t> </w:t>
      </w:r>
      <w:r>
        <w:rPr>
          <w:spacing w:val="-96"/>
        </w:rPr>
      </w:r>
      <w:r>
        <w:rPr>
          <w:spacing w:val="-4"/>
        </w:rPr>
        <w:t>使用寿命内按照合理、系统的方法分期，计入损益</w:t>
      </w:r>
      <w:r>
        <w:rPr>
          <w:rFonts w:ascii="Times New Roman" w:hAnsi="Times New Roman" w:cs="Times New Roman" w:eastAsia="Times New Roman" w:hint="default"/>
          <w:spacing w:val="-4"/>
        </w:rPr>
        <w:t>(</w:t>
      </w:r>
      <w:r>
        <w:rPr>
          <w:spacing w:val="-4"/>
        </w:rPr>
        <w:t>但按照名义金额计量的政府补助，</w:t>
      </w:r>
      <w:r>
        <w:rPr>
          <w:spacing w:val="-94"/>
        </w:rPr>
        <w:t> </w:t>
      </w:r>
      <w:r>
        <w:rPr>
          <w:spacing w:val="-4"/>
        </w:rPr>
        <w:t>直接计入当期损益</w:t>
      </w:r>
      <w:r>
        <w:rPr>
          <w:rFonts w:ascii="Times New Roman" w:hAnsi="Times New Roman" w:cs="Times New Roman" w:eastAsia="Times New Roman" w:hint="default"/>
          <w:spacing w:val="-4"/>
        </w:rPr>
        <w:t>)</w:t>
      </w:r>
      <w:r>
        <w:rPr>
          <w:spacing w:val="-4"/>
        </w:rPr>
        <w:t>，相关资产在使用寿命结束前被出售、转让、报废或发生毁损的，</w:t>
      </w:r>
      <w:r>
        <w:rPr>
          <w:spacing w:val="-96"/>
        </w:rPr>
        <w:t> </w:t>
      </w:r>
      <w:r>
        <w:rPr>
          <w:spacing w:val="-96"/>
        </w:rPr>
      </w:r>
      <w:r>
        <w:rPr/>
        <w:t>尚未分配的相关递延收益余额转入资产处置当</w:t>
      </w:r>
      <w:r>
        <w:rPr>
          <w:spacing w:val="-59"/>
        </w:rPr>
        <w:t> </w:t>
      </w:r>
      <w:r>
        <w:rPr>
          <w:rFonts w:ascii="Times New Roman" w:hAnsi="Times New Roman" w:cs="Times New Roman" w:eastAsia="Times New Roman" w:hint="default"/>
        </w:rPr>
        <w:t>1 </w:t>
      </w:r>
      <w:r>
        <w:rPr/>
        <w:t>期的损益。</w:t>
      </w:r>
    </w:p>
    <w:p>
      <w:pPr>
        <w:spacing w:line="240" w:lineRule="auto" w:before="4"/>
        <w:rPr>
          <w:rFonts w:ascii="宋体" w:hAnsi="宋体" w:cs="宋体" w:eastAsia="宋体" w:hint="default"/>
          <w:sz w:val="24"/>
          <w:szCs w:val="24"/>
        </w:rPr>
      </w:pPr>
    </w:p>
    <w:p>
      <w:pPr>
        <w:pStyle w:val="Heading2"/>
        <w:spacing w:line="240" w:lineRule="auto"/>
        <w:ind w:left="136" w:right="0"/>
        <w:jc w:val="left"/>
        <w:rPr>
          <w:b w:val="0"/>
          <w:bCs w:val="0"/>
        </w:rPr>
      </w:pPr>
      <w:r>
        <w:rPr>
          <w:rFonts w:ascii="宋体" w:hAnsi="宋体" w:cs="宋体" w:eastAsia="宋体" w:hint="default"/>
        </w:rPr>
        <w:t>38.</w:t>
      </w:r>
      <w:r>
        <w:rPr>
          <w:rFonts w:ascii="宋体" w:hAnsi="宋体" w:cs="宋体" w:eastAsia="宋体" w:hint="default"/>
          <w:spacing w:val="-60"/>
        </w:rPr>
        <w:t> </w:t>
      </w:r>
      <w:r>
        <w:rPr/>
        <w:t>递延所得税资产</w:t>
      </w:r>
      <w:r>
        <w:rPr>
          <w:rFonts w:ascii="Calibri" w:hAnsi="Calibri" w:cs="Calibri" w:eastAsia="Calibri" w:hint="default"/>
        </w:rPr>
        <w:t>/</w:t>
      </w:r>
      <w:r>
        <w:rPr/>
        <w:t>递延所得税负债</w:t>
      </w:r>
      <w:r>
        <w:rPr>
          <w:b w:val="0"/>
          <w:bCs w:val="0"/>
        </w:rPr>
      </w:r>
    </w:p>
    <w:p>
      <w:pPr>
        <w:pStyle w:val="BodyText"/>
        <w:tabs>
          <w:tab w:pos="1097" w:val="left" w:leader="none"/>
        </w:tabs>
        <w:spacing w:line="237" w:lineRule="auto" w:before="30"/>
        <w:ind w:right="355"/>
        <w:jc w:val="left"/>
      </w:pPr>
      <w:r>
        <w:rPr/>
        <w:t>√适用</w:t>
        <w:tab/>
        <w:t>□不适用 </w:t>
      </w:r>
      <w:r>
        <w:rPr>
          <w:spacing w:val="-2"/>
        </w:rPr>
        <w:t>所得税包括当期所得税和递延所得税。除由于企业合并产生的调整商誉，或与直接计</w:t>
      </w:r>
      <w:r>
        <w:rPr>
          <w:spacing w:val="-94"/>
        </w:rPr>
        <w:t> </w:t>
      </w:r>
      <w:r>
        <w:rPr>
          <w:spacing w:val="-94"/>
        </w:rPr>
      </w:r>
      <w:r>
        <w:rPr>
          <w:spacing w:val="-2"/>
        </w:rPr>
        <w:t>入股东权益的交易或者事项相关的计入股东权益外，均作为所得税费用或收益计入当</w:t>
      </w:r>
      <w:r>
        <w:rPr>
          <w:spacing w:val="-94"/>
        </w:rPr>
        <w:t> </w:t>
      </w:r>
      <w:r>
        <w:rPr>
          <w:spacing w:val="-94"/>
        </w:rPr>
      </w:r>
      <w:r>
        <w:rPr/>
        <w:t>期损益。</w:t>
      </w:r>
    </w:p>
    <w:p>
      <w:pPr>
        <w:spacing w:line="240" w:lineRule="auto" w:before="2"/>
        <w:rPr>
          <w:rFonts w:ascii="宋体" w:hAnsi="宋体" w:cs="宋体" w:eastAsia="宋体" w:hint="default"/>
          <w:sz w:val="23"/>
          <w:szCs w:val="23"/>
        </w:rPr>
      </w:pPr>
    </w:p>
    <w:p>
      <w:pPr>
        <w:pStyle w:val="BodyText"/>
        <w:spacing w:line="312" w:lineRule="exact"/>
        <w:ind w:right="0"/>
        <w:jc w:val="left"/>
      </w:pPr>
      <w:r>
        <w:rPr>
          <w:spacing w:val="-2"/>
        </w:rPr>
        <w:t>本集团对于当期和以前期间形成的当期所得税负债或资产，按照税法规定计算的预期</w:t>
      </w:r>
      <w:r>
        <w:rPr>
          <w:spacing w:val="-94"/>
        </w:rPr>
        <w:t> </w:t>
      </w:r>
      <w:r>
        <w:rPr>
          <w:spacing w:val="-94"/>
        </w:rPr>
      </w:r>
      <w:r>
        <w:rPr/>
        <w:t>应交纳或返还的所得税金额计量。</w:t>
      </w:r>
    </w:p>
    <w:p>
      <w:pPr>
        <w:spacing w:line="240" w:lineRule="auto" w:before="13"/>
        <w:rPr>
          <w:rFonts w:ascii="宋体" w:hAnsi="宋体" w:cs="宋体" w:eastAsia="宋体" w:hint="default"/>
          <w:sz w:val="18"/>
          <w:szCs w:val="18"/>
        </w:rPr>
      </w:pPr>
    </w:p>
    <w:p>
      <w:pPr>
        <w:pStyle w:val="BodyText"/>
        <w:spacing w:line="237" w:lineRule="auto"/>
        <w:ind w:right="0"/>
        <w:jc w:val="left"/>
      </w:pPr>
      <w:r>
        <w:rPr>
          <w:spacing w:val="-2"/>
        </w:rPr>
        <w:t>本集团根据资产与负债于资产负债表日的账面价值与计税基础之间的暂时性差异，以</w:t>
      </w:r>
      <w:r>
        <w:rPr>
          <w:spacing w:val="-94"/>
        </w:rPr>
        <w:t> </w:t>
      </w:r>
      <w:r>
        <w:rPr>
          <w:spacing w:val="-94"/>
        </w:rPr>
      </w:r>
      <w:r>
        <w:rPr/>
        <w:t>及未作为资产和负债确认但按照税法规定可以确定其计税基础的项目的账面价值与 计税基础之间的差额产生的暂时性差异，采用资产负债表债务法计提递延所得税。</w:t>
      </w:r>
    </w:p>
    <w:p>
      <w:pPr>
        <w:spacing w:line="240" w:lineRule="auto" w:before="13"/>
        <w:rPr>
          <w:rFonts w:ascii="宋体" w:hAnsi="宋体" w:cs="宋体" w:eastAsia="宋体" w:hint="default"/>
          <w:sz w:val="20"/>
          <w:szCs w:val="20"/>
        </w:rPr>
      </w:pPr>
    </w:p>
    <w:p>
      <w:pPr>
        <w:pStyle w:val="BodyText"/>
        <w:spacing w:line="240" w:lineRule="auto"/>
        <w:ind w:right="0"/>
        <w:jc w:val="left"/>
      </w:pPr>
      <w:r>
        <w:rPr/>
        <w:t>各种应纳税暂时性差异均据应确认递延所得税负债，除非：</w:t>
      </w:r>
    </w:p>
    <w:p>
      <w:pPr>
        <w:spacing w:line="240" w:lineRule="auto" w:before="2"/>
        <w:rPr>
          <w:rFonts w:ascii="宋体" w:hAnsi="宋体" w:cs="宋体" w:eastAsia="宋体" w:hint="default"/>
          <w:sz w:val="23"/>
          <w:szCs w:val="23"/>
        </w:rPr>
      </w:pPr>
    </w:p>
    <w:p>
      <w:pPr>
        <w:pStyle w:val="BodyText"/>
        <w:spacing w:line="312" w:lineRule="exact"/>
        <w:ind w:right="354"/>
        <w:jc w:val="both"/>
      </w:pPr>
      <w:r>
        <w:rPr/>
        <w:t>（</w:t>
      </w:r>
      <w:r>
        <w:rPr>
          <w:rFonts w:ascii="Times New Roman" w:hAnsi="Times New Roman" w:cs="Times New Roman" w:eastAsia="Times New Roman" w:hint="default"/>
        </w:rPr>
        <w:t>1</w:t>
      </w:r>
      <w:r>
        <w:rPr/>
        <w:t>）</w:t>
      </w:r>
      <w:r>
        <w:rPr>
          <w:spacing w:val="119"/>
        </w:rPr>
        <w:t> </w:t>
      </w:r>
      <w:r>
        <w:rPr/>
        <w:t>应纳税暂时性差异是在以下交易中产生的：商誉的初始确认，或者具有以下</w:t>
      </w:r>
      <w:r>
        <w:rPr/>
        <w:t> </w:t>
      </w:r>
      <w:r>
        <w:rPr>
          <w:spacing w:val="-2"/>
        </w:rPr>
        <w:t>特征的交易中产生的资产或负债的初始确认：该交易不是企业合并，并且交易发生时</w:t>
      </w:r>
      <w:r>
        <w:rPr>
          <w:spacing w:val="-93"/>
        </w:rPr>
        <w:t> </w:t>
      </w:r>
      <w:r>
        <w:rPr>
          <w:spacing w:val="-93"/>
        </w:rPr>
      </w:r>
      <w:r>
        <w:rPr/>
        <w:t>既不影响会计利润也不影响应纳税所得额或可抵扣亏损。</w:t>
      </w:r>
    </w:p>
    <w:p>
      <w:pPr>
        <w:pStyle w:val="BodyText"/>
        <w:tabs>
          <w:tab w:pos="977" w:val="left" w:leader="none"/>
        </w:tabs>
        <w:spacing w:line="310" w:lineRule="exact" w:before="1"/>
        <w:ind w:right="355"/>
        <w:jc w:val="left"/>
      </w:pPr>
      <w:r>
        <w:rPr/>
        <w:t>（</w:t>
      </w:r>
      <w:r>
        <w:rPr>
          <w:rFonts w:ascii="Times New Roman" w:hAnsi="Times New Roman" w:cs="Times New Roman" w:eastAsia="Times New Roman" w:hint="default"/>
        </w:rPr>
        <w:t>2</w:t>
      </w:r>
      <w:r>
        <w:rPr/>
        <w:t>）</w:t>
        <w:tab/>
        <w:t>对于与子公司及联营企业投资相关的应纳税暂时性差异，该暂时性差异转回 的时间能够控制并且该暂时性差异在可预见的未来很可能不会转回。</w:t>
      </w:r>
    </w:p>
    <w:p>
      <w:pPr>
        <w:spacing w:line="240" w:lineRule="auto" w:before="13"/>
        <w:rPr>
          <w:rFonts w:ascii="宋体" w:hAnsi="宋体" w:cs="宋体" w:eastAsia="宋体" w:hint="default"/>
          <w:sz w:val="18"/>
          <w:szCs w:val="18"/>
        </w:rPr>
      </w:pPr>
    </w:p>
    <w:p>
      <w:pPr>
        <w:pStyle w:val="BodyText"/>
        <w:spacing w:line="237" w:lineRule="auto"/>
        <w:ind w:right="0"/>
        <w:jc w:val="left"/>
      </w:pPr>
      <w:r>
        <w:rPr/>
        <w:t>对于可抵扣暂时性差异、能够结转以后年度的可抵扣亏损和税款抵减，本集团以很可 </w:t>
      </w:r>
      <w:r>
        <w:rPr>
          <w:spacing w:val="-2"/>
        </w:rPr>
        <w:t>能取得用来抵扣可抵扣暂时性差异、可抵扣亏损和税款抵减的未来应纳税所得额为限，</w:t>
      </w:r>
      <w:r>
        <w:rPr>
          <w:spacing w:val="-92"/>
        </w:rPr>
        <w:t> </w:t>
      </w:r>
      <w:r>
        <w:rPr>
          <w:spacing w:val="-92"/>
        </w:rPr>
      </w:r>
      <w:r>
        <w:rPr/>
        <w:t>确认由此产生的递延所得税资产，除非：</w:t>
      </w:r>
    </w:p>
    <w:p>
      <w:pPr>
        <w:spacing w:after="0" w:line="237" w:lineRule="auto"/>
        <w:jc w:val="left"/>
        <w:sectPr>
          <w:pgSz w:w="11910" w:h="16840"/>
          <w:pgMar w:header="882" w:footer="1195" w:top="1120" w:bottom="1380" w:left="1140" w:right="1440"/>
        </w:sectPr>
      </w:pPr>
    </w:p>
    <w:p>
      <w:pPr>
        <w:spacing w:line="240" w:lineRule="auto" w:before="13"/>
        <w:rPr>
          <w:rFonts w:ascii="宋体" w:hAnsi="宋体" w:cs="宋体" w:eastAsia="宋体" w:hint="default"/>
          <w:sz w:val="18"/>
          <w:szCs w:val="18"/>
        </w:rPr>
      </w:pPr>
    </w:p>
    <w:p>
      <w:pPr>
        <w:pStyle w:val="BodyText"/>
        <w:tabs>
          <w:tab w:pos="977" w:val="left" w:leader="none"/>
        </w:tabs>
        <w:spacing w:line="312" w:lineRule="exact" w:before="56"/>
        <w:ind w:right="187"/>
        <w:jc w:val="left"/>
      </w:pPr>
      <w:r>
        <w:rPr/>
        <w:t>（</w:t>
      </w:r>
      <w:r>
        <w:rPr>
          <w:rFonts w:ascii="Times New Roman" w:hAnsi="Times New Roman" w:cs="Times New Roman" w:eastAsia="Times New Roman" w:hint="default"/>
        </w:rPr>
        <w:t>1</w:t>
      </w:r>
      <w:r>
        <w:rPr/>
        <w:t>）</w:t>
        <w:tab/>
        <w:t>可抵扣暂时性差异是在以下交易中产生的：该交易不是企业合并，并且交易 发生时既不影响会计利润也不影响应纳税所得额或可抵扣亏损。</w:t>
      </w:r>
    </w:p>
    <w:p>
      <w:pPr>
        <w:pStyle w:val="BodyText"/>
        <w:tabs>
          <w:tab w:pos="977" w:val="left" w:leader="none"/>
        </w:tabs>
        <w:spacing w:line="289" w:lineRule="exact"/>
        <w:ind w:right="0"/>
        <w:jc w:val="left"/>
      </w:pPr>
      <w:r>
        <w:rPr/>
        <w:t>（</w:t>
      </w:r>
      <w:r>
        <w:rPr>
          <w:rFonts w:ascii="Times New Roman" w:hAnsi="Times New Roman" w:cs="Times New Roman" w:eastAsia="Times New Roman" w:hint="default"/>
        </w:rPr>
        <w:t>2</w:t>
      </w:r>
      <w:r>
        <w:rPr/>
        <w:t>）</w:t>
        <w:tab/>
        <w:t>对于与子公司及联营企业投资相关的可抵扣暂时性差异，同时满足下列条件</w:t>
      </w:r>
    </w:p>
    <w:p>
      <w:pPr>
        <w:pStyle w:val="BodyText"/>
        <w:spacing w:line="312" w:lineRule="exact" w:before="20"/>
        <w:ind w:right="0"/>
        <w:jc w:val="left"/>
      </w:pPr>
      <w:r>
        <w:rPr>
          <w:spacing w:val="-2"/>
        </w:rPr>
        <w:t>的，确认相应的递延所得税资产：暂时性差异在可预见的未来很可能转回，且未来很</w:t>
      </w:r>
      <w:r>
        <w:rPr>
          <w:spacing w:val="-96"/>
        </w:rPr>
        <w:t> </w:t>
      </w:r>
      <w:r>
        <w:rPr>
          <w:spacing w:val="-96"/>
        </w:rPr>
      </w:r>
      <w:r>
        <w:rPr/>
        <w:t>可能获得用来抵扣可抵扣暂时性差异的应纳税所得额。</w:t>
      </w:r>
    </w:p>
    <w:p>
      <w:pPr>
        <w:spacing w:line="240" w:lineRule="auto" w:before="12"/>
        <w:rPr>
          <w:rFonts w:ascii="宋体" w:hAnsi="宋体" w:cs="宋体" w:eastAsia="宋体" w:hint="default"/>
          <w:sz w:val="20"/>
          <w:szCs w:val="20"/>
        </w:rPr>
      </w:pPr>
    </w:p>
    <w:p>
      <w:pPr>
        <w:pStyle w:val="BodyText"/>
        <w:spacing w:line="312" w:lineRule="exact"/>
        <w:ind w:right="115"/>
        <w:jc w:val="both"/>
      </w:pPr>
      <w:r>
        <w:rPr>
          <w:spacing w:val="-2"/>
        </w:rPr>
        <w:t>本集团于资产负债表日，对于递延所得税资产和递延所得税负债，依据税法规定，按</w:t>
      </w:r>
      <w:r>
        <w:rPr>
          <w:spacing w:val="-96"/>
        </w:rPr>
        <w:t> </w:t>
      </w:r>
      <w:r>
        <w:rPr>
          <w:spacing w:val="-96"/>
        </w:rPr>
      </w:r>
      <w:r>
        <w:rPr>
          <w:spacing w:val="-2"/>
        </w:rPr>
        <w:t>照预期收回该资产或清偿该负债期间的适用税率计量，并反映资产负债表日预期收回</w:t>
      </w:r>
      <w:r>
        <w:rPr>
          <w:spacing w:val="-94"/>
        </w:rPr>
        <w:t> </w:t>
      </w:r>
      <w:r>
        <w:rPr>
          <w:spacing w:val="-94"/>
        </w:rPr>
      </w:r>
      <w:r>
        <w:rPr/>
        <w:t>资产或清偿负债方式的所得税影响。</w:t>
      </w:r>
    </w:p>
    <w:p>
      <w:pPr>
        <w:spacing w:line="240" w:lineRule="auto" w:before="10"/>
        <w:rPr>
          <w:rFonts w:ascii="宋体" w:hAnsi="宋体" w:cs="宋体" w:eastAsia="宋体" w:hint="default"/>
          <w:sz w:val="18"/>
          <w:szCs w:val="18"/>
        </w:rPr>
      </w:pPr>
    </w:p>
    <w:p>
      <w:pPr>
        <w:pStyle w:val="BodyText"/>
        <w:spacing w:line="237" w:lineRule="auto"/>
        <w:ind w:right="114"/>
        <w:jc w:val="both"/>
      </w:pPr>
      <w:r>
        <w:rPr>
          <w:spacing w:val="-2"/>
        </w:rPr>
        <w:t>于资产负债表日，本集团对递延所得税资产的账面价值进行复核，如果未来期间很可</w:t>
      </w:r>
      <w:r>
        <w:rPr>
          <w:spacing w:val="-94"/>
        </w:rPr>
        <w:t> </w:t>
      </w:r>
      <w:r>
        <w:rPr>
          <w:spacing w:val="-94"/>
        </w:rPr>
      </w:r>
      <w:r>
        <w:rPr>
          <w:spacing w:val="-2"/>
        </w:rPr>
        <w:t>能无法获得足够的应纳税所得额用以抵扣递延所得税资产的利益，减记递延所得税资</w:t>
      </w:r>
      <w:r>
        <w:rPr>
          <w:spacing w:val="-93"/>
        </w:rPr>
        <w:t> </w:t>
      </w:r>
      <w:r>
        <w:rPr>
          <w:spacing w:val="-93"/>
        </w:rPr>
      </w:r>
      <w:r>
        <w:rPr>
          <w:spacing w:val="-2"/>
        </w:rPr>
        <w:t>产的账面价值。于资产负债表日，本集团重新评估未确认的递延所得税资产，在很可</w:t>
      </w:r>
      <w:r>
        <w:rPr>
          <w:spacing w:val="-96"/>
        </w:rPr>
        <w:t> </w:t>
      </w:r>
      <w:r>
        <w:rPr>
          <w:spacing w:val="-96"/>
        </w:rPr>
      </w:r>
      <w:r>
        <w:rPr>
          <w:spacing w:val="-2"/>
        </w:rPr>
        <w:t>能获得足够的应纳税所得额可供所有或部分递延所得税资产转回的限度内，确认递延</w:t>
      </w:r>
      <w:r>
        <w:rPr>
          <w:spacing w:val="-94"/>
        </w:rPr>
        <w:t> </w:t>
      </w:r>
      <w:r>
        <w:rPr>
          <w:spacing w:val="-94"/>
        </w:rPr>
      </w:r>
      <w:r>
        <w:rPr/>
        <w:t>所得税资产。</w:t>
      </w:r>
    </w:p>
    <w:p>
      <w:pPr>
        <w:spacing w:line="240" w:lineRule="auto" w:before="2"/>
        <w:rPr>
          <w:rFonts w:ascii="宋体" w:hAnsi="宋体" w:cs="宋体" w:eastAsia="宋体" w:hint="default"/>
          <w:sz w:val="21"/>
          <w:szCs w:val="21"/>
        </w:rPr>
      </w:pPr>
    </w:p>
    <w:p>
      <w:pPr>
        <w:pStyle w:val="BodyText"/>
        <w:spacing w:line="237" w:lineRule="auto"/>
        <w:ind w:right="0"/>
        <w:jc w:val="left"/>
      </w:pPr>
      <w:r>
        <w:rPr>
          <w:spacing w:val="-2"/>
        </w:rPr>
        <w:t>同时满足下列条件时，递延所得税资产和递延所得税负债以抵销后的净额列示：拥有</w:t>
      </w:r>
      <w:r>
        <w:rPr>
          <w:spacing w:val="-94"/>
        </w:rPr>
        <w:t> </w:t>
      </w:r>
      <w:r>
        <w:rPr>
          <w:spacing w:val="-94"/>
        </w:rPr>
      </w:r>
      <w:r>
        <w:rPr>
          <w:spacing w:val="-2"/>
        </w:rPr>
        <w:t>以净额结算当期所得税资产及当期所得税负债的法定权利；递延所得税资产和递延所</w:t>
      </w:r>
      <w:r>
        <w:rPr>
          <w:spacing w:val="-94"/>
        </w:rPr>
        <w:t> </w:t>
      </w:r>
      <w:r>
        <w:rPr>
          <w:spacing w:val="-94"/>
        </w:rPr>
      </w:r>
      <w:r>
        <w:rPr/>
        <w:t>得税负债是与同一税收征管部门对同一应纳税主体征收的所得税相关或者对不同的 </w:t>
      </w:r>
      <w:r>
        <w:rPr>
          <w:spacing w:val="-2"/>
        </w:rPr>
        <w:t>纳税主体相关，但在未来每一具有重要性的递延所得税资产和递延所得税负债转回的</w:t>
      </w:r>
      <w:r>
        <w:rPr>
          <w:spacing w:val="-94"/>
        </w:rPr>
        <w:t> </w:t>
      </w:r>
      <w:r>
        <w:rPr>
          <w:spacing w:val="-94"/>
        </w:rPr>
      </w:r>
      <w:r>
        <w:rPr>
          <w:spacing w:val="-2"/>
        </w:rPr>
        <w:t>期间内，涉及的纳税主体体意图以净额结算当期所得税资产及当期所得税负债或是同</w:t>
      </w:r>
      <w:r>
        <w:rPr>
          <w:spacing w:val="-94"/>
        </w:rPr>
        <w:t> </w:t>
      </w:r>
      <w:r>
        <w:rPr>
          <w:spacing w:val="-94"/>
        </w:rPr>
      </w:r>
      <w:r>
        <w:rPr/>
        <w:t>时取得资产、清偿债务。</w:t>
      </w:r>
    </w:p>
    <w:p>
      <w:pPr>
        <w:spacing w:line="240" w:lineRule="auto" w:before="8"/>
        <w:rPr>
          <w:rFonts w:ascii="宋体" w:hAnsi="宋体" w:cs="宋体" w:eastAsia="宋体" w:hint="default"/>
          <w:sz w:val="25"/>
          <w:szCs w:val="25"/>
        </w:rPr>
      </w:pPr>
    </w:p>
    <w:p>
      <w:pPr>
        <w:pStyle w:val="Heading2"/>
        <w:spacing w:line="240" w:lineRule="auto"/>
        <w:ind w:left="136" w:right="0"/>
        <w:jc w:val="left"/>
        <w:rPr>
          <w:b w:val="0"/>
          <w:bCs w:val="0"/>
        </w:rPr>
      </w:pPr>
      <w:r>
        <w:rPr>
          <w:rFonts w:ascii="宋体" w:hAnsi="宋体" w:cs="宋体" w:eastAsia="宋体" w:hint="default"/>
        </w:rPr>
        <w:t>39.</w:t>
      </w:r>
      <w:r>
        <w:rPr>
          <w:rFonts w:ascii="宋体" w:hAnsi="宋体" w:cs="宋体" w:eastAsia="宋体" w:hint="default"/>
          <w:spacing w:val="-57"/>
        </w:rPr>
        <w:t> </w:t>
      </w:r>
      <w:r>
        <w:rPr/>
        <w:t>租赁</w:t>
      </w:r>
      <w:r>
        <w:rPr>
          <w:b w:val="0"/>
          <w:bCs w:val="0"/>
        </w:rPr>
      </w:r>
    </w:p>
    <w:p>
      <w:pPr>
        <w:pStyle w:val="Heading2"/>
        <w:tabs>
          <w:tab w:pos="977" w:val="left" w:leader="none"/>
        </w:tabs>
        <w:spacing w:line="240" w:lineRule="auto" w:before="58"/>
        <w:ind w:left="136" w:right="0"/>
        <w:jc w:val="left"/>
        <w:rPr>
          <w:rFonts w:ascii="宋体" w:hAnsi="宋体" w:cs="宋体" w:eastAsia="宋体" w:hint="default"/>
          <w:b w:val="0"/>
          <w:bCs w:val="0"/>
        </w:rPr>
      </w:pPr>
      <w:r>
        <w:rPr>
          <w:rFonts w:ascii="宋体" w:hAnsi="宋体" w:cs="宋体" w:eastAsia="宋体" w:hint="default"/>
        </w:rPr>
        <w:t>(1).</w:t>
        <w:tab/>
      </w:r>
      <w:r>
        <w:rPr/>
        <w:t>经营租赁的会计处理方法</w:t>
      </w:r>
      <w:r>
        <w:rPr>
          <w:rFonts w:ascii="宋体" w:hAnsi="宋体" w:cs="宋体" w:eastAsia="宋体" w:hint="default"/>
          <w:w w:val="99"/>
        </w:rPr>
        <w:t> </w:t>
      </w:r>
      <w:r>
        <w:rPr>
          <w:rFonts w:ascii="宋体" w:hAnsi="宋体" w:cs="宋体" w:eastAsia="宋体" w:hint="default"/>
          <w:b w:val="0"/>
          <w:bCs w:val="0"/>
        </w:rPr>
      </w:r>
    </w:p>
    <w:p>
      <w:pPr>
        <w:pStyle w:val="BodyText"/>
        <w:tabs>
          <w:tab w:pos="1097" w:val="left" w:leader="none"/>
        </w:tabs>
        <w:spacing w:line="312" w:lineRule="exact" w:before="86"/>
        <w:ind w:right="115"/>
        <w:jc w:val="left"/>
      </w:pPr>
      <w:r>
        <w:rPr/>
        <w:t>√适用</w:t>
        <w:tab/>
        <w:t>□不适用 </w:t>
      </w:r>
      <w:r>
        <w:rPr>
          <w:spacing w:val="-2"/>
        </w:rPr>
        <w:t>实质上转移了与资产所有权有关的全部风险和报酬的租赁为融资租赁，除此之外的均</w:t>
      </w:r>
      <w:r>
        <w:rPr>
          <w:spacing w:val="-94"/>
        </w:rPr>
        <w:t> </w:t>
      </w:r>
      <w:r>
        <w:rPr>
          <w:spacing w:val="-94"/>
        </w:rPr>
      </w:r>
      <w:r>
        <w:rPr/>
        <w:t>为经营租赁。</w:t>
      </w:r>
    </w:p>
    <w:p>
      <w:pPr>
        <w:spacing w:line="240" w:lineRule="auto" w:before="7"/>
        <w:rPr>
          <w:rFonts w:ascii="宋体" w:hAnsi="宋体" w:cs="宋体" w:eastAsia="宋体" w:hint="default"/>
          <w:sz w:val="18"/>
          <w:szCs w:val="18"/>
        </w:rPr>
      </w:pPr>
    </w:p>
    <w:p>
      <w:pPr>
        <w:pStyle w:val="BodyText"/>
        <w:spacing w:line="240" w:lineRule="auto"/>
        <w:ind w:right="0"/>
        <w:jc w:val="left"/>
      </w:pPr>
      <w:r>
        <w:rPr/>
      </w:r>
      <w:r>
        <w:rPr>
          <w:u w:val="single" w:color="000000"/>
        </w:rPr>
        <w:t>作为经营租赁承租人</w:t>
      </w:r>
      <w:r>
        <w:rPr/>
      </w:r>
    </w:p>
    <w:p>
      <w:pPr>
        <w:spacing w:line="240" w:lineRule="auto" w:before="12"/>
        <w:rPr>
          <w:rFonts w:ascii="宋体" w:hAnsi="宋体" w:cs="宋体" w:eastAsia="宋体" w:hint="default"/>
          <w:sz w:val="18"/>
          <w:szCs w:val="18"/>
        </w:rPr>
      </w:pPr>
    </w:p>
    <w:p>
      <w:pPr>
        <w:pStyle w:val="BodyText"/>
        <w:spacing w:line="312" w:lineRule="exact" w:before="56"/>
        <w:ind w:right="0"/>
        <w:jc w:val="left"/>
      </w:pPr>
      <w:r>
        <w:rPr>
          <w:spacing w:val="-2"/>
        </w:rPr>
        <w:t>经营租赁的租金支出，在租赁期内各个期间按照直线法计入相关的资产成本或当期损</w:t>
      </w:r>
      <w:r>
        <w:rPr>
          <w:spacing w:val="-94"/>
        </w:rPr>
        <w:t> </w:t>
      </w:r>
      <w:r>
        <w:rPr>
          <w:spacing w:val="-94"/>
        </w:rPr>
      </w:r>
      <w:r>
        <w:rPr/>
        <w:t>益。</w:t>
      </w:r>
    </w:p>
    <w:p>
      <w:pPr>
        <w:spacing w:line="240" w:lineRule="auto" w:before="7"/>
        <w:rPr>
          <w:rFonts w:ascii="宋体" w:hAnsi="宋体" w:cs="宋体" w:eastAsia="宋体" w:hint="default"/>
          <w:sz w:val="18"/>
          <w:szCs w:val="18"/>
        </w:rPr>
      </w:pPr>
    </w:p>
    <w:p>
      <w:pPr>
        <w:pStyle w:val="BodyText"/>
        <w:spacing w:line="240" w:lineRule="auto"/>
        <w:ind w:right="0"/>
        <w:jc w:val="left"/>
      </w:pPr>
      <w:r>
        <w:rPr/>
      </w:r>
      <w:r>
        <w:rPr>
          <w:u w:val="single" w:color="000000"/>
        </w:rPr>
        <w:t>作为经营租赁出租人</w:t>
      </w:r>
      <w:r>
        <w:rPr/>
      </w:r>
    </w:p>
    <w:p>
      <w:pPr>
        <w:spacing w:line="240" w:lineRule="auto" w:before="13"/>
        <w:rPr>
          <w:rFonts w:ascii="宋体" w:hAnsi="宋体" w:cs="宋体" w:eastAsia="宋体" w:hint="default"/>
          <w:sz w:val="18"/>
          <w:szCs w:val="18"/>
        </w:rPr>
      </w:pPr>
    </w:p>
    <w:p>
      <w:pPr>
        <w:pStyle w:val="BodyText"/>
        <w:spacing w:line="240" w:lineRule="auto" w:before="26"/>
        <w:ind w:right="0"/>
        <w:jc w:val="left"/>
      </w:pPr>
      <w:r>
        <w:rPr/>
        <w:t>经营租赁的租金收入在租赁期内各个期间按直线法确认为当期损益。</w:t>
      </w:r>
    </w:p>
    <w:p>
      <w:pPr>
        <w:spacing w:line="240" w:lineRule="auto" w:before="7"/>
        <w:rPr>
          <w:rFonts w:ascii="宋体" w:hAnsi="宋体" w:cs="宋体" w:eastAsia="宋体" w:hint="default"/>
          <w:sz w:val="25"/>
          <w:szCs w:val="25"/>
        </w:rPr>
      </w:pPr>
    </w:p>
    <w:p>
      <w:pPr>
        <w:pStyle w:val="Heading2"/>
        <w:tabs>
          <w:tab w:pos="977" w:val="left" w:leader="none"/>
        </w:tabs>
        <w:spacing w:line="240" w:lineRule="auto"/>
        <w:ind w:left="136" w:right="0"/>
        <w:jc w:val="left"/>
        <w:rPr>
          <w:rFonts w:ascii="宋体" w:hAnsi="宋体" w:cs="宋体" w:eastAsia="宋体" w:hint="default"/>
          <w:b w:val="0"/>
          <w:bCs w:val="0"/>
        </w:rPr>
      </w:pPr>
      <w:r>
        <w:rPr>
          <w:rFonts w:ascii="宋体" w:hAnsi="宋体" w:cs="宋体" w:eastAsia="宋体" w:hint="default"/>
        </w:rPr>
        <w:t>(2).</w:t>
        <w:tab/>
      </w:r>
      <w:r>
        <w:rPr/>
        <w:t>融资租赁的会计处理方法</w:t>
      </w:r>
      <w:r>
        <w:rPr>
          <w:rFonts w:ascii="宋体" w:hAnsi="宋体" w:cs="宋体" w:eastAsia="宋体" w:hint="default"/>
          <w:w w:val="99"/>
        </w:rPr>
        <w:t> </w:t>
      </w:r>
      <w:r>
        <w:rPr>
          <w:rFonts w:ascii="宋体" w:hAnsi="宋体" w:cs="宋体" w:eastAsia="宋体" w:hint="default"/>
          <w:b w:val="0"/>
          <w:bCs w:val="0"/>
        </w:rPr>
      </w:r>
    </w:p>
    <w:p>
      <w:pPr>
        <w:pStyle w:val="BodyText"/>
        <w:tabs>
          <w:tab w:pos="1097" w:val="left" w:leader="none"/>
        </w:tabs>
        <w:spacing w:line="240" w:lineRule="auto" w:before="58"/>
        <w:ind w:right="0"/>
        <w:jc w:val="left"/>
      </w:pPr>
      <w:r>
        <w:rPr/>
        <w:t>□适用</w:t>
        <w:tab/>
        <w:t>√不适用</w:t>
      </w:r>
    </w:p>
    <w:p>
      <w:pPr>
        <w:spacing w:line="240" w:lineRule="auto" w:before="4"/>
        <w:rPr>
          <w:rFonts w:ascii="宋体" w:hAnsi="宋体" w:cs="宋体" w:eastAsia="宋体" w:hint="default"/>
          <w:sz w:val="25"/>
          <w:szCs w:val="25"/>
        </w:rPr>
      </w:pPr>
    </w:p>
    <w:p>
      <w:pPr>
        <w:pStyle w:val="Heading2"/>
        <w:tabs>
          <w:tab w:pos="977" w:val="left" w:leader="none"/>
        </w:tabs>
        <w:spacing w:line="240" w:lineRule="auto"/>
        <w:ind w:left="136" w:right="0"/>
        <w:jc w:val="left"/>
        <w:rPr>
          <w:rFonts w:ascii="宋体" w:hAnsi="宋体" w:cs="宋体" w:eastAsia="宋体" w:hint="default"/>
          <w:b w:val="0"/>
          <w:bCs w:val="0"/>
        </w:rPr>
      </w:pPr>
      <w:r>
        <w:rPr>
          <w:rFonts w:ascii="宋体" w:hAnsi="宋体" w:cs="宋体" w:eastAsia="宋体" w:hint="default"/>
        </w:rPr>
        <w:t>(3).</w:t>
        <w:tab/>
      </w:r>
      <w:r>
        <w:rPr/>
        <w:t>新租赁准则下租赁的确定方法及会计处理方法</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pPr>
      <w:r>
        <w:rPr/>
        <w:t>□适用 √不适用</w:t>
      </w:r>
    </w:p>
    <w:p>
      <w:pPr>
        <w:spacing w:after="0" w:line="240" w:lineRule="auto"/>
        <w:jc w:val="left"/>
        <w:sectPr>
          <w:pgSz w:w="11910" w:h="16840"/>
          <w:pgMar w:header="882" w:footer="1195" w:top="1120" w:bottom="1380" w:left="1140" w:right="1680"/>
        </w:sectPr>
      </w:pPr>
    </w:p>
    <w:p>
      <w:pPr>
        <w:spacing w:line="240" w:lineRule="auto" w:before="13"/>
        <w:rPr>
          <w:rFonts w:ascii="宋体" w:hAnsi="宋体" w:cs="宋体" w:eastAsia="宋体" w:hint="default"/>
          <w:sz w:val="18"/>
          <w:szCs w:val="18"/>
        </w:rPr>
      </w:pPr>
    </w:p>
    <w:p>
      <w:pPr>
        <w:pStyle w:val="Heading2"/>
        <w:spacing w:line="240" w:lineRule="auto" w:before="26"/>
        <w:ind w:left="136" w:right="0"/>
        <w:jc w:val="both"/>
        <w:rPr>
          <w:b w:val="0"/>
          <w:bCs w:val="0"/>
        </w:rPr>
      </w:pPr>
      <w:r>
        <w:rPr>
          <w:rFonts w:ascii="宋体" w:hAnsi="宋体" w:cs="宋体" w:eastAsia="宋体" w:hint="default"/>
        </w:rPr>
        <w:t>40.</w:t>
      </w:r>
      <w:r>
        <w:rPr>
          <w:rFonts w:ascii="宋体" w:hAnsi="宋体" w:cs="宋体" w:eastAsia="宋体" w:hint="default"/>
          <w:spacing w:val="-60"/>
        </w:rPr>
        <w:t> </w:t>
      </w:r>
      <w:r>
        <w:rPr/>
        <w:t>其他重要的会计政策和会计估计</w:t>
      </w:r>
      <w:r>
        <w:rPr>
          <w:b w:val="0"/>
          <w:bCs w:val="0"/>
        </w:rPr>
      </w:r>
    </w:p>
    <w:p>
      <w:pPr>
        <w:tabs>
          <w:tab w:pos="1097" w:val="left" w:leader="none"/>
        </w:tabs>
        <w:spacing w:line="310" w:lineRule="exact" w:before="90"/>
        <w:ind w:left="136" w:right="7027" w:firstLine="0"/>
        <w:jc w:val="left"/>
        <w:rPr>
          <w:rFonts w:ascii="宋体" w:hAnsi="宋体" w:cs="宋体" w:eastAsia="宋体" w:hint="default"/>
          <w:sz w:val="24"/>
          <w:szCs w:val="24"/>
        </w:rPr>
      </w:pPr>
      <w:r>
        <w:rPr>
          <w:rFonts w:ascii="宋体" w:hAnsi="宋体" w:cs="宋体" w:eastAsia="宋体" w:hint="default"/>
          <w:sz w:val="24"/>
          <w:szCs w:val="24"/>
        </w:rPr>
        <w:t>√适用</w:t>
        <w:tab/>
        <w:t>□不适用 </w:t>
      </w:r>
      <w:r>
        <w:rPr>
          <w:rFonts w:ascii="宋体" w:hAnsi="宋体" w:cs="宋体" w:eastAsia="宋体" w:hint="default"/>
          <w:b/>
          <w:bCs/>
          <w:sz w:val="24"/>
          <w:szCs w:val="24"/>
        </w:rPr>
        <w:t>套期会计</w:t>
      </w:r>
      <w:r>
        <w:rPr>
          <w:rFonts w:ascii="宋体" w:hAnsi="宋体" w:cs="宋体" w:eastAsia="宋体" w:hint="default"/>
          <w:sz w:val="24"/>
          <w:szCs w:val="24"/>
        </w:rPr>
      </w:r>
    </w:p>
    <w:p>
      <w:pPr>
        <w:spacing w:line="240" w:lineRule="auto" w:before="10"/>
        <w:rPr>
          <w:rFonts w:ascii="宋体" w:hAnsi="宋体" w:cs="宋体" w:eastAsia="宋体" w:hint="default"/>
          <w:b/>
          <w:bCs/>
          <w:sz w:val="18"/>
          <w:szCs w:val="18"/>
        </w:rPr>
      </w:pPr>
    </w:p>
    <w:p>
      <w:pPr>
        <w:pStyle w:val="BodyText"/>
        <w:spacing w:line="240" w:lineRule="auto"/>
        <w:ind w:right="0"/>
        <w:jc w:val="both"/>
      </w:pPr>
      <w:r>
        <w:rPr/>
        <w:t>就套期会计方法而言，本集团的套期为：</w:t>
      </w:r>
    </w:p>
    <w:p>
      <w:pPr>
        <w:spacing w:line="240" w:lineRule="auto" w:before="2"/>
        <w:rPr>
          <w:rFonts w:ascii="宋体" w:hAnsi="宋体" w:cs="宋体" w:eastAsia="宋体" w:hint="default"/>
          <w:sz w:val="21"/>
          <w:szCs w:val="21"/>
        </w:rPr>
      </w:pPr>
    </w:p>
    <w:p>
      <w:pPr>
        <w:pStyle w:val="BodyText"/>
        <w:spacing w:line="237" w:lineRule="auto"/>
        <w:ind w:right="115"/>
        <w:jc w:val="both"/>
      </w:pPr>
      <w:r>
        <w:rPr>
          <w:spacing w:val="-2"/>
        </w:rPr>
        <w:t>现金流量套期，是指对现金流量变动风险进行的套期，此现金流量变动源于与已确认</w:t>
      </w:r>
      <w:r>
        <w:rPr>
          <w:spacing w:val="-94"/>
        </w:rPr>
        <w:t> </w:t>
      </w:r>
      <w:r>
        <w:rPr>
          <w:spacing w:val="-94"/>
        </w:rPr>
      </w:r>
      <w:r>
        <w:rPr>
          <w:spacing w:val="-2"/>
        </w:rPr>
        <w:t>资产或负债、很可能发生的预期交易有关的某类特定风险，或一项未确认的确定承诺</w:t>
      </w:r>
      <w:r>
        <w:rPr>
          <w:spacing w:val="-94"/>
        </w:rPr>
        <w:t> </w:t>
      </w:r>
      <w:r>
        <w:rPr>
          <w:spacing w:val="-94"/>
        </w:rPr>
      </w:r>
      <w:r>
        <w:rPr/>
        <w:t>包含的汇率风险。</w:t>
      </w:r>
    </w:p>
    <w:p>
      <w:pPr>
        <w:spacing w:line="240" w:lineRule="auto" w:before="2"/>
        <w:rPr>
          <w:rFonts w:ascii="宋体" w:hAnsi="宋体" w:cs="宋体" w:eastAsia="宋体" w:hint="default"/>
          <w:sz w:val="21"/>
          <w:szCs w:val="21"/>
        </w:rPr>
      </w:pPr>
    </w:p>
    <w:p>
      <w:pPr>
        <w:pStyle w:val="BodyText"/>
        <w:spacing w:line="237" w:lineRule="auto"/>
        <w:ind w:right="0"/>
        <w:jc w:val="left"/>
      </w:pPr>
      <w:r>
        <w:rPr>
          <w:spacing w:val="-2"/>
        </w:rPr>
        <w:t>在套期关系开始时，本集团对套期关系有正式指定，并准备了关于套期关系、风险管</w:t>
      </w:r>
      <w:r>
        <w:rPr>
          <w:spacing w:val="-96"/>
        </w:rPr>
        <w:t> </w:t>
      </w:r>
      <w:r>
        <w:rPr>
          <w:spacing w:val="-96"/>
        </w:rPr>
      </w:r>
      <w:r>
        <w:rPr>
          <w:spacing w:val="-2"/>
        </w:rPr>
        <w:t>理目标和风险管理策略的正式书面文件。该文件载明了套期工具、被套期项目，被套</w:t>
      </w:r>
      <w:r>
        <w:rPr>
          <w:spacing w:val="-95"/>
        </w:rPr>
        <w:t> </w:t>
      </w:r>
      <w:r>
        <w:rPr>
          <w:spacing w:val="-95"/>
        </w:rPr>
      </w:r>
      <w:r>
        <w:rPr>
          <w:spacing w:val="-2"/>
        </w:rPr>
        <w:t>期风险的性质，以及本集团对套期有效性评估方法。套期有效性，是指套期工具的公</w:t>
      </w:r>
      <w:r>
        <w:rPr>
          <w:spacing w:val="-93"/>
        </w:rPr>
        <w:t> </w:t>
      </w:r>
      <w:r>
        <w:rPr>
          <w:spacing w:val="-93"/>
        </w:rPr>
      </w:r>
      <w:r>
        <w:rPr/>
        <w:t>允价值或现金流量变动能够抵销被套期风险引起的被套期项目公允价值或现金流量 的程度。此类套期在初始指定日及以后期间被持续评价符合套期有效性要求。</w:t>
      </w:r>
    </w:p>
    <w:p>
      <w:pPr>
        <w:spacing w:line="240" w:lineRule="auto" w:before="13"/>
        <w:rPr>
          <w:rFonts w:ascii="宋体" w:hAnsi="宋体" w:cs="宋体" w:eastAsia="宋体" w:hint="default"/>
          <w:sz w:val="20"/>
          <w:szCs w:val="20"/>
        </w:rPr>
      </w:pPr>
    </w:p>
    <w:p>
      <w:pPr>
        <w:pStyle w:val="BodyText"/>
        <w:spacing w:line="237" w:lineRule="auto"/>
        <w:ind w:right="113"/>
        <w:jc w:val="both"/>
      </w:pPr>
      <w:r>
        <w:rPr>
          <w:spacing w:val="-2"/>
        </w:rPr>
        <w:t>如果套期工具已到期、被出售、合同终止或已行使（但作为套期策略组成部分的展期</w:t>
      </w:r>
      <w:r>
        <w:rPr>
          <w:spacing w:val="-94"/>
        </w:rPr>
        <w:t> </w:t>
      </w:r>
      <w:r>
        <w:rPr>
          <w:spacing w:val="-94"/>
        </w:rPr>
      </w:r>
      <w:r>
        <w:rPr>
          <w:spacing w:val="-2"/>
        </w:rPr>
        <w:t>或替换不作为已到期或合同终止处理），或因风险管理目标发生变化，导致套期关系</w:t>
      </w:r>
      <w:r>
        <w:rPr>
          <w:spacing w:val="-95"/>
        </w:rPr>
        <w:t> </w:t>
      </w:r>
      <w:r>
        <w:rPr>
          <w:spacing w:val="-95"/>
        </w:rPr>
      </w:r>
      <w:r>
        <w:rPr>
          <w:spacing w:val="-2"/>
        </w:rPr>
        <w:t>不再满足风险管理目标，或者该套期不再满足套期会计方法的其他条件时，本集团终</w:t>
      </w:r>
      <w:r>
        <w:rPr>
          <w:spacing w:val="-94"/>
        </w:rPr>
        <w:t> </w:t>
      </w:r>
      <w:r>
        <w:rPr>
          <w:spacing w:val="-94"/>
        </w:rPr>
      </w:r>
      <w:r>
        <w:rPr/>
        <w:t>止运用套期会计。</w:t>
      </w:r>
    </w:p>
    <w:p>
      <w:pPr>
        <w:spacing w:line="240" w:lineRule="auto" w:before="4"/>
        <w:rPr>
          <w:rFonts w:ascii="宋体" w:hAnsi="宋体" w:cs="宋体" w:eastAsia="宋体" w:hint="default"/>
          <w:sz w:val="23"/>
          <w:szCs w:val="23"/>
        </w:rPr>
      </w:pPr>
    </w:p>
    <w:p>
      <w:pPr>
        <w:pStyle w:val="BodyText"/>
        <w:spacing w:line="312" w:lineRule="exact"/>
        <w:ind w:right="0"/>
        <w:jc w:val="left"/>
        <w:rPr>
          <w:rFonts w:ascii="Times New Roman" w:hAnsi="Times New Roman" w:cs="Times New Roman" w:eastAsia="Times New Roman" w:hint="default"/>
        </w:rPr>
      </w:pPr>
      <w:r>
        <w:rPr>
          <w:spacing w:val="-2"/>
        </w:rPr>
        <w:t>本集团对套期有效性的评估方法，风险管理策略以及如何应用该策略来管理风险的详</w:t>
      </w:r>
      <w:r>
        <w:rPr>
          <w:spacing w:val="-94"/>
        </w:rPr>
        <w:t> </w:t>
      </w:r>
      <w:r>
        <w:rPr>
          <w:spacing w:val="-94"/>
        </w:rPr>
      </w:r>
      <w:r>
        <w:rPr/>
        <w:t>细信息，参见附注七、</w:t>
      </w:r>
      <w:r>
        <w:rPr>
          <w:rFonts w:ascii="Times New Roman" w:hAnsi="Times New Roman" w:cs="Times New Roman" w:eastAsia="Times New Roman" w:hint="default"/>
        </w:rPr>
        <w:t>82</w:t>
      </w:r>
    </w:p>
    <w:p>
      <w:pPr>
        <w:spacing w:line="240" w:lineRule="auto" w:before="2"/>
        <w:rPr>
          <w:rFonts w:ascii="Times New Roman" w:hAnsi="Times New Roman" w:cs="Times New Roman" w:eastAsia="Times New Roman" w:hint="default"/>
          <w:sz w:val="21"/>
          <w:szCs w:val="21"/>
        </w:rPr>
      </w:pPr>
    </w:p>
    <w:p>
      <w:pPr>
        <w:pStyle w:val="BodyText"/>
        <w:spacing w:line="448" w:lineRule="auto"/>
        <w:ind w:right="3650"/>
        <w:jc w:val="left"/>
      </w:pPr>
      <w:r>
        <w:rPr/>
        <w:t>满足套期会计方法条件的，按如下方法进行处理： </w:t>
      </w:r>
      <w:r>
        <w:rPr>
          <w:u w:val="single" w:color="000000"/>
        </w:rPr>
        <w:t>现金流量套期</w:t>
      </w:r>
      <w:r>
        <w:rPr/>
      </w:r>
    </w:p>
    <w:p>
      <w:pPr>
        <w:pStyle w:val="BodyText"/>
        <w:spacing w:line="310" w:lineRule="exact" w:before="97"/>
        <w:ind w:right="115"/>
        <w:jc w:val="both"/>
      </w:pPr>
      <w:r>
        <w:rPr>
          <w:spacing w:val="-2"/>
        </w:rPr>
        <w:t>套期工具利得或损失中属于套期有效的部分，直接确认为其他综合收益，属于套期无</w:t>
      </w:r>
      <w:r>
        <w:rPr>
          <w:spacing w:val="-94"/>
        </w:rPr>
        <w:t> </w:t>
      </w:r>
      <w:r>
        <w:rPr>
          <w:spacing w:val="-94"/>
        </w:rPr>
      </w:r>
      <w:r>
        <w:rPr/>
        <w:t>效的部分，计入当期损益。</w:t>
      </w:r>
    </w:p>
    <w:p>
      <w:pPr>
        <w:spacing w:line="240" w:lineRule="auto" w:before="13"/>
        <w:rPr>
          <w:rFonts w:ascii="宋体" w:hAnsi="宋体" w:cs="宋体" w:eastAsia="宋体" w:hint="default"/>
          <w:sz w:val="18"/>
          <w:szCs w:val="18"/>
        </w:rPr>
      </w:pPr>
    </w:p>
    <w:p>
      <w:pPr>
        <w:pStyle w:val="BodyText"/>
        <w:spacing w:line="237" w:lineRule="auto"/>
        <w:ind w:right="114"/>
        <w:jc w:val="both"/>
      </w:pPr>
      <w:r>
        <w:rPr>
          <w:spacing w:val="-2"/>
        </w:rPr>
        <w:t>如果被套期的预期交易随后确认为非金融资产或非金融负债，或非金融资产或非金融</w:t>
      </w:r>
      <w:r>
        <w:rPr>
          <w:spacing w:val="-94"/>
        </w:rPr>
        <w:t> </w:t>
      </w:r>
      <w:r>
        <w:rPr>
          <w:spacing w:val="-94"/>
        </w:rPr>
      </w:r>
      <w:r>
        <w:rPr>
          <w:spacing w:val="-2"/>
        </w:rPr>
        <w:t>负债的预期交易形成适用公允价值套期的确定承诺时，则原在其他综合收益中确认的</w:t>
      </w:r>
      <w:r>
        <w:rPr>
          <w:spacing w:val="-94"/>
        </w:rPr>
        <w:t> </w:t>
      </w:r>
      <w:r>
        <w:rPr>
          <w:spacing w:val="-94"/>
        </w:rPr>
      </w:r>
      <w:r>
        <w:rPr>
          <w:spacing w:val="-2"/>
        </w:rPr>
        <w:t>现金流量套期储备金额转出，计入该资产或负债的初始确认金额。其余现金流量套期</w:t>
      </w:r>
      <w:r>
        <w:rPr>
          <w:spacing w:val="-94"/>
        </w:rPr>
        <w:t> </w:t>
      </w:r>
      <w:r>
        <w:rPr>
          <w:spacing w:val="-94"/>
        </w:rPr>
      </w:r>
      <w:r>
        <w:rPr>
          <w:spacing w:val="-2"/>
        </w:rPr>
        <w:t>在被套期的预期现金流量影响损益的相同期间，如预期销售发生时，将其他综合收益</w:t>
      </w:r>
      <w:r>
        <w:rPr>
          <w:spacing w:val="-93"/>
        </w:rPr>
        <w:t> </w:t>
      </w:r>
      <w:r>
        <w:rPr>
          <w:spacing w:val="-93"/>
        </w:rPr>
      </w:r>
      <w:r>
        <w:rPr/>
        <w:t>中确认的现金流量套期储备转出，计入当期损益。</w:t>
      </w:r>
    </w:p>
    <w:p>
      <w:pPr>
        <w:spacing w:line="240" w:lineRule="auto" w:before="2"/>
        <w:rPr>
          <w:rFonts w:ascii="宋体" w:hAnsi="宋体" w:cs="宋体" w:eastAsia="宋体" w:hint="default"/>
          <w:sz w:val="23"/>
          <w:szCs w:val="23"/>
        </w:rPr>
      </w:pPr>
    </w:p>
    <w:p>
      <w:pPr>
        <w:pStyle w:val="BodyText"/>
        <w:spacing w:line="312" w:lineRule="exact"/>
        <w:ind w:right="115"/>
        <w:jc w:val="both"/>
      </w:pPr>
      <w:r>
        <w:rPr>
          <w:spacing w:val="-2"/>
        </w:rPr>
        <w:t>本集团对现金流量套期终止运用套期会计时，如果被套期的未来现金流量预期仍然会</w:t>
      </w:r>
      <w:r>
        <w:rPr>
          <w:spacing w:val="-94"/>
        </w:rPr>
        <w:t> </w:t>
      </w:r>
      <w:r>
        <w:rPr>
          <w:spacing w:val="-94"/>
        </w:rPr>
      </w:r>
      <w:r>
        <w:rPr>
          <w:spacing w:val="-2"/>
        </w:rPr>
        <w:t>发生的，则以前计入其他综合收益的金额不转出，直至预期交易实际发生或确定承诺</w:t>
      </w:r>
      <w:r>
        <w:rPr>
          <w:spacing w:val="-94"/>
        </w:rPr>
        <w:t> </w:t>
      </w:r>
      <w:r>
        <w:rPr>
          <w:spacing w:val="-94"/>
        </w:rPr>
      </w:r>
      <w:r>
        <w:rPr>
          <w:spacing w:val="-2"/>
        </w:rPr>
        <w:t>履行；如果被套期的未来现金流量预期不再发生的，则累计现金流量套期储备的金额</w:t>
      </w:r>
      <w:r>
        <w:rPr>
          <w:spacing w:val="-94"/>
        </w:rPr>
        <w:t> </w:t>
      </w:r>
      <w:r>
        <w:rPr>
          <w:spacing w:val="-94"/>
        </w:rPr>
      </w:r>
      <w:r>
        <w:rPr/>
        <w:t>应当从其他综合收益中转出，计入当期损益。</w:t>
      </w:r>
    </w:p>
    <w:p>
      <w:pPr>
        <w:spacing w:line="240" w:lineRule="auto" w:before="7"/>
        <w:rPr>
          <w:rFonts w:ascii="宋体" w:hAnsi="宋体" w:cs="宋体" w:eastAsia="宋体" w:hint="default"/>
          <w:sz w:val="18"/>
          <w:szCs w:val="18"/>
        </w:rPr>
      </w:pPr>
    </w:p>
    <w:p>
      <w:pPr>
        <w:pStyle w:val="Heading2"/>
        <w:spacing w:line="240" w:lineRule="auto"/>
        <w:ind w:left="136" w:right="0"/>
        <w:jc w:val="both"/>
        <w:rPr>
          <w:b w:val="0"/>
          <w:bCs w:val="0"/>
        </w:rPr>
      </w:pPr>
      <w:r>
        <w:rPr/>
        <w:t>回购股份</w:t>
      </w:r>
      <w:r>
        <w:rPr>
          <w:b w:val="0"/>
          <w:bCs w:val="0"/>
        </w:rPr>
      </w:r>
    </w:p>
    <w:p>
      <w:pPr>
        <w:spacing w:after="0" w:line="240" w:lineRule="auto"/>
        <w:jc w:val="both"/>
        <w:sectPr>
          <w:pgSz w:w="11910" w:h="16840"/>
          <w:pgMar w:header="882" w:footer="1195" w:top="1120" w:bottom="1380" w:left="1140" w:right="1680"/>
        </w:sectPr>
      </w:pPr>
    </w:p>
    <w:p>
      <w:pPr>
        <w:spacing w:line="240" w:lineRule="auto" w:before="13"/>
        <w:rPr>
          <w:rFonts w:ascii="宋体" w:hAnsi="宋体" w:cs="宋体" w:eastAsia="宋体" w:hint="default"/>
          <w:b/>
          <w:bCs/>
          <w:sz w:val="18"/>
          <w:szCs w:val="18"/>
        </w:rPr>
      </w:pPr>
    </w:p>
    <w:p>
      <w:pPr>
        <w:pStyle w:val="BodyText"/>
        <w:spacing w:line="312" w:lineRule="exact" w:before="56"/>
        <w:ind w:right="0"/>
        <w:jc w:val="left"/>
      </w:pPr>
      <w:r>
        <w:rPr>
          <w:spacing w:val="-4"/>
        </w:rPr>
        <w:t>回购自身权益工具支付的对价和交易费用，减少股东权益。除股份支付之外，发行</w:t>
      </w:r>
      <w:r>
        <w:rPr>
          <w:rFonts w:ascii="Times New Roman" w:hAnsi="Times New Roman" w:cs="Times New Roman" w:eastAsia="Times New Roman" w:hint="default"/>
          <w:spacing w:val="-4"/>
        </w:rPr>
        <w:t>(</w:t>
      </w:r>
      <w:r>
        <w:rPr>
          <w:spacing w:val="-4"/>
        </w:rPr>
        <w:t>含</w:t>
      </w:r>
      <w:r>
        <w:rPr>
          <w:spacing w:val="-99"/>
        </w:rPr>
        <w:t> </w:t>
      </w:r>
      <w:r>
        <w:rPr/>
        <w:t>再融资</w:t>
      </w:r>
      <w:r>
        <w:rPr>
          <w:rFonts w:ascii="Times New Roman" w:hAnsi="Times New Roman" w:cs="Times New Roman" w:eastAsia="Times New Roman" w:hint="default"/>
        </w:rPr>
        <w:t>)</w:t>
      </w:r>
      <w:r>
        <w:rPr/>
        <w:t>、回购、出售或注销自身权益工具，作为权益的变动处理。</w:t>
      </w:r>
    </w:p>
    <w:p>
      <w:pPr>
        <w:spacing w:line="240" w:lineRule="auto" w:before="7"/>
        <w:rPr>
          <w:rFonts w:ascii="宋体" w:hAnsi="宋体" w:cs="宋体" w:eastAsia="宋体" w:hint="default"/>
          <w:sz w:val="18"/>
          <w:szCs w:val="18"/>
        </w:rPr>
      </w:pPr>
    </w:p>
    <w:p>
      <w:pPr>
        <w:spacing w:line="448" w:lineRule="auto" w:before="0"/>
        <w:ind w:left="136" w:right="3650" w:firstLine="0"/>
        <w:jc w:val="left"/>
        <w:rPr>
          <w:rFonts w:ascii="宋体" w:hAnsi="宋体" w:cs="宋体" w:eastAsia="宋体" w:hint="default"/>
          <w:sz w:val="24"/>
          <w:szCs w:val="24"/>
        </w:rPr>
      </w:pPr>
      <w:r>
        <w:rPr>
          <w:rFonts w:ascii="宋体" w:hAnsi="宋体" w:cs="宋体" w:eastAsia="宋体" w:hint="default"/>
          <w:b/>
          <w:bCs/>
          <w:sz w:val="24"/>
          <w:szCs w:val="24"/>
        </w:rPr>
        <w:t>利润分配</w:t>
      </w:r>
      <w:r>
        <w:rPr>
          <w:rFonts w:ascii="宋体" w:hAnsi="宋体" w:cs="宋体" w:eastAsia="宋体" w:hint="default"/>
          <w:b/>
          <w:bCs/>
          <w:w w:val="99"/>
          <w:sz w:val="24"/>
          <w:szCs w:val="24"/>
        </w:rPr>
        <w:t> </w:t>
      </w:r>
      <w:r>
        <w:rPr>
          <w:rFonts w:ascii="宋体" w:hAnsi="宋体" w:cs="宋体" w:eastAsia="宋体" w:hint="default"/>
          <w:sz w:val="24"/>
          <w:szCs w:val="24"/>
        </w:rPr>
        <w:t>本公司的现金股利，于股东大会批准后确认为负债。 </w:t>
      </w:r>
      <w:r>
        <w:rPr>
          <w:rFonts w:ascii="宋体" w:hAnsi="宋体" w:cs="宋体" w:eastAsia="宋体" w:hint="default"/>
          <w:b/>
          <w:bCs/>
          <w:sz w:val="24"/>
          <w:szCs w:val="24"/>
        </w:rPr>
        <w:t>公允价值计量</w:t>
      </w:r>
      <w:r>
        <w:rPr>
          <w:rFonts w:ascii="宋体" w:hAnsi="宋体" w:cs="宋体" w:eastAsia="宋体" w:hint="default"/>
          <w:sz w:val="24"/>
          <w:szCs w:val="24"/>
        </w:rPr>
      </w:r>
    </w:p>
    <w:p>
      <w:pPr>
        <w:pStyle w:val="BodyText"/>
        <w:spacing w:line="235" w:lineRule="auto" w:before="68"/>
        <w:ind w:right="354"/>
        <w:jc w:val="both"/>
      </w:pPr>
      <w:r>
        <w:rPr>
          <w:spacing w:val="-2"/>
        </w:rPr>
        <w:t>本集团于每个资产负债表日以公允价值计量衍生金融工具投资和权益工具投资。公允</w:t>
      </w:r>
      <w:r>
        <w:rPr>
          <w:spacing w:val="-94"/>
        </w:rPr>
        <w:t> </w:t>
      </w:r>
      <w:r>
        <w:rPr>
          <w:spacing w:val="-94"/>
        </w:rPr>
      </w:r>
      <w:r>
        <w:rPr>
          <w:spacing w:val="-2"/>
        </w:rPr>
        <w:t>价值，是指市场参与者在计量日发生的有序交易中，出售一项资产所能收到或者转移</w:t>
      </w:r>
      <w:r>
        <w:rPr>
          <w:spacing w:val="-94"/>
        </w:rPr>
        <w:t> </w:t>
      </w:r>
      <w:r>
        <w:rPr>
          <w:spacing w:val="-94"/>
        </w:rPr>
      </w:r>
      <w:r>
        <w:rPr>
          <w:spacing w:val="-2"/>
        </w:rPr>
        <w:t>一项负债所需支付的价格。本集团以公允价值计量相关资产或负债，假定出售资产或</w:t>
      </w:r>
      <w:r>
        <w:rPr>
          <w:spacing w:val="-94"/>
        </w:rPr>
        <w:t> </w:t>
      </w:r>
      <w:r>
        <w:rPr>
          <w:spacing w:val="-94"/>
        </w:rPr>
      </w:r>
      <w:r>
        <w:rPr>
          <w:spacing w:val="-2"/>
        </w:rPr>
        <w:t>者转移负债的有序交易在相关资产或负债的主要市场进行；不存在主要市场的，本集</w:t>
      </w:r>
      <w:r>
        <w:rPr>
          <w:spacing w:val="-94"/>
        </w:rPr>
        <w:t> </w:t>
      </w:r>
      <w:r>
        <w:rPr>
          <w:spacing w:val="-94"/>
        </w:rPr>
      </w:r>
      <w:r>
        <w:rPr/>
        <w:t>团假定该交易在相关资产或负债的最有利市场进行。主要市场</w:t>
      </w:r>
      <w:r>
        <w:rPr>
          <w:rFonts w:ascii="Times New Roman" w:hAnsi="Times New Roman" w:cs="Times New Roman" w:eastAsia="Times New Roman" w:hint="default"/>
        </w:rPr>
        <w:t>(</w:t>
      </w:r>
      <w:r>
        <w:rPr/>
        <w:t>或最有利市场</w:t>
      </w:r>
      <w:r>
        <w:rPr>
          <w:rFonts w:ascii="Times New Roman" w:hAnsi="Times New Roman" w:cs="Times New Roman" w:eastAsia="Times New Roman" w:hint="default"/>
        </w:rPr>
        <w:t>)</w:t>
      </w:r>
      <w:r>
        <w:rPr/>
        <w:t>是本集 </w:t>
      </w:r>
      <w:r>
        <w:rPr>
          <w:spacing w:val="-2"/>
        </w:rPr>
        <w:t>团在计量日能够进入的交易市场。本集团采用市场参与者在对该资产或负债定价时为</w:t>
      </w:r>
      <w:r>
        <w:rPr>
          <w:spacing w:val="-93"/>
        </w:rPr>
        <w:t> </w:t>
      </w:r>
      <w:r>
        <w:rPr>
          <w:spacing w:val="-93"/>
        </w:rPr>
      </w:r>
      <w:r>
        <w:rPr/>
        <w:t>实现其经济利益最大化所使用的假设。</w:t>
      </w:r>
    </w:p>
    <w:p>
      <w:pPr>
        <w:spacing w:line="240" w:lineRule="auto" w:before="2"/>
        <w:rPr>
          <w:rFonts w:ascii="宋体" w:hAnsi="宋体" w:cs="宋体" w:eastAsia="宋体" w:hint="default"/>
          <w:sz w:val="23"/>
          <w:szCs w:val="23"/>
        </w:rPr>
      </w:pPr>
    </w:p>
    <w:p>
      <w:pPr>
        <w:pStyle w:val="BodyText"/>
        <w:spacing w:line="312" w:lineRule="exact"/>
        <w:ind w:right="355"/>
        <w:jc w:val="both"/>
      </w:pPr>
      <w:r>
        <w:rPr>
          <w:spacing w:val="-2"/>
        </w:rPr>
        <w:t>以公允价值计量非金融资产的，考虑市场参与者将该资产用于最佳用途产生经济利益</w:t>
      </w:r>
      <w:r>
        <w:rPr>
          <w:spacing w:val="-94"/>
        </w:rPr>
        <w:t> </w:t>
      </w:r>
      <w:r>
        <w:rPr>
          <w:spacing w:val="-94"/>
        </w:rPr>
      </w:r>
      <w:r>
        <w:rPr>
          <w:spacing w:val="-2"/>
        </w:rPr>
        <w:t>的能力，或者将该资产出售给能够用于最佳用途的其他市场参与者产生经济利益的能</w:t>
      </w:r>
      <w:r>
        <w:rPr>
          <w:spacing w:val="-94"/>
        </w:rPr>
        <w:t> </w:t>
      </w:r>
      <w:r>
        <w:rPr>
          <w:spacing w:val="-94"/>
        </w:rPr>
      </w:r>
      <w:r>
        <w:rPr/>
        <w:t>力。</w:t>
      </w:r>
    </w:p>
    <w:p>
      <w:pPr>
        <w:spacing w:line="240" w:lineRule="auto" w:before="12"/>
        <w:rPr>
          <w:rFonts w:ascii="宋体" w:hAnsi="宋体" w:cs="宋体" w:eastAsia="宋体" w:hint="default"/>
          <w:sz w:val="20"/>
          <w:szCs w:val="20"/>
        </w:rPr>
      </w:pPr>
    </w:p>
    <w:p>
      <w:pPr>
        <w:pStyle w:val="BodyText"/>
        <w:spacing w:line="312" w:lineRule="exact"/>
        <w:ind w:right="0"/>
        <w:jc w:val="left"/>
      </w:pPr>
      <w:r>
        <w:rPr/>
        <w:t>本集团采用在当前情况下适用并且有足够可利用数据和其他信息支持的估值技术，优 </w:t>
      </w:r>
      <w:r>
        <w:rPr>
          <w:spacing w:val="-2"/>
        </w:rPr>
        <w:t>先使用相关可观察输入值，只有在可观察输入值无法取得或取得不切实可行的情况下，</w:t>
      </w:r>
      <w:r>
        <w:rPr>
          <w:spacing w:val="-92"/>
        </w:rPr>
        <w:t> </w:t>
      </w:r>
      <w:r>
        <w:rPr>
          <w:spacing w:val="-92"/>
        </w:rPr>
      </w:r>
      <w:r>
        <w:rPr/>
        <w:t>才使用不可观察输入值。</w:t>
      </w:r>
    </w:p>
    <w:p>
      <w:pPr>
        <w:spacing w:line="240" w:lineRule="auto" w:before="11"/>
        <w:rPr>
          <w:rFonts w:ascii="宋体" w:hAnsi="宋体" w:cs="宋体" w:eastAsia="宋体" w:hint="default"/>
          <w:sz w:val="18"/>
          <w:szCs w:val="18"/>
        </w:rPr>
      </w:pPr>
    </w:p>
    <w:p>
      <w:pPr>
        <w:pStyle w:val="BodyText"/>
        <w:spacing w:line="237" w:lineRule="auto"/>
        <w:ind w:right="355"/>
        <w:jc w:val="both"/>
      </w:pPr>
      <w:r>
        <w:rPr>
          <w:spacing w:val="-2"/>
        </w:rPr>
        <w:t>在财务报表中以公允价值计量或披露的资产和负债，根据对公允价值计量整体而言具</w:t>
      </w:r>
      <w:r>
        <w:rPr>
          <w:spacing w:val="-94"/>
        </w:rPr>
        <w:t> </w:t>
      </w:r>
      <w:r>
        <w:rPr>
          <w:spacing w:val="-94"/>
        </w:rPr>
      </w:r>
      <w:r>
        <w:rPr>
          <w:spacing w:val="-2"/>
        </w:rPr>
        <w:t>有重要意义的最低层次输入值，确定所属的公允价值层次：第一层次输入值，在计量</w:t>
      </w:r>
      <w:r>
        <w:rPr>
          <w:spacing w:val="-96"/>
        </w:rPr>
        <w:t> </w:t>
      </w:r>
      <w:r>
        <w:rPr>
          <w:spacing w:val="-96"/>
        </w:rPr>
      </w:r>
      <w:r>
        <w:rPr>
          <w:spacing w:val="-2"/>
        </w:rPr>
        <w:t>日能够取得的相同资产或负债在活跃市场上未经调整的报价；第二层次输入值，除第</w:t>
      </w:r>
      <w:r>
        <w:rPr>
          <w:spacing w:val="-94"/>
        </w:rPr>
        <w:t> </w:t>
      </w:r>
      <w:r>
        <w:rPr>
          <w:spacing w:val="-94"/>
        </w:rPr>
      </w:r>
      <w:r>
        <w:rPr>
          <w:spacing w:val="-2"/>
        </w:rPr>
        <w:t>一层次输入值外相关资产或负债直接或间接可观察的输入值；第三层次输入值，相关</w:t>
      </w:r>
      <w:r>
        <w:rPr>
          <w:spacing w:val="-94"/>
        </w:rPr>
        <w:t> </w:t>
      </w:r>
      <w:r>
        <w:rPr>
          <w:spacing w:val="-94"/>
        </w:rPr>
      </w:r>
      <w:r>
        <w:rPr/>
        <w:t>资产或负债的不可观察输入值。</w:t>
      </w:r>
    </w:p>
    <w:p>
      <w:pPr>
        <w:spacing w:line="240" w:lineRule="auto" w:before="6"/>
        <w:rPr>
          <w:rFonts w:ascii="宋体" w:hAnsi="宋体" w:cs="宋体" w:eastAsia="宋体" w:hint="default"/>
          <w:sz w:val="23"/>
          <w:szCs w:val="23"/>
        </w:rPr>
      </w:pPr>
    </w:p>
    <w:p>
      <w:pPr>
        <w:pStyle w:val="BodyText"/>
        <w:spacing w:line="310" w:lineRule="exact"/>
        <w:ind w:right="0"/>
        <w:jc w:val="left"/>
      </w:pPr>
      <w:r>
        <w:rPr>
          <w:spacing w:val="-2"/>
        </w:rPr>
        <w:t>每个资产负债表日，本集团对在财务报表中确认的持续以公允价值计量的资产和负债</w:t>
      </w:r>
      <w:r>
        <w:rPr>
          <w:spacing w:val="-94"/>
        </w:rPr>
        <w:t> </w:t>
      </w:r>
      <w:r>
        <w:rPr>
          <w:spacing w:val="-94"/>
        </w:rPr>
      </w:r>
      <w:r>
        <w:rPr/>
        <w:t>进行重新评估，以确定是否在公允价值计量层次之间发生转换。</w:t>
      </w:r>
    </w:p>
    <w:p>
      <w:pPr>
        <w:spacing w:line="240" w:lineRule="auto" w:before="10"/>
        <w:rPr>
          <w:rFonts w:ascii="宋体" w:hAnsi="宋体" w:cs="宋体" w:eastAsia="宋体" w:hint="default"/>
          <w:sz w:val="18"/>
          <w:szCs w:val="18"/>
        </w:rPr>
      </w:pPr>
    </w:p>
    <w:p>
      <w:pPr>
        <w:pStyle w:val="Heading2"/>
        <w:spacing w:line="240" w:lineRule="auto"/>
        <w:ind w:left="136" w:right="0"/>
        <w:jc w:val="left"/>
        <w:rPr>
          <w:b w:val="0"/>
          <w:bCs w:val="0"/>
        </w:rPr>
      </w:pPr>
      <w:r>
        <w:rPr/>
        <w:t>重大会计判断和估计</w:t>
      </w:r>
      <w:r>
        <w:rPr>
          <w:b w:val="0"/>
          <w:bCs w:val="0"/>
        </w:rPr>
      </w:r>
    </w:p>
    <w:p>
      <w:pPr>
        <w:spacing w:line="240" w:lineRule="auto" w:before="3"/>
        <w:rPr>
          <w:rFonts w:ascii="宋体" w:hAnsi="宋体" w:cs="宋体" w:eastAsia="宋体" w:hint="default"/>
          <w:b/>
          <w:bCs/>
          <w:sz w:val="21"/>
          <w:szCs w:val="21"/>
        </w:rPr>
      </w:pPr>
    </w:p>
    <w:p>
      <w:pPr>
        <w:pStyle w:val="BodyText"/>
        <w:spacing w:line="237" w:lineRule="auto"/>
        <w:ind w:right="354"/>
        <w:jc w:val="left"/>
      </w:pPr>
      <w:r>
        <w:rPr>
          <w:spacing w:val="-8"/>
        </w:rPr>
        <w:t>编制财务报表要求管理层作出判断、估计和假设，这些判断、估计和假设会影响收入、</w:t>
      </w:r>
      <w:r>
        <w:rPr>
          <w:spacing w:val="-104"/>
        </w:rPr>
        <w:t> </w:t>
      </w:r>
      <w:r>
        <w:rPr>
          <w:spacing w:val="-104"/>
        </w:rPr>
      </w:r>
      <w:r>
        <w:rPr>
          <w:spacing w:val="-2"/>
        </w:rPr>
        <w:t>费用、资产和负债的列报金额及其披露，以及资产负债表日或有负债的披露。这些假</w:t>
      </w:r>
      <w:r>
        <w:rPr>
          <w:spacing w:val="-96"/>
        </w:rPr>
        <w:t> </w:t>
      </w:r>
      <w:r>
        <w:rPr>
          <w:spacing w:val="-96"/>
        </w:rPr>
      </w:r>
      <w:r>
        <w:rPr/>
        <w:t>设和估计的不确定性所导致的结果可能造成对未来受影响的资产或负债账面金额进 行重大调整。</w:t>
      </w:r>
    </w:p>
    <w:p>
      <w:pPr>
        <w:spacing w:line="240" w:lineRule="auto" w:before="13"/>
        <w:rPr>
          <w:rFonts w:ascii="宋体" w:hAnsi="宋体" w:cs="宋体" w:eastAsia="宋体" w:hint="default"/>
          <w:sz w:val="20"/>
          <w:szCs w:val="20"/>
        </w:rPr>
      </w:pPr>
    </w:p>
    <w:p>
      <w:pPr>
        <w:pStyle w:val="BodyText"/>
        <w:spacing w:line="240" w:lineRule="auto"/>
        <w:ind w:right="0"/>
        <w:jc w:val="left"/>
      </w:pPr>
      <w:r>
        <w:rPr/>
      </w:r>
      <w:r>
        <w:rPr>
          <w:u w:val="single" w:color="000000"/>
        </w:rPr>
        <w:t>判断</w:t>
      </w:r>
      <w:r>
        <w:rPr/>
      </w:r>
    </w:p>
    <w:p>
      <w:pPr>
        <w:spacing w:line="240" w:lineRule="auto" w:before="10"/>
        <w:rPr>
          <w:rFonts w:ascii="宋体" w:hAnsi="宋体" w:cs="宋体" w:eastAsia="宋体" w:hint="default"/>
          <w:sz w:val="18"/>
          <w:szCs w:val="18"/>
        </w:rPr>
      </w:pPr>
    </w:p>
    <w:p>
      <w:pPr>
        <w:pStyle w:val="BodyText"/>
        <w:spacing w:line="240" w:lineRule="auto" w:before="26"/>
        <w:ind w:right="0"/>
        <w:jc w:val="left"/>
      </w:pPr>
      <w:r>
        <w:rPr/>
        <w:t>合同现金流量特征</w:t>
      </w:r>
    </w:p>
    <w:p>
      <w:pPr>
        <w:spacing w:after="0" w:line="240" w:lineRule="auto"/>
        <w:jc w:val="left"/>
        <w:sectPr>
          <w:pgSz w:w="11910" w:h="16840"/>
          <w:pgMar w:header="882" w:footer="1195" w:top="1120" w:bottom="1380" w:left="1140" w:right="1440"/>
        </w:sectPr>
      </w:pPr>
    </w:p>
    <w:p>
      <w:pPr>
        <w:spacing w:line="240" w:lineRule="auto" w:before="13"/>
        <w:rPr>
          <w:rFonts w:ascii="宋体" w:hAnsi="宋体" w:cs="宋体" w:eastAsia="宋体" w:hint="default"/>
          <w:sz w:val="18"/>
          <w:szCs w:val="18"/>
        </w:rPr>
      </w:pPr>
    </w:p>
    <w:p>
      <w:pPr>
        <w:pStyle w:val="BodyText"/>
        <w:spacing w:line="237" w:lineRule="auto" w:before="28"/>
        <w:ind w:right="215"/>
        <w:jc w:val="both"/>
      </w:pPr>
      <w:r>
        <w:rPr>
          <w:spacing w:val="-2"/>
        </w:rPr>
        <w:t>金融资产于初始确认时的分类取决于金融资产的合同现金流量特征，需要判断合同现</w:t>
      </w:r>
      <w:r>
        <w:rPr>
          <w:spacing w:val="-94"/>
        </w:rPr>
        <w:t> </w:t>
      </w:r>
      <w:r>
        <w:rPr>
          <w:spacing w:val="-94"/>
        </w:rPr>
      </w:r>
      <w:r>
        <w:rPr>
          <w:spacing w:val="-2"/>
        </w:rPr>
        <w:t>金流量是否仅为对本金和以未偿付本金为基础的利息的支付时，包含对货币时间价值</w:t>
      </w:r>
      <w:r>
        <w:rPr>
          <w:spacing w:val="-94"/>
        </w:rPr>
        <w:t> </w:t>
      </w:r>
      <w:r>
        <w:rPr>
          <w:spacing w:val="-94"/>
        </w:rPr>
      </w:r>
      <w:r>
        <w:rPr>
          <w:spacing w:val="-2"/>
        </w:rPr>
        <w:t>的修正进行评估时，需要判断与基准现金流量相比是否具有显著差异、对包含提前还</w:t>
      </w:r>
      <w:r>
        <w:rPr>
          <w:spacing w:val="-94"/>
        </w:rPr>
        <w:t> </w:t>
      </w:r>
      <w:r>
        <w:rPr>
          <w:spacing w:val="-94"/>
        </w:rPr>
      </w:r>
      <w:r>
        <w:rPr/>
        <w:t>款特征的金融资产，需要判断提前还款特征的公允价值是否非常小等。</w:t>
      </w:r>
    </w:p>
    <w:p>
      <w:pPr>
        <w:spacing w:line="240" w:lineRule="auto" w:before="13"/>
        <w:rPr>
          <w:rFonts w:ascii="宋体" w:hAnsi="宋体" w:cs="宋体" w:eastAsia="宋体" w:hint="default"/>
          <w:sz w:val="20"/>
          <w:szCs w:val="20"/>
        </w:rPr>
      </w:pPr>
    </w:p>
    <w:p>
      <w:pPr>
        <w:pStyle w:val="BodyText"/>
        <w:spacing w:line="240" w:lineRule="auto"/>
        <w:ind w:right="0"/>
        <w:jc w:val="both"/>
      </w:pPr>
      <w:r>
        <w:rPr/>
      </w:r>
      <w:r>
        <w:rPr>
          <w:u w:val="single" w:color="000000"/>
        </w:rPr>
        <w:t>估计的不确定性</w:t>
      </w:r>
      <w:r>
        <w:rPr/>
      </w:r>
    </w:p>
    <w:p>
      <w:pPr>
        <w:spacing w:line="240" w:lineRule="auto" w:before="10"/>
        <w:rPr>
          <w:rFonts w:ascii="宋体" w:hAnsi="宋体" w:cs="宋体" w:eastAsia="宋体" w:hint="default"/>
          <w:sz w:val="18"/>
          <w:szCs w:val="18"/>
        </w:rPr>
      </w:pPr>
    </w:p>
    <w:p>
      <w:pPr>
        <w:pStyle w:val="BodyText"/>
        <w:spacing w:line="312" w:lineRule="exact" w:before="56"/>
        <w:ind w:right="94"/>
        <w:jc w:val="left"/>
      </w:pPr>
      <w:r>
        <w:rPr>
          <w:spacing w:val="-2"/>
        </w:rPr>
        <w:t>以下为于资产负债表日有关未来的关键假设以及估计不确定性的其他关键来源，可能</w:t>
      </w:r>
      <w:r>
        <w:rPr>
          <w:spacing w:val="-94"/>
        </w:rPr>
        <w:t> </w:t>
      </w:r>
      <w:r>
        <w:rPr>
          <w:spacing w:val="-94"/>
        </w:rPr>
      </w:r>
      <w:r>
        <w:rPr/>
        <w:t>会导致未来会计期间资产和负债账面金额重大调整。</w:t>
      </w:r>
    </w:p>
    <w:p>
      <w:pPr>
        <w:spacing w:line="240" w:lineRule="auto" w:before="13"/>
        <w:rPr>
          <w:rFonts w:ascii="宋体" w:hAnsi="宋体" w:cs="宋体" w:eastAsia="宋体" w:hint="default"/>
          <w:sz w:val="18"/>
          <w:szCs w:val="18"/>
        </w:rPr>
      </w:pPr>
    </w:p>
    <w:p>
      <w:pPr>
        <w:pStyle w:val="BodyText"/>
        <w:spacing w:line="237" w:lineRule="auto"/>
        <w:ind w:right="94"/>
        <w:jc w:val="left"/>
      </w:pPr>
      <w:r>
        <w:rPr/>
      </w:r>
      <w:r>
        <w:rPr>
          <w:u w:val="single" w:color="000000"/>
        </w:rPr>
        <w:t>金融工具减值</w:t>
      </w:r>
      <w:r>
        <w:rPr/>
      </w:r>
      <w:r>
        <w:rPr/>
        <w:t> 本集团采用预期信用损失模型对金融工具的减值进行评估，应用预期信用损失模型需 要做出重大判断和估计，需考虑所有合理且有依据的信息，包括前瞻性信息。在做出 这些判断和估计时，本集团根据历史还款数据结合经济政策、宏观经济指标、行业风 险等因素推断债务人信用风险的预期变动。不同的估计可能会影响减值准备的计提，</w:t>
      </w:r>
      <w:r>
        <w:rPr>
          <w:spacing w:val="-63"/>
        </w:rPr>
        <w:t> </w:t>
      </w:r>
      <w:r>
        <w:rPr>
          <w:spacing w:val="-63"/>
        </w:rPr>
      </w:r>
      <w:r>
        <w:rPr/>
        <w:t>已计提的减值准备可能并不等于未来实际的减值损失金额。</w:t>
      </w:r>
    </w:p>
    <w:p>
      <w:pPr>
        <w:spacing w:line="240" w:lineRule="auto" w:before="4"/>
        <w:rPr>
          <w:rFonts w:ascii="宋体" w:hAnsi="宋体" w:cs="宋体" w:eastAsia="宋体" w:hint="default"/>
          <w:sz w:val="20"/>
          <w:szCs w:val="20"/>
        </w:rPr>
      </w:pPr>
    </w:p>
    <w:p>
      <w:pPr>
        <w:pStyle w:val="BodyText"/>
        <w:spacing w:line="237" w:lineRule="auto"/>
        <w:ind w:right="94"/>
        <w:jc w:val="left"/>
      </w:pPr>
      <w:r>
        <w:rPr>
          <w:rFonts w:ascii="宋体" w:hAnsi="宋体" w:cs="宋体" w:eastAsia="宋体" w:hint="default"/>
          <w:i/>
          <w:sz w:val="25"/>
          <w:szCs w:val="25"/>
        </w:rPr>
        <w:t>除金融资产之外的非流动资产减值</w:t>
      </w:r>
      <w:r>
        <w:rPr>
          <w:rFonts w:ascii="Times New Roman" w:hAnsi="Times New Roman" w:cs="Times New Roman" w:eastAsia="Times New Roman" w:hint="default"/>
          <w:i/>
        </w:rPr>
        <w:t>(</w:t>
      </w:r>
      <w:r>
        <w:rPr>
          <w:rFonts w:ascii="宋体" w:hAnsi="宋体" w:cs="宋体" w:eastAsia="宋体" w:hint="default"/>
          <w:i/>
          <w:sz w:val="25"/>
          <w:szCs w:val="25"/>
        </w:rPr>
        <w:t>除商誉外</w:t>
      </w:r>
      <w:r>
        <w:rPr>
          <w:rFonts w:ascii="Times New Roman" w:hAnsi="Times New Roman" w:cs="Times New Roman" w:eastAsia="Times New Roman" w:hint="default"/>
          <w:i/>
        </w:rPr>
        <w:t>)</w:t>
      </w:r>
      <w:r>
        <w:rPr>
          <w:rFonts w:ascii="Times New Roman" w:hAnsi="Times New Roman" w:cs="Times New Roman" w:eastAsia="Times New Roman" w:hint="default"/>
          <w:i/>
          <w:w w:val="99"/>
        </w:rPr>
        <w:t> </w:t>
      </w:r>
      <w:r>
        <w:rPr/>
        <w:t>本集团于资产负债表日对除金融资产之外的非流动资产判断是否存在可能发生减值</w:t>
      </w:r>
      <w:r>
        <w:rPr>
          <w:w w:val="99"/>
        </w:rPr>
        <w:t> </w:t>
      </w:r>
      <w:r>
        <w:rPr>
          <w:spacing w:val="-2"/>
        </w:rPr>
        <w:t>的迹象。对使用寿命不确定的无形资产，除每年进行的减值测试外，当其存在减值迹</w:t>
      </w:r>
      <w:r>
        <w:rPr>
          <w:spacing w:val="-95"/>
        </w:rPr>
        <w:t> </w:t>
      </w:r>
      <w:r>
        <w:rPr>
          <w:spacing w:val="-95"/>
        </w:rPr>
      </w:r>
      <w:r>
        <w:rPr>
          <w:spacing w:val="-2"/>
        </w:rPr>
        <w:t>象时，也进行减值测试。其他除金融资产之外的非流动资产，当存在迹象表明其账面</w:t>
      </w:r>
      <w:r>
        <w:rPr>
          <w:spacing w:val="-95"/>
        </w:rPr>
        <w:t> </w:t>
      </w:r>
      <w:r>
        <w:rPr>
          <w:spacing w:val="-95"/>
        </w:rPr>
      </w:r>
      <w:r>
        <w:rPr>
          <w:spacing w:val="-2"/>
        </w:rPr>
        <w:t>金额不可收回时，进行减值测试。当资产或资产组的账面价值高于可收回金额，即公</w:t>
      </w:r>
      <w:r>
        <w:rPr>
          <w:spacing w:val="-97"/>
        </w:rPr>
        <w:t> </w:t>
      </w:r>
      <w:r>
        <w:rPr>
          <w:spacing w:val="-97"/>
        </w:rPr>
      </w:r>
      <w:r>
        <w:rPr>
          <w:spacing w:val="-2"/>
        </w:rPr>
        <w:t>允价值减去处置费用后的净额和预计未来现金流量的现值中的较高者，表明发生了减</w:t>
      </w:r>
      <w:r>
        <w:rPr>
          <w:spacing w:val="-95"/>
        </w:rPr>
        <w:t> </w:t>
      </w:r>
      <w:r>
        <w:rPr>
          <w:spacing w:val="-95"/>
        </w:rPr>
      </w:r>
      <w:r>
        <w:rPr>
          <w:spacing w:val="-2"/>
        </w:rPr>
        <w:t>值。公允价值减去处置费用后的净额，参考公平交易中类似资产的销售协议价格或可</w:t>
      </w:r>
      <w:r>
        <w:rPr>
          <w:spacing w:val="-94"/>
        </w:rPr>
        <w:t> </w:t>
      </w:r>
      <w:r>
        <w:rPr>
          <w:spacing w:val="-94"/>
        </w:rPr>
      </w:r>
      <w:r>
        <w:rPr>
          <w:spacing w:val="-2"/>
        </w:rPr>
        <w:t>观察到的市场价格，减去可直接归属于该资产处置的增量成本确定。预计未来现金流</w:t>
      </w:r>
      <w:r>
        <w:rPr>
          <w:spacing w:val="-95"/>
        </w:rPr>
        <w:t> </w:t>
      </w:r>
      <w:r>
        <w:rPr>
          <w:spacing w:val="-95"/>
        </w:rPr>
      </w:r>
      <w:r>
        <w:rPr>
          <w:spacing w:val="-2"/>
        </w:rPr>
        <w:t>量现值时，管理层必须估计该项资产或资产组的预计未来现金流量，并选择恰当的折</w:t>
      </w:r>
      <w:r>
        <w:rPr>
          <w:spacing w:val="-95"/>
        </w:rPr>
        <w:t> </w:t>
      </w:r>
      <w:r>
        <w:rPr>
          <w:spacing w:val="-95"/>
        </w:rPr>
      </w:r>
      <w:r>
        <w:rPr/>
        <w:t>现率确定未来现金流量的现值。</w:t>
      </w:r>
    </w:p>
    <w:p>
      <w:pPr>
        <w:spacing w:line="240" w:lineRule="auto" w:before="4"/>
        <w:rPr>
          <w:rFonts w:ascii="宋体" w:hAnsi="宋体" w:cs="宋体" w:eastAsia="宋体" w:hint="default"/>
          <w:sz w:val="20"/>
          <w:szCs w:val="20"/>
        </w:rPr>
      </w:pPr>
    </w:p>
    <w:p>
      <w:pPr>
        <w:pStyle w:val="BodyText"/>
        <w:spacing w:line="237" w:lineRule="auto"/>
        <w:ind w:right="94"/>
        <w:jc w:val="left"/>
      </w:pPr>
      <w:r>
        <w:rPr>
          <w:rFonts w:ascii="宋体" w:hAnsi="宋体" w:cs="宋体" w:eastAsia="宋体" w:hint="default"/>
          <w:i/>
          <w:sz w:val="25"/>
          <w:szCs w:val="25"/>
        </w:rPr>
        <w:t>商誉减值</w:t>
      </w:r>
      <w:r>
        <w:rPr>
          <w:rFonts w:ascii="宋体" w:hAnsi="宋体" w:cs="宋体" w:eastAsia="宋体" w:hint="default"/>
          <w:i/>
          <w:w w:val="95"/>
          <w:sz w:val="25"/>
          <w:szCs w:val="25"/>
        </w:rPr>
        <w:t> </w:t>
      </w:r>
      <w:r>
        <w:rPr>
          <w:spacing w:val="-2"/>
        </w:rPr>
        <w:t>本集团至少每年测试商誉是否发生减值。这要求对分配了商誉的资产组或者资产组组</w:t>
      </w:r>
      <w:r>
        <w:rPr>
          <w:spacing w:val="-94"/>
        </w:rPr>
        <w:t> </w:t>
      </w:r>
      <w:r>
        <w:rPr>
          <w:spacing w:val="-94"/>
        </w:rPr>
      </w:r>
      <w:r>
        <w:rPr>
          <w:spacing w:val="-2"/>
        </w:rPr>
        <w:t>合的未来现金流量的现值进行预计。对未来现金流量的现值进行预计时，本集团需要</w:t>
      </w:r>
      <w:r>
        <w:rPr>
          <w:spacing w:val="-94"/>
        </w:rPr>
        <w:t> </w:t>
      </w:r>
      <w:r>
        <w:rPr>
          <w:spacing w:val="-94"/>
        </w:rPr>
      </w:r>
      <w:r>
        <w:rPr>
          <w:spacing w:val="-2"/>
        </w:rPr>
        <w:t>预计未来资产组或者资产组组合产生的现金流量，同时选择恰当的折现率确定未来现</w:t>
      </w:r>
      <w:r>
        <w:rPr>
          <w:spacing w:val="-94"/>
        </w:rPr>
        <w:t> </w:t>
      </w:r>
      <w:r>
        <w:rPr>
          <w:spacing w:val="-94"/>
        </w:rPr>
      </w:r>
      <w:r>
        <w:rPr/>
        <w:t>金流量的现值。</w:t>
      </w:r>
    </w:p>
    <w:p>
      <w:pPr>
        <w:spacing w:line="240" w:lineRule="auto" w:before="1"/>
        <w:rPr>
          <w:rFonts w:ascii="宋体" w:hAnsi="宋体" w:cs="宋体" w:eastAsia="宋体" w:hint="default"/>
          <w:sz w:val="20"/>
          <w:szCs w:val="20"/>
        </w:rPr>
      </w:pPr>
    </w:p>
    <w:p>
      <w:pPr>
        <w:spacing w:line="237" w:lineRule="auto" w:before="0"/>
        <w:ind w:left="136" w:right="94" w:firstLine="0"/>
        <w:jc w:val="left"/>
        <w:rPr>
          <w:rFonts w:ascii="宋体" w:hAnsi="宋体" w:cs="宋体" w:eastAsia="宋体" w:hint="default"/>
          <w:sz w:val="24"/>
          <w:szCs w:val="24"/>
        </w:rPr>
      </w:pPr>
      <w:r>
        <w:rPr>
          <w:rFonts w:ascii="宋体" w:hAnsi="宋体" w:cs="宋体" w:eastAsia="宋体" w:hint="default"/>
          <w:i/>
          <w:sz w:val="25"/>
          <w:szCs w:val="25"/>
        </w:rPr>
        <w:t>非上市股权投资的公允价值</w:t>
      </w:r>
      <w:r>
        <w:rPr>
          <w:rFonts w:ascii="宋体" w:hAnsi="宋体" w:cs="宋体" w:eastAsia="宋体" w:hint="default"/>
          <w:i/>
          <w:w w:val="95"/>
          <w:sz w:val="25"/>
          <w:szCs w:val="25"/>
        </w:rPr>
        <w:t> </w:t>
      </w:r>
      <w:r>
        <w:rPr>
          <w:rFonts w:ascii="宋体" w:hAnsi="宋体" w:cs="宋体" w:eastAsia="宋体" w:hint="default"/>
          <w:spacing w:val="-2"/>
          <w:sz w:val="24"/>
          <w:szCs w:val="24"/>
        </w:rPr>
        <w:t>非上市的股权投资的估值方法中采用的可比市场法要求本集团估计流动性折扣等，因</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z w:val="24"/>
          <w:szCs w:val="24"/>
        </w:rPr>
        <w:t>此具有不确定性。</w:t>
      </w:r>
    </w:p>
    <w:p>
      <w:pPr>
        <w:spacing w:line="240" w:lineRule="auto" w:before="2"/>
        <w:rPr>
          <w:rFonts w:ascii="宋体" w:hAnsi="宋体" w:cs="宋体" w:eastAsia="宋体" w:hint="default"/>
          <w:sz w:val="23"/>
          <w:szCs w:val="23"/>
        </w:rPr>
      </w:pPr>
    </w:p>
    <w:p>
      <w:pPr>
        <w:pStyle w:val="BodyText"/>
        <w:spacing w:line="312" w:lineRule="exact"/>
        <w:ind w:right="94"/>
        <w:jc w:val="left"/>
      </w:pPr>
      <w:r>
        <w:rPr>
          <w:rFonts w:ascii="宋体" w:hAnsi="宋体" w:cs="宋体" w:eastAsia="宋体" w:hint="default"/>
          <w:i/>
          <w:sz w:val="25"/>
          <w:szCs w:val="25"/>
        </w:rPr>
        <w:t>开发支出</w:t>
      </w:r>
      <w:r>
        <w:rPr>
          <w:rFonts w:ascii="宋体" w:hAnsi="宋体" w:cs="宋体" w:eastAsia="宋体" w:hint="default"/>
          <w:i/>
          <w:w w:val="95"/>
          <w:sz w:val="25"/>
          <w:szCs w:val="25"/>
        </w:rPr>
        <w:t> </w:t>
      </w:r>
      <w:r>
        <w:rPr>
          <w:spacing w:val="-2"/>
        </w:rPr>
        <w:t>确定资本化的金额时，管理层必须作出有关资产的预计未来现金流量适用的折现率以</w:t>
      </w:r>
      <w:r>
        <w:rPr>
          <w:spacing w:val="-94"/>
        </w:rPr>
        <w:t> </w:t>
      </w:r>
      <w:r>
        <w:rPr>
          <w:spacing w:val="-94"/>
        </w:rPr>
      </w:r>
      <w:r>
        <w:rPr/>
        <w:t>及预计受益期间的假设。</w:t>
      </w:r>
    </w:p>
    <w:p>
      <w:pPr>
        <w:spacing w:line="240" w:lineRule="auto" w:before="12"/>
        <w:rPr>
          <w:rFonts w:ascii="宋体" w:hAnsi="宋体" w:cs="宋体" w:eastAsia="宋体" w:hint="default"/>
          <w:sz w:val="20"/>
          <w:szCs w:val="20"/>
        </w:rPr>
      </w:pPr>
    </w:p>
    <w:p>
      <w:pPr>
        <w:pStyle w:val="BodyText"/>
        <w:spacing w:line="312" w:lineRule="exact"/>
        <w:ind w:right="94"/>
        <w:jc w:val="left"/>
      </w:pPr>
      <w:r>
        <w:rPr>
          <w:rFonts w:ascii="宋体" w:hAnsi="宋体" w:cs="宋体" w:eastAsia="宋体" w:hint="default"/>
          <w:i/>
          <w:sz w:val="25"/>
          <w:szCs w:val="25"/>
        </w:rPr>
        <w:t>股份支付</w:t>
      </w:r>
      <w:r>
        <w:rPr>
          <w:rFonts w:ascii="宋体" w:hAnsi="宋体" w:cs="宋体" w:eastAsia="宋体" w:hint="default"/>
          <w:i/>
          <w:w w:val="96"/>
          <w:sz w:val="25"/>
          <w:szCs w:val="25"/>
        </w:rPr>
        <w:t> </w:t>
      </w:r>
      <w:r>
        <w:rPr>
          <w:spacing w:val="-2"/>
        </w:rPr>
        <w:t>在计算股权激励方案的相关负债及费用时，公司管理层需要对离职率、可行权条件等</w:t>
      </w:r>
      <w:r>
        <w:rPr>
          <w:spacing w:val="-94"/>
        </w:rPr>
        <w:t> </w:t>
      </w:r>
      <w:r>
        <w:rPr>
          <w:spacing w:val="-94"/>
        </w:rPr>
      </w:r>
      <w:r>
        <w:rPr/>
        <w:t>事项进行判断和估计，不同的判断和估计将对财务报表产生重大影响。</w:t>
      </w:r>
    </w:p>
    <w:p>
      <w:pPr>
        <w:spacing w:after="0" w:line="312" w:lineRule="exact"/>
        <w:jc w:val="left"/>
        <w:sectPr>
          <w:pgSz w:w="11910" w:h="16840"/>
          <w:pgMar w:header="882" w:footer="1195" w:top="1120" w:bottom="1380" w:left="1140" w:right="15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37" w:lineRule="auto" w:before="28"/>
        <w:ind w:left="216" w:right="0"/>
        <w:jc w:val="left"/>
      </w:pPr>
      <w:r>
        <w:rPr/>
        <w:t>开发实施服务收入的确认 </w:t>
      </w:r>
      <w:r>
        <w:rPr>
          <w:spacing w:val="-2"/>
        </w:rPr>
        <w:t>开发和实施合同根据完工进度确认收入，确定合同完工进度过程中会涉及到重大的管</w:t>
      </w:r>
      <w:r>
        <w:rPr>
          <w:spacing w:val="-94"/>
        </w:rPr>
        <w:t> </w:t>
      </w:r>
      <w:r>
        <w:rPr>
          <w:spacing w:val="-94"/>
        </w:rPr>
      </w:r>
      <w:r>
        <w:rPr/>
        <w:t>理层判断与估计。</w:t>
      </w:r>
    </w:p>
    <w:p>
      <w:pPr>
        <w:spacing w:line="240" w:lineRule="auto" w:before="4"/>
        <w:rPr>
          <w:rFonts w:ascii="宋体" w:hAnsi="宋体" w:cs="宋体" w:eastAsia="宋体" w:hint="default"/>
          <w:sz w:val="20"/>
          <w:szCs w:val="20"/>
        </w:rPr>
      </w:pPr>
    </w:p>
    <w:p>
      <w:pPr>
        <w:pStyle w:val="BodyText"/>
        <w:spacing w:line="237" w:lineRule="auto"/>
        <w:ind w:left="216" w:right="0"/>
        <w:jc w:val="left"/>
      </w:pPr>
      <w:r>
        <w:rPr>
          <w:rFonts w:ascii="宋体" w:hAnsi="宋体" w:cs="宋体" w:eastAsia="宋体" w:hint="default"/>
          <w:i/>
          <w:sz w:val="25"/>
          <w:szCs w:val="25"/>
        </w:rPr>
        <w:t>递延所得税资产</w:t>
      </w:r>
      <w:r>
        <w:rPr>
          <w:rFonts w:ascii="宋体" w:hAnsi="宋体" w:cs="宋体" w:eastAsia="宋体" w:hint="default"/>
          <w:i/>
          <w:w w:val="96"/>
          <w:sz w:val="25"/>
          <w:szCs w:val="25"/>
        </w:rPr>
        <w:t> </w:t>
      </w:r>
      <w:r>
        <w:rPr/>
        <w:t>在很可能有足够的应纳税所得额用以抵扣可抵扣亏损的限度内，应就所有尚未利用的 可抵扣亏损确认递延所得税资产。这需要管理层运用大量的判断来估计未来取得应纳 </w:t>
      </w:r>
      <w:r>
        <w:rPr>
          <w:spacing w:val="-5"/>
        </w:rPr>
        <w:t>税所得额的时间和金额，结合纳税筹划策略，以决定应确认的递延所得税资产的金额。</w:t>
      </w:r>
    </w:p>
    <w:p>
      <w:pPr>
        <w:spacing w:line="240" w:lineRule="auto" w:before="4"/>
        <w:rPr>
          <w:rFonts w:ascii="宋体" w:hAnsi="宋体" w:cs="宋体" w:eastAsia="宋体" w:hint="default"/>
          <w:sz w:val="20"/>
          <w:szCs w:val="20"/>
        </w:rPr>
      </w:pPr>
    </w:p>
    <w:p>
      <w:pPr>
        <w:pStyle w:val="BodyText"/>
        <w:spacing w:line="237" w:lineRule="auto"/>
        <w:ind w:left="216" w:right="0"/>
        <w:jc w:val="left"/>
      </w:pPr>
      <w:r>
        <w:rPr>
          <w:rFonts w:ascii="宋体" w:hAnsi="宋体" w:cs="宋体" w:eastAsia="宋体" w:hint="default"/>
          <w:i/>
          <w:sz w:val="25"/>
          <w:szCs w:val="25"/>
        </w:rPr>
        <w:t>折旧</w:t>
      </w:r>
      <w:r>
        <w:rPr>
          <w:rFonts w:ascii="宋体" w:hAnsi="宋体" w:cs="宋体" w:eastAsia="宋体" w:hint="default"/>
          <w:i/>
          <w:w w:val="96"/>
          <w:sz w:val="25"/>
          <w:szCs w:val="25"/>
        </w:rPr>
        <w:t> </w:t>
      </w:r>
      <w:r>
        <w:rPr>
          <w:spacing w:val="-2"/>
        </w:rPr>
        <w:t>本集团对固定资产在考虑其残值后，在预计可使用年限内按直线法计提折旧。本集团</w:t>
      </w:r>
      <w:r>
        <w:rPr>
          <w:spacing w:val="-94"/>
        </w:rPr>
        <w:t> </w:t>
      </w:r>
      <w:r>
        <w:rPr>
          <w:spacing w:val="-94"/>
        </w:rPr>
      </w:r>
      <w:r>
        <w:rPr>
          <w:spacing w:val="-2"/>
        </w:rPr>
        <w:t>定期审阅预计可使用年限，以决定将计入每个报告期的折旧费用数额。预计可使用年</w:t>
      </w:r>
      <w:r>
        <w:rPr>
          <w:spacing w:val="-94"/>
        </w:rPr>
        <w:t> </w:t>
      </w:r>
      <w:r>
        <w:rPr>
          <w:spacing w:val="-94"/>
        </w:rPr>
      </w:r>
      <w:r>
        <w:rPr>
          <w:spacing w:val="-2"/>
        </w:rPr>
        <w:t>限是本集团根据对同类资产的已往经验并结合预期的技术改变而确定。如果以前的估</w:t>
      </w:r>
      <w:r>
        <w:rPr>
          <w:spacing w:val="-94"/>
        </w:rPr>
        <w:t> </w:t>
      </w:r>
      <w:r>
        <w:rPr>
          <w:spacing w:val="-94"/>
        </w:rPr>
      </w:r>
      <w:r>
        <w:rPr/>
        <w:t>计发生重大变化，则会在未来期间对折旧费用进行调整。</w:t>
      </w:r>
    </w:p>
    <w:p>
      <w:pPr>
        <w:spacing w:line="240" w:lineRule="auto" w:before="1"/>
        <w:rPr>
          <w:rFonts w:ascii="宋体" w:hAnsi="宋体" w:cs="宋体" w:eastAsia="宋体" w:hint="default"/>
          <w:sz w:val="20"/>
          <w:szCs w:val="20"/>
        </w:rPr>
      </w:pPr>
    </w:p>
    <w:p>
      <w:pPr>
        <w:pStyle w:val="BodyText"/>
        <w:spacing w:line="237" w:lineRule="auto"/>
        <w:ind w:left="216" w:right="0"/>
        <w:jc w:val="left"/>
      </w:pPr>
      <w:r>
        <w:rPr>
          <w:rFonts w:ascii="宋体" w:hAnsi="宋体" w:cs="宋体" w:eastAsia="宋体" w:hint="default"/>
          <w:i/>
          <w:sz w:val="25"/>
          <w:szCs w:val="25"/>
        </w:rPr>
        <w:t>无形资产的可使用寿命</w:t>
      </w:r>
      <w:r>
        <w:rPr>
          <w:rFonts w:ascii="宋体" w:hAnsi="宋体" w:cs="宋体" w:eastAsia="宋体" w:hint="default"/>
          <w:i/>
          <w:w w:val="95"/>
          <w:sz w:val="25"/>
          <w:szCs w:val="25"/>
        </w:rPr>
        <w:t> </w:t>
      </w:r>
      <w:r>
        <w:rPr>
          <w:spacing w:val="-2"/>
        </w:rPr>
        <w:t>无形资产的预计可使用寿命，以过去性质及功能相似的无形资产的实际使用寿命为基</w:t>
      </w:r>
      <w:r>
        <w:rPr>
          <w:spacing w:val="-94"/>
        </w:rPr>
        <w:t> </w:t>
      </w:r>
      <w:r>
        <w:rPr>
          <w:spacing w:val="-94"/>
        </w:rPr>
      </w:r>
      <w:r>
        <w:rPr>
          <w:spacing w:val="-2"/>
        </w:rPr>
        <w:t>础，按照历史经验施行估计，并考虑该些无形资产适用的合同性权利或其他法定权利</w:t>
      </w:r>
      <w:r>
        <w:rPr>
          <w:spacing w:val="-94"/>
        </w:rPr>
        <w:t> </w:t>
      </w:r>
      <w:r>
        <w:rPr>
          <w:spacing w:val="-94"/>
        </w:rPr>
      </w:r>
      <w:r>
        <w:rPr/>
        <w:t>的期限。</w:t>
      </w:r>
    </w:p>
    <w:p>
      <w:pPr>
        <w:spacing w:line="240" w:lineRule="auto" w:before="2"/>
        <w:rPr>
          <w:rFonts w:ascii="宋体" w:hAnsi="宋体" w:cs="宋体" w:eastAsia="宋体" w:hint="default"/>
          <w:sz w:val="21"/>
          <w:szCs w:val="21"/>
        </w:rPr>
      </w:pPr>
    </w:p>
    <w:p>
      <w:pPr>
        <w:pStyle w:val="BodyText"/>
        <w:spacing w:line="237" w:lineRule="auto"/>
        <w:ind w:left="216" w:right="124"/>
        <w:jc w:val="both"/>
      </w:pPr>
      <w:r>
        <w:rPr/>
        <w:t>如果该些无形资产的可使用寿命缩短或延长，则对于可使用寿命有限的无形资产，应 改变其摊销年限；对于可使用寿命不确定的无形资产，如果有证据表明其使用寿命是 有限的，应当估计其使用寿命并按照使用寿命有限的无形资产的处理原则进行处理。</w:t>
      </w:r>
    </w:p>
    <w:p>
      <w:pPr>
        <w:spacing w:line="240" w:lineRule="auto" w:before="4"/>
        <w:rPr>
          <w:rFonts w:ascii="宋体" w:hAnsi="宋体" w:cs="宋体" w:eastAsia="宋体" w:hint="default"/>
          <w:sz w:val="20"/>
          <w:szCs w:val="20"/>
        </w:rPr>
      </w:pPr>
    </w:p>
    <w:p>
      <w:pPr>
        <w:pStyle w:val="BodyText"/>
        <w:spacing w:line="237" w:lineRule="auto"/>
        <w:ind w:left="216" w:right="0"/>
        <w:jc w:val="left"/>
      </w:pPr>
      <w:r>
        <w:rPr>
          <w:rFonts w:ascii="宋体" w:hAnsi="宋体" w:cs="宋体" w:eastAsia="宋体" w:hint="default"/>
          <w:i/>
          <w:sz w:val="25"/>
          <w:szCs w:val="25"/>
        </w:rPr>
        <w:t>所得税</w:t>
      </w:r>
      <w:r>
        <w:rPr>
          <w:rFonts w:ascii="宋体" w:hAnsi="宋体" w:cs="宋体" w:eastAsia="宋体" w:hint="default"/>
          <w:i/>
          <w:w w:val="96"/>
          <w:sz w:val="25"/>
          <w:szCs w:val="25"/>
        </w:rPr>
        <w:t> </w:t>
      </w:r>
      <w:r>
        <w:rPr>
          <w:spacing w:val="-2"/>
        </w:rPr>
        <w:t>本公司及其子公司因分布在国内若干省份而需分别在其所在地缴纳企业所得税。在计</w:t>
      </w:r>
      <w:r>
        <w:rPr>
          <w:spacing w:val="-94"/>
        </w:rPr>
        <w:t> </w:t>
      </w:r>
      <w:r>
        <w:rPr>
          <w:spacing w:val="-94"/>
        </w:rPr>
      </w:r>
      <w:r>
        <w:rPr>
          <w:spacing w:val="-2"/>
        </w:rPr>
        <w:t>提企业所得税时，由于有关企业所得税的若干事项尚未获得主管税务机关确认，因此</w:t>
      </w:r>
      <w:r>
        <w:rPr>
          <w:spacing w:val="-93"/>
        </w:rPr>
        <w:t> </w:t>
      </w:r>
      <w:r>
        <w:rPr>
          <w:spacing w:val="-93"/>
        </w:rPr>
      </w:r>
      <w:r>
        <w:rPr>
          <w:spacing w:val="-2"/>
        </w:rPr>
        <w:t>需以现行的税收法规及其他相关政策为依据，作出可靠的估计和判断。若有关事项的</w:t>
      </w:r>
      <w:r>
        <w:rPr>
          <w:spacing w:val="-94"/>
        </w:rPr>
        <w:t> </w:t>
      </w:r>
      <w:r>
        <w:rPr>
          <w:spacing w:val="-94"/>
        </w:rPr>
      </w:r>
      <w:r>
        <w:rPr/>
        <w:t>最终税务结果有别于已确认金额时，该些差额将对当期的所得税造成影响。</w:t>
      </w:r>
    </w:p>
    <w:p>
      <w:pPr>
        <w:spacing w:line="240" w:lineRule="auto" w:before="5"/>
        <w:rPr>
          <w:rFonts w:ascii="宋体" w:hAnsi="宋体" w:cs="宋体" w:eastAsia="宋体" w:hint="default"/>
          <w:sz w:val="25"/>
          <w:szCs w:val="25"/>
        </w:rPr>
      </w:pPr>
    </w:p>
    <w:p>
      <w:pPr>
        <w:pStyle w:val="Heading2"/>
        <w:spacing w:line="240" w:lineRule="auto"/>
        <w:ind w:right="0"/>
        <w:jc w:val="left"/>
        <w:rPr>
          <w:b w:val="0"/>
          <w:bCs w:val="0"/>
        </w:rPr>
      </w:pPr>
      <w:r>
        <w:rPr>
          <w:rFonts w:ascii="宋体" w:hAnsi="宋体" w:cs="宋体" w:eastAsia="宋体" w:hint="default"/>
        </w:rPr>
        <w:t>41.</w:t>
      </w:r>
      <w:r>
        <w:rPr>
          <w:rFonts w:ascii="宋体" w:hAnsi="宋体" w:cs="宋体" w:eastAsia="宋体" w:hint="default"/>
          <w:spacing w:val="-61"/>
        </w:rPr>
        <w:t> </w:t>
      </w:r>
      <w:r>
        <w:rPr/>
        <w:t>重要会计政策和会计估计的变更</w:t>
      </w:r>
      <w:r>
        <w:rPr>
          <w:b w:val="0"/>
          <w:bCs w:val="0"/>
        </w:rPr>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w w:val="99"/>
        </w:rPr>
      </w:r>
      <w:r>
        <w:rPr>
          <w:rFonts w:ascii="宋体" w:hAnsi="宋体" w:cs="宋体" w:eastAsia="宋体" w:hint="default"/>
          <w:shd w:fill="FFFF00" w:color="auto" w:val="clear"/>
        </w:rPr>
        <w:t>(1).</w:t>
        <w:tab/>
      </w:r>
      <w:r>
        <w:rPr>
          <w:shd w:fill="FFFF00" w:color="auto" w:val="clear"/>
        </w:rPr>
        <w:t>重要会计政策变更</w:t>
      </w:r>
      <w:r>
        <w:rPr/>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958"/>
        <w:gridCol w:w="3053"/>
        <w:gridCol w:w="3039"/>
      </w:tblGrid>
      <w:tr>
        <w:trPr>
          <w:trHeight w:val="634" w:hRule="exact"/>
        </w:trPr>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会计政策变更的内容和原</w:t>
            </w:r>
          </w:p>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因</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
              <w:jc w:val="center"/>
              <w:rPr>
                <w:rFonts w:ascii="宋体" w:hAnsi="宋体" w:cs="宋体" w:eastAsia="宋体" w:hint="default"/>
                <w:sz w:val="24"/>
                <w:szCs w:val="24"/>
              </w:rPr>
            </w:pPr>
            <w:r>
              <w:rPr>
                <w:rFonts w:ascii="宋体" w:hAnsi="宋体" w:cs="宋体" w:eastAsia="宋体" w:hint="default"/>
                <w:sz w:val="24"/>
                <w:szCs w:val="24"/>
              </w:rPr>
              <w:t>审批程序</w:t>
            </w:r>
          </w:p>
        </w:tc>
        <w:tc>
          <w:tcPr>
            <w:tcW w:w="3039"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right="2"/>
              <w:jc w:val="center"/>
              <w:rPr>
                <w:rFonts w:ascii="宋体" w:hAnsi="宋体" w:cs="宋体" w:eastAsia="宋体" w:hint="default"/>
                <w:sz w:val="24"/>
                <w:szCs w:val="24"/>
              </w:rPr>
            </w:pPr>
            <w:r>
              <w:rPr>
                <w:rFonts w:ascii="宋体" w:hAnsi="宋体" w:cs="宋体" w:eastAsia="宋体" w:hint="default"/>
                <w:sz w:val="24"/>
                <w:szCs w:val="24"/>
              </w:rPr>
              <w:t>备注</w:t>
            </w:r>
            <w:r>
              <w:rPr>
                <w:rFonts w:ascii="Times New Roman" w:hAnsi="Times New Roman" w:cs="Times New Roman" w:eastAsia="Times New Roman" w:hint="default"/>
                <w:sz w:val="24"/>
                <w:szCs w:val="24"/>
              </w:rPr>
              <w:t>(</w:t>
            </w:r>
            <w:r>
              <w:rPr>
                <w:rFonts w:ascii="宋体" w:hAnsi="宋体" w:cs="宋体" w:eastAsia="宋体" w:hint="default"/>
                <w:sz w:val="24"/>
                <w:szCs w:val="24"/>
              </w:rPr>
              <w:t>受重要影响的报表项</w:t>
            </w:r>
          </w:p>
          <w:p>
            <w:pPr>
              <w:pStyle w:val="TableParagraph"/>
              <w:spacing w:line="321" w:lineRule="exact"/>
              <w:ind w:right="1"/>
              <w:jc w:val="center"/>
              <w:rPr>
                <w:rFonts w:ascii="Times New Roman" w:hAnsi="Times New Roman" w:cs="Times New Roman" w:eastAsia="Times New Roman" w:hint="default"/>
                <w:sz w:val="24"/>
                <w:szCs w:val="24"/>
              </w:rPr>
            </w:pPr>
            <w:r>
              <w:rPr>
                <w:rFonts w:ascii="宋体" w:hAnsi="宋体" w:cs="宋体" w:eastAsia="宋体" w:hint="default"/>
                <w:sz w:val="24"/>
                <w:szCs w:val="24"/>
              </w:rPr>
              <w:t>目名称和金额</w:t>
            </w:r>
            <w:r>
              <w:rPr>
                <w:rFonts w:ascii="Times New Roman" w:hAnsi="Times New Roman" w:cs="Times New Roman" w:eastAsia="Times New Roman" w:hint="default"/>
                <w:sz w:val="24"/>
                <w:szCs w:val="24"/>
              </w:rPr>
              <w:t>)</w:t>
            </w:r>
          </w:p>
        </w:tc>
      </w:tr>
      <w:tr>
        <w:trPr>
          <w:trHeight w:val="322" w:hRule="exact"/>
        </w:trPr>
        <w:tc>
          <w:tcPr>
            <w:tcW w:w="295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详见其他说明</w:t>
            </w:r>
          </w:p>
        </w:tc>
        <w:tc>
          <w:tcPr>
            <w:tcW w:w="3053" w:type="dxa"/>
            <w:tcBorders>
              <w:top w:val="single" w:sz="4" w:space="0" w:color="000000"/>
              <w:left w:val="single" w:sz="4" w:space="0" w:color="000000"/>
              <w:bottom w:val="single" w:sz="4" w:space="0" w:color="000000"/>
              <w:right w:val="single" w:sz="4" w:space="0" w:color="000000"/>
            </w:tcBorders>
          </w:tcPr>
          <w:p>
            <w:pPr/>
          </w:p>
        </w:tc>
        <w:tc>
          <w:tcPr>
            <w:tcW w:w="3039"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958" w:type="dxa"/>
            <w:tcBorders>
              <w:top w:val="single" w:sz="4" w:space="0" w:color="000000"/>
              <w:left w:val="single" w:sz="4" w:space="0" w:color="000000"/>
              <w:bottom w:val="single" w:sz="4" w:space="0" w:color="000000"/>
              <w:right w:val="single" w:sz="4" w:space="0" w:color="000000"/>
            </w:tcBorders>
          </w:tcPr>
          <w:p>
            <w:pPr/>
          </w:p>
        </w:tc>
        <w:tc>
          <w:tcPr>
            <w:tcW w:w="3053" w:type="dxa"/>
            <w:tcBorders>
              <w:top w:val="single" w:sz="4" w:space="0" w:color="000000"/>
              <w:left w:val="single" w:sz="4" w:space="0" w:color="000000"/>
              <w:bottom w:val="single" w:sz="4" w:space="0" w:color="000000"/>
              <w:right w:val="single" w:sz="4" w:space="0" w:color="000000"/>
            </w:tcBorders>
          </w:tcPr>
          <w:p>
            <w:pPr/>
          </w:p>
        </w:tc>
        <w:tc>
          <w:tcPr>
            <w:tcW w:w="303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74" w:lineRule="exact"/>
        <w:ind w:left="216" w:right="0"/>
        <w:jc w:val="both"/>
      </w:pPr>
      <w:r>
        <w:rPr/>
        <w:t>其他说明</w:t>
      </w:r>
    </w:p>
    <w:p>
      <w:pPr>
        <w:spacing w:before="1"/>
        <w:ind w:left="216" w:right="0" w:firstLine="0"/>
        <w:jc w:val="both"/>
        <w:rPr>
          <w:rFonts w:ascii="黑体" w:hAnsi="黑体" w:cs="黑体" w:eastAsia="黑体" w:hint="default"/>
          <w:sz w:val="20"/>
          <w:szCs w:val="20"/>
        </w:rPr>
      </w:pPr>
      <w:r>
        <w:rPr>
          <w:rFonts w:ascii="黑体" w:hAnsi="黑体" w:cs="黑体" w:eastAsia="黑体" w:hint="default"/>
          <w:sz w:val="20"/>
          <w:szCs w:val="20"/>
        </w:rPr>
        <w:t>新金融工具准则</w:t>
      </w:r>
    </w:p>
    <w:p>
      <w:pPr>
        <w:spacing w:line="240" w:lineRule="auto" w:before="5"/>
        <w:rPr>
          <w:rFonts w:ascii="黑体" w:hAnsi="黑体" w:cs="黑体" w:eastAsia="黑体" w:hint="default"/>
          <w:sz w:val="17"/>
          <w:szCs w:val="17"/>
        </w:rPr>
      </w:pPr>
    </w:p>
    <w:p>
      <w:pPr>
        <w:spacing w:line="268" w:lineRule="exact" w:before="0"/>
        <w:ind w:left="216" w:right="0" w:firstLine="0"/>
        <w:jc w:val="both"/>
        <w:rPr>
          <w:rFonts w:ascii="黑体" w:hAnsi="黑体" w:cs="黑体" w:eastAsia="黑体" w:hint="default"/>
          <w:sz w:val="20"/>
          <w:szCs w:val="20"/>
        </w:rPr>
      </w:pPr>
      <w:r>
        <w:rPr>
          <w:rFonts w:ascii="Arial" w:hAnsi="Arial" w:cs="Arial" w:eastAsia="Arial" w:hint="default"/>
          <w:sz w:val="20"/>
          <w:szCs w:val="20"/>
        </w:rPr>
        <w:t>2017</w:t>
      </w:r>
      <w:r>
        <w:rPr>
          <w:rFonts w:ascii="黑体" w:hAnsi="黑体" w:cs="黑体" w:eastAsia="黑体" w:hint="default"/>
          <w:sz w:val="20"/>
          <w:szCs w:val="20"/>
        </w:rPr>
        <w:t>年，财政部颁布了修订的《企业会计准则第</w:t>
      </w:r>
      <w:r>
        <w:rPr>
          <w:rFonts w:ascii="Arial" w:hAnsi="Arial" w:cs="Arial" w:eastAsia="Arial" w:hint="default"/>
          <w:sz w:val="20"/>
          <w:szCs w:val="20"/>
        </w:rPr>
        <w:t>22</w:t>
      </w:r>
      <w:r>
        <w:rPr>
          <w:rFonts w:ascii="黑体" w:hAnsi="黑体" w:cs="黑体" w:eastAsia="黑体" w:hint="default"/>
          <w:sz w:val="20"/>
          <w:szCs w:val="20"/>
        </w:rPr>
        <w:t>号</w:t>
      </w:r>
      <w:r>
        <w:rPr>
          <w:rFonts w:ascii="Arial" w:hAnsi="Arial" w:cs="Arial" w:eastAsia="Arial" w:hint="default"/>
          <w:sz w:val="20"/>
          <w:szCs w:val="20"/>
        </w:rPr>
        <w:t>——</w:t>
      </w:r>
      <w:r>
        <w:rPr>
          <w:rFonts w:ascii="黑体" w:hAnsi="黑体" w:cs="黑体" w:eastAsia="黑体" w:hint="default"/>
          <w:sz w:val="20"/>
          <w:szCs w:val="20"/>
        </w:rPr>
        <w:t>金融工具确认和计量》、《企业会计准则第</w:t>
      </w:r>
    </w:p>
    <w:p>
      <w:pPr>
        <w:spacing w:line="260" w:lineRule="exact" w:before="17"/>
        <w:ind w:left="216" w:right="231" w:firstLine="0"/>
        <w:jc w:val="both"/>
        <w:rPr>
          <w:rFonts w:ascii="黑体" w:hAnsi="黑体" w:cs="黑体" w:eastAsia="黑体" w:hint="default"/>
          <w:sz w:val="20"/>
          <w:szCs w:val="20"/>
        </w:rPr>
      </w:pPr>
      <w:r>
        <w:rPr>
          <w:rFonts w:ascii="Arial" w:hAnsi="Arial" w:cs="Arial" w:eastAsia="Arial" w:hint="default"/>
          <w:w w:val="95"/>
          <w:sz w:val="20"/>
          <w:szCs w:val="20"/>
        </w:rPr>
        <w:t>23</w:t>
      </w:r>
      <w:r>
        <w:rPr>
          <w:rFonts w:ascii="黑体" w:hAnsi="黑体" w:cs="黑体" w:eastAsia="黑体" w:hint="default"/>
          <w:w w:val="95"/>
          <w:sz w:val="20"/>
          <w:szCs w:val="20"/>
        </w:rPr>
        <w:t>号</w:t>
      </w:r>
      <w:r>
        <w:rPr>
          <w:rFonts w:ascii="Arial" w:hAnsi="Arial" w:cs="Arial" w:eastAsia="Arial" w:hint="default"/>
          <w:w w:val="95"/>
          <w:sz w:val="20"/>
          <w:szCs w:val="20"/>
        </w:rPr>
        <w:t>——</w:t>
      </w:r>
      <w:r>
        <w:rPr>
          <w:rFonts w:ascii="黑体" w:hAnsi="黑体" w:cs="黑体" w:eastAsia="黑体" w:hint="default"/>
          <w:w w:val="95"/>
          <w:sz w:val="20"/>
          <w:szCs w:val="20"/>
        </w:rPr>
        <w:t>金融资产转移》、《企业会计准则第</w:t>
      </w:r>
      <w:r>
        <w:rPr>
          <w:rFonts w:ascii="Arial" w:hAnsi="Arial" w:cs="Arial" w:eastAsia="Arial" w:hint="default"/>
          <w:w w:val="95"/>
          <w:sz w:val="20"/>
          <w:szCs w:val="20"/>
        </w:rPr>
        <w:t>24</w:t>
      </w:r>
      <w:r>
        <w:rPr>
          <w:rFonts w:ascii="黑体" w:hAnsi="黑体" w:cs="黑体" w:eastAsia="黑体" w:hint="default"/>
          <w:w w:val="95"/>
          <w:sz w:val="20"/>
          <w:szCs w:val="20"/>
        </w:rPr>
        <w:t>号</w:t>
      </w:r>
      <w:r>
        <w:rPr>
          <w:rFonts w:ascii="Arial" w:hAnsi="Arial" w:cs="Arial" w:eastAsia="Arial" w:hint="default"/>
          <w:w w:val="95"/>
          <w:sz w:val="20"/>
          <w:szCs w:val="20"/>
        </w:rPr>
        <w:t>——</w:t>
      </w:r>
      <w:r>
        <w:rPr>
          <w:rFonts w:ascii="黑体" w:hAnsi="黑体" w:cs="黑体" w:eastAsia="黑体" w:hint="default"/>
          <w:w w:val="95"/>
          <w:sz w:val="20"/>
          <w:szCs w:val="20"/>
        </w:rPr>
        <w:t>套期会计》以及《企业会计准则第</w:t>
      </w:r>
      <w:r>
        <w:rPr>
          <w:rFonts w:ascii="Arial" w:hAnsi="Arial" w:cs="Arial" w:eastAsia="Arial" w:hint="default"/>
          <w:w w:val="95"/>
          <w:sz w:val="20"/>
          <w:szCs w:val="20"/>
        </w:rPr>
        <w:t>37</w:t>
      </w:r>
      <w:r>
        <w:rPr>
          <w:rFonts w:ascii="黑体" w:hAnsi="黑体" w:cs="黑体" w:eastAsia="黑体" w:hint="default"/>
          <w:w w:val="95"/>
          <w:sz w:val="20"/>
          <w:szCs w:val="20"/>
        </w:rPr>
        <w:t>号</w:t>
      </w:r>
      <w:r>
        <w:rPr>
          <w:rFonts w:ascii="Arial" w:hAnsi="Arial" w:cs="Arial" w:eastAsia="Arial" w:hint="default"/>
          <w:w w:val="95"/>
          <w:sz w:val="20"/>
          <w:szCs w:val="20"/>
        </w:rPr>
        <w:t>——</w:t>
      </w:r>
      <w:r>
        <w:rPr>
          <w:rFonts w:ascii="黑体" w:hAnsi="黑体" w:cs="黑体" w:eastAsia="黑体" w:hint="default"/>
          <w:w w:val="95"/>
          <w:sz w:val="20"/>
          <w:szCs w:val="20"/>
        </w:rPr>
        <w:t>金</w:t>
      </w:r>
      <w:r>
        <w:rPr>
          <w:rFonts w:ascii="黑体" w:hAnsi="黑体" w:cs="黑体" w:eastAsia="黑体" w:hint="default"/>
          <w:spacing w:val="21"/>
          <w:w w:val="95"/>
          <w:sz w:val="20"/>
          <w:szCs w:val="20"/>
        </w:rPr>
        <w:t> </w:t>
      </w:r>
      <w:r>
        <w:rPr>
          <w:rFonts w:ascii="黑体" w:hAnsi="黑体" w:cs="黑体" w:eastAsia="黑体" w:hint="default"/>
          <w:sz w:val="20"/>
          <w:szCs w:val="20"/>
        </w:rPr>
        <w:t>融工具列报》（统称</w:t>
      </w:r>
      <w:r>
        <w:rPr>
          <w:rFonts w:ascii="Arial" w:hAnsi="Arial" w:cs="Arial" w:eastAsia="Arial" w:hint="default"/>
          <w:sz w:val="20"/>
          <w:szCs w:val="20"/>
        </w:rPr>
        <w:t>“</w:t>
      </w:r>
      <w:r>
        <w:rPr>
          <w:rFonts w:ascii="黑体" w:hAnsi="黑体" w:cs="黑体" w:eastAsia="黑体" w:hint="default"/>
          <w:sz w:val="20"/>
          <w:szCs w:val="20"/>
        </w:rPr>
        <w:t>新金融工具准则</w:t>
      </w:r>
      <w:r>
        <w:rPr>
          <w:rFonts w:ascii="Arial" w:hAnsi="Arial" w:cs="Arial" w:eastAsia="Arial" w:hint="default"/>
          <w:sz w:val="20"/>
          <w:szCs w:val="20"/>
        </w:rPr>
        <w:t>”</w:t>
      </w:r>
      <w:r>
        <w:rPr>
          <w:rFonts w:ascii="黑体" w:hAnsi="黑体" w:cs="黑体" w:eastAsia="黑体" w:hint="default"/>
          <w:sz w:val="20"/>
          <w:szCs w:val="20"/>
        </w:rPr>
        <w:t>）。本集团自</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w:t>
      </w:r>
      <w:r>
        <w:rPr>
          <w:rFonts w:ascii="黑体" w:hAnsi="黑体" w:cs="黑体" w:eastAsia="黑体" w:hint="default"/>
          <w:sz w:val="20"/>
          <w:szCs w:val="20"/>
        </w:rPr>
        <w:t>月</w:t>
      </w:r>
      <w:r>
        <w:rPr>
          <w:rFonts w:ascii="Arial" w:hAnsi="Arial" w:cs="Arial" w:eastAsia="Arial" w:hint="default"/>
          <w:sz w:val="20"/>
          <w:szCs w:val="20"/>
        </w:rPr>
        <w:t>1</w:t>
      </w:r>
      <w:r>
        <w:rPr>
          <w:rFonts w:ascii="黑体" w:hAnsi="黑体" w:cs="黑体" w:eastAsia="黑体" w:hint="default"/>
          <w:sz w:val="20"/>
          <w:szCs w:val="20"/>
        </w:rPr>
        <w:t>日开始按照新金融工具准则进行会计</w:t>
      </w:r>
      <w:r>
        <w:rPr>
          <w:rFonts w:ascii="黑体" w:hAnsi="黑体" w:cs="黑体" w:eastAsia="黑体" w:hint="default"/>
          <w:spacing w:val="-79"/>
          <w:sz w:val="20"/>
          <w:szCs w:val="20"/>
        </w:rPr>
        <w:t> </w:t>
      </w:r>
      <w:r>
        <w:rPr>
          <w:rFonts w:ascii="黑体" w:hAnsi="黑体" w:cs="黑体" w:eastAsia="黑体" w:hint="default"/>
          <w:spacing w:val="-79"/>
          <w:sz w:val="20"/>
          <w:szCs w:val="20"/>
        </w:rPr>
      </w:r>
      <w:r>
        <w:rPr>
          <w:rFonts w:ascii="黑体" w:hAnsi="黑体" w:cs="黑体" w:eastAsia="黑体" w:hint="default"/>
          <w:w w:val="95"/>
          <w:sz w:val="20"/>
          <w:szCs w:val="20"/>
        </w:rPr>
        <w:t>处理，根据衔接规定，对可比期间信息不予调整，首日执行新准则与现行准则的差异追溯调整</w:t>
      </w:r>
      <w:r>
        <w:rPr>
          <w:rFonts w:ascii="Arial" w:hAnsi="Arial" w:cs="Arial" w:eastAsia="Arial" w:hint="default"/>
          <w:w w:val="95"/>
          <w:sz w:val="20"/>
          <w:szCs w:val="20"/>
        </w:rPr>
        <w:t>2019</w:t>
      </w:r>
      <w:r>
        <w:rPr>
          <w:rFonts w:ascii="黑体" w:hAnsi="黑体" w:cs="黑体" w:eastAsia="黑体" w:hint="default"/>
          <w:w w:val="95"/>
          <w:sz w:val="20"/>
          <w:szCs w:val="20"/>
        </w:rPr>
        <w:t>年</w:t>
      </w:r>
      <w:r>
        <w:rPr>
          <w:rFonts w:ascii="黑体" w:hAnsi="黑体" w:cs="黑体" w:eastAsia="黑体" w:hint="default"/>
          <w:spacing w:val="44"/>
          <w:w w:val="95"/>
          <w:sz w:val="20"/>
          <w:szCs w:val="20"/>
        </w:rPr>
        <w:t> </w:t>
      </w:r>
      <w:r>
        <w:rPr>
          <w:rFonts w:ascii="黑体" w:hAnsi="黑体" w:cs="黑体" w:eastAsia="黑体" w:hint="default"/>
          <w:sz w:val="20"/>
          <w:szCs w:val="20"/>
        </w:rPr>
        <w:t>年初未分配利润或其他综合收益。</w:t>
      </w:r>
    </w:p>
    <w:p>
      <w:pPr>
        <w:spacing w:after="0" w:line="260" w:lineRule="exact"/>
        <w:jc w:val="both"/>
        <w:rPr>
          <w:rFonts w:ascii="黑体" w:hAnsi="黑体" w:cs="黑体" w:eastAsia="黑体" w:hint="default"/>
          <w:sz w:val="20"/>
          <w:szCs w:val="20"/>
        </w:rPr>
        <w:sectPr>
          <w:pgSz w:w="11910" w:h="16840"/>
          <w:pgMar w:header="882" w:footer="1195" w:top="1120" w:bottom="1380" w:left="1060" w:right="1560"/>
        </w:sect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15"/>
          <w:szCs w:val="15"/>
        </w:rPr>
      </w:pPr>
    </w:p>
    <w:p>
      <w:pPr>
        <w:spacing w:line="260" w:lineRule="exact" w:before="63"/>
        <w:ind w:left="216" w:right="214" w:firstLine="0"/>
        <w:jc w:val="both"/>
        <w:rPr>
          <w:rFonts w:ascii="黑体" w:hAnsi="黑体" w:cs="黑体" w:eastAsia="黑体" w:hint="default"/>
          <w:sz w:val="20"/>
          <w:szCs w:val="20"/>
        </w:rPr>
      </w:pPr>
      <w:r>
        <w:rPr>
          <w:rFonts w:ascii="黑体" w:hAnsi="黑体" w:cs="黑体" w:eastAsia="黑体" w:hint="default"/>
          <w:sz w:val="20"/>
          <w:szCs w:val="20"/>
        </w:rPr>
        <w:t>新金融工具准则改变了金融资产的分类和计量方式，确定了三个主要的计量类别：摊余成本；以公允</w:t>
      </w:r>
      <w:r>
        <w:rPr>
          <w:rFonts w:ascii="黑体" w:hAnsi="黑体" w:cs="黑体" w:eastAsia="黑体" w:hint="default"/>
          <w:spacing w:val="-78"/>
          <w:sz w:val="20"/>
          <w:szCs w:val="20"/>
        </w:rPr>
        <w:t> </w:t>
      </w:r>
      <w:r>
        <w:rPr>
          <w:rFonts w:ascii="黑体" w:hAnsi="黑体" w:cs="黑体" w:eastAsia="黑体" w:hint="default"/>
          <w:spacing w:val="-78"/>
          <w:sz w:val="20"/>
          <w:szCs w:val="20"/>
        </w:rPr>
      </w:r>
      <w:r>
        <w:rPr>
          <w:rFonts w:ascii="黑体" w:hAnsi="黑体" w:cs="黑体" w:eastAsia="黑体" w:hint="default"/>
          <w:sz w:val="20"/>
          <w:szCs w:val="20"/>
        </w:rPr>
        <w:t>价值计量且其变动计入其他综合收益；以公允价值计量且其变动计入当期损益。企业需考虑自身业务</w:t>
      </w:r>
      <w:r>
        <w:rPr>
          <w:rFonts w:ascii="黑体" w:hAnsi="黑体" w:cs="黑体" w:eastAsia="黑体" w:hint="default"/>
          <w:spacing w:val="-78"/>
          <w:sz w:val="20"/>
          <w:szCs w:val="20"/>
        </w:rPr>
        <w:t> </w:t>
      </w:r>
      <w:r>
        <w:rPr>
          <w:rFonts w:ascii="黑体" w:hAnsi="黑体" w:cs="黑体" w:eastAsia="黑体" w:hint="default"/>
          <w:spacing w:val="-78"/>
          <w:sz w:val="20"/>
          <w:szCs w:val="20"/>
        </w:rPr>
      </w:r>
      <w:r>
        <w:rPr>
          <w:rFonts w:ascii="黑体" w:hAnsi="黑体" w:cs="黑体" w:eastAsia="黑体" w:hint="default"/>
          <w:sz w:val="20"/>
          <w:szCs w:val="20"/>
        </w:rPr>
        <w:t>模式，以及金融资产的合同现金流特征进行上述分类。权益工具投资需按公允价值计量且其变动计入</w:t>
      </w:r>
      <w:r>
        <w:rPr>
          <w:rFonts w:ascii="黑体" w:hAnsi="黑体" w:cs="黑体" w:eastAsia="黑体" w:hint="default"/>
          <w:spacing w:val="-78"/>
          <w:sz w:val="20"/>
          <w:szCs w:val="20"/>
        </w:rPr>
        <w:t> </w:t>
      </w:r>
      <w:r>
        <w:rPr>
          <w:rFonts w:ascii="黑体" w:hAnsi="黑体" w:cs="黑体" w:eastAsia="黑体" w:hint="default"/>
          <w:spacing w:val="-78"/>
          <w:sz w:val="20"/>
          <w:szCs w:val="20"/>
        </w:rPr>
      </w:r>
      <w:r>
        <w:rPr>
          <w:rFonts w:ascii="黑体" w:hAnsi="黑体" w:cs="黑体" w:eastAsia="黑体" w:hint="default"/>
          <w:sz w:val="20"/>
          <w:szCs w:val="20"/>
        </w:rPr>
        <w:t>当期损益，但在初始确认时可选择将非交易性权益工具投资不可撤销地指定为以公允价值计量且其变</w:t>
      </w:r>
      <w:r>
        <w:rPr>
          <w:rFonts w:ascii="黑体" w:hAnsi="黑体" w:cs="黑体" w:eastAsia="黑体" w:hint="default"/>
          <w:spacing w:val="-78"/>
          <w:sz w:val="20"/>
          <w:szCs w:val="20"/>
        </w:rPr>
        <w:t> </w:t>
      </w:r>
      <w:r>
        <w:rPr>
          <w:rFonts w:ascii="黑体" w:hAnsi="黑体" w:cs="黑体" w:eastAsia="黑体" w:hint="default"/>
          <w:spacing w:val="-78"/>
          <w:sz w:val="20"/>
          <w:szCs w:val="20"/>
        </w:rPr>
      </w:r>
      <w:r>
        <w:rPr>
          <w:rFonts w:ascii="黑体" w:hAnsi="黑体" w:cs="黑体" w:eastAsia="黑体" w:hint="default"/>
          <w:sz w:val="20"/>
          <w:szCs w:val="20"/>
        </w:rPr>
        <w:t>动计入其他综合收益的金融资产。</w:t>
      </w:r>
    </w:p>
    <w:p>
      <w:pPr>
        <w:spacing w:line="240" w:lineRule="auto" w:before="7"/>
        <w:rPr>
          <w:rFonts w:ascii="黑体" w:hAnsi="黑体" w:cs="黑体" w:eastAsia="黑体" w:hint="default"/>
          <w:sz w:val="17"/>
          <w:szCs w:val="17"/>
        </w:rPr>
      </w:pPr>
    </w:p>
    <w:p>
      <w:pPr>
        <w:spacing w:line="260" w:lineRule="exact" w:before="0"/>
        <w:ind w:left="216" w:right="214" w:firstLine="0"/>
        <w:jc w:val="both"/>
        <w:rPr>
          <w:rFonts w:ascii="黑体" w:hAnsi="黑体" w:cs="黑体" w:eastAsia="黑体" w:hint="default"/>
          <w:sz w:val="20"/>
          <w:szCs w:val="20"/>
        </w:rPr>
      </w:pPr>
      <w:r>
        <w:rPr>
          <w:rFonts w:ascii="黑体" w:hAnsi="黑体" w:cs="黑体" w:eastAsia="黑体" w:hint="default"/>
          <w:w w:val="95"/>
          <w:sz w:val="20"/>
          <w:szCs w:val="20"/>
        </w:rPr>
        <w:t>新金融工具准则要求金融资产减值计量由</w:t>
      </w:r>
      <w:r>
        <w:rPr>
          <w:rFonts w:ascii="Arial" w:hAnsi="Arial" w:cs="Arial" w:eastAsia="Arial" w:hint="default"/>
          <w:w w:val="95"/>
          <w:sz w:val="20"/>
          <w:szCs w:val="20"/>
        </w:rPr>
        <w:t>“</w:t>
      </w:r>
      <w:r>
        <w:rPr>
          <w:rFonts w:ascii="黑体" w:hAnsi="黑体" w:cs="黑体" w:eastAsia="黑体" w:hint="default"/>
          <w:w w:val="95"/>
          <w:sz w:val="20"/>
          <w:szCs w:val="20"/>
        </w:rPr>
        <w:t>已发生损失模型</w:t>
      </w:r>
      <w:r>
        <w:rPr>
          <w:rFonts w:ascii="Arial" w:hAnsi="Arial" w:cs="Arial" w:eastAsia="Arial" w:hint="default"/>
          <w:w w:val="95"/>
          <w:sz w:val="20"/>
          <w:szCs w:val="20"/>
        </w:rPr>
        <w:t>”</w:t>
      </w:r>
      <w:r>
        <w:rPr>
          <w:rFonts w:ascii="黑体" w:hAnsi="黑体" w:cs="黑体" w:eastAsia="黑体" w:hint="default"/>
          <w:w w:val="95"/>
          <w:sz w:val="20"/>
          <w:szCs w:val="20"/>
        </w:rPr>
        <w:t>改为</w:t>
      </w:r>
      <w:r>
        <w:rPr>
          <w:rFonts w:ascii="Arial" w:hAnsi="Arial" w:cs="Arial" w:eastAsia="Arial" w:hint="default"/>
          <w:w w:val="95"/>
          <w:sz w:val="20"/>
          <w:szCs w:val="20"/>
        </w:rPr>
        <w:t>“</w:t>
      </w:r>
      <w:r>
        <w:rPr>
          <w:rFonts w:ascii="黑体" w:hAnsi="黑体" w:cs="黑体" w:eastAsia="黑体" w:hint="default"/>
          <w:w w:val="95"/>
          <w:sz w:val="20"/>
          <w:szCs w:val="20"/>
        </w:rPr>
        <w:t>预期信用损失模型</w:t>
      </w:r>
      <w:r>
        <w:rPr>
          <w:rFonts w:ascii="Arial" w:hAnsi="Arial" w:cs="Arial" w:eastAsia="Arial" w:hint="default"/>
          <w:w w:val="95"/>
          <w:sz w:val="20"/>
          <w:szCs w:val="20"/>
        </w:rPr>
        <w:t>”</w:t>
      </w:r>
      <w:r>
        <w:rPr>
          <w:rFonts w:ascii="黑体" w:hAnsi="黑体" w:cs="黑体" w:eastAsia="黑体" w:hint="default"/>
          <w:w w:val="95"/>
          <w:sz w:val="20"/>
          <w:szCs w:val="20"/>
        </w:rPr>
        <w:t>，适用于以摊余成</w:t>
      </w:r>
      <w:r>
        <w:rPr>
          <w:rFonts w:ascii="黑体" w:hAnsi="黑体" w:cs="黑体" w:eastAsia="黑体" w:hint="default"/>
          <w:spacing w:val="21"/>
          <w:w w:val="95"/>
          <w:sz w:val="20"/>
          <w:szCs w:val="20"/>
        </w:rPr>
        <w:t> </w:t>
      </w:r>
      <w:r>
        <w:rPr>
          <w:rFonts w:ascii="黑体" w:hAnsi="黑体" w:cs="黑体" w:eastAsia="黑体" w:hint="default"/>
          <w:spacing w:val="21"/>
          <w:w w:val="95"/>
          <w:sz w:val="20"/>
          <w:szCs w:val="20"/>
        </w:rPr>
      </w:r>
      <w:r>
        <w:rPr>
          <w:rFonts w:ascii="黑体" w:hAnsi="黑体" w:cs="黑体" w:eastAsia="黑体" w:hint="default"/>
          <w:sz w:val="20"/>
          <w:szCs w:val="20"/>
        </w:rPr>
        <w:t>本计量的金融资产、以公允价值计量且其变动计入其他综合收益的金融资产，以及贷款承诺和财务担</w:t>
      </w:r>
      <w:r>
        <w:rPr>
          <w:rFonts w:ascii="黑体" w:hAnsi="黑体" w:cs="黑体" w:eastAsia="黑体" w:hint="default"/>
          <w:spacing w:val="-75"/>
          <w:sz w:val="20"/>
          <w:szCs w:val="20"/>
        </w:rPr>
        <w:t> </w:t>
      </w:r>
      <w:r>
        <w:rPr>
          <w:rFonts w:ascii="黑体" w:hAnsi="黑体" w:cs="黑体" w:eastAsia="黑体" w:hint="default"/>
          <w:spacing w:val="-75"/>
          <w:sz w:val="20"/>
          <w:szCs w:val="20"/>
        </w:rPr>
      </w:r>
      <w:r>
        <w:rPr>
          <w:rFonts w:ascii="黑体" w:hAnsi="黑体" w:cs="黑体" w:eastAsia="黑体" w:hint="default"/>
          <w:sz w:val="20"/>
          <w:szCs w:val="20"/>
        </w:rPr>
        <w:t>保合同。</w:t>
      </w:r>
    </w:p>
    <w:p>
      <w:pPr>
        <w:spacing w:line="240" w:lineRule="auto" w:before="7"/>
        <w:rPr>
          <w:rFonts w:ascii="黑体" w:hAnsi="黑体" w:cs="黑体" w:eastAsia="黑体" w:hint="default"/>
          <w:sz w:val="17"/>
          <w:szCs w:val="17"/>
        </w:rPr>
      </w:pPr>
    </w:p>
    <w:p>
      <w:pPr>
        <w:spacing w:line="260" w:lineRule="exact" w:before="0"/>
        <w:ind w:left="216" w:right="219" w:firstLine="0"/>
        <w:jc w:val="both"/>
        <w:rPr>
          <w:rFonts w:ascii="黑体" w:hAnsi="黑体" w:cs="黑体" w:eastAsia="黑体" w:hint="default"/>
          <w:sz w:val="20"/>
          <w:szCs w:val="20"/>
        </w:rPr>
      </w:pPr>
      <w:r>
        <w:rPr>
          <w:rFonts w:ascii="黑体" w:hAnsi="黑体" w:cs="黑体" w:eastAsia="黑体" w:hint="default"/>
          <w:sz w:val="20"/>
          <w:szCs w:val="20"/>
        </w:rPr>
        <w:t>新套期会计模型加强了企业风险管理与财务报表之间的联系，扩大了套期工具及被套期项目的范围，</w:t>
      </w:r>
      <w:r>
        <w:rPr>
          <w:rFonts w:ascii="黑体" w:hAnsi="黑体" w:cs="黑体" w:eastAsia="黑体" w:hint="default"/>
          <w:spacing w:val="-78"/>
          <w:sz w:val="20"/>
          <w:szCs w:val="20"/>
        </w:rPr>
        <w:t> </w:t>
      </w:r>
      <w:r>
        <w:rPr>
          <w:rFonts w:ascii="黑体" w:hAnsi="黑体" w:cs="黑体" w:eastAsia="黑体" w:hint="default"/>
          <w:spacing w:val="-78"/>
          <w:sz w:val="20"/>
          <w:szCs w:val="20"/>
        </w:rPr>
      </w:r>
      <w:r>
        <w:rPr>
          <w:rFonts w:ascii="黑体" w:hAnsi="黑体" w:cs="黑体" w:eastAsia="黑体" w:hint="default"/>
          <w:sz w:val="20"/>
          <w:szCs w:val="20"/>
        </w:rPr>
        <w:t>取消了回顾有效性测试，引入了再平衡机制及套期成本的概念。</w:t>
      </w:r>
    </w:p>
    <w:p>
      <w:pPr>
        <w:spacing w:line="240" w:lineRule="auto" w:before="6"/>
        <w:rPr>
          <w:rFonts w:ascii="黑体" w:hAnsi="黑体" w:cs="黑体" w:eastAsia="黑体" w:hint="default"/>
          <w:sz w:val="16"/>
          <w:szCs w:val="16"/>
        </w:rPr>
      </w:pPr>
    </w:p>
    <w:p>
      <w:pPr>
        <w:spacing w:line="232" w:lineRule="auto" w:before="0"/>
        <w:ind w:left="216" w:right="249" w:firstLine="0"/>
        <w:jc w:val="both"/>
        <w:rPr>
          <w:rFonts w:ascii="黑体" w:hAnsi="黑体" w:cs="黑体" w:eastAsia="黑体" w:hint="default"/>
          <w:sz w:val="20"/>
          <w:szCs w:val="20"/>
        </w:rPr>
      </w:pPr>
      <w:r>
        <w:rPr>
          <w:rFonts w:ascii="黑体" w:hAnsi="黑体" w:cs="黑体" w:eastAsia="黑体" w:hint="default"/>
          <w:sz w:val="20"/>
          <w:szCs w:val="20"/>
        </w:rPr>
        <w:t>于</w:t>
      </w:r>
      <w:r>
        <w:rPr>
          <w:rFonts w:ascii="黑体" w:hAnsi="黑体" w:cs="黑体" w:eastAsia="黑体" w:hint="default"/>
          <w:spacing w:val="-49"/>
          <w:sz w:val="20"/>
          <w:szCs w:val="20"/>
        </w:rPr>
        <w:t> </w:t>
      </w:r>
      <w:r>
        <w:rPr>
          <w:rFonts w:ascii="Arial" w:hAnsi="Arial" w:cs="Arial" w:eastAsia="Arial" w:hint="default"/>
          <w:sz w:val="20"/>
          <w:szCs w:val="20"/>
        </w:rPr>
        <w:t>2019</w:t>
      </w:r>
      <w:r>
        <w:rPr>
          <w:rFonts w:ascii="Arial" w:hAnsi="Arial" w:cs="Arial" w:eastAsia="Arial" w:hint="default"/>
          <w:spacing w:val="-8"/>
          <w:sz w:val="20"/>
          <w:szCs w:val="20"/>
        </w:rPr>
        <w:t> </w:t>
      </w:r>
      <w:r>
        <w:rPr>
          <w:rFonts w:ascii="黑体" w:hAnsi="黑体" w:cs="黑体" w:eastAsia="黑体" w:hint="default"/>
          <w:sz w:val="20"/>
          <w:szCs w:val="20"/>
        </w:rPr>
        <w:t>年</w:t>
      </w:r>
      <w:r>
        <w:rPr>
          <w:rFonts w:ascii="黑体" w:hAnsi="黑体" w:cs="黑体" w:eastAsia="黑体" w:hint="default"/>
          <w:spacing w:val="-50"/>
          <w:sz w:val="20"/>
          <w:szCs w:val="20"/>
        </w:rPr>
        <w:t> </w:t>
      </w:r>
      <w:r>
        <w:rPr>
          <w:rFonts w:ascii="Arial" w:hAnsi="Arial" w:cs="Arial" w:eastAsia="Arial" w:hint="default"/>
          <w:sz w:val="20"/>
          <w:szCs w:val="20"/>
        </w:rPr>
        <w:t>1</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0"/>
          <w:sz w:val="20"/>
          <w:szCs w:val="20"/>
        </w:rPr>
        <w:t> </w:t>
      </w:r>
      <w:r>
        <w:rPr>
          <w:rFonts w:ascii="Arial" w:hAnsi="Arial" w:cs="Arial" w:eastAsia="Arial" w:hint="default"/>
          <w:sz w:val="20"/>
          <w:szCs w:val="20"/>
        </w:rPr>
        <w:t>1</w:t>
      </w:r>
      <w:r>
        <w:rPr>
          <w:rFonts w:ascii="Arial" w:hAnsi="Arial" w:cs="Arial" w:eastAsia="Arial" w:hint="default"/>
          <w:spacing w:val="-10"/>
          <w:sz w:val="20"/>
          <w:szCs w:val="20"/>
        </w:rPr>
        <w:t> </w:t>
      </w:r>
      <w:r>
        <w:rPr>
          <w:rFonts w:ascii="黑体" w:hAnsi="黑体" w:cs="黑体" w:eastAsia="黑体" w:hint="default"/>
          <w:sz w:val="20"/>
          <w:szCs w:val="20"/>
        </w:rPr>
        <w:t>日，本集团分析结构性存款整体合同现金流的特征，认为其合同现金流量代表的不</w:t>
      </w:r>
      <w:r>
        <w:rPr>
          <w:rFonts w:ascii="黑体" w:hAnsi="黑体" w:cs="黑体" w:eastAsia="黑体" w:hint="default"/>
          <w:w w:val="99"/>
          <w:sz w:val="20"/>
          <w:szCs w:val="20"/>
        </w:rPr>
        <w:t> </w:t>
      </w:r>
      <w:r>
        <w:rPr>
          <w:rFonts w:ascii="黑体" w:hAnsi="黑体" w:cs="黑体" w:eastAsia="黑体" w:hint="default"/>
          <w:sz w:val="20"/>
          <w:szCs w:val="20"/>
        </w:rPr>
        <w:t>仅仅为对本金和以未偿本金为基础的利息的支付，因此将这些结构性存款重分类为以公允价值计量且</w:t>
      </w:r>
      <w:r>
        <w:rPr>
          <w:rFonts w:ascii="黑体" w:hAnsi="黑体" w:cs="黑体" w:eastAsia="黑体" w:hint="default"/>
          <w:w w:val="99"/>
          <w:sz w:val="20"/>
          <w:szCs w:val="20"/>
        </w:rPr>
        <w:t> </w:t>
      </w:r>
      <w:r>
        <w:rPr>
          <w:rFonts w:ascii="黑体" w:hAnsi="黑体" w:cs="黑体" w:eastAsia="黑体" w:hint="default"/>
          <w:sz w:val="20"/>
          <w:szCs w:val="20"/>
        </w:rPr>
        <w:t>其变动计入当期损益的金融资产，列报为交易性金融资产。</w:t>
      </w:r>
    </w:p>
    <w:p>
      <w:pPr>
        <w:spacing w:line="240" w:lineRule="auto" w:before="8"/>
        <w:rPr>
          <w:rFonts w:ascii="黑体" w:hAnsi="黑体" w:cs="黑体" w:eastAsia="黑体" w:hint="default"/>
          <w:sz w:val="20"/>
          <w:szCs w:val="20"/>
        </w:rPr>
      </w:pPr>
    </w:p>
    <w:p>
      <w:pPr>
        <w:spacing w:before="0"/>
        <w:ind w:left="216" w:right="0" w:firstLine="0"/>
        <w:jc w:val="both"/>
        <w:rPr>
          <w:rFonts w:ascii="黑体" w:hAnsi="黑体" w:cs="黑体" w:eastAsia="黑体" w:hint="default"/>
          <w:sz w:val="20"/>
          <w:szCs w:val="20"/>
        </w:rPr>
      </w:pPr>
      <w:r>
        <w:rPr>
          <w:rFonts w:ascii="黑体" w:hAnsi="黑体" w:cs="黑体" w:eastAsia="黑体" w:hint="default"/>
          <w:sz w:val="20"/>
          <w:szCs w:val="20"/>
        </w:rPr>
        <w:t>财务报表列报方式变更</w:t>
      </w:r>
    </w:p>
    <w:p>
      <w:pPr>
        <w:spacing w:line="240" w:lineRule="auto" w:before="6"/>
        <w:rPr>
          <w:rFonts w:ascii="黑体" w:hAnsi="黑体" w:cs="黑体" w:eastAsia="黑体" w:hint="default"/>
          <w:sz w:val="18"/>
          <w:szCs w:val="18"/>
        </w:rPr>
      </w:pPr>
    </w:p>
    <w:p>
      <w:pPr>
        <w:spacing w:line="230" w:lineRule="auto" w:before="0"/>
        <w:ind w:left="216" w:right="97" w:firstLine="0"/>
        <w:jc w:val="left"/>
        <w:rPr>
          <w:rFonts w:ascii="黑体" w:hAnsi="黑体" w:cs="黑体" w:eastAsia="黑体" w:hint="default"/>
          <w:sz w:val="20"/>
          <w:szCs w:val="20"/>
        </w:rPr>
      </w:pPr>
      <w:r>
        <w:rPr>
          <w:rFonts w:ascii="黑体" w:hAnsi="黑体" w:cs="黑体" w:eastAsia="黑体" w:hint="default"/>
          <w:sz w:val="20"/>
          <w:szCs w:val="20"/>
        </w:rPr>
        <w:t>根据《关于修订印发</w:t>
      </w:r>
      <w:r>
        <w:rPr>
          <w:rFonts w:ascii="黑体" w:hAnsi="黑体" w:cs="黑体" w:eastAsia="黑体" w:hint="default"/>
          <w:spacing w:val="-56"/>
          <w:sz w:val="20"/>
          <w:szCs w:val="20"/>
        </w:rPr>
        <w:t> </w:t>
      </w:r>
      <w:r>
        <w:rPr>
          <w:rFonts w:ascii="Arial" w:hAnsi="Arial" w:cs="Arial" w:eastAsia="Arial" w:hint="default"/>
          <w:sz w:val="20"/>
          <w:szCs w:val="20"/>
        </w:rPr>
        <w:t>2019</w:t>
      </w:r>
      <w:r>
        <w:rPr>
          <w:rFonts w:ascii="Arial" w:hAnsi="Arial" w:cs="Arial" w:eastAsia="Arial" w:hint="default"/>
          <w:spacing w:val="-13"/>
          <w:sz w:val="20"/>
          <w:szCs w:val="20"/>
        </w:rPr>
        <w:t> </w:t>
      </w:r>
      <w:r>
        <w:rPr>
          <w:rFonts w:ascii="黑体" w:hAnsi="黑体" w:cs="黑体" w:eastAsia="黑体" w:hint="default"/>
          <w:sz w:val="20"/>
          <w:szCs w:val="20"/>
        </w:rPr>
        <w:t>年度一般企业财务报表格式的通知》（财会</w:t>
      </w:r>
      <w:r>
        <w:rPr>
          <w:rFonts w:ascii="Arial" w:hAnsi="Arial" w:cs="Arial" w:eastAsia="Arial" w:hint="default"/>
          <w:sz w:val="20"/>
          <w:szCs w:val="20"/>
        </w:rPr>
        <w:t>[2019]6</w:t>
      </w:r>
      <w:r>
        <w:rPr>
          <w:rFonts w:ascii="Arial" w:hAnsi="Arial" w:cs="Arial" w:eastAsia="Arial" w:hint="default"/>
          <w:spacing w:val="-14"/>
          <w:sz w:val="20"/>
          <w:szCs w:val="20"/>
        </w:rPr>
        <w:t> </w:t>
      </w:r>
      <w:r>
        <w:rPr>
          <w:rFonts w:ascii="黑体" w:hAnsi="黑体" w:cs="黑体" w:eastAsia="黑体" w:hint="default"/>
          <w:sz w:val="20"/>
          <w:szCs w:val="20"/>
        </w:rPr>
        <w:t>号）和《关于修订印发</w:t>
      </w:r>
      <w:r>
        <w:rPr>
          <w:rFonts w:ascii="黑体" w:hAnsi="黑体" w:cs="黑体" w:eastAsia="黑体" w:hint="default"/>
          <w:w w:val="99"/>
          <w:sz w:val="20"/>
          <w:szCs w:val="20"/>
        </w:rPr>
        <w:t> </w:t>
      </w:r>
      <w:r>
        <w:rPr>
          <w:rFonts w:ascii="黑体" w:hAnsi="黑体" w:cs="黑体" w:eastAsia="黑体" w:hint="default"/>
          <w:sz w:val="20"/>
          <w:szCs w:val="20"/>
        </w:rPr>
        <w:t>合并财务报表格式（</w:t>
      </w:r>
      <w:r>
        <w:rPr>
          <w:rFonts w:ascii="Arial" w:hAnsi="Arial" w:cs="Arial" w:eastAsia="Arial" w:hint="default"/>
          <w:sz w:val="20"/>
          <w:szCs w:val="20"/>
        </w:rPr>
        <w:t>2019 </w:t>
      </w:r>
      <w:r>
        <w:rPr>
          <w:rFonts w:ascii="黑体" w:hAnsi="黑体" w:cs="黑体" w:eastAsia="黑体" w:hint="default"/>
          <w:sz w:val="20"/>
          <w:szCs w:val="20"/>
        </w:rPr>
        <w:t>版）的通知》（财会</w:t>
      </w:r>
      <w:r>
        <w:rPr>
          <w:rFonts w:ascii="Arial" w:hAnsi="Arial" w:cs="Arial" w:eastAsia="Arial" w:hint="default"/>
          <w:sz w:val="20"/>
          <w:szCs w:val="20"/>
        </w:rPr>
        <w:t>[2019]16</w:t>
      </w:r>
      <w:r>
        <w:rPr>
          <w:rFonts w:ascii="Arial" w:hAnsi="Arial" w:cs="Arial" w:eastAsia="Arial" w:hint="default"/>
          <w:spacing w:val="-14"/>
          <w:sz w:val="20"/>
          <w:szCs w:val="20"/>
        </w:rPr>
        <w:t> </w:t>
      </w:r>
      <w:r>
        <w:rPr>
          <w:rFonts w:ascii="黑体" w:hAnsi="黑体" w:cs="黑体" w:eastAsia="黑体" w:hint="default"/>
          <w:sz w:val="20"/>
          <w:szCs w:val="20"/>
        </w:rPr>
        <w:t>号）要求，资产负债表中，</w:t>
      </w:r>
      <w:r>
        <w:rPr>
          <w:rFonts w:ascii="Arial" w:hAnsi="Arial" w:cs="Arial" w:eastAsia="Arial" w:hint="default"/>
          <w:sz w:val="20"/>
          <w:szCs w:val="20"/>
        </w:rPr>
        <w:t>“</w:t>
      </w:r>
      <w:r>
        <w:rPr>
          <w:rFonts w:ascii="黑体" w:hAnsi="黑体" w:cs="黑体" w:eastAsia="黑体" w:hint="default"/>
          <w:sz w:val="20"/>
          <w:szCs w:val="20"/>
        </w:rPr>
        <w:t>应收票据及应收</w:t>
      </w:r>
      <w:r>
        <w:rPr>
          <w:rFonts w:ascii="黑体" w:hAnsi="黑体" w:cs="黑体" w:eastAsia="黑体" w:hint="default"/>
          <w:w w:val="99"/>
          <w:sz w:val="20"/>
          <w:szCs w:val="20"/>
        </w:rPr>
        <w:t> </w:t>
      </w:r>
      <w:r>
        <w:rPr>
          <w:rFonts w:ascii="黑体" w:hAnsi="黑体" w:cs="黑体" w:eastAsia="黑体" w:hint="default"/>
          <w:sz w:val="20"/>
          <w:szCs w:val="20"/>
        </w:rPr>
        <w:t>账款</w:t>
      </w:r>
      <w:r>
        <w:rPr>
          <w:rFonts w:ascii="Arial" w:hAnsi="Arial" w:cs="Arial" w:eastAsia="Arial" w:hint="default"/>
          <w:sz w:val="20"/>
          <w:szCs w:val="20"/>
        </w:rPr>
        <w:t>”</w:t>
      </w:r>
      <w:r>
        <w:rPr>
          <w:rFonts w:ascii="黑体" w:hAnsi="黑体" w:cs="黑体" w:eastAsia="黑体" w:hint="default"/>
          <w:sz w:val="20"/>
          <w:szCs w:val="20"/>
        </w:rPr>
        <w:t>项目分拆为</w:t>
      </w:r>
      <w:r>
        <w:rPr>
          <w:rFonts w:ascii="Arial" w:hAnsi="Arial" w:cs="Arial" w:eastAsia="Arial" w:hint="default"/>
          <w:sz w:val="20"/>
          <w:szCs w:val="20"/>
        </w:rPr>
        <w:t>“</w:t>
      </w:r>
      <w:r>
        <w:rPr>
          <w:rFonts w:ascii="黑体" w:hAnsi="黑体" w:cs="黑体" w:eastAsia="黑体" w:hint="default"/>
          <w:sz w:val="20"/>
          <w:szCs w:val="20"/>
        </w:rPr>
        <w:t>应收票据</w:t>
      </w:r>
      <w:r>
        <w:rPr>
          <w:rFonts w:ascii="Arial" w:hAnsi="Arial" w:cs="Arial" w:eastAsia="Arial" w:hint="default"/>
          <w:sz w:val="20"/>
          <w:szCs w:val="20"/>
        </w:rPr>
        <w:t>”</w:t>
      </w:r>
      <w:r>
        <w:rPr>
          <w:rFonts w:ascii="黑体" w:hAnsi="黑体" w:cs="黑体" w:eastAsia="黑体" w:hint="default"/>
          <w:sz w:val="20"/>
          <w:szCs w:val="20"/>
        </w:rPr>
        <w:t>及</w:t>
      </w:r>
      <w:r>
        <w:rPr>
          <w:rFonts w:ascii="Arial" w:hAnsi="Arial" w:cs="Arial" w:eastAsia="Arial" w:hint="default"/>
          <w:sz w:val="20"/>
          <w:szCs w:val="20"/>
        </w:rPr>
        <w:t>“</w:t>
      </w:r>
      <w:r>
        <w:rPr>
          <w:rFonts w:ascii="黑体" w:hAnsi="黑体" w:cs="黑体" w:eastAsia="黑体" w:hint="default"/>
          <w:sz w:val="20"/>
          <w:szCs w:val="20"/>
        </w:rPr>
        <w:t>应收账款</w:t>
      </w:r>
      <w:r>
        <w:rPr>
          <w:rFonts w:ascii="Arial" w:hAnsi="Arial" w:cs="Arial" w:eastAsia="Arial" w:hint="default"/>
          <w:sz w:val="20"/>
          <w:szCs w:val="20"/>
        </w:rPr>
        <w:t>”</w:t>
      </w:r>
      <w:r>
        <w:rPr>
          <w:rFonts w:ascii="黑体" w:hAnsi="黑体" w:cs="黑体" w:eastAsia="黑体" w:hint="default"/>
          <w:sz w:val="20"/>
          <w:szCs w:val="20"/>
        </w:rPr>
        <w:t>，</w:t>
      </w:r>
      <w:r>
        <w:rPr>
          <w:rFonts w:ascii="Arial" w:hAnsi="Arial" w:cs="Arial" w:eastAsia="Arial" w:hint="default"/>
          <w:sz w:val="20"/>
          <w:szCs w:val="20"/>
        </w:rPr>
        <w:t>“</w:t>
      </w:r>
      <w:r>
        <w:rPr>
          <w:rFonts w:ascii="黑体" w:hAnsi="黑体" w:cs="黑体" w:eastAsia="黑体" w:hint="default"/>
          <w:sz w:val="20"/>
          <w:szCs w:val="20"/>
        </w:rPr>
        <w:t>应付票据及应付账款</w:t>
      </w:r>
      <w:r>
        <w:rPr>
          <w:rFonts w:ascii="Arial" w:hAnsi="Arial" w:cs="Arial" w:eastAsia="Arial" w:hint="default"/>
          <w:sz w:val="20"/>
          <w:szCs w:val="20"/>
        </w:rPr>
        <w:t>”</w:t>
      </w:r>
      <w:r>
        <w:rPr>
          <w:rFonts w:ascii="黑体" w:hAnsi="黑体" w:cs="黑体" w:eastAsia="黑体" w:hint="default"/>
          <w:sz w:val="20"/>
          <w:szCs w:val="20"/>
        </w:rPr>
        <w:t>项目分拆为</w:t>
      </w:r>
      <w:r>
        <w:rPr>
          <w:rFonts w:ascii="Arial" w:hAnsi="Arial" w:cs="Arial" w:eastAsia="Arial" w:hint="default"/>
          <w:sz w:val="20"/>
          <w:szCs w:val="20"/>
        </w:rPr>
        <w:t>“</w:t>
      </w:r>
      <w:r>
        <w:rPr>
          <w:rFonts w:ascii="黑体" w:hAnsi="黑体" w:cs="黑体" w:eastAsia="黑体" w:hint="default"/>
          <w:sz w:val="20"/>
          <w:szCs w:val="20"/>
        </w:rPr>
        <w:t>应付票据</w:t>
      </w:r>
      <w:r>
        <w:rPr>
          <w:rFonts w:ascii="Arial" w:hAnsi="Arial" w:cs="Arial" w:eastAsia="Arial" w:hint="default"/>
          <w:sz w:val="20"/>
          <w:szCs w:val="20"/>
        </w:rPr>
        <w:t>”</w:t>
      </w:r>
      <w:r>
        <w:rPr>
          <w:rFonts w:ascii="黑体" w:hAnsi="黑体" w:cs="黑体" w:eastAsia="黑体" w:hint="default"/>
          <w:sz w:val="20"/>
          <w:szCs w:val="20"/>
        </w:rPr>
        <w:t>及</w:t>
      </w:r>
      <w:r>
        <w:rPr>
          <w:rFonts w:ascii="Arial" w:hAnsi="Arial" w:cs="Arial" w:eastAsia="Arial" w:hint="default"/>
          <w:sz w:val="20"/>
          <w:szCs w:val="20"/>
        </w:rPr>
        <w:t>“</w:t>
      </w:r>
      <w:r>
        <w:rPr>
          <w:rFonts w:ascii="黑体" w:hAnsi="黑体" w:cs="黑体" w:eastAsia="黑体" w:hint="default"/>
          <w:sz w:val="20"/>
          <w:szCs w:val="20"/>
        </w:rPr>
        <w:t>应付账款</w:t>
      </w:r>
      <w:r>
        <w:rPr>
          <w:rFonts w:ascii="Arial" w:hAnsi="Arial" w:cs="Arial" w:eastAsia="Arial" w:hint="default"/>
          <w:sz w:val="20"/>
          <w:szCs w:val="20"/>
        </w:rPr>
        <w:t>”</w:t>
      </w:r>
      <w:r>
        <w:rPr>
          <w:rFonts w:ascii="黑体" w:hAnsi="黑体" w:cs="黑体" w:eastAsia="黑体" w:hint="default"/>
          <w:sz w:val="20"/>
          <w:szCs w:val="20"/>
        </w:rPr>
        <w:t>。</w:t>
      </w:r>
      <w:r>
        <w:rPr>
          <w:rFonts w:ascii="黑体" w:hAnsi="黑体" w:cs="黑体" w:eastAsia="黑体" w:hint="default"/>
          <w:w w:val="99"/>
          <w:sz w:val="20"/>
          <w:szCs w:val="20"/>
        </w:rPr>
        <w:t> </w:t>
      </w:r>
      <w:r>
        <w:rPr>
          <w:rFonts w:ascii="黑体" w:hAnsi="黑体" w:cs="黑体" w:eastAsia="黑体" w:hint="default"/>
          <w:sz w:val="20"/>
          <w:szCs w:val="20"/>
        </w:rPr>
        <w:t>“递延收益”项目中摊销期限只剩一年或不足一年的，或预计在一年内（含一年）进行摊销的部分，</w:t>
      </w:r>
      <w:r>
        <w:rPr>
          <w:rFonts w:ascii="黑体" w:hAnsi="黑体" w:cs="黑体" w:eastAsia="黑体" w:hint="default"/>
          <w:w w:val="99"/>
          <w:sz w:val="20"/>
          <w:szCs w:val="20"/>
        </w:rPr>
        <w:t> </w:t>
      </w:r>
      <w:r>
        <w:rPr>
          <w:rFonts w:ascii="黑体" w:hAnsi="黑体" w:cs="黑体" w:eastAsia="黑体" w:hint="default"/>
          <w:sz w:val="20"/>
          <w:szCs w:val="20"/>
        </w:rPr>
        <w:t>不得归类为流动负债，仍在该项目中填列，不转入“一年内到期的非流动负债”项目。利润表中，</w:t>
      </w:r>
      <w:r>
        <w:rPr>
          <w:rFonts w:ascii="Arial" w:hAnsi="Arial" w:cs="Arial" w:eastAsia="Arial" w:hint="default"/>
          <w:sz w:val="20"/>
          <w:szCs w:val="20"/>
        </w:rPr>
        <w:t>“</w:t>
      </w:r>
      <w:r>
        <w:rPr>
          <w:rFonts w:ascii="黑体" w:hAnsi="黑体" w:cs="黑体" w:eastAsia="黑体" w:hint="default"/>
          <w:sz w:val="20"/>
          <w:szCs w:val="20"/>
        </w:rPr>
        <w:t>研</w:t>
      </w:r>
      <w:r>
        <w:rPr>
          <w:rFonts w:ascii="黑体" w:hAnsi="黑体" w:cs="黑体" w:eastAsia="黑体" w:hint="default"/>
          <w:w w:val="99"/>
          <w:sz w:val="20"/>
          <w:szCs w:val="20"/>
        </w:rPr>
        <w:t> </w:t>
      </w:r>
      <w:r>
        <w:rPr>
          <w:rFonts w:ascii="黑体" w:hAnsi="黑体" w:cs="黑体" w:eastAsia="黑体" w:hint="default"/>
          <w:sz w:val="20"/>
          <w:szCs w:val="20"/>
        </w:rPr>
        <w:t>发费用</w:t>
      </w:r>
      <w:r>
        <w:rPr>
          <w:rFonts w:ascii="Arial" w:hAnsi="Arial" w:cs="Arial" w:eastAsia="Arial" w:hint="default"/>
          <w:sz w:val="20"/>
          <w:szCs w:val="20"/>
        </w:rPr>
        <w:t>”</w:t>
      </w:r>
      <w:r>
        <w:rPr>
          <w:rFonts w:ascii="黑体" w:hAnsi="黑体" w:cs="黑体" w:eastAsia="黑体" w:hint="default"/>
          <w:sz w:val="20"/>
          <w:szCs w:val="20"/>
        </w:rPr>
        <w:t>项目除反映进行研究与开发过程中发生的费用化支出外，还包括了原在</w:t>
      </w:r>
      <w:r>
        <w:rPr>
          <w:rFonts w:ascii="Arial" w:hAnsi="Arial" w:cs="Arial" w:eastAsia="Arial" w:hint="default"/>
          <w:sz w:val="20"/>
          <w:szCs w:val="20"/>
        </w:rPr>
        <w:t>“</w:t>
      </w:r>
      <w:r>
        <w:rPr>
          <w:rFonts w:ascii="黑体" w:hAnsi="黑体" w:cs="黑体" w:eastAsia="黑体" w:hint="default"/>
          <w:sz w:val="20"/>
          <w:szCs w:val="20"/>
        </w:rPr>
        <w:t>管理费用</w:t>
      </w:r>
      <w:r>
        <w:rPr>
          <w:rFonts w:ascii="Arial" w:hAnsi="Arial" w:cs="Arial" w:eastAsia="Arial" w:hint="default"/>
          <w:sz w:val="20"/>
          <w:szCs w:val="20"/>
        </w:rPr>
        <w:t>”</w:t>
      </w:r>
      <w:r>
        <w:rPr>
          <w:rFonts w:ascii="黑体" w:hAnsi="黑体" w:cs="黑体" w:eastAsia="黑体" w:hint="default"/>
          <w:sz w:val="20"/>
          <w:szCs w:val="20"/>
        </w:rPr>
        <w:t>项目中列示</w:t>
      </w:r>
      <w:r>
        <w:rPr>
          <w:rFonts w:ascii="黑体" w:hAnsi="黑体" w:cs="黑体" w:eastAsia="黑体" w:hint="default"/>
          <w:w w:val="99"/>
          <w:sz w:val="20"/>
          <w:szCs w:val="20"/>
        </w:rPr>
        <w:t> </w:t>
      </w:r>
      <w:r>
        <w:rPr>
          <w:rFonts w:ascii="黑体" w:hAnsi="黑体" w:cs="黑体" w:eastAsia="黑体" w:hint="default"/>
          <w:sz w:val="20"/>
          <w:szCs w:val="20"/>
        </w:rPr>
        <w:t>的自行开发无形资产的摊销；本集团相应追溯调整了比较数据。该会计政策变更对合并及公司净利润</w:t>
      </w:r>
      <w:r>
        <w:rPr>
          <w:rFonts w:ascii="黑体" w:hAnsi="黑体" w:cs="黑体" w:eastAsia="黑体" w:hint="default"/>
          <w:w w:val="99"/>
          <w:sz w:val="20"/>
          <w:szCs w:val="20"/>
        </w:rPr>
        <w:t> </w:t>
      </w:r>
      <w:r>
        <w:rPr>
          <w:rFonts w:ascii="黑体" w:hAnsi="黑体" w:cs="黑体" w:eastAsia="黑体" w:hint="default"/>
          <w:sz w:val="20"/>
          <w:szCs w:val="20"/>
        </w:rPr>
        <w:t>和所有者权益无影响。此外，随本年新金融工具准则的执行，按照《关于修订印发</w:t>
      </w:r>
      <w:r>
        <w:rPr>
          <w:rFonts w:ascii="黑体" w:hAnsi="黑体" w:cs="黑体" w:eastAsia="黑体" w:hint="default"/>
          <w:spacing w:val="-48"/>
          <w:sz w:val="20"/>
          <w:szCs w:val="20"/>
        </w:rPr>
        <w:t> </w:t>
      </w:r>
      <w:r>
        <w:rPr>
          <w:rFonts w:ascii="Arial" w:hAnsi="Arial" w:cs="Arial" w:eastAsia="Arial" w:hint="default"/>
          <w:sz w:val="20"/>
          <w:szCs w:val="20"/>
        </w:rPr>
        <w:t>2019</w:t>
      </w:r>
      <w:r>
        <w:rPr>
          <w:rFonts w:ascii="Arial" w:hAnsi="Arial" w:cs="Arial" w:eastAsia="Arial" w:hint="default"/>
          <w:spacing w:val="-8"/>
          <w:sz w:val="20"/>
          <w:szCs w:val="20"/>
        </w:rPr>
        <w:t> </w:t>
      </w:r>
      <w:r>
        <w:rPr>
          <w:rFonts w:ascii="黑体" w:hAnsi="黑体" w:cs="黑体" w:eastAsia="黑体" w:hint="default"/>
          <w:sz w:val="20"/>
          <w:szCs w:val="20"/>
        </w:rPr>
        <w:t>年度一般企</w:t>
      </w:r>
      <w:r>
        <w:rPr>
          <w:rFonts w:ascii="黑体" w:hAnsi="黑体" w:cs="黑体" w:eastAsia="黑体" w:hint="default"/>
          <w:w w:val="99"/>
          <w:sz w:val="20"/>
          <w:szCs w:val="20"/>
        </w:rPr>
        <w:t> </w:t>
      </w:r>
      <w:r>
        <w:rPr>
          <w:rFonts w:ascii="黑体" w:hAnsi="黑体" w:cs="黑体" w:eastAsia="黑体" w:hint="default"/>
          <w:sz w:val="20"/>
          <w:szCs w:val="20"/>
        </w:rPr>
        <w:t>业财务报表格式的通知》（财会</w:t>
      </w:r>
      <w:r>
        <w:rPr>
          <w:rFonts w:ascii="Arial" w:hAnsi="Arial" w:cs="Arial" w:eastAsia="Arial" w:hint="default"/>
          <w:sz w:val="20"/>
          <w:szCs w:val="20"/>
        </w:rPr>
        <w:t>[2019]6</w:t>
      </w:r>
      <w:r>
        <w:rPr>
          <w:rFonts w:ascii="Arial" w:hAnsi="Arial" w:cs="Arial" w:eastAsia="Arial" w:hint="default"/>
          <w:spacing w:val="-9"/>
          <w:sz w:val="20"/>
          <w:szCs w:val="20"/>
        </w:rPr>
        <w:t> </w:t>
      </w:r>
      <w:r>
        <w:rPr>
          <w:rFonts w:ascii="黑体" w:hAnsi="黑体" w:cs="黑体" w:eastAsia="黑体" w:hint="default"/>
          <w:sz w:val="20"/>
          <w:szCs w:val="20"/>
        </w:rPr>
        <w:t>号）要求，</w:t>
      </w:r>
      <w:r>
        <w:rPr>
          <w:rFonts w:ascii="Arial" w:hAnsi="Arial" w:cs="Arial" w:eastAsia="Arial" w:hint="default"/>
          <w:sz w:val="20"/>
          <w:szCs w:val="20"/>
        </w:rPr>
        <w:t>“</w:t>
      </w:r>
      <w:r>
        <w:rPr>
          <w:rFonts w:ascii="黑体" w:hAnsi="黑体" w:cs="黑体" w:eastAsia="黑体" w:hint="default"/>
          <w:sz w:val="20"/>
          <w:szCs w:val="20"/>
        </w:rPr>
        <w:t>其他应收款</w:t>
      </w:r>
      <w:r>
        <w:rPr>
          <w:rFonts w:ascii="Arial" w:hAnsi="Arial" w:cs="Arial" w:eastAsia="Arial" w:hint="default"/>
          <w:sz w:val="20"/>
          <w:szCs w:val="20"/>
        </w:rPr>
        <w:t>”</w:t>
      </w:r>
      <w:r>
        <w:rPr>
          <w:rFonts w:ascii="黑体" w:hAnsi="黑体" w:cs="黑体" w:eastAsia="黑体" w:hint="default"/>
          <w:sz w:val="20"/>
          <w:szCs w:val="20"/>
        </w:rPr>
        <w:t>项目中的</w:t>
      </w:r>
      <w:r>
        <w:rPr>
          <w:rFonts w:ascii="Arial" w:hAnsi="Arial" w:cs="Arial" w:eastAsia="Arial" w:hint="default"/>
          <w:sz w:val="20"/>
          <w:szCs w:val="20"/>
        </w:rPr>
        <w:t>“</w:t>
      </w:r>
      <w:r>
        <w:rPr>
          <w:rFonts w:ascii="黑体" w:hAnsi="黑体" w:cs="黑体" w:eastAsia="黑体" w:hint="default"/>
          <w:sz w:val="20"/>
          <w:szCs w:val="20"/>
        </w:rPr>
        <w:t>应收利息</w:t>
      </w:r>
      <w:r>
        <w:rPr>
          <w:rFonts w:ascii="Arial" w:hAnsi="Arial" w:cs="Arial" w:eastAsia="Arial" w:hint="default"/>
          <w:sz w:val="20"/>
          <w:szCs w:val="20"/>
        </w:rPr>
        <w:t>”</w:t>
      </w:r>
      <w:r>
        <w:rPr>
          <w:rFonts w:ascii="黑体" w:hAnsi="黑体" w:cs="黑体" w:eastAsia="黑体" w:hint="default"/>
          <w:sz w:val="20"/>
          <w:szCs w:val="20"/>
        </w:rPr>
        <w:t>改为仅反映相关</w:t>
      </w:r>
      <w:r>
        <w:rPr>
          <w:rFonts w:ascii="黑体" w:hAnsi="黑体" w:cs="黑体" w:eastAsia="黑体" w:hint="default"/>
          <w:w w:val="99"/>
          <w:sz w:val="20"/>
          <w:szCs w:val="20"/>
        </w:rPr>
        <w:t> </w:t>
      </w:r>
      <w:r>
        <w:rPr>
          <w:rFonts w:ascii="黑体" w:hAnsi="黑体" w:cs="黑体" w:eastAsia="黑体" w:hint="default"/>
          <w:sz w:val="20"/>
          <w:szCs w:val="20"/>
        </w:rPr>
        <w:t>金融工具已到期可收取但于资产负债表日尚未收到的利息（基于实际利率法计提的金融工具的利息包</w:t>
      </w:r>
      <w:r>
        <w:rPr>
          <w:rFonts w:ascii="黑体" w:hAnsi="黑体" w:cs="黑体" w:eastAsia="黑体" w:hint="default"/>
          <w:w w:val="99"/>
          <w:sz w:val="20"/>
          <w:szCs w:val="20"/>
        </w:rPr>
        <w:t> </w:t>
      </w:r>
      <w:r>
        <w:rPr>
          <w:rFonts w:ascii="黑体" w:hAnsi="黑体" w:cs="黑体" w:eastAsia="黑体" w:hint="default"/>
          <w:sz w:val="20"/>
          <w:szCs w:val="20"/>
        </w:rPr>
        <w:t>含在相应金融工具的账面余额中），</w:t>
      </w:r>
      <w:r>
        <w:rPr>
          <w:rFonts w:ascii="Arial" w:hAnsi="Arial" w:cs="Arial" w:eastAsia="Arial" w:hint="default"/>
          <w:sz w:val="20"/>
          <w:szCs w:val="20"/>
        </w:rPr>
        <w:t>“</w:t>
      </w:r>
      <w:r>
        <w:rPr>
          <w:rFonts w:ascii="黑体" w:hAnsi="黑体" w:cs="黑体" w:eastAsia="黑体" w:hint="default"/>
          <w:sz w:val="20"/>
          <w:szCs w:val="20"/>
        </w:rPr>
        <w:t>其他应付款</w:t>
      </w:r>
      <w:r>
        <w:rPr>
          <w:rFonts w:ascii="Arial" w:hAnsi="Arial" w:cs="Arial" w:eastAsia="Arial" w:hint="default"/>
          <w:sz w:val="20"/>
          <w:szCs w:val="20"/>
        </w:rPr>
        <w:t>”</w:t>
      </w:r>
      <w:r>
        <w:rPr>
          <w:rFonts w:ascii="黑体" w:hAnsi="黑体" w:cs="黑体" w:eastAsia="黑体" w:hint="default"/>
          <w:sz w:val="20"/>
          <w:szCs w:val="20"/>
        </w:rPr>
        <w:t>项目中的</w:t>
      </w:r>
      <w:r>
        <w:rPr>
          <w:rFonts w:ascii="Arial" w:hAnsi="Arial" w:cs="Arial" w:eastAsia="Arial" w:hint="default"/>
          <w:sz w:val="20"/>
          <w:szCs w:val="20"/>
        </w:rPr>
        <w:t>“</w:t>
      </w:r>
      <w:r>
        <w:rPr>
          <w:rFonts w:ascii="黑体" w:hAnsi="黑体" w:cs="黑体" w:eastAsia="黑体" w:hint="default"/>
          <w:sz w:val="20"/>
          <w:szCs w:val="20"/>
        </w:rPr>
        <w:t>应付利息</w:t>
      </w:r>
      <w:r>
        <w:rPr>
          <w:rFonts w:ascii="Arial" w:hAnsi="Arial" w:cs="Arial" w:eastAsia="Arial" w:hint="default"/>
          <w:sz w:val="20"/>
          <w:szCs w:val="20"/>
        </w:rPr>
        <w:t>”</w:t>
      </w:r>
      <w:r>
        <w:rPr>
          <w:rFonts w:ascii="黑体" w:hAnsi="黑体" w:cs="黑体" w:eastAsia="黑体" w:hint="default"/>
          <w:sz w:val="20"/>
          <w:szCs w:val="20"/>
        </w:rPr>
        <w:t>改为仅反映相关金融工具已到期</w:t>
      </w:r>
      <w:r>
        <w:rPr>
          <w:rFonts w:ascii="黑体" w:hAnsi="黑体" w:cs="黑体" w:eastAsia="黑体" w:hint="default"/>
          <w:w w:val="99"/>
          <w:sz w:val="20"/>
          <w:szCs w:val="20"/>
        </w:rPr>
        <w:t> </w:t>
      </w:r>
      <w:r>
        <w:rPr>
          <w:rFonts w:ascii="黑体" w:hAnsi="黑体" w:cs="黑体" w:eastAsia="黑体" w:hint="default"/>
          <w:sz w:val="20"/>
          <w:szCs w:val="20"/>
        </w:rPr>
        <w:t>应支付但于资产负债表日尚未支付的利息（基于实际利率法计提的金融工具的利息包含在相应金融工</w:t>
      </w:r>
      <w:r>
        <w:rPr>
          <w:rFonts w:ascii="黑体" w:hAnsi="黑体" w:cs="黑体" w:eastAsia="黑体" w:hint="default"/>
          <w:w w:val="99"/>
          <w:sz w:val="20"/>
          <w:szCs w:val="20"/>
        </w:rPr>
        <w:t> </w:t>
      </w:r>
      <w:r>
        <w:rPr>
          <w:rFonts w:ascii="黑体" w:hAnsi="黑体" w:cs="黑体" w:eastAsia="黑体" w:hint="default"/>
          <w:sz w:val="20"/>
          <w:szCs w:val="20"/>
        </w:rPr>
        <w:t>具的账面余额中），参照新金融工具准则的衔接规定不追溯调整比较数据。</w:t>
      </w:r>
    </w:p>
    <w:p>
      <w:pPr>
        <w:spacing w:line="240" w:lineRule="auto" w:before="12"/>
        <w:rPr>
          <w:rFonts w:ascii="黑体" w:hAnsi="黑体" w:cs="黑体" w:eastAsia="黑体" w:hint="default"/>
          <w:sz w:val="24"/>
          <w:szCs w:val="24"/>
        </w:rPr>
      </w:pPr>
    </w:p>
    <w:p>
      <w:pPr>
        <w:pStyle w:val="Heading2"/>
        <w:spacing w:line="240" w:lineRule="auto"/>
        <w:ind w:right="0"/>
        <w:jc w:val="both"/>
        <w:rPr>
          <w:rFonts w:ascii="宋体" w:hAnsi="宋体" w:cs="宋体" w:eastAsia="宋体" w:hint="default"/>
          <w:b w:val="0"/>
          <w:bCs w:val="0"/>
        </w:rPr>
      </w:pPr>
      <w:r>
        <w:rPr>
          <w:rFonts w:ascii="宋体" w:hAnsi="宋体" w:cs="宋体" w:eastAsia="宋体" w:hint="default"/>
        </w:rPr>
        <w:t>(2). </w:t>
      </w:r>
      <w:r>
        <w:rPr>
          <w:rFonts w:ascii="宋体" w:hAnsi="宋体" w:cs="宋体" w:eastAsia="宋体" w:hint="default"/>
          <w:spacing w:val="113"/>
        </w:rPr>
        <w:t> </w:t>
      </w:r>
      <w:r>
        <w:rPr/>
        <w:t>重要会计估计变更</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both"/>
      </w:pPr>
      <w:r>
        <w:rPr/>
        <w:t>□适用 √不适用</w:t>
      </w:r>
    </w:p>
    <w:p>
      <w:pPr>
        <w:spacing w:line="240" w:lineRule="auto" w:before="9"/>
        <w:rPr>
          <w:rFonts w:ascii="宋体" w:hAnsi="宋体" w:cs="宋体" w:eastAsia="宋体" w:hint="default"/>
          <w:sz w:val="27"/>
          <w:szCs w:val="27"/>
        </w:rPr>
      </w:pPr>
    </w:p>
    <w:p>
      <w:pPr>
        <w:pStyle w:val="Heading2"/>
        <w:tabs>
          <w:tab w:pos="1057" w:val="left" w:leader="none"/>
        </w:tabs>
        <w:spacing w:line="312" w:lineRule="exact"/>
        <w:ind w:left="644" w:right="215" w:hanging="428"/>
        <w:jc w:val="left"/>
        <w:rPr>
          <w:rFonts w:ascii="宋体" w:hAnsi="宋体" w:cs="宋体" w:eastAsia="宋体" w:hint="default"/>
          <w:b w:val="0"/>
          <w:bCs w:val="0"/>
        </w:rPr>
      </w:pPr>
      <w:r>
        <w:rPr>
          <w:rFonts w:ascii="宋体" w:hAnsi="宋体" w:cs="宋体" w:eastAsia="宋体" w:hint="default"/>
        </w:rPr>
        <w:t>(3).</w:t>
        <w:tab/>
      </w:r>
      <w:r>
        <w:rPr>
          <w:rFonts w:ascii="Times New Roman" w:hAnsi="Times New Roman" w:cs="Times New Roman" w:eastAsia="Times New Roman" w:hint="default"/>
        </w:rPr>
        <w:t>2019</w:t>
      </w:r>
      <w:r>
        <w:rPr>
          <w:rFonts w:ascii="Times New Roman" w:hAnsi="Times New Roman" w:cs="Times New Roman" w:eastAsia="Times New Roman" w:hint="default"/>
          <w:spacing w:val="-21"/>
        </w:rPr>
        <w:t> </w:t>
      </w:r>
      <w:r>
        <w:rPr/>
        <w:t>年起执行新金融工具准则、新收入准则或新租赁准则调整执行当年年初</w:t>
      </w:r>
      <w:r>
        <w:rPr>
          <w:w w:val="99"/>
        </w:rPr>
        <w:t> </w:t>
      </w:r>
      <w:r>
        <w:rPr/>
        <w:t>财务报表相关项目情况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29"/>
        <w:ind w:left="216" w:right="0"/>
        <w:jc w:val="both"/>
      </w:pPr>
      <w:r>
        <w:rPr/>
        <w:t>√适用 □不适用</w:t>
      </w:r>
    </w:p>
    <w:p>
      <w:pPr>
        <w:pStyle w:val="BodyText"/>
        <w:spacing w:line="310" w:lineRule="exact"/>
        <w:ind w:left="1" w:right="0"/>
        <w:jc w:val="center"/>
      </w:pPr>
      <w:r>
        <w:rPr/>
        <w:t>合并资产负债表</w:t>
      </w:r>
    </w:p>
    <w:p>
      <w:pPr>
        <w:pStyle w:val="BodyText"/>
        <w:tabs>
          <w:tab w:pos="1027" w:val="left" w:leader="none"/>
        </w:tabs>
        <w:spacing w:line="330" w:lineRule="exact"/>
        <w:ind w:left="0" w:right="213"/>
        <w:jc w:val="righ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tbl>
      <w:tblPr>
        <w:tblW w:w="0" w:type="auto"/>
        <w:jc w:val="left"/>
        <w:tblInd w:w="103" w:type="dxa"/>
        <w:tblLayout w:type="fixed"/>
        <w:tblCellMar>
          <w:top w:w="0" w:type="dxa"/>
          <w:left w:w="0" w:type="dxa"/>
          <w:bottom w:w="0" w:type="dxa"/>
          <w:right w:w="0" w:type="dxa"/>
        </w:tblCellMar>
        <w:tblLook w:val="01E0"/>
      </w:tblPr>
      <w:tblGrid>
        <w:gridCol w:w="3188"/>
        <w:gridCol w:w="2042"/>
        <w:gridCol w:w="1889"/>
        <w:gridCol w:w="1921"/>
      </w:tblGrid>
      <w:tr>
        <w:trPr>
          <w:trHeight w:val="63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right="0"/>
              <w:jc w:val="center"/>
              <w:rPr>
                <w:rFonts w:ascii="Times New Roman" w:hAnsi="Times New Roman" w:cs="Times New Roman" w:eastAsia="Times New Roman" w:hint="default"/>
                <w:sz w:val="24"/>
                <w:szCs w:val="24"/>
              </w:rPr>
            </w:pPr>
            <w:r>
              <w:rPr>
                <w:rFonts w:ascii="Times New Roman" w:hAnsi="Times New Roman" w:cs="Times New Roman" w:eastAsia="Times New Roman" w:hint="default"/>
                <w:b/>
                <w:bCs/>
                <w:sz w:val="24"/>
                <w:szCs w:val="24"/>
              </w:rPr>
              <w:t>2018</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年</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月</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31</w:t>
            </w:r>
            <w:r>
              <w:rPr>
                <w:rFonts w:ascii="Times New Roman" w:hAnsi="Times New Roman" w:cs="Times New Roman" w:eastAsia="Times New Roman" w:hint="default"/>
                <w:sz w:val="24"/>
                <w:szCs w:val="24"/>
              </w:rPr>
            </w:r>
          </w:p>
          <w:p>
            <w:pPr>
              <w:pStyle w:val="TableParagraph"/>
              <w:spacing w:line="304" w:lineRule="exact"/>
              <w:ind w:right="0"/>
              <w:jc w:val="center"/>
              <w:rPr>
                <w:rFonts w:ascii="宋体" w:hAnsi="宋体" w:cs="宋体" w:eastAsia="宋体" w:hint="default"/>
                <w:sz w:val="24"/>
                <w:szCs w:val="24"/>
              </w:rPr>
            </w:pPr>
            <w:r>
              <w:rPr>
                <w:rFonts w:ascii="宋体" w:hAnsi="宋体" w:cs="宋体" w:eastAsia="宋体" w:hint="default"/>
                <w:b/>
                <w:bCs/>
                <w:w w:val="99"/>
                <w:sz w:val="24"/>
                <w:szCs w:val="24"/>
              </w:rPr>
              <w:t>日</w:t>
            </w:r>
            <w:r>
              <w:rPr>
                <w:rFonts w:ascii="宋体" w:hAnsi="宋体" w:cs="宋体" w:eastAsia="宋体" w:hint="default"/>
                <w:sz w:val="24"/>
                <w:szCs w:val="24"/>
              </w:rPr>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3"/>
              <w:jc w:val="right"/>
              <w:rPr>
                <w:rFonts w:ascii="宋体" w:hAnsi="宋体" w:cs="宋体" w:eastAsia="宋体" w:hint="default"/>
                <w:sz w:val="24"/>
                <w:szCs w:val="24"/>
              </w:rPr>
            </w:pPr>
            <w:r>
              <w:rPr>
                <w:rFonts w:ascii="Times New Roman" w:hAnsi="Times New Roman" w:cs="Times New Roman" w:eastAsia="Times New Roman" w:hint="default"/>
                <w:b/>
                <w:bCs/>
                <w:sz w:val="24"/>
                <w:szCs w:val="24"/>
              </w:rPr>
              <w:t>2019</w:t>
            </w:r>
            <w:r>
              <w:rPr>
                <w:rFonts w:ascii="Times New Roman" w:hAnsi="Times New Roman" w:cs="Times New Roman" w:eastAsia="Times New Roman" w:hint="default"/>
                <w:b/>
                <w:bCs/>
                <w:spacing w:val="-16"/>
                <w:sz w:val="24"/>
                <w:szCs w:val="24"/>
              </w:rPr>
              <w:t> </w:t>
            </w:r>
            <w:r>
              <w:rPr>
                <w:rFonts w:ascii="宋体" w:hAnsi="宋体" w:cs="宋体" w:eastAsia="宋体" w:hint="default"/>
                <w:b/>
                <w:bCs/>
                <w:sz w:val="24"/>
                <w:szCs w:val="24"/>
              </w:rPr>
              <w:t>年</w:t>
            </w:r>
            <w:r>
              <w:rPr>
                <w:rFonts w:ascii="宋体" w:hAnsi="宋体" w:cs="宋体" w:eastAsia="宋体" w:hint="default"/>
                <w:b/>
                <w:bCs/>
                <w:spacing w:val="-74"/>
                <w:sz w:val="24"/>
                <w:szCs w:val="24"/>
              </w:rPr>
              <w:t> </w:t>
            </w:r>
            <w:r>
              <w:rPr>
                <w:rFonts w:ascii="Times New Roman" w:hAnsi="Times New Roman" w:cs="Times New Roman" w:eastAsia="Times New Roman" w:hint="default"/>
                <w:b/>
                <w:bCs/>
                <w:sz w:val="24"/>
                <w:szCs w:val="24"/>
              </w:rPr>
              <w:t>1</w:t>
            </w:r>
            <w:r>
              <w:rPr>
                <w:rFonts w:ascii="Times New Roman" w:hAnsi="Times New Roman" w:cs="Times New Roman" w:eastAsia="Times New Roman" w:hint="default"/>
                <w:b/>
                <w:bCs/>
                <w:spacing w:val="-16"/>
                <w:sz w:val="24"/>
                <w:szCs w:val="24"/>
              </w:rPr>
              <w:t> </w:t>
            </w:r>
            <w:r>
              <w:rPr>
                <w:rFonts w:ascii="宋体" w:hAnsi="宋体" w:cs="宋体" w:eastAsia="宋体" w:hint="default"/>
                <w:b/>
                <w:bCs/>
                <w:sz w:val="24"/>
                <w:szCs w:val="24"/>
              </w:rPr>
              <w:t>月</w:t>
            </w:r>
            <w:r>
              <w:rPr>
                <w:rFonts w:ascii="宋体" w:hAnsi="宋体" w:cs="宋体" w:eastAsia="宋体" w:hint="default"/>
                <w:b/>
                <w:bCs/>
                <w:spacing w:val="-74"/>
                <w:sz w:val="24"/>
                <w:szCs w:val="24"/>
              </w:rPr>
              <w:t> </w:t>
            </w:r>
            <w:r>
              <w:rPr>
                <w:rFonts w:ascii="Times New Roman" w:hAnsi="Times New Roman" w:cs="Times New Roman" w:eastAsia="Times New Roman" w:hint="default"/>
                <w:b/>
                <w:bCs/>
                <w:sz w:val="24"/>
                <w:szCs w:val="24"/>
              </w:rPr>
              <w:t>1</w:t>
            </w:r>
            <w:r>
              <w:rPr>
                <w:rFonts w:ascii="Times New Roman" w:hAnsi="Times New Roman" w:cs="Times New Roman" w:eastAsia="Times New Roman" w:hint="default"/>
                <w:b/>
                <w:bCs/>
                <w:spacing w:val="-16"/>
                <w:sz w:val="24"/>
                <w:szCs w:val="24"/>
              </w:rPr>
              <w:t> </w:t>
            </w:r>
            <w:r>
              <w:rPr>
                <w:rFonts w:ascii="宋体" w:hAnsi="宋体" w:cs="宋体" w:eastAsia="宋体" w:hint="default"/>
                <w:b/>
                <w:bCs/>
                <w:sz w:val="24"/>
                <w:szCs w:val="24"/>
              </w:rPr>
              <w:t>日</w:t>
            </w:r>
            <w:r>
              <w:rPr>
                <w:rFonts w:ascii="宋体" w:hAnsi="宋体" w:cs="宋体" w:eastAsia="宋体" w:hint="default"/>
                <w:sz w:val="24"/>
                <w:szCs w:val="24"/>
              </w:rPr>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590" w:right="0"/>
              <w:jc w:val="left"/>
              <w:rPr>
                <w:rFonts w:ascii="宋体" w:hAnsi="宋体" w:cs="宋体" w:eastAsia="宋体" w:hint="default"/>
                <w:sz w:val="24"/>
                <w:szCs w:val="24"/>
              </w:rPr>
            </w:pPr>
            <w:r>
              <w:rPr>
                <w:rFonts w:ascii="宋体" w:hAnsi="宋体" w:cs="宋体" w:eastAsia="宋体" w:hint="default"/>
                <w:b/>
                <w:bCs/>
                <w:sz w:val="24"/>
                <w:szCs w:val="24"/>
              </w:rPr>
              <w:t>调整数</w:t>
            </w:r>
            <w:r>
              <w:rPr>
                <w:rFonts w:ascii="宋体" w:hAnsi="宋体" w:cs="宋体" w:eastAsia="宋体" w:hint="default"/>
                <w:sz w:val="24"/>
                <w:szCs w:val="24"/>
              </w:rPr>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流动资产：</w:t>
            </w:r>
            <w:r>
              <w:rPr>
                <w:rFonts w:ascii="宋体" w:hAnsi="宋体" w:cs="宋体" w:eastAsia="宋体" w:hint="default"/>
                <w:sz w:val="24"/>
                <w:szCs w:val="24"/>
              </w:rPr>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货币资金</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547" w:right="0"/>
              <w:jc w:val="left"/>
              <w:rPr>
                <w:rFonts w:ascii="Times New Roman" w:hAnsi="Times New Roman" w:cs="Times New Roman" w:eastAsia="Times New Roman" w:hint="default"/>
                <w:sz w:val="24"/>
                <w:szCs w:val="24"/>
              </w:rPr>
            </w:pPr>
            <w:r>
              <w:rPr>
                <w:rFonts w:ascii="Times New Roman"/>
                <w:sz w:val="24"/>
              </w:rPr>
              <w:t>5,530,811,375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5,530,811,375</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结算备付金</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拆出资金</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交易性金融资产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421,886,644</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604" w:right="0"/>
              <w:jc w:val="left"/>
              <w:rPr>
                <w:rFonts w:ascii="Times New Roman" w:hAnsi="Times New Roman" w:cs="Times New Roman" w:eastAsia="Times New Roman" w:hint="default"/>
                <w:sz w:val="24"/>
                <w:szCs w:val="24"/>
              </w:rPr>
            </w:pPr>
            <w:r>
              <w:rPr>
                <w:rFonts w:ascii="Times New Roman"/>
                <w:sz w:val="24"/>
              </w:rPr>
              <w:t>421,886,644</w:t>
            </w:r>
          </w:p>
        </w:tc>
      </w:tr>
    </w:tbl>
    <w:p>
      <w:pPr>
        <w:spacing w:after="0" w:line="268" w:lineRule="exact"/>
        <w:jc w:val="left"/>
        <w:rPr>
          <w:rFonts w:ascii="Times New Roman" w:hAnsi="Times New Roman" w:cs="Times New Roman" w:eastAsia="Times New Roman" w:hint="default"/>
          <w:sz w:val="24"/>
          <w:szCs w:val="24"/>
        </w:rPr>
        <w:sectPr>
          <w:pgSz w:w="11910" w:h="16840"/>
          <w:pgMar w:header="882" w:footer="1195" w:top="1120" w:bottom="1380" w:left="1060" w:right="1580"/>
        </w:sectPr>
      </w:pPr>
    </w:p>
    <w:p>
      <w:pPr>
        <w:spacing w:line="240" w:lineRule="auto" w:before="4"/>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3188"/>
        <w:gridCol w:w="2042"/>
        <w:gridCol w:w="1889"/>
        <w:gridCol w:w="1921"/>
      </w:tblGrid>
      <w:tr>
        <w:trPr>
          <w:trHeight w:val="63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以公允价值计量且其变动</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计入当期损益的金融资产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衍生金融资产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应收票据</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115,302,348</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115,009,862</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pacing w:val="-1"/>
                <w:sz w:val="24"/>
              </w:rPr>
              <w:t>-292,486</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1,389,930,749</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1,323,414,467</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pacing w:val="-1"/>
                <w:sz w:val="24"/>
              </w:rPr>
              <w:t>-66,516,282</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应收款项融资</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预付款项</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65,643,720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65,643,720</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应收保费</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应收分保账款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应收分保合同准备金</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393,441,377</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394,975,853</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1,534,476</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其中：应收利息</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2,958,695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2,958,695</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9"/>
              <w:jc w:val="center"/>
              <w:rPr>
                <w:rFonts w:ascii="宋体" w:hAnsi="宋体" w:cs="宋体" w:eastAsia="宋体" w:hint="default"/>
                <w:sz w:val="24"/>
                <w:szCs w:val="24"/>
              </w:rPr>
            </w:pPr>
            <w:r>
              <w:rPr>
                <w:rFonts w:ascii="宋体" w:hAnsi="宋体" w:cs="宋体" w:eastAsia="宋体" w:hint="default"/>
                <w:sz w:val="24"/>
                <w:szCs w:val="24"/>
              </w:rPr>
              <w:t>应收股利</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买入返售金融资产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存货</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21,767,989</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21,767,989</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持有待售资产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一年内到期的非流动资产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其他流动资产</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823,208,213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412,065,213</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pacing w:val="-1"/>
                <w:sz w:val="24"/>
              </w:rPr>
              <w:t>-411,143,000</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流动资产合计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8,340,105,771</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8,285,575,123</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pacing w:val="-1"/>
                <w:sz w:val="24"/>
              </w:rPr>
              <w:t>-54,530,648</w:t>
            </w:r>
          </w:p>
        </w:tc>
      </w:tr>
      <w:tr>
        <w:trPr>
          <w:trHeight w:val="322" w:hRule="exact"/>
        </w:trPr>
        <w:tc>
          <w:tcPr>
            <w:tcW w:w="90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非流动资产：</w:t>
            </w:r>
            <w:r>
              <w:rPr>
                <w:rFonts w:ascii="宋体" w:hAnsi="宋体" w:cs="宋体" w:eastAsia="宋体" w:hint="default"/>
                <w:sz w:val="24"/>
                <w:szCs w:val="24"/>
              </w:rPr>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发放贷款和垫款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债权投资</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0"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可供出售金融资产</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677,081,266</w:t>
            </w: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pacing w:val="-1"/>
                <w:sz w:val="24"/>
              </w:rPr>
              <w:t>-677,081,266</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其他债权投资</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持有至到期投资</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长期应收款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长期股权投资</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1,702,892,459</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1,702,892,459</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其他权益工具投资</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其他非流动金融资产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844,750,757</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844,750,757</w:t>
            </w: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投资性房地产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2,073,150,867</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2,073,150,867</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在建工程</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446,130,020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446,130,020</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生产性生物资产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油气资产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使用权资产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无形资产</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875,919,137</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875,919,137</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开发支出</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41,091,121</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41,091,121</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商誉</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925,021,513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925,021,513</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长期待摊费用</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25,628,708</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25,628,708</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递延所得税资产</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113,875,732</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116,985,487</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3,109,755</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其他非流动资产</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非流动资产合计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6,880,790,823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7,051,570,069</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170,779,246</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资产总计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15,220,896,594</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15,337,145,192</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116,248,598</w:t>
            </w:r>
          </w:p>
        </w:tc>
      </w:tr>
    </w:tbl>
    <w:p>
      <w:pPr>
        <w:spacing w:after="0" w:line="268" w:lineRule="exact"/>
        <w:jc w:val="right"/>
        <w:rPr>
          <w:rFonts w:ascii="Times New Roman" w:hAnsi="Times New Roman" w:cs="Times New Roman" w:eastAsia="Times New Roman" w:hint="default"/>
          <w:sz w:val="24"/>
          <w:szCs w:val="24"/>
        </w:rPr>
        <w:sectPr>
          <w:footerReference w:type="default" r:id="rId58"/>
          <w:pgSz w:w="11910" w:h="16840"/>
          <w:pgMar w:footer="1195" w:header="882" w:top="1120" w:bottom="1380" w:left="1060" w:right="1580"/>
        </w:sectPr>
      </w:pPr>
    </w:p>
    <w:p>
      <w:pPr>
        <w:spacing w:line="240" w:lineRule="auto" w:before="4"/>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3188"/>
        <w:gridCol w:w="2042"/>
        <w:gridCol w:w="1889"/>
        <w:gridCol w:w="1921"/>
      </w:tblGrid>
      <w:tr>
        <w:trPr>
          <w:trHeight w:val="322" w:hRule="exact"/>
        </w:trPr>
        <w:tc>
          <w:tcPr>
            <w:tcW w:w="90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流动负债：</w:t>
            </w:r>
            <w:r>
              <w:rPr>
                <w:rFonts w:ascii="宋体" w:hAnsi="宋体" w:cs="宋体" w:eastAsia="宋体" w:hint="default"/>
                <w:sz w:val="24"/>
                <w:szCs w:val="24"/>
              </w:rPr>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短期借款</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3,156,404,000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3,156,404,000</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向中央银行借款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拆入资金</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交易性金融负债</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以公允价值计量且其变动</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计入当期损益的金融负债</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衍生金融负债</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应付票据</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应付账款</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455,622,484</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455,622,484</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1,079,683,098</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1,079,683,098</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卖出回购金融资产款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吸收存款及同业存放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代理买卖证券款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代理承销证券款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应付职工薪酬</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1,160,402,569</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1,160,402,569</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应交税费</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315,521,063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315,521,063</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其他应付款</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840,741,172</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840,741,172</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其中：应付利息</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9"/>
              <w:jc w:val="center"/>
              <w:rPr>
                <w:rFonts w:ascii="宋体" w:hAnsi="宋体" w:cs="宋体" w:eastAsia="宋体" w:hint="default"/>
                <w:sz w:val="24"/>
                <w:szCs w:val="24"/>
              </w:rPr>
            </w:pPr>
            <w:r>
              <w:rPr>
                <w:rFonts w:ascii="宋体" w:hAnsi="宋体" w:cs="宋体" w:eastAsia="宋体" w:hint="default"/>
                <w:sz w:val="24"/>
                <w:szCs w:val="24"/>
              </w:rPr>
              <w:t>应付股利</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应付手续费及佣金</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应付分保账款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0"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持有待售负债</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一年内到期的非流动负债</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133,471,227</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133,471,227</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其他流动负债</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182,312,101</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182,312,101</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流动负债合计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7,324,157,714</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7,324,157,714</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非流动负债：</w:t>
            </w:r>
            <w:r>
              <w:rPr>
                <w:rFonts w:ascii="宋体" w:hAnsi="宋体" w:cs="宋体" w:eastAsia="宋体" w:hint="default"/>
                <w:sz w:val="24"/>
                <w:szCs w:val="24"/>
              </w:rPr>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保险合同准备金</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长期借款</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171,666,664</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171,666,664</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应付债券</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其中：优先股</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29"/>
              <w:jc w:val="center"/>
              <w:rPr>
                <w:rFonts w:ascii="宋体" w:hAnsi="宋体" w:cs="宋体" w:eastAsia="宋体" w:hint="default"/>
                <w:sz w:val="24"/>
                <w:szCs w:val="24"/>
              </w:rPr>
            </w:pPr>
            <w:r>
              <w:rPr>
                <w:rFonts w:ascii="宋体" w:hAnsi="宋体" w:cs="宋体" w:eastAsia="宋体" w:hint="default"/>
                <w:sz w:val="24"/>
                <w:szCs w:val="24"/>
              </w:rPr>
              <w:t>永续债</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租赁负债</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长期应付款</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长期应付职工薪酬</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预计负债</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递延收益</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55,426,928</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55,426,928</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递延所得税负债</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17,682,143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38,222,836</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20,540,693</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其他非流动负债</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非流动负债合计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244,775,735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265,316,428</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20,540,693</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负债合计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7,568,933,449</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7,589,474,142</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20,540,693</w:t>
            </w:r>
          </w:p>
        </w:tc>
      </w:tr>
      <w:tr>
        <w:trPr>
          <w:trHeight w:val="322" w:hRule="exact"/>
        </w:trPr>
        <w:tc>
          <w:tcPr>
            <w:tcW w:w="90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所有者权益（或股东权益）：</w:t>
            </w:r>
            <w:r>
              <w:rPr>
                <w:rFonts w:ascii="宋体" w:hAnsi="宋体" w:cs="宋体" w:eastAsia="宋体" w:hint="default"/>
                <w:sz w:val="24"/>
                <w:szCs w:val="24"/>
              </w:rPr>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实收资本（或股本）</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1,917,832,792</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1,917,832,792</w:t>
            </w:r>
          </w:p>
        </w:tc>
        <w:tc>
          <w:tcPr>
            <w:tcW w:w="1921"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59"/>
          <w:pgSz w:w="11910" w:h="16840"/>
          <w:pgMar w:footer="1195" w:header="882" w:top="1120" w:bottom="1380" w:left="1060" w:right="1580"/>
          <w:pgNumType w:start="61"/>
        </w:sectPr>
      </w:pPr>
    </w:p>
    <w:p>
      <w:pPr>
        <w:spacing w:line="240" w:lineRule="auto" w:before="4"/>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3188"/>
        <w:gridCol w:w="2042"/>
        <w:gridCol w:w="1889"/>
        <w:gridCol w:w="1921"/>
      </w:tblGrid>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其他权益工具</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其中：优先股</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29"/>
              <w:jc w:val="center"/>
              <w:rPr>
                <w:rFonts w:ascii="宋体" w:hAnsi="宋体" w:cs="宋体" w:eastAsia="宋体" w:hint="default"/>
                <w:sz w:val="24"/>
                <w:szCs w:val="24"/>
              </w:rPr>
            </w:pPr>
            <w:r>
              <w:rPr>
                <w:rFonts w:ascii="宋体" w:hAnsi="宋体" w:cs="宋体" w:eastAsia="宋体" w:hint="default"/>
                <w:sz w:val="24"/>
                <w:szCs w:val="24"/>
              </w:rPr>
              <w:t>永续债</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资本公积</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2,120,758,790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2,120,758,790</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减：库存股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55,787,910</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55,787,910</w:t>
            </w: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其他综合收益</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pacing w:val="-1"/>
                <w:sz w:val="24"/>
              </w:rPr>
              <w:t>-25,234,857</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4,427,272</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29,662,129</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专项储备</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盈余公积</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827,153,655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831,983,441</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4,829,786</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一般风险准备</w:t>
            </w:r>
          </w:p>
        </w:tc>
        <w:tc>
          <w:tcPr>
            <w:tcW w:w="2042" w:type="dxa"/>
            <w:tcBorders>
              <w:top w:val="single" w:sz="4" w:space="0" w:color="000000"/>
              <w:left w:val="single" w:sz="4" w:space="0" w:color="000000"/>
              <w:bottom w:val="single" w:sz="4" w:space="0" w:color="000000"/>
              <w:right w:val="single" w:sz="4" w:space="0" w:color="000000"/>
            </w:tcBorders>
          </w:tcPr>
          <w:p>
            <w:pPr/>
          </w:p>
        </w:tc>
        <w:tc>
          <w:tcPr>
            <w:tcW w:w="1889" w:type="dxa"/>
            <w:tcBorders>
              <w:top w:val="single" w:sz="4" w:space="0" w:color="000000"/>
              <w:left w:val="single" w:sz="4" w:space="0" w:color="000000"/>
              <w:bottom w:val="single" w:sz="4" w:space="0" w:color="000000"/>
              <w:right w:val="single" w:sz="4" w:space="0" w:color="000000"/>
            </w:tcBorders>
          </w:tcPr>
          <w:p>
            <w:pPr/>
          </w:p>
        </w:tc>
        <w:tc>
          <w:tcPr>
            <w:tcW w:w="19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未分配利润</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1,785,975,033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1,851,254,433</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65,279,400</w:t>
            </w:r>
          </w:p>
        </w:tc>
      </w:tr>
      <w:tr>
        <w:trPr>
          <w:trHeight w:val="63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43" w:right="0"/>
              <w:jc w:val="left"/>
              <w:rPr>
                <w:rFonts w:ascii="宋体" w:hAnsi="宋体" w:cs="宋体" w:eastAsia="宋体" w:hint="default"/>
                <w:sz w:val="24"/>
                <w:szCs w:val="24"/>
              </w:rPr>
            </w:pPr>
            <w:r>
              <w:rPr>
                <w:rFonts w:ascii="宋体" w:hAnsi="宋体" w:cs="宋体" w:eastAsia="宋体" w:hint="default"/>
                <w:sz w:val="24"/>
                <w:szCs w:val="24"/>
              </w:rPr>
              <w:t>归属于母公司所有者权益</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（或股东权益）合计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6,570,697,503</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6,670,468,818</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99,771,315</w:t>
            </w:r>
          </w:p>
        </w:tc>
      </w:tr>
      <w:tr>
        <w:trPr>
          <w:trHeight w:val="32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少数股东权益</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1,081,265,642</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1,077,202,232</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pacing w:val="-1"/>
                <w:sz w:val="24"/>
              </w:rPr>
              <w:t>-4,063,410</w:t>
            </w:r>
          </w:p>
        </w:tc>
      </w:tr>
      <w:tr>
        <w:trPr>
          <w:trHeight w:val="63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583" w:right="0"/>
              <w:jc w:val="left"/>
              <w:rPr>
                <w:rFonts w:ascii="宋体" w:hAnsi="宋体" w:cs="宋体" w:eastAsia="宋体" w:hint="default"/>
                <w:sz w:val="24"/>
                <w:szCs w:val="24"/>
              </w:rPr>
            </w:pPr>
            <w:r>
              <w:rPr>
                <w:rFonts w:ascii="宋体" w:hAnsi="宋体" w:cs="宋体" w:eastAsia="宋体" w:hint="default"/>
                <w:sz w:val="24"/>
                <w:szCs w:val="24"/>
              </w:rPr>
              <w:t>所有者权益（或股东权</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益）合计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7,651,963,145</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7,747,671,050</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95,707,905</w:t>
            </w:r>
          </w:p>
        </w:tc>
      </w:tr>
      <w:tr>
        <w:trPr>
          <w:trHeight w:val="63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负债和所有者权益</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（或股东权益）总计</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15,220,896,594</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15,337,145,192</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116,248,598</w:t>
            </w:r>
          </w:p>
        </w:tc>
      </w:tr>
    </w:tbl>
    <w:p>
      <w:pPr>
        <w:spacing w:line="240" w:lineRule="auto" w:before="3"/>
        <w:rPr>
          <w:rFonts w:ascii="Times New Roman" w:hAnsi="Times New Roman" w:cs="Times New Roman" w:eastAsia="Times New Roman" w:hint="default"/>
          <w:sz w:val="18"/>
          <w:szCs w:val="18"/>
        </w:rPr>
      </w:pPr>
    </w:p>
    <w:p>
      <w:pPr>
        <w:pStyle w:val="BodyText"/>
        <w:spacing w:line="313" w:lineRule="exact" w:before="26"/>
        <w:ind w:left="216" w:right="0"/>
        <w:jc w:val="left"/>
      </w:pPr>
      <w:r>
        <w:rPr/>
        <w:t>各项目调整情况的说明：</w:t>
      </w:r>
    </w:p>
    <w:p>
      <w:pPr>
        <w:pStyle w:val="BodyText"/>
        <w:spacing w:line="313" w:lineRule="exact"/>
        <w:ind w:left="216" w:right="0"/>
        <w:jc w:val="left"/>
      </w:pPr>
      <w:r>
        <w:rPr/>
        <w:t>□适用 √不适用</w:t>
      </w:r>
    </w:p>
    <w:p>
      <w:pPr>
        <w:spacing w:line="240" w:lineRule="auto" w:before="12"/>
        <w:rPr>
          <w:rFonts w:ascii="宋体" w:hAnsi="宋体" w:cs="宋体" w:eastAsia="宋体" w:hint="default"/>
          <w:sz w:val="18"/>
          <w:szCs w:val="18"/>
        </w:rPr>
      </w:pPr>
    </w:p>
    <w:p>
      <w:pPr>
        <w:pStyle w:val="BodyText"/>
        <w:spacing w:line="312" w:lineRule="exact" w:before="26"/>
        <w:ind w:left="3655" w:right="3671"/>
        <w:jc w:val="center"/>
      </w:pPr>
      <w:r>
        <w:rPr/>
        <w:t>母公司资产负债表</w:t>
      </w:r>
    </w:p>
    <w:p>
      <w:pPr>
        <w:pStyle w:val="BodyText"/>
        <w:tabs>
          <w:tab w:pos="1027" w:val="left" w:leader="none"/>
        </w:tabs>
        <w:spacing w:line="330" w:lineRule="exact"/>
        <w:ind w:left="0" w:right="233"/>
        <w:jc w:val="righ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tbl>
      <w:tblPr>
        <w:tblW w:w="0" w:type="auto"/>
        <w:jc w:val="left"/>
        <w:tblInd w:w="103" w:type="dxa"/>
        <w:tblLayout w:type="fixed"/>
        <w:tblCellMar>
          <w:top w:w="0" w:type="dxa"/>
          <w:left w:w="0" w:type="dxa"/>
          <w:bottom w:w="0" w:type="dxa"/>
          <w:right w:w="0" w:type="dxa"/>
        </w:tblCellMar>
        <w:tblLook w:val="01E0"/>
      </w:tblPr>
      <w:tblGrid>
        <w:gridCol w:w="3087"/>
        <w:gridCol w:w="2288"/>
        <w:gridCol w:w="1891"/>
        <w:gridCol w:w="1784"/>
      </w:tblGrid>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b/>
                <w:bCs/>
                <w:sz w:val="24"/>
                <w:szCs w:val="24"/>
              </w:rPr>
              <w:t>项目</w:t>
            </w:r>
            <w:r>
              <w:rPr>
                <w:rFonts w:ascii="宋体" w:hAnsi="宋体" w:cs="宋体" w:eastAsia="宋体" w:hint="default"/>
                <w:sz w:val="24"/>
                <w:szCs w:val="24"/>
              </w:rPr>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47"/>
              <w:jc w:val="right"/>
              <w:rPr>
                <w:rFonts w:ascii="宋体" w:hAnsi="宋体" w:cs="宋体" w:eastAsia="宋体" w:hint="default"/>
                <w:sz w:val="24"/>
                <w:szCs w:val="24"/>
              </w:rPr>
            </w:pPr>
            <w:r>
              <w:rPr>
                <w:rFonts w:ascii="Times New Roman" w:hAnsi="Times New Roman" w:cs="Times New Roman" w:eastAsia="Times New Roman" w:hint="default"/>
                <w:b/>
                <w:bCs/>
                <w:sz w:val="24"/>
                <w:szCs w:val="24"/>
              </w:rPr>
              <w:t>2018</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年</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月</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31</w:t>
            </w:r>
            <w:r>
              <w:rPr>
                <w:rFonts w:ascii="Times New Roman" w:hAnsi="Times New Roman" w:cs="Times New Roman" w:eastAsia="Times New Roman" w:hint="default"/>
                <w:b/>
                <w:bCs/>
                <w:spacing w:val="-1"/>
                <w:sz w:val="24"/>
                <w:szCs w:val="24"/>
              </w:rPr>
              <w:t> </w:t>
            </w:r>
            <w:r>
              <w:rPr>
                <w:rFonts w:ascii="宋体" w:hAnsi="宋体" w:cs="宋体" w:eastAsia="宋体" w:hint="default"/>
                <w:b/>
                <w:bCs/>
                <w:sz w:val="24"/>
                <w:szCs w:val="24"/>
              </w:rPr>
              <w:t>日</w:t>
            </w:r>
            <w:r>
              <w:rPr>
                <w:rFonts w:ascii="宋体" w:hAnsi="宋体" w:cs="宋体" w:eastAsia="宋体" w:hint="default"/>
                <w:sz w:val="24"/>
                <w:szCs w:val="24"/>
              </w:rPr>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03"/>
              <w:jc w:val="right"/>
              <w:rPr>
                <w:rFonts w:ascii="宋体" w:hAnsi="宋体" w:cs="宋体" w:eastAsia="宋体" w:hint="default"/>
                <w:sz w:val="24"/>
                <w:szCs w:val="24"/>
              </w:rPr>
            </w:pPr>
            <w:r>
              <w:rPr>
                <w:rFonts w:ascii="Times New Roman" w:hAnsi="Times New Roman" w:cs="Times New Roman" w:eastAsia="Times New Roman" w:hint="default"/>
                <w:b/>
                <w:bCs/>
                <w:sz w:val="24"/>
                <w:szCs w:val="24"/>
              </w:rPr>
              <w:t>2019</w:t>
            </w:r>
            <w:r>
              <w:rPr>
                <w:rFonts w:ascii="Times New Roman" w:hAnsi="Times New Roman" w:cs="Times New Roman" w:eastAsia="Times New Roman" w:hint="default"/>
                <w:b/>
                <w:bCs/>
                <w:spacing w:val="-16"/>
                <w:sz w:val="24"/>
                <w:szCs w:val="24"/>
              </w:rPr>
              <w:t> </w:t>
            </w:r>
            <w:r>
              <w:rPr>
                <w:rFonts w:ascii="宋体" w:hAnsi="宋体" w:cs="宋体" w:eastAsia="宋体" w:hint="default"/>
                <w:b/>
                <w:bCs/>
                <w:sz w:val="24"/>
                <w:szCs w:val="24"/>
              </w:rPr>
              <w:t>年</w:t>
            </w:r>
            <w:r>
              <w:rPr>
                <w:rFonts w:ascii="宋体" w:hAnsi="宋体" w:cs="宋体" w:eastAsia="宋体" w:hint="default"/>
                <w:b/>
                <w:bCs/>
                <w:spacing w:val="-74"/>
                <w:sz w:val="24"/>
                <w:szCs w:val="24"/>
              </w:rPr>
              <w:t> </w:t>
            </w:r>
            <w:r>
              <w:rPr>
                <w:rFonts w:ascii="Times New Roman" w:hAnsi="Times New Roman" w:cs="Times New Roman" w:eastAsia="Times New Roman" w:hint="default"/>
                <w:b/>
                <w:bCs/>
                <w:sz w:val="24"/>
                <w:szCs w:val="24"/>
              </w:rPr>
              <w:t>1</w:t>
            </w:r>
            <w:r>
              <w:rPr>
                <w:rFonts w:ascii="Times New Roman" w:hAnsi="Times New Roman" w:cs="Times New Roman" w:eastAsia="Times New Roman" w:hint="default"/>
                <w:b/>
                <w:bCs/>
                <w:spacing w:val="-16"/>
                <w:sz w:val="24"/>
                <w:szCs w:val="24"/>
              </w:rPr>
              <w:t> </w:t>
            </w:r>
            <w:r>
              <w:rPr>
                <w:rFonts w:ascii="宋体" w:hAnsi="宋体" w:cs="宋体" w:eastAsia="宋体" w:hint="default"/>
                <w:b/>
                <w:bCs/>
                <w:sz w:val="24"/>
                <w:szCs w:val="24"/>
              </w:rPr>
              <w:t>月</w:t>
            </w:r>
            <w:r>
              <w:rPr>
                <w:rFonts w:ascii="宋体" w:hAnsi="宋体" w:cs="宋体" w:eastAsia="宋体" w:hint="default"/>
                <w:b/>
                <w:bCs/>
                <w:spacing w:val="-74"/>
                <w:sz w:val="24"/>
                <w:szCs w:val="24"/>
              </w:rPr>
              <w:t> </w:t>
            </w:r>
            <w:r>
              <w:rPr>
                <w:rFonts w:ascii="Times New Roman" w:hAnsi="Times New Roman" w:cs="Times New Roman" w:eastAsia="Times New Roman" w:hint="default"/>
                <w:b/>
                <w:bCs/>
                <w:sz w:val="24"/>
                <w:szCs w:val="24"/>
              </w:rPr>
              <w:t>1</w:t>
            </w:r>
            <w:r>
              <w:rPr>
                <w:rFonts w:ascii="Times New Roman" w:hAnsi="Times New Roman" w:cs="Times New Roman" w:eastAsia="Times New Roman" w:hint="default"/>
                <w:b/>
                <w:bCs/>
                <w:spacing w:val="-16"/>
                <w:sz w:val="24"/>
                <w:szCs w:val="24"/>
              </w:rPr>
              <w:t> </w:t>
            </w:r>
            <w:r>
              <w:rPr>
                <w:rFonts w:ascii="宋体" w:hAnsi="宋体" w:cs="宋体" w:eastAsia="宋体" w:hint="default"/>
                <w:b/>
                <w:bCs/>
                <w:sz w:val="24"/>
                <w:szCs w:val="24"/>
              </w:rPr>
              <w:t>日</w:t>
            </w:r>
            <w:r>
              <w:rPr>
                <w:rFonts w:ascii="宋体" w:hAnsi="宋体" w:cs="宋体" w:eastAsia="宋体" w:hint="default"/>
                <w:sz w:val="24"/>
                <w:szCs w:val="24"/>
              </w:rPr>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5" w:right="0"/>
              <w:jc w:val="left"/>
              <w:rPr>
                <w:rFonts w:ascii="宋体" w:hAnsi="宋体" w:cs="宋体" w:eastAsia="宋体" w:hint="default"/>
                <w:sz w:val="24"/>
                <w:szCs w:val="24"/>
              </w:rPr>
            </w:pPr>
            <w:r>
              <w:rPr>
                <w:rFonts w:ascii="宋体" w:hAnsi="宋体" w:cs="宋体" w:eastAsia="宋体" w:hint="default"/>
                <w:b/>
                <w:bCs/>
                <w:sz w:val="24"/>
                <w:szCs w:val="24"/>
              </w:rPr>
              <w:t>调整数</w:t>
            </w:r>
            <w:r>
              <w:rPr>
                <w:rFonts w:ascii="宋体" w:hAnsi="宋体" w:cs="宋体" w:eastAsia="宋体" w:hint="default"/>
                <w:sz w:val="24"/>
                <w:szCs w:val="24"/>
              </w:rPr>
            </w:r>
          </w:p>
        </w:tc>
      </w:tr>
      <w:tr>
        <w:trPr>
          <w:trHeight w:val="322"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流动资产：</w:t>
            </w:r>
            <w:r>
              <w:rPr>
                <w:rFonts w:ascii="宋体" w:hAnsi="宋体" w:cs="宋体" w:eastAsia="宋体" w:hint="default"/>
                <w:sz w:val="24"/>
                <w:szCs w:val="24"/>
              </w:rPr>
            </w: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货币资金</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1,762,980,607</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1,762,980,607</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交易性金融资产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7,961,642</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7,961,642</w:t>
            </w:r>
          </w:p>
        </w:tc>
      </w:tr>
      <w:tr>
        <w:trPr>
          <w:trHeight w:val="946"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firstLine="240"/>
              <w:jc w:val="left"/>
              <w:rPr>
                <w:rFonts w:ascii="宋体" w:hAnsi="宋体" w:cs="宋体" w:eastAsia="宋体" w:hint="default"/>
                <w:sz w:val="24"/>
                <w:szCs w:val="24"/>
              </w:rPr>
            </w:pPr>
            <w:r>
              <w:rPr>
                <w:rFonts w:ascii="宋体" w:hAnsi="宋体" w:cs="宋体" w:eastAsia="宋体" w:hint="default"/>
                <w:sz w:val="24"/>
                <w:szCs w:val="24"/>
              </w:rPr>
              <w:t>以公允价值计量且其变</w:t>
            </w:r>
          </w:p>
          <w:p>
            <w:pPr>
              <w:pStyle w:val="TableParagraph"/>
              <w:spacing w:line="312" w:lineRule="exact" w:before="28"/>
              <w:ind w:left="103" w:right="332"/>
              <w:jc w:val="left"/>
              <w:rPr>
                <w:rFonts w:ascii="宋体" w:hAnsi="宋体" w:cs="宋体" w:eastAsia="宋体" w:hint="default"/>
                <w:sz w:val="24"/>
                <w:szCs w:val="24"/>
              </w:rPr>
            </w:pPr>
            <w:r>
              <w:rPr>
                <w:rFonts w:ascii="宋体" w:hAnsi="宋体" w:cs="宋体" w:eastAsia="宋体" w:hint="default"/>
                <w:sz w:val="24"/>
                <w:szCs w:val="24"/>
              </w:rPr>
              <w:t>动计入当期损益的金融资 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衍生金融资产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应收票据</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89,998,500</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89,998,500</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606,199,417</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557,028,682</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pacing w:val="-1"/>
                <w:sz w:val="24"/>
              </w:rPr>
              <w:t>-49,170,735</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应收款项融资</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预付款项</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5"/>
              <w:jc w:val="right"/>
              <w:rPr>
                <w:rFonts w:ascii="Times New Roman" w:hAnsi="Times New Roman" w:cs="Times New Roman" w:eastAsia="Times New Roman" w:hint="default"/>
                <w:sz w:val="24"/>
                <w:szCs w:val="24"/>
              </w:rPr>
            </w:pPr>
            <w:r>
              <w:rPr>
                <w:rFonts w:ascii="Times New Roman"/>
                <w:sz w:val="24"/>
              </w:rPr>
              <w:t>16,724,897</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16,724,897</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922,376,813</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920,038,562</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pacing w:val="-1"/>
                <w:sz w:val="24"/>
              </w:rPr>
              <w:t>-2,338,251</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其中：应收利息</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 w:right="0"/>
              <w:jc w:val="center"/>
              <w:rPr>
                <w:rFonts w:ascii="宋体" w:hAnsi="宋体" w:cs="宋体" w:eastAsia="宋体" w:hint="default"/>
                <w:sz w:val="24"/>
                <w:szCs w:val="24"/>
              </w:rPr>
            </w:pPr>
            <w:r>
              <w:rPr>
                <w:rFonts w:ascii="宋体" w:hAnsi="宋体" w:cs="宋体" w:eastAsia="宋体" w:hint="default"/>
                <w:sz w:val="24"/>
                <w:szCs w:val="24"/>
              </w:rPr>
              <w:t>应收股利</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存货</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7,782,625</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7,782,625</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持有待售资产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一年内到期的非流动资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其他流动资产</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250,536,934</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242,586,934</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pacing w:val="-1"/>
                <w:sz w:val="24"/>
              </w:rPr>
              <w:t>-7,950,000</w:t>
            </w:r>
          </w:p>
        </w:tc>
      </w:tr>
    </w:tbl>
    <w:p>
      <w:pPr>
        <w:spacing w:after="0" w:line="268" w:lineRule="exact"/>
        <w:jc w:val="right"/>
        <w:rPr>
          <w:rFonts w:ascii="Times New Roman" w:hAnsi="Times New Roman" w:cs="Times New Roman" w:eastAsia="Times New Roman" w:hint="default"/>
          <w:sz w:val="24"/>
          <w:szCs w:val="24"/>
        </w:rPr>
        <w:sectPr>
          <w:pgSz w:w="11910" w:h="16840"/>
          <w:pgMar w:header="882" w:footer="1195" w:top="1120" w:bottom="1380" w:left="1060" w:right="1560"/>
        </w:sectPr>
      </w:pPr>
    </w:p>
    <w:p>
      <w:pPr>
        <w:spacing w:line="240" w:lineRule="auto" w:before="4"/>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3087"/>
        <w:gridCol w:w="2288"/>
        <w:gridCol w:w="1891"/>
        <w:gridCol w:w="1784"/>
      </w:tblGrid>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流动资产合计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3,656,599,793</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3,605,102,449</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pacing w:val="-1"/>
                <w:sz w:val="24"/>
              </w:rPr>
              <w:t>-51,497,344</w:t>
            </w:r>
          </w:p>
        </w:tc>
      </w:tr>
      <w:tr>
        <w:trPr>
          <w:trHeight w:val="322"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非流动资产：</w:t>
            </w:r>
            <w:r>
              <w:rPr>
                <w:rFonts w:ascii="宋体" w:hAnsi="宋体" w:cs="宋体" w:eastAsia="宋体" w:hint="default"/>
                <w:sz w:val="24"/>
                <w:szCs w:val="24"/>
              </w:rPr>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债权投资</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可供出售金融资产</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585,401,962</w:t>
            </w: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pacing w:val="-1"/>
                <w:sz w:val="24"/>
              </w:rPr>
              <w:t>-585,401,962</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其他债权投资</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持有至到期投资</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长期应收款</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长期股权投资</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4,610,304,544</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4,610,304,544</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其他权益工具投资</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其他非流动金融资产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735,999,657</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735,999,657</w:t>
            </w: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投资性房地产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1,648,380,701</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1,648,380,701</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在建工程</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生产性生物资产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油气资产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使用权资产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无形资产</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506,269,673</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506,269,673</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开发支出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商誉</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96,914,448</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96,914,448</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长期待摊费用</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6,112,786</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6,112,786</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递延所得税资产</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48,397,636</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50,777,413</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2,379,777</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其他非流动资产</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非流动资产合计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7,501,781,750</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7,654,759,222</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152,977,472</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资产总计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11,158,381,543</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11,259,861,671</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101,480,128</w:t>
            </w:r>
          </w:p>
        </w:tc>
      </w:tr>
      <w:tr>
        <w:trPr>
          <w:trHeight w:val="319"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流动负债：</w:t>
            </w:r>
            <w:r>
              <w:rPr>
                <w:rFonts w:ascii="宋体" w:hAnsi="宋体" w:cs="宋体" w:eastAsia="宋体" w:hint="default"/>
                <w:sz w:val="24"/>
                <w:szCs w:val="24"/>
              </w:rPr>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短期借款</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3,399,927,278</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3,399,927,278</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交易性金融负债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firstLine="240"/>
              <w:jc w:val="left"/>
              <w:rPr>
                <w:rFonts w:ascii="宋体" w:hAnsi="宋体" w:cs="宋体" w:eastAsia="宋体" w:hint="default"/>
                <w:sz w:val="24"/>
                <w:szCs w:val="24"/>
              </w:rPr>
            </w:pPr>
            <w:r>
              <w:rPr>
                <w:rFonts w:ascii="宋体" w:hAnsi="宋体" w:cs="宋体" w:eastAsia="宋体" w:hint="default"/>
                <w:sz w:val="24"/>
                <w:szCs w:val="24"/>
              </w:rPr>
              <w:t>以公允价值计量且其变</w:t>
            </w:r>
          </w:p>
          <w:p>
            <w:pPr>
              <w:pStyle w:val="TableParagraph"/>
              <w:spacing w:line="312" w:lineRule="exact" w:before="29"/>
              <w:ind w:left="103" w:right="332"/>
              <w:jc w:val="left"/>
              <w:rPr>
                <w:rFonts w:ascii="宋体" w:hAnsi="宋体" w:cs="宋体" w:eastAsia="宋体" w:hint="default"/>
                <w:sz w:val="24"/>
                <w:szCs w:val="24"/>
              </w:rPr>
            </w:pPr>
            <w:r>
              <w:rPr>
                <w:rFonts w:ascii="宋体" w:hAnsi="宋体" w:cs="宋体" w:eastAsia="宋体" w:hint="default"/>
                <w:sz w:val="24"/>
                <w:szCs w:val="24"/>
              </w:rPr>
              <w:t>动计入当期损益的金融负 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衍生金融负债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应付票据</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应付账款</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171,967,237</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171,967,237</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5"/>
              <w:jc w:val="right"/>
              <w:rPr>
                <w:rFonts w:ascii="Times New Roman" w:hAnsi="Times New Roman" w:cs="Times New Roman" w:eastAsia="Times New Roman" w:hint="default"/>
                <w:sz w:val="24"/>
                <w:szCs w:val="24"/>
              </w:rPr>
            </w:pPr>
            <w:r>
              <w:rPr>
                <w:rFonts w:ascii="Times New Roman"/>
                <w:sz w:val="24"/>
              </w:rPr>
              <w:t>429,741,602</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429,741,602</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应付职工薪酬</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485,835,578</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485,835,578</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应交税费</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117,402,749</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117,402,749</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其他应付款</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441,749,100</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441,749,100</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其中：应付利息</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 w:right="0"/>
              <w:jc w:val="center"/>
              <w:rPr>
                <w:rFonts w:ascii="宋体" w:hAnsi="宋体" w:cs="宋体" w:eastAsia="宋体" w:hint="default"/>
                <w:sz w:val="24"/>
                <w:szCs w:val="24"/>
              </w:rPr>
            </w:pPr>
            <w:r>
              <w:rPr>
                <w:rFonts w:ascii="宋体" w:hAnsi="宋体" w:cs="宋体" w:eastAsia="宋体" w:hint="default"/>
                <w:sz w:val="24"/>
                <w:szCs w:val="24"/>
              </w:rPr>
              <w:t>应付股利</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持有待售负债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3" w:right="0"/>
              <w:jc w:val="left"/>
              <w:rPr>
                <w:rFonts w:ascii="宋体" w:hAnsi="宋体" w:cs="宋体" w:eastAsia="宋体" w:hint="default"/>
                <w:sz w:val="24"/>
                <w:szCs w:val="24"/>
              </w:rPr>
            </w:pPr>
            <w:r>
              <w:rPr>
                <w:rFonts w:ascii="宋体" w:hAnsi="宋体" w:cs="宋体" w:eastAsia="宋体" w:hint="default"/>
                <w:sz w:val="24"/>
                <w:szCs w:val="24"/>
              </w:rPr>
              <w:t>一年内到期的非流动负</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债</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58,471,227</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58,471,227</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其他流动负债</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91,170,839</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91,170,839</w:t>
            </w:r>
          </w:p>
        </w:tc>
        <w:tc>
          <w:tcPr>
            <w:tcW w:w="178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2" w:footer="1195" w:top="1120" w:bottom="1380" w:left="1060" w:right="1560"/>
        </w:sectPr>
      </w:pPr>
    </w:p>
    <w:p>
      <w:pPr>
        <w:spacing w:line="240" w:lineRule="auto" w:before="4"/>
        <w:rPr>
          <w:rFonts w:ascii="Times New Roman" w:hAnsi="Times New Roman" w:cs="Times New Roman" w:eastAsia="Times New Roman"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3087"/>
        <w:gridCol w:w="2288"/>
        <w:gridCol w:w="1891"/>
        <w:gridCol w:w="1784"/>
      </w:tblGrid>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流动负债合计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5,196,265,610</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5,196,265,610</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非流动负债：</w:t>
            </w:r>
            <w:r>
              <w:rPr>
                <w:rFonts w:ascii="宋体" w:hAnsi="宋体" w:cs="宋体" w:eastAsia="宋体" w:hint="default"/>
                <w:sz w:val="24"/>
                <w:szCs w:val="24"/>
              </w:rPr>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长期借款</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36,666,664</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36,666,664</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应付债券</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其中：优先股</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28"/>
              <w:jc w:val="center"/>
              <w:rPr>
                <w:rFonts w:ascii="宋体" w:hAnsi="宋体" w:cs="宋体" w:eastAsia="宋体" w:hint="default"/>
                <w:sz w:val="24"/>
                <w:szCs w:val="24"/>
              </w:rPr>
            </w:pPr>
            <w:r>
              <w:rPr>
                <w:rFonts w:ascii="宋体" w:hAnsi="宋体" w:cs="宋体" w:eastAsia="宋体" w:hint="default"/>
                <w:sz w:val="24"/>
                <w:szCs w:val="24"/>
              </w:rPr>
              <w:t>永续债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租赁负债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长期应付款</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长期应付职工薪酬</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预计负债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递延收益</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48,150,000</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48,150,000</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递延所得税负债</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4,156,055</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21,596,765</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17,440,710</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其他非流动负债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83" w:right="0"/>
              <w:jc w:val="left"/>
              <w:rPr>
                <w:rFonts w:ascii="宋体" w:hAnsi="宋体" w:cs="宋体" w:eastAsia="宋体" w:hint="default"/>
                <w:sz w:val="24"/>
                <w:szCs w:val="24"/>
              </w:rPr>
            </w:pPr>
            <w:r>
              <w:rPr>
                <w:rFonts w:ascii="宋体" w:hAnsi="宋体" w:cs="宋体" w:eastAsia="宋体" w:hint="default"/>
                <w:sz w:val="24"/>
                <w:szCs w:val="24"/>
              </w:rPr>
              <w:t>非流动负债合计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88,972,719</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106,413,429</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17,440,710</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负债合计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5,285,238,329</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5,302,679,039</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17,440,710</w:t>
            </w:r>
          </w:p>
        </w:tc>
      </w:tr>
      <w:tr>
        <w:trPr>
          <w:trHeight w:val="322"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所有者权益（或股东权益）：</w:t>
            </w:r>
            <w:r>
              <w:rPr>
                <w:rFonts w:ascii="宋体" w:hAnsi="宋体" w:cs="宋体" w:eastAsia="宋体" w:hint="default"/>
                <w:sz w:val="24"/>
                <w:szCs w:val="24"/>
              </w:rPr>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实收资本（或股本）</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1,917,832,792</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1,917,832,792</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其他权益工具</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其中：优先股</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28"/>
              <w:jc w:val="center"/>
              <w:rPr>
                <w:rFonts w:ascii="宋体" w:hAnsi="宋体" w:cs="宋体" w:eastAsia="宋体" w:hint="default"/>
                <w:sz w:val="24"/>
                <w:szCs w:val="24"/>
              </w:rPr>
            </w:pPr>
            <w:r>
              <w:rPr>
                <w:rFonts w:ascii="宋体" w:hAnsi="宋体" w:cs="宋体" w:eastAsia="宋体" w:hint="default"/>
                <w:sz w:val="24"/>
                <w:szCs w:val="24"/>
              </w:rPr>
              <w:t>永续债</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资本公积</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1,619,007,491</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1,619,007,491</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减：库存股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55,787,910</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55,787,910</w:t>
            </w: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其他综合收益</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pacing w:val="-1"/>
                <w:sz w:val="24"/>
              </w:rPr>
              <w:t>-49,462,234</w:t>
            </w: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49,462,234</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专项储备</w:t>
            </w:r>
          </w:p>
        </w:tc>
        <w:tc>
          <w:tcPr>
            <w:tcW w:w="2288" w:type="dxa"/>
            <w:tcBorders>
              <w:top w:val="single" w:sz="4" w:space="0" w:color="000000"/>
              <w:left w:val="single" w:sz="4" w:space="0" w:color="000000"/>
              <w:bottom w:val="single" w:sz="4" w:space="0" w:color="000000"/>
              <w:right w:val="single" w:sz="4" w:space="0" w:color="000000"/>
            </w:tcBorders>
          </w:tcPr>
          <w:p>
            <w:pPr/>
          </w:p>
        </w:tc>
        <w:tc>
          <w:tcPr>
            <w:tcW w:w="1891" w:type="dxa"/>
            <w:tcBorders>
              <w:top w:val="single" w:sz="4" w:space="0" w:color="000000"/>
              <w:left w:val="single" w:sz="4" w:space="0" w:color="000000"/>
              <w:bottom w:val="single" w:sz="4" w:space="0" w:color="000000"/>
              <w:right w:val="single" w:sz="4" w:space="0" w:color="000000"/>
            </w:tcBorders>
          </w:tcPr>
          <w:p>
            <w:pPr/>
          </w:p>
        </w:tc>
        <w:tc>
          <w:tcPr>
            <w:tcW w:w="1784"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盈余公积</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827,153,655</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831,983,441</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4,829,786</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43" w:right="0"/>
              <w:jc w:val="left"/>
              <w:rPr>
                <w:rFonts w:ascii="宋体" w:hAnsi="宋体" w:cs="宋体" w:eastAsia="宋体" w:hint="default"/>
                <w:sz w:val="24"/>
                <w:szCs w:val="24"/>
              </w:rPr>
            </w:pPr>
            <w:r>
              <w:rPr>
                <w:rFonts w:ascii="宋体" w:hAnsi="宋体" w:cs="宋体" w:eastAsia="宋体" w:hint="default"/>
                <w:sz w:val="24"/>
                <w:szCs w:val="24"/>
              </w:rPr>
              <w:t>未分配利润</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1,614,399,420</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1,644,146,818</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29,747,398</w:t>
            </w:r>
          </w:p>
        </w:tc>
      </w:tr>
      <w:tr>
        <w:trPr>
          <w:trHeight w:val="634"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583" w:right="0"/>
              <w:jc w:val="left"/>
              <w:rPr>
                <w:rFonts w:ascii="宋体" w:hAnsi="宋体" w:cs="宋体" w:eastAsia="宋体" w:hint="default"/>
                <w:sz w:val="24"/>
                <w:szCs w:val="24"/>
              </w:rPr>
            </w:pPr>
            <w:r>
              <w:rPr>
                <w:rFonts w:ascii="宋体" w:hAnsi="宋体" w:cs="宋体" w:eastAsia="宋体" w:hint="default"/>
                <w:sz w:val="24"/>
                <w:szCs w:val="24"/>
              </w:rPr>
              <w:t>所有者权益（或股东权</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益）合计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5,873,143,214</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5,957,182,632</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84,039,418</w:t>
            </w:r>
          </w:p>
        </w:tc>
      </w:tr>
      <w:tr>
        <w:trPr>
          <w:trHeight w:val="631"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负债和所有者权益</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（或股东权益）总计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11,158,381,543</w:t>
            </w:r>
          </w:p>
        </w:tc>
        <w:tc>
          <w:tcPr>
            <w:tcW w:w="189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11,259,861,671</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101,480,128</w:t>
            </w:r>
          </w:p>
        </w:tc>
      </w:tr>
    </w:tbl>
    <w:p>
      <w:pPr>
        <w:pStyle w:val="BodyText"/>
        <w:spacing w:line="273" w:lineRule="exact"/>
        <w:ind w:left="216" w:right="0"/>
        <w:jc w:val="left"/>
      </w:pPr>
      <w:r>
        <w:rPr/>
        <w:t>各项目调整情况的说明：</w:t>
      </w:r>
    </w:p>
    <w:p>
      <w:pPr>
        <w:pStyle w:val="BodyText"/>
        <w:spacing w:line="313" w:lineRule="exact"/>
        <w:ind w:left="216" w:right="0"/>
        <w:jc w:val="left"/>
      </w:pPr>
      <w:r>
        <w:rPr/>
        <w:t>□适用 √不适用</w:t>
      </w:r>
    </w:p>
    <w:p>
      <w:pPr>
        <w:spacing w:line="240" w:lineRule="auto" w:before="8"/>
        <w:rPr>
          <w:rFonts w:ascii="宋体" w:hAnsi="宋体" w:cs="宋体" w:eastAsia="宋体" w:hint="default"/>
          <w:sz w:val="23"/>
          <w:szCs w:val="23"/>
        </w:r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w w:val="99"/>
        </w:rPr>
      </w:r>
      <w:r>
        <w:rPr>
          <w:rFonts w:ascii="宋体" w:hAnsi="宋体" w:cs="宋体" w:eastAsia="宋体" w:hint="default"/>
          <w:shd w:fill="FFFF00" w:color="auto" w:val="clear"/>
        </w:rPr>
        <w:t>(4).</w:t>
        <w:tab/>
      </w:r>
      <w:r>
        <w:rPr>
          <w:rFonts w:ascii="Times New Roman" w:hAnsi="Times New Roman" w:cs="Times New Roman" w:eastAsia="Times New Roman" w:hint="default"/>
          <w:shd w:fill="FFFF00" w:color="auto" w:val="clear"/>
        </w:rPr>
        <w:t>2019 </w:t>
      </w:r>
      <w:r>
        <w:rPr>
          <w:shd w:fill="FFFF00" w:color="auto" w:val="clear"/>
        </w:rPr>
        <w:t>年起执行新金融工具准则或新租赁准则追溯调整前期比较数据说明</w:t>
      </w:r>
      <w:r>
        <w:rPr/>
      </w:r>
      <w:r>
        <w:rPr>
          <w:rFonts w:ascii="宋体" w:hAnsi="宋体" w:cs="宋体" w:eastAsia="宋体" w:hint="default"/>
          <w:w w:val="99"/>
        </w:rPr>
        <w:t> </w:t>
      </w:r>
      <w:r>
        <w:rPr>
          <w:rFonts w:ascii="宋体" w:hAnsi="宋体" w:cs="宋体" w:eastAsia="宋体" w:hint="default"/>
          <w:b w:val="0"/>
          <w:bCs w:val="0"/>
        </w:rPr>
      </w:r>
    </w:p>
    <w:p>
      <w:pPr>
        <w:pStyle w:val="BodyText"/>
        <w:spacing w:line="310" w:lineRule="exact" w:before="72"/>
        <w:ind w:left="216" w:right="7250"/>
        <w:jc w:val="left"/>
      </w:pPr>
      <w:r>
        <w:rPr/>
        <w:t>√适用 □不适用 新金融工具准则</w:t>
      </w:r>
    </w:p>
    <w:p>
      <w:pPr>
        <w:spacing w:line="240" w:lineRule="auto" w:before="10"/>
        <w:rPr>
          <w:rFonts w:ascii="宋体" w:hAnsi="宋体" w:cs="宋体" w:eastAsia="宋体" w:hint="default"/>
          <w:sz w:val="18"/>
          <w:szCs w:val="18"/>
        </w:rPr>
      </w:pPr>
    </w:p>
    <w:p>
      <w:pPr>
        <w:pStyle w:val="BodyText"/>
        <w:spacing w:line="322" w:lineRule="exact"/>
        <w:ind w:left="216" w:right="0"/>
        <w:jc w:val="left"/>
      </w:pPr>
      <w:r>
        <w:rPr>
          <w:rFonts w:ascii="Times New Roman" w:hAnsi="Times New Roman" w:cs="Times New Roman" w:eastAsia="Times New Roman" w:hint="default"/>
        </w:rPr>
        <w:t>2017 </w:t>
      </w:r>
      <w:r>
        <w:rPr/>
        <w:t>年，财政部颁布了修订的《企业会计准则第</w:t>
      </w:r>
      <w:r>
        <w:rPr>
          <w:spacing w:val="-60"/>
        </w:rPr>
        <w:t> </w:t>
      </w:r>
      <w:r>
        <w:rPr>
          <w:rFonts w:ascii="Times New Roman" w:hAnsi="Times New Roman" w:cs="Times New Roman" w:eastAsia="Times New Roman" w:hint="default"/>
        </w:rPr>
        <w:t>22 </w:t>
      </w:r>
      <w:r>
        <w:rPr/>
        <w:t>号——金融工具确认和计量》、</w:t>
      </w:r>
    </w:p>
    <w:p>
      <w:pPr>
        <w:pStyle w:val="BodyText"/>
        <w:spacing w:line="311" w:lineRule="exact"/>
        <w:ind w:left="216" w:right="0"/>
        <w:jc w:val="left"/>
      </w:pPr>
      <w:r>
        <w:rPr/>
        <w:t>《企业会计准则第</w:t>
      </w:r>
      <w:r>
        <w:rPr>
          <w:spacing w:val="-60"/>
        </w:rPr>
        <w:t> </w:t>
      </w:r>
      <w:r>
        <w:rPr>
          <w:rFonts w:ascii="Times New Roman" w:hAnsi="Times New Roman" w:cs="Times New Roman" w:eastAsia="Times New Roman" w:hint="default"/>
        </w:rPr>
        <w:t>23 </w:t>
      </w:r>
      <w:r>
        <w:rPr/>
        <w:t>号——金融资产转移</w:t>
      </w:r>
      <w:r>
        <w:rPr>
          <w:spacing w:val="-96"/>
        </w:rPr>
        <w:t>》</w:t>
      </w:r>
      <w:r>
        <w:rPr>
          <w:spacing w:val="-192"/>
        </w:rPr>
        <w:t>、</w:t>
      </w:r>
      <w:r>
        <w:rPr/>
        <w:t>《企业会计准则第</w:t>
      </w:r>
      <w:r>
        <w:rPr>
          <w:spacing w:val="-60"/>
        </w:rPr>
        <w:t> </w:t>
      </w:r>
      <w:r>
        <w:rPr>
          <w:rFonts w:ascii="Times New Roman" w:hAnsi="Times New Roman" w:cs="Times New Roman" w:eastAsia="Times New Roman" w:hint="default"/>
        </w:rPr>
        <w:t>24 </w:t>
      </w:r>
      <w:r>
        <w:rPr/>
        <w:t>号——套期保值》</w:t>
      </w:r>
    </w:p>
    <w:p>
      <w:pPr>
        <w:pStyle w:val="BodyText"/>
        <w:spacing w:line="311" w:lineRule="exact"/>
        <w:ind w:left="216" w:right="0"/>
        <w:jc w:val="left"/>
      </w:pPr>
      <w:r>
        <w:rPr/>
        <w:t>以及《企业会计准则第</w:t>
      </w:r>
      <w:r>
        <w:rPr>
          <w:spacing w:val="-60"/>
        </w:rPr>
        <w:t> </w:t>
      </w:r>
      <w:r>
        <w:rPr>
          <w:rFonts w:ascii="Times New Roman" w:hAnsi="Times New Roman" w:cs="Times New Roman" w:eastAsia="Times New Roman" w:hint="default"/>
        </w:rPr>
        <w:t>37 </w:t>
      </w:r>
      <w:r>
        <w:rPr/>
        <w:t>号——金融工具列报》（统称“新金融工具准则”）。本</w:t>
      </w:r>
    </w:p>
    <w:p>
      <w:pPr>
        <w:pStyle w:val="BodyText"/>
        <w:spacing w:line="312" w:lineRule="exact"/>
        <w:ind w:left="216" w:right="0"/>
        <w:jc w:val="left"/>
      </w:pPr>
      <w:r>
        <w:rPr/>
        <w:t>集团自</w:t>
      </w:r>
      <w:r>
        <w:rPr>
          <w:spacing w:val="-60"/>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日开始按照新金融工具准则进行会计处理，根据衔接规定，对</w:t>
      </w:r>
    </w:p>
    <w:p>
      <w:pPr>
        <w:pStyle w:val="BodyText"/>
        <w:spacing w:line="310" w:lineRule="exact" w:before="22"/>
        <w:ind w:left="216" w:right="289"/>
        <w:jc w:val="left"/>
      </w:pPr>
      <w:r>
        <w:rPr/>
        <w:t>可比期间信息不予调整，首日执行新准则与现行准则的差异追溯调整</w:t>
      </w:r>
      <w:r>
        <w:rPr>
          <w:spacing w:val="-59"/>
        </w:rPr>
        <w:t> </w:t>
      </w:r>
      <w:r>
        <w:rPr>
          <w:rFonts w:ascii="Times New Roman" w:hAnsi="Times New Roman" w:cs="Times New Roman" w:eastAsia="Times New Roman" w:hint="default"/>
        </w:rPr>
        <w:t>2019 </w:t>
      </w:r>
      <w:r>
        <w:rPr/>
        <w:t>年年初未 分配利润或其他综合收益。</w:t>
      </w:r>
    </w:p>
    <w:p>
      <w:pPr>
        <w:spacing w:after="0" w:line="310" w:lineRule="exact"/>
        <w:jc w:val="left"/>
        <w:sectPr>
          <w:pgSz w:w="11910" w:h="16840"/>
          <w:pgMar w:header="882" w:footer="1195" w:top="1120" w:bottom="1380" w:left="1060" w:right="15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37" w:lineRule="auto" w:before="28"/>
        <w:ind w:left="316" w:right="0"/>
        <w:jc w:val="left"/>
      </w:pPr>
      <w:r>
        <w:rPr/>
        <w:t>新金融工具准则改变了金融资产的分类和计量方式，确定了三个主要的计量类别：摊 余成本；以公允价值计量且其变动计入其他综合收益；以公允价值计量且其变动计入 </w:t>
      </w:r>
      <w:r>
        <w:rPr>
          <w:spacing w:val="-5"/>
        </w:rPr>
        <w:t>当期损益。企业需考虑自身业务模式，以及金融资产的合同现金流特征进行上述分类。</w:t>
      </w:r>
      <w:r>
        <w:rPr>
          <w:spacing w:val="-98"/>
        </w:rPr>
        <w:t> </w:t>
      </w:r>
      <w:r>
        <w:rPr>
          <w:spacing w:val="-98"/>
        </w:rPr>
      </w:r>
      <w:r>
        <w:rPr/>
        <w:t>权益工具投资需按公允价值计量且其变动计入当期损益，但在初始确认时可选择将非</w:t>
      </w:r>
      <w:r>
        <w:rPr/>
        <w:t> 交易性权益工具投资不可撤销地指定为以公允价值计量且其变动计入其他综合收益 的金融资产。</w:t>
      </w:r>
    </w:p>
    <w:p>
      <w:pPr>
        <w:spacing w:line="240" w:lineRule="auto" w:before="2"/>
        <w:rPr>
          <w:rFonts w:ascii="宋体" w:hAnsi="宋体" w:cs="宋体" w:eastAsia="宋体" w:hint="default"/>
          <w:sz w:val="21"/>
          <w:szCs w:val="21"/>
        </w:rPr>
      </w:pPr>
    </w:p>
    <w:p>
      <w:pPr>
        <w:pStyle w:val="BodyText"/>
        <w:spacing w:line="237" w:lineRule="auto"/>
        <w:ind w:left="316" w:right="231"/>
        <w:jc w:val="both"/>
      </w:pPr>
      <w:r>
        <w:rPr>
          <w:spacing w:val="-2"/>
        </w:rPr>
        <w:t>新金融工具准则要求金融资产减值计量由“已发生损失模型”改为“预期信用损失模</w:t>
      </w:r>
      <w:r>
        <w:rPr>
          <w:spacing w:val="-93"/>
        </w:rPr>
        <w:t> </w:t>
      </w:r>
      <w:r>
        <w:rPr>
          <w:spacing w:val="-93"/>
        </w:rPr>
      </w:r>
      <w:r>
        <w:rPr>
          <w:spacing w:val="-2"/>
        </w:rPr>
        <w:t>型”，适用于以摊余成本计量的金融资产、以公允价值计量且其变动计入其他综合收</w:t>
      </w:r>
      <w:r>
        <w:rPr>
          <w:spacing w:val="-92"/>
        </w:rPr>
        <w:t> </w:t>
      </w:r>
      <w:r>
        <w:rPr>
          <w:spacing w:val="-92"/>
        </w:rPr>
      </w:r>
      <w:r>
        <w:rPr/>
        <w:t>益的金融资产，以及贷款承诺和财务担保合同。</w:t>
      </w:r>
    </w:p>
    <w:p>
      <w:pPr>
        <w:spacing w:line="240" w:lineRule="auto" w:before="5"/>
        <w:rPr>
          <w:rFonts w:ascii="宋体" w:hAnsi="宋体" w:cs="宋体" w:eastAsia="宋体" w:hint="default"/>
          <w:sz w:val="23"/>
          <w:szCs w:val="23"/>
        </w:rPr>
      </w:pPr>
    </w:p>
    <w:p>
      <w:pPr>
        <w:pStyle w:val="BodyText"/>
        <w:spacing w:line="312" w:lineRule="exact"/>
        <w:ind w:left="316" w:right="235"/>
        <w:jc w:val="both"/>
      </w:pPr>
      <w:r>
        <w:rPr>
          <w:spacing w:val="-2"/>
        </w:rPr>
        <w:t>新套期会计模型加强了企业风险管理与财务报表之间的联系，扩大了套期工具及被套</w:t>
      </w:r>
      <w:r>
        <w:rPr>
          <w:spacing w:val="-94"/>
        </w:rPr>
        <w:t> </w:t>
      </w:r>
      <w:r>
        <w:rPr>
          <w:spacing w:val="-94"/>
        </w:rPr>
      </w:r>
      <w:r>
        <w:rPr/>
        <w:t>期项目的范围，取消了回顾有效性测试，引入了再平衡机制及套期成本的概念。</w:t>
      </w:r>
    </w:p>
    <w:p>
      <w:pPr>
        <w:spacing w:line="240" w:lineRule="auto" w:before="5"/>
        <w:rPr>
          <w:rFonts w:ascii="宋体" w:hAnsi="宋体" w:cs="宋体" w:eastAsia="宋体" w:hint="default"/>
          <w:sz w:val="19"/>
          <w:szCs w:val="19"/>
        </w:rPr>
      </w:pPr>
    </w:p>
    <w:p>
      <w:pPr>
        <w:pStyle w:val="BodyText"/>
        <w:spacing w:line="232" w:lineRule="auto"/>
        <w:ind w:left="316" w:right="234"/>
        <w:jc w:val="both"/>
      </w:pPr>
      <w:r>
        <w:rPr/>
        <w:t>于</w:t>
      </w:r>
      <w:r>
        <w:rPr>
          <w:spacing w:val="-6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日，本集团分析结构性存款整体合同现金流的特征，认为其合同现 </w:t>
      </w:r>
      <w:r>
        <w:rPr>
          <w:spacing w:val="-2"/>
        </w:rPr>
        <w:t>金流量代表的不仅仅为对本金和以未偿本金为基础的利息的支付，因此将这些结构性</w:t>
      </w:r>
      <w:r>
        <w:rPr>
          <w:spacing w:val="-94"/>
        </w:rPr>
        <w:t> </w:t>
      </w:r>
      <w:r>
        <w:rPr>
          <w:spacing w:val="-94"/>
        </w:rPr>
      </w:r>
      <w:r>
        <w:rPr>
          <w:spacing w:val="-2"/>
        </w:rPr>
        <w:t>存款重分类为以公允价值计量且其变动计入当期损益的金融资产，列报为交易性金融</w:t>
      </w:r>
      <w:r>
        <w:rPr>
          <w:spacing w:val="-94"/>
        </w:rPr>
        <w:t> </w:t>
      </w:r>
      <w:r>
        <w:rPr>
          <w:spacing w:val="-94"/>
        </w:rPr>
      </w:r>
      <w:r>
        <w:rPr/>
        <w:t>资产。</w:t>
      </w:r>
    </w:p>
    <w:p>
      <w:pPr>
        <w:spacing w:line="240" w:lineRule="auto" w:before="2"/>
        <w:rPr>
          <w:rFonts w:ascii="宋体" w:hAnsi="宋体" w:cs="宋体" w:eastAsia="宋体" w:hint="default"/>
          <w:sz w:val="23"/>
          <w:szCs w:val="23"/>
        </w:rPr>
      </w:pPr>
    </w:p>
    <w:p>
      <w:pPr>
        <w:pStyle w:val="BodyText"/>
        <w:spacing w:line="312" w:lineRule="exact"/>
        <w:ind w:left="316" w:right="234"/>
        <w:jc w:val="both"/>
      </w:pPr>
      <w:r>
        <w:rPr>
          <w:spacing w:val="-2"/>
        </w:rPr>
        <w:t>在首次执行日，金融资产按照修订前后金融工具确认和计量准则的规定进行分类和计</w:t>
      </w:r>
      <w:r>
        <w:rPr>
          <w:spacing w:val="-93"/>
        </w:rPr>
        <w:t> </w:t>
      </w:r>
      <w:r>
        <w:rPr>
          <w:spacing w:val="-93"/>
        </w:rPr>
      </w:r>
      <w:r>
        <w:rPr/>
        <w:t>量结果对比如下：</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882" w:footer="1195" w:top="1120" w:bottom="1380" w:left="960" w:right="1560"/>
        </w:sectPr>
      </w:pPr>
    </w:p>
    <w:p>
      <w:pPr>
        <w:pStyle w:val="BodyText"/>
        <w:spacing w:line="240" w:lineRule="auto" w:before="26"/>
        <w:ind w:left="316" w:right="-20"/>
        <w:jc w:val="left"/>
      </w:pPr>
      <w:r>
        <w:rPr/>
        <w:t>本集团</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12"/>
        <w:rPr>
          <w:rFonts w:ascii="宋体" w:hAnsi="宋体" w:cs="宋体" w:eastAsia="宋体" w:hint="default"/>
          <w:sz w:val="12"/>
          <w:szCs w:val="12"/>
        </w:rPr>
      </w:pPr>
    </w:p>
    <w:p>
      <w:pPr>
        <w:tabs>
          <w:tab w:pos="1091" w:val="left" w:leader="none"/>
          <w:tab w:pos="4003" w:val="left" w:leader="none"/>
          <w:tab w:pos="4546" w:val="left" w:leader="none"/>
        </w:tabs>
        <w:spacing w:before="0"/>
        <w:ind w:left="316" w:right="0" w:firstLine="0"/>
        <w:jc w:val="left"/>
        <w:rPr>
          <w:rFonts w:ascii="宋体" w:hAnsi="宋体" w:cs="宋体" w:eastAsia="宋体" w:hint="default"/>
          <w:sz w:val="15"/>
          <w:szCs w:val="15"/>
        </w:rPr>
      </w:pPr>
      <w:r>
        <w:rPr>
          <w:rFonts w:ascii="宋体" w:hAnsi="宋体" w:cs="宋体" w:eastAsia="宋体" w:hint="default"/>
          <w:spacing w:val="-6"/>
          <w:w w:val="100"/>
          <w:sz w:val="15"/>
          <w:szCs w:val="15"/>
        </w:rPr>
        <w:t> </w:t>
      </w: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spacing w:val="-2"/>
          <w:sz w:val="15"/>
          <w:szCs w:val="15"/>
        </w:rPr>
        <w:t>修订前的金融工具确认和计量准则</w:t>
      </w:r>
      <w:r>
        <w:rPr>
          <w:rFonts w:ascii="宋体" w:hAnsi="宋体" w:cs="宋体" w:eastAsia="宋体" w:hint="default"/>
          <w:spacing w:val="-2"/>
          <w:sz w:val="15"/>
          <w:szCs w:val="15"/>
        </w:rPr>
        <w:tab/>
        <w:tab/>
      </w:r>
      <w:r>
        <w:rPr>
          <w:rFonts w:ascii="宋体" w:hAnsi="宋体" w:cs="宋体" w:eastAsia="宋体" w:hint="default"/>
          <w:spacing w:val="-2"/>
          <w:sz w:val="15"/>
          <w:szCs w:val="15"/>
        </w:rPr>
        <w:t>修订后的金融工具确认和计量准则</w:t>
      </w:r>
      <w:r>
        <w:rPr>
          <w:rFonts w:ascii="宋体" w:hAnsi="宋体" w:cs="宋体" w:eastAsia="宋体" w:hint="default"/>
          <w:sz w:val="15"/>
          <w:szCs w:val="15"/>
        </w:rPr>
        <w:t> </w:t>
      </w:r>
    </w:p>
    <w:p>
      <w:pPr>
        <w:spacing w:after="0"/>
        <w:jc w:val="left"/>
        <w:rPr>
          <w:rFonts w:ascii="宋体" w:hAnsi="宋体" w:cs="宋体" w:eastAsia="宋体" w:hint="default"/>
          <w:sz w:val="15"/>
          <w:szCs w:val="15"/>
        </w:rPr>
        <w:sectPr>
          <w:type w:val="continuous"/>
          <w:pgSz w:w="11910" w:h="16840"/>
          <w:pgMar w:top="1120" w:bottom="1380" w:left="960" w:right="1560"/>
          <w:cols w:num="2" w:equalWidth="0">
            <w:col w:w="1037" w:space="293"/>
            <w:col w:w="8060"/>
          </w:cols>
        </w:sectPr>
      </w:pPr>
    </w:p>
    <w:p>
      <w:pPr>
        <w:tabs>
          <w:tab w:pos="1646" w:val="left" w:leader="none"/>
          <w:tab w:pos="2582" w:val="left" w:leader="none"/>
          <w:tab w:pos="4388" w:val="left" w:leader="none"/>
          <w:tab w:pos="6056" w:val="left" w:leader="none"/>
          <w:tab w:pos="7734" w:val="left" w:leader="none"/>
        </w:tabs>
        <w:spacing w:line="193" w:lineRule="exact" w:before="0"/>
        <w:ind w:left="316" w:right="0" w:firstLine="0"/>
        <w:jc w:val="both"/>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spacing w:val="-2"/>
          <w:sz w:val="15"/>
          <w:szCs w:val="15"/>
        </w:rPr>
        <w:t>计量类别</w:t>
      </w:r>
      <w:r>
        <w:rPr>
          <w:rFonts w:ascii="宋体" w:hAnsi="宋体" w:cs="宋体" w:eastAsia="宋体" w:hint="default"/>
          <w:spacing w:val="-2"/>
          <w:sz w:val="15"/>
          <w:szCs w:val="15"/>
        </w:rPr>
        <w:tab/>
      </w:r>
      <w:r>
        <w:rPr>
          <w:rFonts w:ascii="宋体" w:hAnsi="宋体" w:cs="宋体" w:eastAsia="宋体" w:hint="default"/>
          <w:spacing w:val="-2"/>
          <w:sz w:val="15"/>
          <w:szCs w:val="15"/>
        </w:rPr>
        <w:t>账面价值</w:t>
      </w:r>
      <w:r>
        <w:rPr>
          <w:rFonts w:ascii="宋体" w:hAnsi="宋体" w:cs="宋体" w:eastAsia="宋体" w:hint="default"/>
          <w:spacing w:val="-2"/>
          <w:sz w:val="15"/>
          <w:szCs w:val="15"/>
        </w:rPr>
        <w:tab/>
      </w:r>
      <w:r>
        <w:rPr>
          <w:rFonts w:ascii="宋体" w:hAnsi="宋体" w:cs="宋体" w:eastAsia="宋体" w:hint="default"/>
          <w:spacing w:val="-2"/>
          <w:sz w:val="15"/>
          <w:szCs w:val="15"/>
        </w:rPr>
        <w:t>计量类别</w:t>
      </w:r>
      <w:r>
        <w:rPr>
          <w:rFonts w:ascii="宋体" w:hAnsi="宋体" w:cs="宋体" w:eastAsia="宋体" w:hint="default"/>
          <w:spacing w:val="-2"/>
          <w:sz w:val="15"/>
          <w:szCs w:val="15"/>
        </w:rPr>
        <w:tab/>
      </w:r>
      <w:r>
        <w:rPr>
          <w:rFonts w:ascii="宋体" w:hAnsi="宋体" w:cs="宋体" w:eastAsia="宋体" w:hint="default"/>
          <w:spacing w:val="-2"/>
          <w:sz w:val="15"/>
          <w:szCs w:val="15"/>
        </w:rPr>
        <w:t>账面价值</w:t>
      </w:r>
      <w:r>
        <w:rPr>
          <w:rFonts w:ascii="宋体" w:hAnsi="宋体" w:cs="宋体" w:eastAsia="宋体" w:hint="default"/>
          <w:sz w:val="15"/>
          <w:szCs w:val="15"/>
        </w:rPr>
        <w:t> </w:t>
      </w:r>
    </w:p>
    <w:p>
      <w:pPr>
        <w:tabs>
          <w:tab w:pos="1646" w:val="left" w:leader="none"/>
        </w:tabs>
        <w:spacing w:line="194" w:lineRule="exact" w:before="0"/>
        <w:ind w:left="316" w:right="0" w:firstLine="0"/>
        <w:jc w:val="both"/>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r>
        <w:rPr>
          <w:rFonts w:ascii="宋体"/>
          <w:spacing w:val="3"/>
          <w:sz w:val="15"/>
        </w:rPr>
        <w:t> </w:t>
      </w:r>
      <w:r>
        <w:rPr>
          <w:rFonts w:ascii="宋体"/>
          <w:w w:val="100"/>
          <w:sz w:val="15"/>
        </w:rPr>
        <w:t> </w:t>
      </w:r>
    </w:p>
    <w:p>
      <w:pPr>
        <w:tabs>
          <w:tab w:pos="4318" w:val="left" w:leader="none"/>
          <w:tab w:pos="4469" w:val="left" w:leader="none"/>
          <w:tab w:pos="7654" w:val="left" w:leader="none"/>
          <w:tab w:pos="7806" w:val="left" w:leader="none"/>
        </w:tabs>
        <w:spacing w:before="0"/>
        <w:ind w:left="316" w:right="751" w:firstLine="0"/>
        <w:jc w:val="both"/>
        <w:rPr>
          <w:rFonts w:ascii="宋体" w:hAnsi="宋体" w:cs="宋体" w:eastAsia="宋体" w:hint="default"/>
          <w:sz w:val="15"/>
          <w:szCs w:val="15"/>
        </w:rPr>
      </w:pPr>
      <w:r>
        <w:rPr>
          <w:rFonts w:ascii="宋体" w:hAnsi="宋体" w:cs="宋体" w:eastAsia="宋体" w:hint="default"/>
          <w:spacing w:val="-2"/>
          <w:sz w:val="15"/>
          <w:szCs w:val="15"/>
        </w:rPr>
        <w:t>应收票据           </w:t>
      </w:r>
      <w:r>
        <w:rPr>
          <w:rFonts w:ascii="宋体" w:hAnsi="宋体" w:cs="宋体" w:eastAsia="宋体" w:hint="default"/>
          <w:spacing w:val="33"/>
          <w:sz w:val="15"/>
          <w:szCs w:val="15"/>
        </w:rPr>
        <w:t> </w:t>
      </w:r>
      <w:r>
        <w:rPr>
          <w:rFonts w:ascii="宋体" w:hAnsi="宋体" w:cs="宋体" w:eastAsia="宋体" w:hint="default"/>
          <w:spacing w:val="33"/>
          <w:sz w:val="15"/>
          <w:szCs w:val="15"/>
        </w:rPr>
      </w:r>
      <w:r>
        <w:rPr>
          <w:rFonts w:ascii="宋体" w:hAnsi="宋体" w:cs="宋体" w:eastAsia="宋体" w:hint="default"/>
          <w:spacing w:val="-2"/>
          <w:sz w:val="15"/>
          <w:szCs w:val="15"/>
        </w:rPr>
        <w:t>摊余成本</w:t>
      </w:r>
      <w:r>
        <w:rPr>
          <w:rFonts w:ascii="宋体" w:hAnsi="宋体" w:cs="宋体" w:eastAsia="宋体" w:hint="default"/>
          <w:spacing w:val="-2"/>
          <w:sz w:val="15"/>
          <w:szCs w:val="15"/>
        </w:rPr>
        <w:t>(</w:t>
      </w:r>
      <w:r>
        <w:rPr>
          <w:rFonts w:ascii="宋体" w:hAnsi="宋体" w:cs="宋体" w:eastAsia="宋体" w:hint="default"/>
          <w:spacing w:val="-2"/>
          <w:sz w:val="15"/>
          <w:szCs w:val="15"/>
        </w:rPr>
        <w:t>贷款和应收款</w:t>
      </w:r>
      <w:r>
        <w:rPr>
          <w:rFonts w:ascii="宋体" w:hAnsi="宋体" w:cs="宋体" w:eastAsia="宋体" w:hint="default"/>
          <w:spacing w:val="-2"/>
          <w:sz w:val="15"/>
          <w:szCs w:val="15"/>
        </w:rPr>
        <w:t>)</w:t>
        <w:tab/>
        <w:tab/>
      </w:r>
      <w:r>
        <w:rPr>
          <w:rFonts w:ascii="宋体" w:hAnsi="宋体" w:cs="宋体" w:eastAsia="宋体" w:hint="default"/>
          <w:spacing w:val="-1"/>
          <w:sz w:val="15"/>
          <w:szCs w:val="15"/>
        </w:rPr>
        <w:t>115,302,348</w:t>
      </w:r>
      <w:r>
        <w:rPr>
          <w:rFonts w:ascii="宋体" w:hAnsi="宋体" w:cs="宋体" w:eastAsia="宋体" w:hint="default"/>
          <w:spacing w:val="17"/>
          <w:sz w:val="15"/>
          <w:szCs w:val="15"/>
        </w:rPr>
        <w:t> </w:t>
      </w:r>
      <w:r>
        <w:rPr>
          <w:rFonts w:ascii="宋体" w:hAnsi="宋体" w:cs="宋体" w:eastAsia="宋体" w:hint="default"/>
          <w:spacing w:val="-2"/>
          <w:sz w:val="15"/>
          <w:szCs w:val="15"/>
        </w:rPr>
        <w:t>摊余成本</w:t>
      </w:r>
      <w:r>
        <w:rPr>
          <w:rFonts w:ascii="宋体" w:hAnsi="宋体" w:cs="宋体" w:eastAsia="宋体" w:hint="default"/>
          <w:spacing w:val="-2"/>
          <w:sz w:val="15"/>
          <w:szCs w:val="15"/>
        </w:rPr>
        <w:tab/>
        <w:tab/>
      </w:r>
      <w:r>
        <w:rPr>
          <w:rFonts w:ascii="宋体" w:hAnsi="宋体" w:cs="宋体" w:eastAsia="宋体" w:hint="default"/>
          <w:spacing w:val="-1"/>
          <w:sz w:val="15"/>
          <w:szCs w:val="15"/>
        </w:rPr>
        <w:t>115,009,862</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pacing w:val="-2"/>
          <w:sz w:val="15"/>
          <w:szCs w:val="15"/>
        </w:rPr>
        <w:t>应收账款           </w:t>
      </w:r>
      <w:r>
        <w:rPr>
          <w:rFonts w:ascii="宋体" w:hAnsi="宋体" w:cs="宋体" w:eastAsia="宋体" w:hint="default"/>
          <w:spacing w:val="33"/>
          <w:sz w:val="15"/>
          <w:szCs w:val="15"/>
        </w:rPr>
        <w:t> </w:t>
      </w:r>
      <w:r>
        <w:rPr>
          <w:rFonts w:ascii="宋体" w:hAnsi="宋体" w:cs="宋体" w:eastAsia="宋体" w:hint="default"/>
          <w:spacing w:val="33"/>
          <w:sz w:val="15"/>
          <w:szCs w:val="15"/>
        </w:rPr>
      </w:r>
      <w:r>
        <w:rPr>
          <w:rFonts w:ascii="宋体" w:hAnsi="宋体" w:cs="宋体" w:eastAsia="宋体" w:hint="default"/>
          <w:spacing w:val="-2"/>
          <w:sz w:val="15"/>
          <w:szCs w:val="15"/>
        </w:rPr>
        <w:t>摊余成本</w:t>
      </w:r>
      <w:r>
        <w:rPr>
          <w:rFonts w:ascii="宋体" w:hAnsi="宋体" w:cs="宋体" w:eastAsia="宋体" w:hint="default"/>
          <w:spacing w:val="-2"/>
          <w:sz w:val="15"/>
          <w:szCs w:val="15"/>
        </w:rPr>
        <w:t>(</w:t>
      </w:r>
      <w:r>
        <w:rPr>
          <w:rFonts w:ascii="宋体" w:hAnsi="宋体" w:cs="宋体" w:eastAsia="宋体" w:hint="default"/>
          <w:spacing w:val="-2"/>
          <w:sz w:val="15"/>
          <w:szCs w:val="15"/>
        </w:rPr>
        <w:t>贷款和应收款</w:t>
      </w:r>
      <w:r>
        <w:rPr>
          <w:rFonts w:ascii="宋体" w:hAnsi="宋体" w:cs="宋体" w:eastAsia="宋体" w:hint="default"/>
          <w:spacing w:val="-2"/>
          <w:sz w:val="15"/>
          <w:szCs w:val="15"/>
        </w:rPr>
        <w:t>)</w:t>
        <w:tab/>
        <w:t>1,389,930,749</w:t>
      </w:r>
      <w:r>
        <w:rPr>
          <w:rFonts w:ascii="宋体" w:hAnsi="宋体" w:cs="宋体" w:eastAsia="宋体" w:hint="default"/>
          <w:spacing w:val="29"/>
          <w:sz w:val="15"/>
          <w:szCs w:val="15"/>
        </w:rPr>
        <w:t> </w:t>
      </w:r>
      <w:r>
        <w:rPr>
          <w:rFonts w:ascii="宋体" w:hAnsi="宋体" w:cs="宋体" w:eastAsia="宋体" w:hint="default"/>
          <w:spacing w:val="-1"/>
          <w:sz w:val="15"/>
          <w:szCs w:val="15"/>
        </w:rPr>
        <w:t>摊余成本</w:t>
      </w:r>
      <w:r>
        <w:rPr>
          <w:rFonts w:ascii="宋体" w:hAnsi="宋体" w:cs="宋体" w:eastAsia="宋体" w:hint="default"/>
          <w:spacing w:val="-1"/>
          <w:sz w:val="15"/>
          <w:szCs w:val="15"/>
        </w:rPr>
        <w:tab/>
      </w:r>
      <w:r>
        <w:rPr>
          <w:rFonts w:ascii="宋体" w:hAnsi="宋体" w:cs="宋体" w:eastAsia="宋体" w:hint="default"/>
          <w:spacing w:val="-2"/>
          <w:sz w:val="15"/>
          <w:szCs w:val="15"/>
        </w:rPr>
        <w:t>1,323,414,467</w:t>
      </w:r>
      <w:r>
        <w:rPr>
          <w:rFonts w:ascii="宋体" w:hAnsi="宋体" w:cs="宋体" w:eastAsia="宋体" w:hint="default"/>
          <w:spacing w:val="-57"/>
          <w:sz w:val="15"/>
          <w:szCs w:val="15"/>
        </w:rPr>
        <w:t> </w:t>
      </w:r>
      <w:r>
        <w:rPr>
          <w:rFonts w:ascii="宋体" w:hAnsi="宋体" w:cs="宋体" w:eastAsia="宋体" w:hint="default"/>
          <w:spacing w:val="-57"/>
          <w:sz w:val="15"/>
          <w:szCs w:val="15"/>
        </w:rPr>
      </w:r>
      <w:r>
        <w:rPr>
          <w:rFonts w:ascii="宋体" w:hAnsi="宋体" w:cs="宋体" w:eastAsia="宋体" w:hint="default"/>
          <w:spacing w:val="-1"/>
          <w:sz w:val="15"/>
          <w:szCs w:val="15"/>
        </w:rPr>
        <w:t>其他应收款</w:t>
      </w:r>
      <w:r>
        <w:rPr>
          <w:rFonts w:ascii="宋体" w:hAnsi="宋体" w:cs="宋体" w:eastAsia="宋体" w:hint="default"/>
          <w:spacing w:val="-2"/>
          <w:sz w:val="15"/>
          <w:szCs w:val="15"/>
        </w:rPr>
        <w:t>         </w:t>
      </w:r>
      <w:r>
        <w:rPr>
          <w:rFonts w:ascii="宋体" w:hAnsi="宋体" w:cs="宋体" w:eastAsia="宋体" w:hint="default"/>
          <w:spacing w:val="26"/>
          <w:sz w:val="15"/>
          <w:szCs w:val="15"/>
        </w:rPr>
        <w:t> </w:t>
      </w:r>
      <w:r>
        <w:rPr>
          <w:rFonts w:ascii="宋体" w:hAnsi="宋体" w:cs="宋体" w:eastAsia="宋体" w:hint="default"/>
          <w:spacing w:val="26"/>
          <w:sz w:val="15"/>
          <w:szCs w:val="15"/>
        </w:rPr>
      </w:r>
      <w:r>
        <w:rPr>
          <w:rFonts w:ascii="宋体" w:hAnsi="宋体" w:cs="宋体" w:eastAsia="宋体" w:hint="default"/>
          <w:spacing w:val="-2"/>
          <w:sz w:val="15"/>
          <w:szCs w:val="15"/>
        </w:rPr>
        <w:t>摊余成本</w:t>
      </w:r>
      <w:r>
        <w:rPr>
          <w:rFonts w:ascii="宋体" w:hAnsi="宋体" w:cs="宋体" w:eastAsia="宋体" w:hint="default"/>
          <w:spacing w:val="-2"/>
          <w:sz w:val="15"/>
          <w:szCs w:val="15"/>
        </w:rPr>
        <w:t>(</w:t>
      </w:r>
      <w:r>
        <w:rPr>
          <w:rFonts w:ascii="宋体" w:hAnsi="宋体" w:cs="宋体" w:eastAsia="宋体" w:hint="default"/>
          <w:spacing w:val="-2"/>
          <w:sz w:val="15"/>
          <w:szCs w:val="15"/>
        </w:rPr>
        <w:t>贷款和应收款</w:t>
      </w:r>
      <w:r>
        <w:rPr>
          <w:rFonts w:ascii="宋体" w:hAnsi="宋体" w:cs="宋体" w:eastAsia="宋体" w:hint="default"/>
          <w:spacing w:val="-2"/>
          <w:sz w:val="15"/>
          <w:szCs w:val="15"/>
        </w:rPr>
        <w:t>)</w:t>
        <w:tab/>
        <w:tab/>
      </w:r>
      <w:r>
        <w:rPr>
          <w:rFonts w:ascii="宋体" w:hAnsi="宋体" w:cs="宋体" w:eastAsia="宋体" w:hint="default"/>
          <w:spacing w:val="-1"/>
          <w:sz w:val="15"/>
          <w:szCs w:val="15"/>
        </w:rPr>
        <w:t>393,441,377</w:t>
      </w:r>
      <w:r>
        <w:rPr>
          <w:rFonts w:ascii="宋体" w:hAnsi="宋体" w:cs="宋体" w:eastAsia="宋体" w:hint="default"/>
          <w:spacing w:val="17"/>
          <w:sz w:val="15"/>
          <w:szCs w:val="15"/>
        </w:rPr>
        <w:t> </w:t>
      </w:r>
      <w:r>
        <w:rPr>
          <w:rFonts w:ascii="宋体" w:hAnsi="宋体" w:cs="宋体" w:eastAsia="宋体" w:hint="default"/>
          <w:spacing w:val="-2"/>
          <w:sz w:val="15"/>
          <w:szCs w:val="15"/>
        </w:rPr>
        <w:t>摊余成本</w:t>
      </w:r>
      <w:r>
        <w:rPr>
          <w:rFonts w:ascii="宋体" w:hAnsi="宋体" w:cs="宋体" w:eastAsia="宋体" w:hint="default"/>
          <w:spacing w:val="-2"/>
          <w:sz w:val="15"/>
          <w:szCs w:val="15"/>
        </w:rPr>
        <w:tab/>
        <w:tab/>
      </w:r>
      <w:r>
        <w:rPr>
          <w:rFonts w:ascii="宋体" w:hAnsi="宋体" w:cs="宋体" w:eastAsia="宋体" w:hint="default"/>
          <w:spacing w:val="-1"/>
          <w:sz w:val="15"/>
          <w:szCs w:val="15"/>
        </w:rPr>
        <w:t>394,975,853</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z w:val="15"/>
          <w:szCs w:val="15"/>
        </w:rPr>
        <w:t>股权投资          </w:t>
      </w:r>
      <w:r>
        <w:rPr>
          <w:rFonts w:ascii="宋体" w:hAnsi="宋体" w:cs="宋体" w:eastAsia="宋体" w:hint="default"/>
          <w:spacing w:val="53"/>
          <w:sz w:val="15"/>
          <w:szCs w:val="15"/>
        </w:rPr>
        <w:t> </w:t>
      </w:r>
      <w:r>
        <w:rPr>
          <w:rFonts w:ascii="宋体" w:hAnsi="宋体" w:cs="宋体" w:eastAsia="宋体" w:hint="default"/>
          <w:spacing w:val="53"/>
          <w:sz w:val="15"/>
          <w:szCs w:val="15"/>
        </w:rPr>
      </w:r>
      <w:r>
        <w:rPr>
          <w:rFonts w:ascii="宋体" w:hAnsi="宋体" w:cs="宋体" w:eastAsia="宋体" w:hint="default"/>
          <w:sz w:val="15"/>
          <w:szCs w:val="15"/>
        </w:rPr>
        <w:t>成本计量</w:t>
      </w:r>
      <w:r>
        <w:rPr>
          <w:rFonts w:ascii="宋体" w:hAnsi="宋体" w:cs="宋体" w:eastAsia="宋体" w:hint="default"/>
          <w:sz w:val="15"/>
          <w:szCs w:val="15"/>
        </w:rPr>
        <w:t>(</w:t>
      </w:r>
      <w:r>
        <w:rPr>
          <w:rFonts w:ascii="宋体" w:hAnsi="宋体" w:cs="宋体" w:eastAsia="宋体" w:hint="default"/>
          <w:sz w:val="15"/>
          <w:szCs w:val="15"/>
        </w:rPr>
        <w:t>可供出售类资产</w:t>
      </w:r>
      <w:r>
        <w:rPr>
          <w:rFonts w:ascii="宋体" w:hAnsi="宋体" w:cs="宋体" w:eastAsia="宋体" w:hint="default"/>
          <w:sz w:val="15"/>
          <w:szCs w:val="15"/>
        </w:rPr>
        <w:t>)</w:t>
        <w:tab/>
        <w:tab/>
        <w:t>509,367,709 </w:t>
      </w:r>
      <w:r>
        <w:rPr>
          <w:rFonts w:ascii="宋体" w:hAnsi="宋体" w:cs="宋体" w:eastAsia="宋体" w:hint="default"/>
          <w:sz w:val="15"/>
          <w:szCs w:val="15"/>
        </w:rPr>
        <w:t>以公允价值计量且其             </w:t>
      </w:r>
      <w:r>
        <w:rPr>
          <w:rFonts w:ascii="宋体" w:hAnsi="宋体" w:cs="宋体" w:eastAsia="宋体" w:hint="default"/>
          <w:spacing w:val="22"/>
          <w:sz w:val="15"/>
          <w:szCs w:val="15"/>
        </w:rPr>
        <w:t> </w:t>
      </w:r>
      <w:r>
        <w:rPr>
          <w:rFonts w:ascii="宋体" w:hAnsi="宋体" w:cs="宋体" w:eastAsia="宋体" w:hint="default"/>
          <w:spacing w:val="22"/>
          <w:sz w:val="15"/>
          <w:szCs w:val="15"/>
        </w:rPr>
      </w:r>
      <w:r>
        <w:rPr>
          <w:rFonts w:ascii="宋体" w:hAnsi="宋体" w:cs="宋体" w:eastAsia="宋体" w:hint="default"/>
          <w:sz w:val="15"/>
          <w:szCs w:val="15"/>
        </w:rPr>
        <w:t>677,037,200</w:t>
      </w:r>
    </w:p>
    <w:p>
      <w:pPr>
        <w:tabs>
          <w:tab w:pos="1646" w:val="left" w:leader="none"/>
          <w:tab w:pos="5374" w:val="left" w:leader="none"/>
        </w:tabs>
        <w:spacing w:line="193" w:lineRule="exact" w:before="0"/>
        <w:ind w:left="316" w:right="0" w:firstLine="0"/>
        <w:jc w:val="both"/>
        <w:rPr>
          <w:rFonts w:ascii="宋体" w:hAnsi="宋体" w:cs="宋体" w:eastAsia="宋体" w:hint="default"/>
          <w:sz w:val="15"/>
          <w:szCs w:val="15"/>
        </w:rPr>
      </w:pP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w w:val="100"/>
          <w:sz w:val="15"/>
          <w:szCs w:val="15"/>
        </w:rPr>
        <w:t> </w:t>
      </w:r>
      <w:r>
        <w:rPr>
          <w:rFonts w:ascii="宋体" w:hAnsi="宋体" w:cs="宋体" w:eastAsia="宋体" w:hint="default"/>
          <w:spacing w:val="3"/>
          <w:sz w:val="15"/>
          <w:szCs w:val="15"/>
        </w:rPr>
        <w:t> </w:t>
      </w: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sz w:val="15"/>
          <w:szCs w:val="15"/>
        </w:rPr>
        <w:t>变动计入当期损益</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p>
      <w:pPr>
        <w:tabs>
          <w:tab w:pos="1646" w:val="left" w:leader="none"/>
          <w:tab w:pos="5718" w:val="left" w:leader="none"/>
        </w:tabs>
        <w:spacing w:line="194" w:lineRule="exact" w:before="0"/>
        <w:ind w:left="316" w:right="0" w:firstLine="0"/>
        <w:jc w:val="both"/>
        <w:rPr>
          <w:rFonts w:ascii="宋体" w:hAnsi="宋体" w:cs="宋体" w:eastAsia="宋体" w:hint="default"/>
          <w:sz w:val="15"/>
          <w:szCs w:val="15"/>
        </w:rPr>
      </w:pP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w w:val="100"/>
          <w:sz w:val="15"/>
          <w:szCs w:val="15"/>
        </w:rPr>
        <w:t> </w:t>
      </w:r>
      <w:r>
        <w:rPr>
          <w:rFonts w:ascii="宋体" w:hAnsi="宋体" w:cs="宋体" w:eastAsia="宋体" w:hint="default"/>
          <w:spacing w:val="3"/>
          <w:sz w:val="15"/>
          <w:szCs w:val="15"/>
        </w:rPr>
        <w:t> </w:t>
      </w:r>
      <w:r>
        <w:rPr>
          <w:rFonts w:ascii="宋体" w:hAnsi="宋体" w:cs="宋体" w:eastAsia="宋体" w:hint="default"/>
          <w:w w:val="100"/>
          <w:sz w:val="15"/>
          <w:szCs w:val="15"/>
        </w:rPr>
        <w:t> </w:t>
      </w:r>
      <w:r>
        <w:rPr>
          <w:rFonts w:ascii="宋体" w:hAnsi="宋体" w:cs="宋体" w:eastAsia="宋体" w:hint="default"/>
          <w:sz w:val="15"/>
          <w:szCs w:val="15"/>
        </w:rPr>
        <w:tab/>
        <w:t>(</w:t>
      </w:r>
      <w:r>
        <w:rPr>
          <w:rFonts w:ascii="宋体" w:hAnsi="宋体" w:cs="宋体" w:eastAsia="宋体" w:hint="default"/>
          <w:sz w:val="15"/>
          <w:szCs w:val="15"/>
        </w:rPr>
        <w:t>准则要求</w:t>
      </w:r>
      <w:r>
        <w:rPr>
          <w:rFonts w:ascii="宋体" w:hAnsi="宋体" w:cs="宋体" w:eastAsia="宋体" w:hint="default"/>
          <w:sz w:val="15"/>
          <w:szCs w:val="15"/>
        </w:rPr>
        <w:t>) </w:t>
      </w:r>
    </w:p>
    <w:p>
      <w:pPr>
        <w:tabs>
          <w:tab w:pos="4469" w:val="left" w:leader="none"/>
        </w:tabs>
        <w:spacing w:line="194" w:lineRule="exact" w:before="0"/>
        <w:ind w:left="316" w:right="0" w:firstLine="0"/>
        <w:jc w:val="both"/>
        <w:rPr>
          <w:rFonts w:ascii="宋体" w:hAnsi="宋体" w:cs="宋体" w:eastAsia="宋体" w:hint="default"/>
          <w:sz w:val="15"/>
          <w:szCs w:val="15"/>
        </w:rPr>
      </w:pPr>
      <w:r>
        <w:rPr>
          <w:rFonts w:ascii="宋体" w:hAnsi="宋体" w:cs="宋体" w:eastAsia="宋体" w:hint="default"/>
          <w:sz w:val="15"/>
          <w:szCs w:val="15"/>
        </w:rPr>
        <w:t>股权投资          </w:t>
      </w:r>
      <w:r>
        <w:rPr>
          <w:rFonts w:ascii="宋体" w:hAnsi="宋体" w:cs="宋体" w:eastAsia="宋体" w:hint="default"/>
          <w:spacing w:val="57"/>
          <w:sz w:val="15"/>
          <w:szCs w:val="15"/>
        </w:rPr>
        <w:t> </w:t>
      </w:r>
      <w:r>
        <w:rPr>
          <w:rFonts w:ascii="宋体" w:hAnsi="宋体" w:cs="宋体" w:eastAsia="宋体" w:hint="default"/>
          <w:spacing w:val="57"/>
          <w:sz w:val="15"/>
          <w:szCs w:val="15"/>
        </w:rPr>
      </w:r>
      <w:r>
        <w:rPr>
          <w:rFonts w:ascii="宋体" w:hAnsi="宋体" w:cs="宋体" w:eastAsia="宋体" w:hint="default"/>
          <w:sz w:val="15"/>
          <w:szCs w:val="15"/>
        </w:rPr>
        <w:t>以公允价值计量且其变</w:t>
      </w:r>
      <w:r>
        <w:rPr>
          <w:rFonts w:ascii="宋体" w:hAnsi="宋体" w:cs="宋体" w:eastAsia="宋体" w:hint="default"/>
          <w:sz w:val="15"/>
          <w:szCs w:val="15"/>
        </w:rPr>
        <w:tab/>
        <w:t>167,713,557    </w:t>
      </w:r>
      <w:r>
        <w:rPr>
          <w:rFonts w:ascii="宋体" w:hAnsi="宋体" w:cs="宋体" w:eastAsia="宋体" w:hint="default"/>
          <w:sz w:val="15"/>
          <w:szCs w:val="15"/>
        </w:rPr>
        <w:t>以公允价值计量且其          </w:t>
      </w:r>
      <w:r>
        <w:rPr>
          <w:rFonts w:ascii="宋体" w:hAnsi="宋体" w:cs="宋体" w:eastAsia="宋体" w:hint="default"/>
          <w:spacing w:val="21"/>
          <w:sz w:val="15"/>
          <w:szCs w:val="15"/>
        </w:rPr>
        <w:t> </w:t>
      </w:r>
      <w:r>
        <w:rPr>
          <w:rFonts w:ascii="宋体" w:hAnsi="宋体" w:cs="宋体" w:eastAsia="宋体" w:hint="default"/>
          <w:spacing w:val="21"/>
          <w:sz w:val="15"/>
          <w:szCs w:val="15"/>
        </w:rPr>
      </w:r>
      <w:r>
        <w:rPr>
          <w:rFonts w:ascii="宋体" w:hAnsi="宋体" w:cs="宋体" w:eastAsia="宋体" w:hint="default"/>
          <w:sz w:val="15"/>
          <w:szCs w:val="15"/>
        </w:rPr>
        <w:t>167,713,557</w:t>
      </w:r>
    </w:p>
    <w:p>
      <w:pPr>
        <w:tabs>
          <w:tab w:pos="1646" w:val="left" w:leader="none"/>
          <w:tab w:pos="5566" w:val="left" w:leader="none"/>
        </w:tabs>
        <w:spacing w:line="194" w:lineRule="exact" w:before="0"/>
        <w:ind w:left="316" w:right="0" w:firstLine="0"/>
        <w:jc w:val="both"/>
        <w:rPr>
          <w:rFonts w:ascii="宋体" w:hAnsi="宋体" w:cs="宋体" w:eastAsia="宋体" w:hint="default"/>
          <w:sz w:val="15"/>
          <w:szCs w:val="15"/>
        </w:rPr>
      </w:pP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w w:val="100"/>
          <w:sz w:val="15"/>
          <w:szCs w:val="15"/>
        </w:rPr>
        <w:t> </w:t>
      </w:r>
      <w:r>
        <w:rPr>
          <w:rFonts w:ascii="宋体" w:hAnsi="宋体" w:cs="宋体" w:eastAsia="宋体" w:hint="default"/>
          <w:sz w:val="15"/>
          <w:szCs w:val="15"/>
        </w:rPr>
        <w:t>  </w:t>
      </w:r>
      <w:r>
        <w:rPr>
          <w:rFonts w:ascii="宋体" w:hAnsi="宋体" w:cs="宋体" w:eastAsia="宋体" w:hint="default"/>
          <w:spacing w:val="4"/>
          <w:sz w:val="15"/>
          <w:szCs w:val="15"/>
        </w:rPr>
        <w:t> </w:t>
      </w:r>
      <w:r>
        <w:rPr>
          <w:rFonts w:ascii="宋体" w:hAnsi="宋体" w:cs="宋体" w:eastAsia="宋体" w:hint="default"/>
          <w:spacing w:val="-2"/>
          <w:sz w:val="15"/>
          <w:szCs w:val="15"/>
        </w:rPr>
        <w:t>动计入其他综合收益</w:t>
      </w:r>
      <w:r>
        <w:rPr>
          <w:rFonts w:ascii="宋体" w:hAnsi="宋体" w:cs="宋体" w:eastAsia="宋体" w:hint="default"/>
          <w:spacing w:val="-2"/>
          <w:sz w:val="15"/>
          <w:szCs w:val="15"/>
        </w:rPr>
        <w:tab/>
      </w:r>
      <w:r>
        <w:rPr>
          <w:rFonts w:ascii="宋体" w:hAnsi="宋体" w:cs="宋体" w:eastAsia="宋体" w:hint="default"/>
          <w:spacing w:val="-2"/>
          <w:sz w:val="15"/>
          <w:szCs w:val="15"/>
        </w:rPr>
        <w:t>变动计入当期损益</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p>
      <w:pPr>
        <w:tabs>
          <w:tab w:pos="1646" w:val="left" w:leader="none"/>
          <w:tab w:pos="5718" w:val="left" w:leader="none"/>
        </w:tabs>
        <w:spacing w:line="194" w:lineRule="exact" w:before="0"/>
        <w:ind w:left="316" w:right="0" w:firstLine="0"/>
        <w:jc w:val="both"/>
        <w:rPr>
          <w:rFonts w:ascii="宋体" w:hAnsi="宋体" w:cs="宋体" w:eastAsia="宋体" w:hint="default"/>
          <w:sz w:val="15"/>
          <w:szCs w:val="15"/>
        </w:rPr>
      </w:pP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w w:val="100"/>
          <w:sz w:val="15"/>
          <w:szCs w:val="15"/>
        </w:rPr>
        <w:t> </w:t>
      </w:r>
      <w:r>
        <w:rPr>
          <w:rFonts w:ascii="宋体" w:hAnsi="宋体" w:cs="宋体" w:eastAsia="宋体" w:hint="default"/>
          <w:sz w:val="15"/>
          <w:szCs w:val="15"/>
        </w:rPr>
        <w:t>    </w:t>
      </w:r>
      <w:r>
        <w:rPr>
          <w:rFonts w:ascii="宋体" w:hAnsi="宋体" w:cs="宋体" w:eastAsia="宋体" w:hint="default"/>
          <w:spacing w:val="3"/>
          <w:sz w:val="15"/>
          <w:szCs w:val="15"/>
        </w:rPr>
        <w:t> </w:t>
      </w:r>
      <w:r>
        <w:rPr>
          <w:rFonts w:ascii="宋体" w:hAnsi="宋体" w:cs="宋体" w:eastAsia="宋体" w:hint="default"/>
          <w:spacing w:val="-2"/>
          <w:sz w:val="15"/>
          <w:szCs w:val="15"/>
        </w:rPr>
        <w:t>(</w:t>
      </w:r>
      <w:r>
        <w:rPr>
          <w:rFonts w:ascii="宋体" w:hAnsi="宋体" w:cs="宋体" w:eastAsia="宋体" w:hint="default"/>
          <w:spacing w:val="-2"/>
          <w:sz w:val="15"/>
          <w:szCs w:val="15"/>
        </w:rPr>
        <w:t>可供出售类资产</w:t>
      </w:r>
      <w:r>
        <w:rPr>
          <w:rFonts w:ascii="宋体" w:hAnsi="宋体" w:cs="宋体" w:eastAsia="宋体" w:hint="default"/>
          <w:spacing w:val="-2"/>
          <w:sz w:val="15"/>
          <w:szCs w:val="15"/>
        </w:rPr>
        <w:t>)</w:t>
        <w:tab/>
        <w:t>(</w:t>
      </w:r>
      <w:r>
        <w:rPr>
          <w:rFonts w:ascii="宋体" w:hAnsi="宋体" w:cs="宋体" w:eastAsia="宋体" w:hint="default"/>
          <w:spacing w:val="-2"/>
          <w:sz w:val="15"/>
          <w:szCs w:val="15"/>
        </w:rPr>
        <w:t>准则要求</w:t>
      </w:r>
      <w:r>
        <w:rPr>
          <w:rFonts w:ascii="宋体" w:hAnsi="宋体" w:cs="宋体" w:eastAsia="宋体" w:hint="default"/>
          <w:spacing w:val="-2"/>
          <w:sz w:val="15"/>
          <w:szCs w:val="15"/>
        </w:rPr>
        <w:t>)</w:t>
      </w:r>
      <w:r>
        <w:rPr>
          <w:rFonts w:ascii="宋体" w:hAnsi="宋体" w:cs="宋体" w:eastAsia="宋体" w:hint="default"/>
          <w:sz w:val="15"/>
          <w:szCs w:val="15"/>
        </w:rPr>
        <w:t> </w:t>
      </w:r>
    </w:p>
    <w:p>
      <w:pPr>
        <w:tabs>
          <w:tab w:pos="4469" w:val="left" w:leader="none"/>
        </w:tabs>
        <w:spacing w:line="194" w:lineRule="exact" w:before="0"/>
        <w:ind w:left="316" w:right="0" w:firstLine="0"/>
        <w:jc w:val="both"/>
        <w:rPr>
          <w:rFonts w:ascii="宋体" w:hAnsi="宋体" w:cs="宋体" w:eastAsia="宋体" w:hint="default"/>
          <w:sz w:val="15"/>
          <w:szCs w:val="15"/>
        </w:rPr>
      </w:pPr>
      <w:r>
        <w:rPr>
          <w:rFonts w:ascii="宋体" w:hAnsi="宋体" w:cs="宋体" w:eastAsia="宋体" w:hint="default"/>
          <w:sz w:val="15"/>
          <w:szCs w:val="15"/>
        </w:rPr>
        <w:t>理财产品          </w:t>
      </w:r>
      <w:r>
        <w:rPr>
          <w:rFonts w:ascii="宋体" w:hAnsi="宋体" w:cs="宋体" w:eastAsia="宋体" w:hint="default"/>
          <w:spacing w:val="53"/>
          <w:sz w:val="15"/>
          <w:szCs w:val="15"/>
        </w:rPr>
        <w:t> </w:t>
      </w:r>
      <w:r>
        <w:rPr>
          <w:rFonts w:ascii="宋体" w:hAnsi="宋体" w:cs="宋体" w:eastAsia="宋体" w:hint="default"/>
          <w:spacing w:val="53"/>
          <w:sz w:val="15"/>
          <w:szCs w:val="15"/>
        </w:rPr>
      </w:r>
      <w:r>
        <w:rPr>
          <w:rFonts w:ascii="宋体" w:hAnsi="宋体" w:cs="宋体" w:eastAsia="宋体" w:hint="default"/>
          <w:sz w:val="15"/>
          <w:szCs w:val="15"/>
        </w:rPr>
        <w:t>成本计量</w:t>
      </w:r>
      <w:r>
        <w:rPr>
          <w:rFonts w:ascii="宋体" w:hAnsi="宋体" w:cs="宋体" w:eastAsia="宋体" w:hint="default"/>
          <w:sz w:val="15"/>
          <w:szCs w:val="15"/>
        </w:rPr>
        <w:t>(</w:t>
      </w:r>
      <w:r>
        <w:rPr>
          <w:rFonts w:ascii="宋体" w:hAnsi="宋体" w:cs="宋体" w:eastAsia="宋体" w:hint="default"/>
          <w:sz w:val="15"/>
          <w:szCs w:val="15"/>
        </w:rPr>
        <w:t>可供出售类资产</w:t>
      </w:r>
      <w:r>
        <w:rPr>
          <w:rFonts w:ascii="宋体" w:hAnsi="宋体" w:cs="宋体" w:eastAsia="宋体" w:hint="default"/>
          <w:sz w:val="15"/>
          <w:szCs w:val="15"/>
        </w:rPr>
        <w:t>)</w:t>
        <w:tab/>
        <w:t>411,143,000 </w:t>
      </w:r>
      <w:r>
        <w:rPr>
          <w:rFonts w:ascii="宋体" w:hAnsi="宋体" w:cs="宋体" w:eastAsia="宋体" w:hint="default"/>
          <w:sz w:val="15"/>
          <w:szCs w:val="15"/>
        </w:rPr>
        <w:t>以公允价值计量且其             </w:t>
      </w:r>
      <w:r>
        <w:rPr>
          <w:rFonts w:ascii="宋体" w:hAnsi="宋体" w:cs="宋体" w:eastAsia="宋体" w:hint="default"/>
          <w:spacing w:val="22"/>
          <w:sz w:val="15"/>
          <w:szCs w:val="15"/>
        </w:rPr>
        <w:t> </w:t>
      </w:r>
      <w:r>
        <w:rPr>
          <w:rFonts w:ascii="宋体" w:hAnsi="宋体" w:cs="宋体" w:eastAsia="宋体" w:hint="default"/>
          <w:spacing w:val="22"/>
          <w:sz w:val="15"/>
          <w:szCs w:val="15"/>
        </w:rPr>
      </w:r>
      <w:r>
        <w:rPr>
          <w:rFonts w:ascii="宋体" w:hAnsi="宋体" w:cs="宋体" w:eastAsia="宋体" w:hint="default"/>
          <w:sz w:val="15"/>
          <w:szCs w:val="15"/>
        </w:rPr>
        <w:t>421,886,644</w:t>
      </w:r>
    </w:p>
    <w:p>
      <w:pPr>
        <w:tabs>
          <w:tab w:pos="1646" w:val="left" w:leader="none"/>
          <w:tab w:pos="5566" w:val="left" w:leader="none"/>
        </w:tabs>
        <w:spacing w:line="194" w:lineRule="exact" w:before="0"/>
        <w:ind w:left="316" w:right="0" w:firstLine="0"/>
        <w:jc w:val="both"/>
        <w:rPr>
          <w:rFonts w:ascii="宋体" w:hAnsi="宋体" w:cs="宋体" w:eastAsia="宋体" w:hint="default"/>
          <w:sz w:val="15"/>
          <w:szCs w:val="15"/>
        </w:rPr>
      </w:pP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w w:val="100"/>
          <w:sz w:val="15"/>
          <w:szCs w:val="15"/>
        </w:rPr>
        <w:t> </w:t>
      </w:r>
      <w:r>
        <w:rPr>
          <w:rFonts w:ascii="宋体" w:hAnsi="宋体" w:cs="宋体" w:eastAsia="宋体" w:hint="default"/>
          <w:spacing w:val="3"/>
          <w:sz w:val="15"/>
          <w:szCs w:val="15"/>
        </w:rPr>
        <w:t> </w:t>
      </w: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sz w:val="15"/>
          <w:szCs w:val="15"/>
        </w:rPr>
        <w:t>变动计入当期损益</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p>
      <w:pPr>
        <w:tabs>
          <w:tab w:pos="1646" w:val="left" w:leader="none"/>
          <w:tab w:pos="5718" w:val="left" w:leader="none"/>
        </w:tabs>
        <w:spacing w:line="186" w:lineRule="exact" w:before="0"/>
        <w:ind w:left="316" w:right="0" w:firstLine="0"/>
        <w:jc w:val="both"/>
        <w:rPr>
          <w:rFonts w:ascii="宋体" w:hAnsi="宋体" w:cs="宋体" w:eastAsia="宋体" w:hint="default"/>
          <w:sz w:val="15"/>
          <w:szCs w:val="15"/>
        </w:rPr>
      </w:pPr>
      <w:r>
        <w:rPr>
          <w:rFonts w:ascii="宋体" w:hAnsi="宋体" w:cs="宋体" w:eastAsia="宋体" w:hint="default"/>
          <w:w w:val="100"/>
          <w:sz w:val="15"/>
          <w:szCs w:val="15"/>
        </w:rPr>
        <w:t> </w:t>
      </w:r>
      <w:r>
        <w:rPr>
          <w:rFonts w:ascii="宋体" w:hAnsi="宋体" w:cs="宋体" w:eastAsia="宋体" w:hint="default"/>
          <w:sz w:val="15"/>
          <w:szCs w:val="15"/>
        </w:rPr>
        <w:tab/>
      </w:r>
      <w:r>
        <w:rPr>
          <w:rFonts w:ascii="宋体" w:hAnsi="宋体" w:cs="宋体" w:eastAsia="宋体" w:hint="default"/>
          <w:w w:val="100"/>
          <w:sz w:val="15"/>
          <w:szCs w:val="15"/>
        </w:rPr>
        <w:t> </w:t>
      </w:r>
      <w:r>
        <w:rPr>
          <w:rFonts w:ascii="宋体" w:hAnsi="宋体" w:cs="宋体" w:eastAsia="宋体" w:hint="default"/>
          <w:spacing w:val="3"/>
          <w:sz w:val="15"/>
          <w:szCs w:val="15"/>
        </w:rPr>
        <w:t> </w:t>
      </w:r>
      <w:r>
        <w:rPr>
          <w:rFonts w:ascii="宋体" w:hAnsi="宋体" w:cs="宋体" w:eastAsia="宋体" w:hint="default"/>
          <w:w w:val="100"/>
          <w:sz w:val="15"/>
          <w:szCs w:val="15"/>
        </w:rPr>
        <w:t> </w:t>
      </w:r>
      <w:r>
        <w:rPr>
          <w:rFonts w:ascii="宋体" w:hAnsi="宋体" w:cs="宋体" w:eastAsia="宋体" w:hint="default"/>
          <w:sz w:val="15"/>
          <w:szCs w:val="15"/>
        </w:rPr>
        <w:tab/>
        <w:t>(</w:t>
      </w:r>
      <w:r>
        <w:rPr>
          <w:rFonts w:ascii="宋体" w:hAnsi="宋体" w:cs="宋体" w:eastAsia="宋体" w:hint="default"/>
          <w:sz w:val="15"/>
          <w:szCs w:val="15"/>
        </w:rPr>
        <w:t>准则要求</w:t>
      </w:r>
      <w:r>
        <w:rPr>
          <w:rFonts w:ascii="宋体" w:hAnsi="宋体" w:cs="宋体" w:eastAsia="宋体" w:hint="default"/>
          <w:sz w:val="15"/>
          <w:szCs w:val="15"/>
        </w:rPr>
        <w:t>) </w:t>
      </w:r>
    </w:p>
    <w:p>
      <w:pPr>
        <w:pStyle w:val="BodyText"/>
        <w:spacing w:line="305" w:lineRule="exact"/>
        <w:ind w:left="316" w:right="0"/>
        <w:jc w:val="both"/>
        <w:rPr>
          <w:rFonts w:ascii="宋体" w:hAnsi="宋体" w:cs="宋体" w:eastAsia="宋体" w:hint="default"/>
        </w:rPr>
      </w:pPr>
      <w:r>
        <w:rPr/>
        <w:t>本公司</w:t>
      </w:r>
      <w:r>
        <w:rPr>
          <w:rFonts w:ascii="宋体" w:hAnsi="宋体" w:cs="宋体" w:eastAsia="宋体" w:hint="default"/>
        </w:rPr>
        <w:t> </w:t>
      </w:r>
    </w:p>
    <w:p>
      <w:pPr>
        <w:spacing w:before="1"/>
        <w:ind w:left="316" w:right="0" w:firstLine="0"/>
        <w:jc w:val="both"/>
        <w:rPr>
          <w:rFonts w:ascii="宋体" w:hAnsi="宋体" w:cs="宋体" w:eastAsia="宋体" w:hint="default"/>
          <w:sz w:val="18"/>
          <w:szCs w:val="18"/>
        </w:rPr>
      </w:pPr>
      <w:r>
        <w:rPr>
          <w:rFonts w:ascii="宋体"/>
          <w:sz w:val="18"/>
        </w:rPr>
        <w:t> </w:t>
      </w:r>
    </w:p>
    <w:p>
      <w:pPr>
        <w:spacing w:before="10"/>
        <w:ind w:left="1716" w:right="0" w:firstLine="0"/>
        <w:jc w:val="left"/>
        <w:rPr>
          <w:rFonts w:ascii="宋体" w:hAnsi="宋体" w:cs="宋体" w:eastAsia="宋体" w:hint="default"/>
          <w:sz w:val="15"/>
          <w:szCs w:val="15"/>
        </w:rPr>
      </w:pPr>
      <w:r>
        <w:rPr/>
        <w:pict>
          <v:shape style="position:absolute;margin-left:53.84pt;margin-top:2.762889pt;width:435.9pt;height:134.050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79"/>
                    <w:gridCol w:w="327"/>
                    <w:gridCol w:w="74"/>
                    <w:gridCol w:w="2424"/>
                    <w:gridCol w:w="1096"/>
                    <w:gridCol w:w="327"/>
                    <w:gridCol w:w="1932"/>
                    <w:gridCol w:w="1260"/>
                  </w:tblGrid>
                  <w:tr>
                    <w:trPr>
                      <w:trHeight w:val="173" w:hRule="exact"/>
                    </w:trPr>
                    <w:tc>
                      <w:tcPr>
                        <w:tcW w:w="1279" w:type="dxa"/>
                        <w:tcBorders>
                          <w:top w:val="nil" w:sz="6" w:space="0" w:color="auto"/>
                          <w:left w:val="nil" w:sz="6" w:space="0" w:color="auto"/>
                          <w:bottom w:val="nil" w:sz="6" w:space="0" w:color="auto"/>
                          <w:right w:val="nil" w:sz="6" w:space="0" w:color="auto"/>
                        </w:tcBorders>
                      </w:tcPr>
                      <w:p>
                        <w:pPr/>
                      </w:p>
                    </w:tc>
                    <w:tc>
                      <w:tcPr>
                        <w:tcW w:w="327" w:type="dxa"/>
                        <w:tcBorders>
                          <w:top w:val="nil" w:sz="6" w:space="0" w:color="auto"/>
                          <w:left w:val="nil" w:sz="6" w:space="0" w:color="auto"/>
                          <w:bottom w:val="nil" w:sz="6" w:space="0" w:color="auto"/>
                          <w:right w:val="nil" w:sz="6" w:space="0" w:color="auto"/>
                        </w:tcBorders>
                      </w:tcPr>
                      <w:p>
                        <w:pPr>
                          <w:pStyle w:val="TableParagraph"/>
                          <w:spacing w:line="151"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3520" w:type="dxa"/>
                        <w:gridSpan w:val="2"/>
                        <w:tcBorders>
                          <w:top w:val="nil" w:sz="6" w:space="0" w:color="auto"/>
                          <w:left w:val="nil" w:sz="6" w:space="0" w:color="auto"/>
                          <w:bottom w:val="nil" w:sz="6" w:space="0" w:color="auto"/>
                          <w:right w:val="nil" w:sz="6" w:space="0" w:color="auto"/>
                        </w:tcBorders>
                      </w:tcPr>
                      <w:p>
                        <w:pPr>
                          <w:pStyle w:val="TableParagraph"/>
                          <w:spacing w:line="151" w:lineRule="exact"/>
                          <w:ind w:left="625" w:right="0"/>
                          <w:jc w:val="left"/>
                          <w:rPr>
                            <w:rFonts w:ascii="宋体" w:hAnsi="宋体" w:cs="宋体" w:eastAsia="宋体" w:hint="default"/>
                            <w:sz w:val="15"/>
                            <w:szCs w:val="15"/>
                          </w:rPr>
                        </w:pPr>
                        <w:r>
                          <w:rPr>
                            <w:rFonts w:ascii="宋体" w:hAnsi="宋体" w:cs="宋体" w:eastAsia="宋体" w:hint="default"/>
                            <w:sz w:val="15"/>
                            <w:szCs w:val="15"/>
                          </w:rPr>
                          <w:t>修订前的金融工具确认和计量准则</w:t>
                        </w:r>
                        <w:r>
                          <w:rPr>
                            <w:rFonts w:ascii="宋体" w:hAnsi="宋体" w:cs="宋体" w:eastAsia="宋体" w:hint="default"/>
                            <w:sz w:val="15"/>
                            <w:szCs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51" w:lineRule="exact"/>
                          <w:ind w:left="18" w:right="0"/>
                          <w:jc w:val="left"/>
                          <w:rPr>
                            <w:rFonts w:ascii="宋体" w:hAnsi="宋体" w:cs="宋体" w:eastAsia="宋体" w:hint="default"/>
                            <w:sz w:val="15"/>
                            <w:szCs w:val="15"/>
                          </w:rPr>
                        </w:pPr>
                        <w:r>
                          <w:rPr>
                            <w:rFonts w:ascii="宋体"/>
                            <w:w w:val="100"/>
                            <w:sz w:val="15"/>
                          </w:rPr>
                          <w:t> </w:t>
                        </w:r>
                      </w:p>
                    </w:tc>
                    <w:tc>
                      <w:tcPr>
                        <w:tcW w:w="3191" w:type="dxa"/>
                        <w:gridSpan w:val="2"/>
                        <w:tcBorders>
                          <w:top w:val="nil" w:sz="6" w:space="0" w:color="auto"/>
                          <w:left w:val="nil" w:sz="6" w:space="0" w:color="auto"/>
                          <w:bottom w:val="nil" w:sz="6" w:space="0" w:color="auto"/>
                          <w:right w:val="nil" w:sz="6" w:space="0" w:color="auto"/>
                        </w:tcBorders>
                      </w:tcPr>
                      <w:p>
                        <w:pPr>
                          <w:pStyle w:val="TableParagraph"/>
                          <w:spacing w:line="151" w:lineRule="exact"/>
                          <w:ind w:left="233" w:right="0"/>
                          <w:jc w:val="left"/>
                          <w:rPr>
                            <w:rFonts w:ascii="宋体" w:hAnsi="宋体" w:cs="宋体" w:eastAsia="宋体" w:hint="default"/>
                            <w:sz w:val="15"/>
                            <w:szCs w:val="15"/>
                          </w:rPr>
                        </w:pPr>
                        <w:r>
                          <w:rPr>
                            <w:rFonts w:ascii="宋体" w:hAnsi="宋体" w:cs="宋体" w:eastAsia="宋体" w:hint="default"/>
                            <w:sz w:val="15"/>
                            <w:szCs w:val="15"/>
                          </w:rPr>
                          <w:t>修订后的金融工具确认和计量准则</w:t>
                        </w:r>
                        <w:r>
                          <w:rPr>
                            <w:rFonts w:ascii="宋体" w:hAnsi="宋体" w:cs="宋体" w:eastAsia="宋体" w:hint="default"/>
                            <w:sz w:val="15"/>
                            <w:szCs w:val="15"/>
                          </w:rPr>
                          <w:t> </w:t>
                        </w: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spacing w:val="-1"/>
                            <w:w w:val="100"/>
                            <w:sz w:val="15"/>
                          </w:rPr>
                          <w:t> </w:t>
                        </w:r>
                        <w:r>
                          <w:rPr>
                            <w:rFonts w:ascii="宋体"/>
                            <w:w w:val="100"/>
                            <w:sz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1571" w:right="0"/>
                          <w:jc w:val="left"/>
                          <w:rPr>
                            <w:rFonts w:ascii="宋体" w:hAnsi="宋体" w:cs="宋体" w:eastAsia="宋体" w:hint="default"/>
                            <w:sz w:val="15"/>
                            <w:szCs w:val="15"/>
                          </w:rPr>
                        </w:pPr>
                        <w:r>
                          <w:rPr>
                            <w:rFonts w:ascii="宋体" w:hAnsi="宋体" w:cs="宋体" w:eastAsia="宋体" w:hint="default"/>
                            <w:sz w:val="15"/>
                            <w:szCs w:val="15"/>
                          </w:rPr>
                          <w:t>计量类别</w:t>
                        </w:r>
                      </w:p>
                    </w:tc>
                    <w:tc>
                      <w:tcPr>
                        <w:tcW w:w="1096" w:type="dxa"/>
                        <w:tcBorders>
                          <w:top w:val="nil" w:sz="6" w:space="0" w:color="auto"/>
                          <w:left w:val="nil" w:sz="6" w:space="0" w:color="auto"/>
                          <w:bottom w:val="nil" w:sz="6" w:space="0" w:color="auto"/>
                          <w:right w:val="nil" w:sz="6" w:space="0" w:color="auto"/>
                        </w:tcBorders>
                      </w:tcPr>
                      <w:p>
                        <w:pPr>
                          <w:pStyle w:val="TableParagraph"/>
                          <w:spacing w:line="173" w:lineRule="exact"/>
                          <w:ind w:right="16"/>
                          <w:jc w:val="right"/>
                          <w:rPr>
                            <w:rFonts w:ascii="宋体" w:hAnsi="宋体" w:cs="宋体" w:eastAsia="宋体" w:hint="default"/>
                            <w:sz w:val="15"/>
                            <w:szCs w:val="15"/>
                          </w:rPr>
                        </w:pPr>
                        <w:r>
                          <w:rPr>
                            <w:rFonts w:ascii="宋体" w:hAnsi="宋体" w:cs="宋体" w:eastAsia="宋体" w:hint="default"/>
                            <w:spacing w:val="-1"/>
                            <w:sz w:val="15"/>
                            <w:szCs w:val="15"/>
                          </w:rPr>
                          <w:t>账面价值</w:t>
                        </w:r>
                      </w:p>
                    </w:tc>
                    <w:tc>
                      <w:tcPr>
                        <w:tcW w:w="327" w:type="dxa"/>
                        <w:tcBorders>
                          <w:top w:val="nil" w:sz="6" w:space="0" w:color="auto"/>
                          <w:left w:val="nil" w:sz="6" w:space="0" w:color="auto"/>
                          <w:bottom w:val="nil" w:sz="6" w:space="0" w:color="auto"/>
                          <w:right w:val="nil" w:sz="6" w:space="0" w:color="auto"/>
                        </w:tcBorders>
                      </w:tcPr>
                      <w:p>
                        <w:pPr/>
                      </w:p>
                    </w:tc>
                    <w:tc>
                      <w:tcPr>
                        <w:tcW w:w="1932" w:type="dxa"/>
                        <w:tcBorders>
                          <w:top w:val="nil" w:sz="6" w:space="0" w:color="auto"/>
                          <w:left w:val="nil" w:sz="6" w:space="0" w:color="auto"/>
                          <w:bottom w:val="nil" w:sz="6" w:space="0" w:color="auto"/>
                          <w:right w:val="nil" w:sz="6" w:space="0" w:color="auto"/>
                        </w:tcBorders>
                      </w:tcPr>
                      <w:p>
                        <w:pPr>
                          <w:pStyle w:val="TableParagraph"/>
                          <w:spacing w:line="173" w:lineRule="exact"/>
                          <w:ind w:left="1097" w:right="0"/>
                          <w:jc w:val="left"/>
                          <w:rPr>
                            <w:rFonts w:ascii="宋体" w:hAnsi="宋体" w:cs="宋体" w:eastAsia="宋体" w:hint="default"/>
                            <w:sz w:val="15"/>
                            <w:szCs w:val="15"/>
                          </w:rPr>
                        </w:pPr>
                        <w:r>
                          <w:rPr>
                            <w:rFonts w:ascii="宋体" w:hAnsi="宋体" w:cs="宋体" w:eastAsia="宋体" w:hint="default"/>
                            <w:sz w:val="15"/>
                            <w:szCs w:val="15"/>
                          </w:rPr>
                          <w:t>计量类别</w:t>
                        </w:r>
                      </w:p>
                    </w:tc>
                    <w:tc>
                      <w:tcPr>
                        <w:tcW w:w="1260" w:type="dxa"/>
                        <w:tcBorders>
                          <w:top w:val="nil" w:sz="6" w:space="0" w:color="auto"/>
                          <w:left w:val="nil" w:sz="6" w:space="0" w:color="auto"/>
                          <w:bottom w:val="nil" w:sz="6" w:space="0" w:color="auto"/>
                          <w:right w:val="nil" w:sz="6" w:space="0" w:color="auto"/>
                        </w:tcBorders>
                      </w:tcPr>
                      <w:p>
                        <w:pPr>
                          <w:pStyle w:val="TableParagraph"/>
                          <w:spacing w:line="173" w:lineRule="exact"/>
                          <w:ind w:right="198"/>
                          <w:jc w:val="right"/>
                          <w:rPr>
                            <w:rFonts w:ascii="宋体" w:hAnsi="宋体" w:cs="宋体" w:eastAsia="宋体" w:hint="default"/>
                            <w:sz w:val="15"/>
                            <w:szCs w:val="15"/>
                          </w:rPr>
                        </w:pPr>
                        <w:r>
                          <w:rPr>
                            <w:rFonts w:ascii="宋体" w:hAnsi="宋体" w:cs="宋体" w:eastAsia="宋体" w:hint="default"/>
                            <w:spacing w:val="-1"/>
                            <w:sz w:val="15"/>
                            <w:szCs w:val="15"/>
                          </w:rPr>
                          <w:t>账面价值</w:t>
                        </w: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2259" w:type="dxa"/>
                        <w:gridSpan w:val="2"/>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应收账款</w:t>
                        </w:r>
                        <w:r>
                          <w:rPr>
                            <w:rFonts w:ascii="宋体" w:hAnsi="宋体" w:cs="宋体" w:eastAsia="宋体" w:hint="default"/>
                            <w:sz w:val="15"/>
                            <w:szCs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4" w:right="0"/>
                          <w:jc w:val="left"/>
                          <w:rPr>
                            <w:rFonts w:ascii="宋体" w:hAnsi="宋体" w:cs="宋体" w:eastAsia="宋体" w:hint="default"/>
                            <w:sz w:val="15"/>
                            <w:szCs w:val="15"/>
                          </w:rPr>
                        </w:pPr>
                        <w:r>
                          <w:rPr>
                            <w:rFonts w:ascii="宋体" w:hAnsi="宋体" w:cs="宋体" w:eastAsia="宋体" w:hint="default"/>
                            <w:sz w:val="15"/>
                            <w:szCs w:val="15"/>
                          </w:rPr>
                          <w:t>摊余成本</w:t>
                        </w:r>
                        <w:r>
                          <w:rPr>
                            <w:rFonts w:ascii="宋体" w:hAnsi="宋体" w:cs="宋体" w:eastAsia="宋体" w:hint="default"/>
                            <w:sz w:val="15"/>
                            <w:szCs w:val="15"/>
                          </w:rPr>
                          <w:t>(</w:t>
                        </w:r>
                        <w:r>
                          <w:rPr>
                            <w:rFonts w:ascii="宋体" w:hAnsi="宋体" w:cs="宋体" w:eastAsia="宋体" w:hint="default"/>
                            <w:sz w:val="15"/>
                            <w:szCs w:val="15"/>
                          </w:rPr>
                          <w:t>贷款和应收款</w:t>
                        </w:r>
                        <w:r>
                          <w:rPr>
                            <w:rFonts w:ascii="宋体" w:hAnsi="宋体" w:cs="宋体" w:eastAsia="宋体" w:hint="default"/>
                            <w:sz w:val="15"/>
                            <w:szCs w:val="15"/>
                          </w:rPr>
                          <w:t>) </w:t>
                        </w:r>
                      </w:p>
                    </w:tc>
                    <w:tc>
                      <w:tcPr>
                        <w:tcW w:w="1096" w:type="dxa"/>
                        <w:tcBorders>
                          <w:top w:val="nil" w:sz="6" w:space="0" w:color="auto"/>
                          <w:left w:val="nil" w:sz="6" w:space="0" w:color="auto"/>
                          <w:bottom w:val="nil" w:sz="6" w:space="0" w:color="auto"/>
                          <w:right w:val="nil" w:sz="6" w:space="0" w:color="auto"/>
                        </w:tcBorders>
                      </w:tcPr>
                      <w:p>
                        <w:pPr>
                          <w:pStyle w:val="TableParagraph"/>
                          <w:spacing w:line="173" w:lineRule="exact"/>
                          <w:ind w:right="17"/>
                          <w:jc w:val="right"/>
                          <w:rPr>
                            <w:rFonts w:ascii="宋体" w:hAnsi="宋体" w:cs="宋体" w:eastAsia="宋体" w:hint="default"/>
                            <w:sz w:val="15"/>
                            <w:szCs w:val="15"/>
                          </w:rPr>
                        </w:pPr>
                        <w:r>
                          <w:rPr>
                            <w:rFonts w:ascii="宋体"/>
                            <w:spacing w:val="-1"/>
                            <w:sz w:val="15"/>
                          </w:rPr>
                          <w:t>606,199,417</w:t>
                        </w:r>
                      </w:p>
                    </w:tc>
                    <w:tc>
                      <w:tcPr>
                        <w:tcW w:w="2259" w:type="dxa"/>
                        <w:gridSpan w:val="2"/>
                        <w:tcBorders>
                          <w:top w:val="nil" w:sz="6" w:space="0" w:color="auto"/>
                          <w:left w:val="nil" w:sz="6" w:space="0" w:color="auto"/>
                          <w:bottom w:val="nil" w:sz="6" w:space="0" w:color="auto"/>
                          <w:right w:val="nil" w:sz="6" w:space="0" w:color="auto"/>
                        </w:tcBorders>
                      </w:tcPr>
                      <w:p>
                        <w:pPr>
                          <w:pStyle w:val="TableParagraph"/>
                          <w:spacing w:line="173" w:lineRule="exact"/>
                          <w:ind w:left="58" w:right="0"/>
                          <w:jc w:val="left"/>
                          <w:rPr>
                            <w:rFonts w:ascii="宋体" w:hAnsi="宋体" w:cs="宋体" w:eastAsia="宋体" w:hint="default"/>
                            <w:sz w:val="15"/>
                            <w:szCs w:val="15"/>
                          </w:rPr>
                        </w:pPr>
                        <w:r>
                          <w:rPr>
                            <w:rFonts w:ascii="宋体" w:hAnsi="宋体" w:cs="宋体" w:eastAsia="宋体" w:hint="default"/>
                            <w:sz w:val="15"/>
                            <w:szCs w:val="15"/>
                          </w:rPr>
                          <w:t>摊余成本</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tc>
                    <w:tc>
                      <w:tcPr>
                        <w:tcW w:w="1260" w:type="dxa"/>
                        <w:tcBorders>
                          <w:top w:val="nil" w:sz="6" w:space="0" w:color="auto"/>
                          <w:left w:val="nil" w:sz="6" w:space="0" w:color="auto"/>
                          <w:bottom w:val="nil" w:sz="6" w:space="0" w:color="auto"/>
                          <w:right w:val="nil" w:sz="6" w:space="0" w:color="auto"/>
                        </w:tcBorders>
                      </w:tcPr>
                      <w:p>
                        <w:pPr>
                          <w:pStyle w:val="TableParagraph"/>
                          <w:spacing w:line="173" w:lineRule="exact"/>
                          <w:ind w:right="199"/>
                          <w:jc w:val="right"/>
                          <w:rPr>
                            <w:rFonts w:ascii="宋体" w:hAnsi="宋体" w:cs="宋体" w:eastAsia="宋体" w:hint="default"/>
                            <w:sz w:val="15"/>
                            <w:szCs w:val="15"/>
                          </w:rPr>
                        </w:pPr>
                        <w:r>
                          <w:rPr>
                            <w:rFonts w:ascii="宋体"/>
                            <w:spacing w:val="-1"/>
                            <w:sz w:val="15"/>
                          </w:rPr>
                          <w:t>557,028,682</w:t>
                        </w: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其他应收款</w:t>
                        </w:r>
                        <w:r>
                          <w:rPr>
                            <w:rFonts w:ascii="宋体" w:hAnsi="宋体" w:cs="宋体" w:eastAsia="宋体" w:hint="default"/>
                            <w:sz w:val="15"/>
                            <w:szCs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4" w:right="0"/>
                          <w:jc w:val="left"/>
                          <w:rPr>
                            <w:rFonts w:ascii="宋体" w:hAnsi="宋体" w:cs="宋体" w:eastAsia="宋体" w:hint="default"/>
                            <w:sz w:val="15"/>
                            <w:szCs w:val="15"/>
                          </w:rPr>
                        </w:pPr>
                        <w:r>
                          <w:rPr>
                            <w:rFonts w:ascii="宋体" w:hAnsi="宋体" w:cs="宋体" w:eastAsia="宋体" w:hint="default"/>
                            <w:sz w:val="15"/>
                            <w:szCs w:val="15"/>
                          </w:rPr>
                          <w:t>摊余成本</w:t>
                        </w:r>
                        <w:r>
                          <w:rPr>
                            <w:rFonts w:ascii="宋体" w:hAnsi="宋体" w:cs="宋体" w:eastAsia="宋体" w:hint="default"/>
                            <w:sz w:val="15"/>
                            <w:szCs w:val="15"/>
                          </w:rPr>
                          <w:t>(</w:t>
                        </w:r>
                        <w:r>
                          <w:rPr>
                            <w:rFonts w:ascii="宋体" w:hAnsi="宋体" w:cs="宋体" w:eastAsia="宋体" w:hint="default"/>
                            <w:sz w:val="15"/>
                            <w:szCs w:val="15"/>
                          </w:rPr>
                          <w:t>贷款和应收款</w:t>
                        </w:r>
                        <w:r>
                          <w:rPr>
                            <w:rFonts w:ascii="宋体" w:hAnsi="宋体" w:cs="宋体" w:eastAsia="宋体" w:hint="default"/>
                            <w:sz w:val="15"/>
                            <w:szCs w:val="15"/>
                          </w:rPr>
                          <w:t>) </w:t>
                        </w:r>
                      </w:p>
                    </w:tc>
                    <w:tc>
                      <w:tcPr>
                        <w:tcW w:w="1096" w:type="dxa"/>
                        <w:tcBorders>
                          <w:top w:val="nil" w:sz="6" w:space="0" w:color="auto"/>
                          <w:left w:val="nil" w:sz="6" w:space="0" w:color="auto"/>
                          <w:bottom w:val="nil" w:sz="6" w:space="0" w:color="auto"/>
                          <w:right w:val="nil" w:sz="6" w:space="0" w:color="auto"/>
                        </w:tcBorders>
                      </w:tcPr>
                      <w:p>
                        <w:pPr>
                          <w:pStyle w:val="TableParagraph"/>
                          <w:spacing w:line="173" w:lineRule="exact"/>
                          <w:ind w:right="17"/>
                          <w:jc w:val="right"/>
                          <w:rPr>
                            <w:rFonts w:ascii="宋体" w:hAnsi="宋体" w:cs="宋体" w:eastAsia="宋体" w:hint="default"/>
                            <w:sz w:val="15"/>
                            <w:szCs w:val="15"/>
                          </w:rPr>
                        </w:pPr>
                        <w:r>
                          <w:rPr>
                            <w:rFonts w:ascii="宋体"/>
                            <w:spacing w:val="-1"/>
                            <w:sz w:val="15"/>
                          </w:rPr>
                          <w:t>922,376,813</w:t>
                        </w:r>
                      </w:p>
                    </w:tc>
                    <w:tc>
                      <w:tcPr>
                        <w:tcW w:w="2259" w:type="dxa"/>
                        <w:gridSpan w:val="2"/>
                        <w:tcBorders>
                          <w:top w:val="nil" w:sz="6" w:space="0" w:color="auto"/>
                          <w:left w:val="nil" w:sz="6" w:space="0" w:color="auto"/>
                          <w:bottom w:val="nil" w:sz="6" w:space="0" w:color="auto"/>
                          <w:right w:val="nil" w:sz="6" w:space="0" w:color="auto"/>
                        </w:tcBorders>
                      </w:tcPr>
                      <w:p>
                        <w:pPr>
                          <w:pStyle w:val="TableParagraph"/>
                          <w:spacing w:line="173" w:lineRule="exact"/>
                          <w:ind w:left="58" w:right="0"/>
                          <w:jc w:val="left"/>
                          <w:rPr>
                            <w:rFonts w:ascii="宋体" w:hAnsi="宋体" w:cs="宋体" w:eastAsia="宋体" w:hint="default"/>
                            <w:sz w:val="15"/>
                            <w:szCs w:val="15"/>
                          </w:rPr>
                        </w:pPr>
                        <w:r>
                          <w:rPr>
                            <w:rFonts w:ascii="宋体" w:hAnsi="宋体" w:cs="宋体" w:eastAsia="宋体" w:hint="default"/>
                            <w:sz w:val="15"/>
                            <w:szCs w:val="15"/>
                          </w:rPr>
                          <w:t>摊余成本</w:t>
                        </w:r>
                        <w:r>
                          <w:rPr>
                            <w:rFonts w:ascii="宋体" w:hAnsi="宋体" w:cs="宋体" w:eastAsia="宋体" w:hint="default"/>
                            <w:sz w:val="15"/>
                            <w:szCs w:val="15"/>
                          </w:rPr>
                          <w:t> </w:t>
                        </w:r>
                      </w:p>
                    </w:tc>
                    <w:tc>
                      <w:tcPr>
                        <w:tcW w:w="1260" w:type="dxa"/>
                        <w:tcBorders>
                          <w:top w:val="nil" w:sz="6" w:space="0" w:color="auto"/>
                          <w:left w:val="nil" w:sz="6" w:space="0" w:color="auto"/>
                          <w:bottom w:val="nil" w:sz="6" w:space="0" w:color="auto"/>
                          <w:right w:val="nil" w:sz="6" w:space="0" w:color="auto"/>
                        </w:tcBorders>
                      </w:tcPr>
                      <w:p>
                        <w:pPr>
                          <w:pStyle w:val="TableParagraph"/>
                          <w:spacing w:line="173" w:lineRule="exact"/>
                          <w:ind w:right="199"/>
                          <w:jc w:val="right"/>
                          <w:rPr>
                            <w:rFonts w:ascii="宋体" w:hAnsi="宋体" w:cs="宋体" w:eastAsia="宋体" w:hint="default"/>
                            <w:sz w:val="15"/>
                            <w:szCs w:val="15"/>
                          </w:rPr>
                        </w:pPr>
                        <w:r>
                          <w:rPr>
                            <w:rFonts w:ascii="宋体"/>
                            <w:spacing w:val="-1"/>
                            <w:sz w:val="15"/>
                          </w:rPr>
                          <w:t>920,038,562</w:t>
                        </w: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股权投资</w:t>
                        </w:r>
                        <w:r>
                          <w:rPr>
                            <w:rFonts w:ascii="宋体" w:hAnsi="宋体" w:cs="宋体" w:eastAsia="宋体" w:hint="default"/>
                            <w:sz w:val="15"/>
                            <w:szCs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4" w:right="0"/>
                          <w:jc w:val="left"/>
                          <w:rPr>
                            <w:rFonts w:ascii="宋体" w:hAnsi="宋体" w:cs="宋体" w:eastAsia="宋体" w:hint="default"/>
                            <w:sz w:val="15"/>
                            <w:szCs w:val="15"/>
                          </w:rPr>
                        </w:pPr>
                        <w:r>
                          <w:rPr>
                            <w:rFonts w:ascii="宋体" w:hAnsi="宋体" w:cs="宋体" w:eastAsia="宋体" w:hint="default"/>
                            <w:sz w:val="15"/>
                            <w:szCs w:val="15"/>
                          </w:rPr>
                          <w:t>成本计量</w:t>
                        </w:r>
                        <w:r>
                          <w:rPr>
                            <w:rFonts w:ascii="宋体" w:hAnsi="宋体" w:cs="宋体" w:eastAsia="宋体" w:hint="default"/>
                            <w:sz w:val="15"/>
                            <w:szCs w:val="15"/>
                          </w:rPr>
                          <w:t>(</w:t>
                        </w:r>
                        <w:r>
                          <w:rPr>
                            <w:rFonts w:ascii="宋体" w:hAnsi="宋体" w:cs="宋体" w:eastAsia="宋体" w:hint="default"/>
                            <w:sz w:val="15"/>
                            <w:szCs w:val="15"/>
                          </w:rPr>
                          <w:t>可供出售类资产</w:t>
                        </w:r>
                        <w:r>
                          <w:rPr>
                            <w:rFonts w:ascii="宋体" w:hAnsi="宋体" w:cs="宋体" w:eastAsia="宋体" w:hint="default"/>
                            <w:sz w:val="15"/>
                            <w:szCs w:val="15"/>
                          </w:rPr>
                          <w:t>) </w:t>
                        </w:r>
                      </w:p>
                    </w:tc>
                    <w:tc>
                      <w:tcPr>
                        <w:tcW w:w="1096" w:type="dxa"/>
                        <w:tcBorders>
                          <w:top w:val="nil" w:sz="6" w:space="0" w:color="auto"/>
                          <w:left w:val="nil" w:sz="6" w:space="0" w:color="auto"/>
                          <w:bottom w:val="nil" w:sz="6" w:space="0" w:color="auto"/>
                          <w:right w:val="nil" w:sz="6" w:space="0" w:color="auto"/>
                        </w:tcBorders>
                      </w:tcPr>
                      <w:p>
                        <w:pPr>
                          <w:pStyle w:val="TableParagraph"/>
                          <w:spacing w:line="173" w:lineRule="exact"/>
                          <w:ind w:right="17"/>
                          <w:jc w:val="right"/>
                          <w:rPr>
                            <w:rFonts w:ascii="宋体" w:hAnsi="宋体" w:cs="宋体" w:eastAsia="宋体" w:hint="default"/>
                            <w:sz w:val="15"/>
                            <w:szCs w:val="15"/>
                          </w:rPr>
                        </w:pPr>
                        <w:r>
                          <w:rPr>
                            <w:rFonts w:ascii="宋体"/>
                            <w:spacing w:val="-1"/>
                            <w:sz w:val="15"/>
                          </w:rPr>
                          <w:t>470,360,000</w:t>
                        </w:r>
                      </w:p>
                    </w:tc>
                    <w:tc>
                      <w:tcPr>
                        <w:tcW w:w="2259" w:type="dxa"/>
                        <w:gridSpan w:val="2"/>
                        <w:tcBorders>
                          <w:top w:val="nil" w:sz="6" w:space="0" w:color="auto"/>
                          <w:left w:val="nil" w:sz="6" w:space="0" w:color="auto"/>
                          <w:bottom w:val="nil" w:sz="6" w:space="0" w:color="auto"/>
                          <w:right w:val="nil" w:sz="6" w:space="0" w:color="auto"/>
                        </w:tcBorders>
                      </w:tcPr>
                      <w:p>
                        <w:pPr>
                          <w:pStyle w:val="TableParagraph"/>
                          <w:spacing w:line="173" w:lineRule="exact"/>
                          <w:ind w:left="58" w:right="0"/>
                          <w:jc w:val="left"/>
                          <w:rPr>
                            <w:rFonts w:ascii="宋体" w:hAnsi="宋体" w:cs="宋体" w:eastAsia="宋体" w:hint="default"/>
                            <w:sz w:val="15"/>
                            <w:szCs w:val="15"/>
                          </w:rPr>
                        </w:pPr>
                        <w:r>
                          <w:rPr>
                            <w:rFonts w:ascii="宋体" w:hAnsi="宋体" w:cs="宋体" w:eastAsia="宋体" w:hint="default"/>
                            <w:sz w:val="15"/>
                            <w:szCs w:val="15"/>
                          </w:rPr>
                          <w:t>以公允价值计量且其</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tc>
                    <w:tc>
                      <w:tcPr>
                        <w:tcW w:w="1260" w:type="dxa"/>
                        <w:tcBorders>
                          <w:top w:val="nil" w:sz="6" w:space="0" w:color="auto"/>
                          <w:left w:val="nil" w:sz="6" w:space="0" w:color="auto"/>
                          <w:bottom w:val="nil" w:sz="6" w:space="0" w:color="auto"/>
                          <w:right w:val="nil" w:sz="6" w:space="0" w:color="auto"/>
                        </w:tcBorders>
                      </w:tcPr>
                      <w:p>
                        <w:pPr>
                          <w:pStyle w:val="TableParagraph"/>
                          <w:spacing w:line="173" w:lineRule="exact"/>
                          <w:ind w:right="199"/>
                          <w:jc w:val="right"/>
                          <w:rPr>
                            <w:rFonts w:ascii="宋体" w:hAnsi="宋体" w:cs="宋体" w:eastAsia="宋体" w:hint="default"/>
                            <w:sz w:val="15"/>
                            <w:szCs w:val="15"/>
                          </w:rPr>
                        </w:pPr>
                        <w:r>
                          <w:rPr>
                            <w:rFonts w:ascii="宋体"/>
                            <w:spacing w:val="-1"/>
                            <w:sz w:val="15"/>
                          </w:rPr>
                          <w:t>620,957,695</w:t>
                        </w: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4" w:right="0"/>
                          <w:jc w:val="left"/>
                          <w:rPr>
                            <w:rFonts w:ascii="宋体" w:hAnsi="宋体" w:cs="宋体" w:eastAsia="宋体" w:hint="default"/>
                            <w:sz w:val="15"/>
                            <w:szCs w:val="15"/>
                          </w:rPr>
                        </w:pPr>
                        <w:r>
                          <w:rPr>
                            <w:rFonts w:ascii="宋体"/>
                            <w:w w:val="100"/>
                            <w:sz w:val="15"/>
                          </w:rPr>
                          <w:t> </w:t>
                        </w:r>
                      </w:p>
                    </w:tc>
                    <w:tc>
                      <w:tcPr>
                        <w:tcW w:w="1096" w:type="dxa"/>
                        <w:tcBorders>
                          <w:top w:val="nil" w:sz="6" w:space="0" w:color="auto"/>
                          <w:left w:val="nil" w:sz="6" w:space="0" w:color="auto"/>
                          <w:bottom w:val="nil" w:sz="6" w:space="0" w:color="auto"/>
                          <w:right w:val="nil" w:sz="6" w:space="0" w:color="auto"/>
                        </w:tcBorders>
                      </w:tcPr>
                      <w:p>
                        <w:pPr/>
                      </w:p>
                    </w:tc>
                    <w:tc>
                      <w:tcPr>
                        <w:tcW w:w="2259" w:type="dxa"/>
                        <w:gridSpan w:val="2"/>
                        <w:tcBorders>
                          <w:top w:val="nil" w:sz="6" w:space="0" w:color="auto"/>
                          <w:left w:val="nil" w:sz="6" w:space="0" w:color="auto"/>
                          <w:bottom w:val="nil" w:sz="6" w:space="0" w:color="auto"/>
                          <w:right w:val="nil" w:sz="6" w:space="0" w:color="auto"/>
                        </w:tcBorders>
                      </w:tcPr>
                      <w:p>
                        <w:pPr>
                          <w:pStyle w:val="TableParagraph"/>
                          <w:spacing w:line="173" w:lineRule="exact"/>
                          <w:ind w:left="251" w:right="0"/>
                          <w:jc w:val="left"/>
                          <w:rPr>
                            <w:rFonts w:ascii="宋体" w:hAnsi="宋体" w:cs="宋体" w:eastAsia="宋体" w:hint="default"/>
                            <w:sz w:val="15"/>
                            <w:szCs w:val="15"/>
                          </w:rPr>
                        </w:pPr>
                        <w:r>
                          <w:rPr>
                            <w:rFonts w:ascii="宋体" w:hAnsi="宋体" w:cs="宋体" w:eastAsia="宋体" w:hint="default"/>
                            <w:sz w:val="15"/>
                            <w:szCs w:val="15"/>
                          </w:rPr>
                          <w:t>变动计入当期损益</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tc>
                    <w:tc>
                      <w:tcPr>
                        <w:tcW w:w="1260" w:type="dxa"/>
                        <w:tcBorders>
                          <w:top w:val="nil" w:sz="6" w:space="0" w:color="auto"/>
                          <w:left w:val="nil" w:sz="6" w:space="0" w:color="auto"/>
                          <w:bottom w:val="nil" w:sz="6" w:space="0" w:color="auto"/>
                          <w:right w:val="nil" w:sz="6" w:space="0" w:color="auto"/>
                        </w:tcBorders>
                      </w:tcPr>
                      <w:p>
                        <w:pPr/>
                      </w:p>
                    </w:tc>
                  </w:tr>
                  <w:tr>
                    <w:trPr>
                      <w:trHeight w:val="196"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4" w:right="0"/>
                          <w:jc w:val="left"/>
                          <w:rPr>
                            <w:rFonts w:ascii="宋体" w:hAnsi="宋体" w:cs="宋体" w:eastAsia="宋体" w:hint="default"/>
                            <w:sz w:val="15"/>
                            <w:szCs w:val="15"/>
                          </w:rPr>
                        </w:pPr>
                        <w:r>
                          <w:rPr>
                            <w:rFonts w:ascii="宋体"/>
                            <w:w w:val="100"/>
                            <w:sz w:val="15"/>
                          </w:rPr>
                          <w:t> </w:t>
                        </w:r>
                      </w:p>
                    </w:tc>
                    <w:tc>
                      <w:tcPr>
                        <w:tcW w:w="1096" w:type="dxa"/>
                        <w:tcBorders>
                          <w:top w:val="nil" w:sz="6" w:space="0" w:color="auto"/>
                          <w:left w:val="nil" w:sz="6" w:space="0" w:color="auto"/>
                          <w:bottom w:val="nil" w:sz="6" w:space="0" w:color="auto"/>
                          <w:right w:val="nil" w:sz="6" w:space="0" w:color="auto"/>
                        </w:tcBorders>
                      </w:tcPr>
                      <w:p>
                        <w:pPr/>
                      </w:p>
                    </w:tc>
                    <w:tc>
                      <w:tcPr>
                        <w:tcW w:w="327" w:type="dxa"/>
                        <w:tcBorders>
                          <w:top w:val="nil" w:sz="6" w:space="0" w:color="auto"/>
                          <w:left w:val="nil" w:sz="6" w:space="0" w:color="auto"/>
                          <w:bottom w:val="nil" w:sz="6" w:space="0" w:color="auto"/>
                          <w:right w:val="nil" w:sz="6" w:space="0" w:color="auto"/>
                        </w:tcBorders>
                      </w:tcPr>
                      <w:p>
                        <w:pPr/>
                      </w:p>
                    </w:tc>
                    <w:tc>
                      <w:tcPr>
                        <w:tcW w:w="1932" w:type="dxa"/>
                        <w:tcBorders>
                          <w:top w:val="nil" w:sz="6" w:space="0" w:color="auto"/>
                          <w:left w:val="nil" w:sz="6" w:space="0" w:color="auto"/>
                          <w:bottom w:val="nil" w:sz="6" w:space="0" w:color="auto"/>
                          <w:right w:val="nil" w:sz="6" w:space="0" w:color="auto"/>
                        </w:tcBorders>
                      </w:tcPr>
                      <w:p>
                        <w:pPr>
                          <w:pStyle w:val="TableParagraph"/>
                          <w:spacing w:line="173" w:lineRule="exact"/>
                          <w:ind w:left="75"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准则要求</w:t>
                        </w:r>
                        <w:r>
                          <w:rPr>
                            <w:rFonts w:ascii="宋体" w:hAnsi="宋体" w:cs="宋体" w:eastAsia="宋体" w:hint="default"/>
                            <w:sz w:val="15"/>
                            <w:szCs w:val="15"/>
                          </w:rPr>
                          <w:t>) </w:t>
                        </w:r>
                      </w:p>
                    </w:tc>
                    <w:tc>
                      <w:tcPr>
                        <w:tcW w:w="1260" w:type="dxa"/>
                        <w:tcBorders>
                          <w:top w:val="nil" w:sz="6" w:space="0" w:color="auto"/>
                          <w:left w:val="nil" w:sz="6" w:space="0" w:color="auto"/>
                          <w:bottom w:val="nil" w:sz="6" w:space="0" w:color="auto"/>
                          <w:right w:val="nil" w:sz="6" w:space="0" w:color="auto"/>
                        </w:tcBorders>
                      </w:tcPr>
                      <w:p>
                        <w:pPr/>
                      </w:p>
                    </w:tc>
                  </w:tr>
                  <w:tr>
                    <w:trPr>
                      <w:trHeight w:val="196"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4" w:lineRule="exact"/>
                          <w:ind w:left="200" w:right="0"/>
                          <w:jc w:val="left"/>
                          <w:rPr>
                            <w:rFonts w:ascii="宋体" w:hAnsi="宋体" w:cs="宋体" w:eastAsia="宋体" w:hint="default"/>
                            <w:sz w:val="15"/>
                            <w:szCs w:val="15"/>
                          </w:rPr>
                        </w:pPr>
                        <w:r>
                          <w:rPr>
                            <w:rFonts w:ascii="宋体" w:hAnsi="宋体" w:cs="宋体" w:eastAsia="宋体" w:hint="default"/>
                            <w:sz w:val="15"/>
                            <w:szCs w:val="15"/>
                          </w:rPr>
                          <w:t>股权投资</w:t>
                        </w:r>
                        <w:r>
                          <w:rPr>
                            <w:rFonts w:ascii="宋体" w:hAnsi="宋体" w:cs="宋体" w:eastAsia="宋体" w:hint="default"/>
                            <w:sz w:val="15"/>
                            <w:szCs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4"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4" w:lineRule="exact"/>
                          <w:ind w:left="4" w:right="0"/>
                          <w:jc w:val="left"/>
                          <w:rPr>
                            <w:rFonts w:ascii="宋体" w:hAnsi="宋体" w:cs="宋体" w:eastAsia="宋体" w:hint="default"/>
                            <w:sz w:val="15"/>
                            <w:szCs w:val="15"/>
                          </w:rPr>
                        </w:pPr>
                        <w:r>
                          <w:rPr>
                            <w:rFonts w:ascii="宋体" w:hAnsi="宋体" w:cs="宋体" w:eastAsia="宋体" w:hint="default"/>
                            <w:sz w:val="15"/>
                            <w:szCs w:val="15"/>
                          </w:rPr>
                          <w:t>以公允价值计量且其变</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tc>
                    <w:tc>
                      <w:tcPr>
                        <w:tcW w:w="1096" w:type="dxa"/>
                        <w:tcBorders>
                          <w:top w:val="nil" w:sz="6" w:space="0" w:color="auto"/>
                          <w:left w:val="nil" w:sz="6" w:space="0" w:color="auto"/>
                          <w:bottom w:val="nil" w:sz="6" w:space="0" w:color="auto"/>
                          <w:right w:val="nil" w:sz="6" w:space="0" w:color="auto"/>
                        </w:tcBorders>
                      </w:tcPr>
                      <w:p>
                        <w:pPr>
                          <w:pStyle w:val="TableParagraph"/>
                          <w:spacing w:line="174" w:lineRule="exact"/>
                          <w:ind w:right="17"/>
                          <w:jc w:val="right"/>
                          <w:rPr>
                            <w:rFonts w:ascii="宋体" w:hAnsi="宋体" w:cs="宋体" w:eastAsia="宋体" w:hint="default"/>
                            <w:sz w:val="15"/>
                            <w:szCs w:val="15"/>
                          </w:rPr>
                        </w:pPr>
                        <w:r>
                          <w:rPr>
                            <w:rFonts w:ascii="宋体"/>
                            <w:spacing w:val="-1"/>
                            <w:sz w:val="15"/>
                          </w:rPr>
                          <w:t>115,041,962</w:t>
                        </w:r>
                      </w:p>
                    </w:tc>
                    <w:tc>
                      <w:tcPr>
                        <w:tcW w:w="2259" w:type="dxa"/>
                        <w:gridSpan w:val="2"/>
                        <w:tcBorders>
                          <w:top w:val="nil" w:sz="6" w:space="0" w:color="auto"/>
                          <w:left w:val="nil" w:sz="6" w:space="0" w:color="auto"/>
                          <w:bottom w:val="nil" w:sz="6" w:space="0" w:color="auto"/>
                          <w:right w:val="nil" w:sz="6" w:space="0" w:color="auto"/>
                        </w:tcBorders>
                      </w:tcPr>
                      <w:p>
                        <w:pPr>
                          <w:pStyle w:val="TableParagraph"/>
                          <w:spacing w:line="174" w:lineRule="exact"/>
                          <w:ind w:left="251" w:right="0"/>
                          <w:jc w:val="left"/>
                          <w:rPr>
                            <w:rFonts w:ascii="宋体" w:hAnsi="宋体" w:cs="宋体" w:eastAsia="宋体" w:hint="default"/>
                            <w:sz w:val="15"/>
                            <w:szCs w:val="15"/>
                          </w:rPr>
                        </w:pPr>
                        <w:r>
                          <w:rPr>
                            <w:rFonts w:ascii="宋体" w:hAnsi="宋体" w:cs="宋体" w:eastAsia="宋体" w:hint="default"/>
                            <w:sz w:val="15"/>
                            <w:szCs w:val="15"/>
                          </w:rPr>
                          <w:t>以公允价值计量且其</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tc>
                    <w:tc>
                      <w:tcPr>
                        <w:tcW w:w="1260" w:type="dxa"/>
                        <w:tcBorders>
                          <w:top w:val="nil" w:sz="6" w:space="0" w:color="auto"/>
                          <w:left w:val="nil" w:sz="6" w:space="0" w:color="auto"/>
                          <w:bottom w:val="nil" w:sz="6" w:space="0" w:color="auto"/>
                          <w:right w:val="nil" w:sz="6" w:space="0" w:color="auto"/>
                        </w:tcBorders>
                      </w:tcPr>
                      <w:p>
                        <w:pPr>
                          <w:pStyle w:val="TableParagraph"/>
                          <w:spacing w:line="174" w:lineRule="exact"/>
                          <w:ind w:right="199"/>
                          <w:jc w:val="right"/>
                          <w:rPr>
                            <w:rFonts w:ascii="宋体" w:hAnsi="宋体" w:cs="宋体" w:eastAsia="宋体" w:hint="default"/>
                            <w:sz w:val="15"/>
                            <w:szCs w:val="15"/>
                          </w:rPr>
                        </w:pPr>
                        <w:r>
                          <w:rPr>
                            <w:rFonts w:ascii="宋体"/>
                            <w:spacing w:val="-1"/>
                            <w:sz w:val="15"/>
                          </w:rPr>
                          <w:t>115,041,962</w:t>
                        </w: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155" w:right="0"/>
                          <w:jc w:val="left"/>
                          <w:rPr>
                            <w:rFonts w:ascii="宋体" w:hAnsi="宋体" w:cs="宋体" w:eastAsia="宋体" w:hint="default"/>
                            <w:sz w:val="15"/>
                            <w:szCs w:val="15"/>
                          </w:rPr>
                        </w:pPr>
                        <w:r>
                          <w:rPr>
                            <w:rFonts w:ascii="宋体" w:hAnsi="宋体" w:cs="宋体" w:eastAsia="宋体" w:hint="default"/>
                            <w:sz w:val="15"/>
                            <w:szCs w:val="15"/>
                          </w:rPr>
                          <w:t>动计入其他综合收益</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tc>
                    <w:tc>
                      <w:tcPr>
                        <w:tcW w:w="1096" w:type="dxa"/>
                        <w:tcBorders>
                          <w:top w:val="nil" w:sz="6" w:space="0" w:color="auto"/>
                          <w:left w:val="nil" w:sz="6" w:space="0" w:color="auto"/>
                          <w:bottom w:val="nil" w:sz="6" w:space="0" w:color="auto"/>
                          <w:right w:val="nil" w:sz="6" w:space="0" w:color="auto"/>
                        </w:tcBorders>
                      </w:tcPr>
                      <w:p>
                        <w:pPr/>
                      </w:p>
                    </w:tc>
                    <w:tc>
                      <w:tcPr>
                        <w:tcW w:w="2259" w:type="dxa"/>
                        <w:gridSpan w:val="2"/>
                        <w:tcBorders>
                          <w:top w:val="nil" w:sz="6" w:space="0" w:color="auto"/>
                          <w:left w:val="nil" w:sz="6" w:space="0" w:color="auto"/>
                          <w:bottom w:val="nil" w:sz="6" w:space="0" w:color="auto"/>
                          <w:right w:val="nil" w:sz="6" w:space="0" w:color="auto"/>
                        </w:tcBorders>
                      </w:tcPr>
                      <w:p>
                        <w:pPr>
                          <w:pStyle w:val="TableParagraph"/>
                          <w:spacing w:line="173" w:lineRule="exact"/>
                          <w:ind w:left="251" w:right="0"/>
                          <w:jc w:val="left"/>
                          <w:rPr>
                            <w:rFonts w:ascii="宋体" w:hAnsi="宋体" w:cs="宋体" w:eastAsia="宋体" w:hint="default"/>
                            <w:sz w:val="15"/>
                            <w:szCs w:val="15"/>
                          </w:rPr>
                        </w:pPr>
                        <w:r>
                          <w:rPr>
                            <w:rFonts w:ascii="宋体" w:hAnsi="宋体" w:cs="宋体" w:eastAsia="宋体" w:hint="default"/>
                            <w:sz w:val="15"/>
                            <w:szCs w:val="15"/>
                          </w:rPr>
                          <w:t>变动计入当期损益</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tc>
                    <w:tc>
                      <w:tcPr>
                        <w:tcW w:w="1260" w:type="dxa"/>
                        <w:tcBorders>
                          <w:top w:val="nil" w:sz="6" w:space="0" w:color="auto"/>
                          <w:left w:val="nil" w:sz="6" w:space="0" w:color="auto"/>
                          <w:bottom w:val="nil" w:sz="6" w:space="0" w:color="auto"/>
                          <w:right w:val="nil" w:sz="6" w:space="0" w:color="auto"/>
                        </w:tcBorders>
                      </w:tcPr>
                      <w:p>
                        <w:pP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304"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可供出售类资产</w:t>
                        </w:r>
                        <w:r>
                          <w:rPr>
                            <w:rFonts w:ascii="宋体" w:hAnsi="宋体" w:cs="宋体" w:eastAsia="宋体" w:hint="default"/>
                            <w:sz w:val="15"/>
                            <w:szCs w:val="15"/>
                          </w:rPr>
                          <w:t>) </w:t>
                        </w:r>
                      </w:p>
                    </w:tc>
                    <w:tc>
                      <w:tcPr>
                        <w:tcW w:w="1096" w:type="dxa"/>
                        <w:tcBorders>
                          <w:top w:val="nil" w:sz="6" w:space="0" w:color="auto"/>
                          <w:left w:val="nil" w:sz="6" w:space="0" w:color="auto"/>
                          <w:bottom w:val="nil" w:sz="6" w:space="0" w:color="auto"/>
                          <w:right w:val="nil" w:sz="6" w:space="0" w:color="auto"/>
                        </w:tcBorders>
                      </w:tcPr>
                      <w:p>
                        <w:pPr/>
                      </w:p>
                    </w:tc>
                    <w:tc>
                      <w:tcPr>
                        <w:tcW w:w="327" w:type="dxa"/>
                        <w:tcBorders>
                          <w:top w:val="nil" w:sz="6" w:space="0" w:color="auto"/>
                          <w:left w:val="nil" w:sz="6" w:space="0" w:color="auto"/>
                          <w:bottom w:val="nil" w:sz="6" w:space="0" w:color="auto"/>
                          <w:right w:val="nil" w:sz="6" w:space="0" w:color="auto"/>
                        </w:tcBorders>
                      </w:tcPr>
                      <w:p>
                        <w:pPr/>
                      </w:p>
                    </w:tc>
                    <w:tc>
                      <w:tcPr>
                        <w:tcW w:w="1932" w:type="dxa"/>
                        <w:tcBorders>
                          <w:top w:val="nil" w:sz="6" w:space="0" w:color="auto"/>
                          <w:left w:val="nil" w:sz="6" w:space="0" w:color="auto"/>
                          <w:bottom w:val="nil" w:sz="6" w:space="0" w:color="auto"/>
                          <w:right w:val="nil" w:sz="6" w:space="0" w:color="auto"/>
                        </w:tcBorders>
                      </w:tcPr>
                      <w:p>
                        <w:pPr>
                          <w:pStyle w:val="TableParagraph"/>
                          <w:spacing w:line="173" w:lineRule="exact"/>
                          <w:ind w:left="75"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准则要求</w:t>
                        </w:r>
                        <w:r>
                          <w:rPr>
                            <w:rFonts w:ascii="宋体" w:hAnsi="宋体" w:cs="宋体" w:eastAsia="宋体" w:hint="default"/>
                            <w:sz w:val="15"/>
                            <w:szCs w:val="15"/>
                          </w:rPr>
                          <w:t>) </w:t>
                        </w:r>
                      </w:p>
                    </w:tc>
                    <w:tc>
                      <w:tcPr>
                        <w:tcW w:w="1260" w:type="dxa"/>
                        <w:tcBorders>
                          <w:top w:val="nil" w:sz="6" w:space="0" w:color="auto"/>
                          <w:left w:val="nil" w:sz="6" w:space="0" w:color="auto"/>
                          <w:bottom w:val="nil" w:sz="6" w:space="0" w:color="auto"/>
                          <w:right w:val="nil" w:sz="6" w:space="0" w:color="auto"/>
                        </w:tcBorders>
                      </w:tcPr>
                      <w:p>
                        <w:pP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理财产品</w:t>
                        </w:r>
                        <w:r>
                          <w:rPr>
                            <w:rFonts w:ascii="宋体" w:hAnsi="宋体" w:cs="宋体" w:eastAsia="宋体" w:hint="default"/>
                            <w:sz w:val="15"/>
                            <w:szCs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4" w:right="0"/>
                          <w:jc w:val="left"/>
                          <w:rPr>
                            <w:rFonts w:ascii="宋体" w:hAnsi="宋体" w:cs="宋体" w:eastAsia="宋体" w:hint="default"/>
                            <w:sz w:val="15"/>
                            <w:szCs w:val="15"/>
                          </w:rPr>
                        </w:pPr>
                        <w:r>
                          <w:rPr>
                            <w:rFonts w:ascii="宋体" w:hAnsi="宋体" w:cs="宋体" w:eastAsia="宋体" w:hint="default"/>
                            <w:sz w:val="15"/>
                            <w:szCs w:val="15"/>
                          </w:rPr>
                          <w:t>成本计量</w:t>
                        </w:r>
                        <w:r>
                          <w:rPr>
                            <w:rFonts w:ascii="宋体" w:hAnsi="宋体" w:cs="宋体" w:eastAsia="宋体" w:hint="default"/>
                            <w:sz w:val="15"/>
                            <w:szCs w:val="15"/>
                          </w:rPr>
                          <w:t>(</w:t>
                        </w:r>
                        <w:r>
                          <w:rPr>
                            <w:rFonts w:ascii="宋体" w:hAnsi="宋体" w:cs="宋体" w:eastAsia="宋体" w:hint="default"/>
                            <w:sz w:val="15"/>
                            <w:szCs w:val="15"/>
                          </w:rPr>
                          <w:t>可供出售类资产</w:t>
                        </w:r>
                        <w:r>
                          <w:rPr>
                            <w:rFonts w:ascii="宋体" w:hAnsi="宋体" w:cs="宋体" w:eastAsia="宋体" w:hint="default"/>
                            <w:sz w:val="15"/>
                            <w:szCs w:val="15"/>
                          </w:rPr>
                          <w:t>) </w:t>
                        </w:r>
                      </w:p>
                    </w:tc>
                    <w:tc>
                      <w:tcPr>
                        <w:tcW w:w="1096" w:type="dxa"/>
                        <w:tcBorders>
                          <w:top w:val="nil" w:sz="6" w:space="0" w:color="auto"/>
                          <w:left w:val="nil" w:sz="6" w:space="0" w:color="auto"/>
                          <w:bottom w:val="nil" w:sz="6" w:space="0" w:color="auto"/>
                          <w:right w:val="nil" w:sz="6" w:space="0" w:color="auto"/>
                        </w:tcBorders>
                      </w:tcPr>
                      <w:p>
                        <w:pPr>
                          <w:pStyle w:val="TableParagraph"/>
                          <w:spacing w:line="173" w:lineRule="exact"/>
                          <w:ind w:right="17"/>
                          <w:jc w:val="right"/>
                          <w:rPr>
                            <w:rFonts w:ascii="宋体" w:hAnsi="宋体" w:cs="宋体" w:eastAsia="宋体" w:hint="default"/>
                            <w:sz w:val="15"/>
                            <w:szCs w:val="15"/>
                          </w:rPr>
                        </w:pPr>
                        <w:r>
                          <w:rPr>
                            <w:rFonts w:ascii="宋体"/>
                            <w:spacing w:val="-2"/>
                            <w:sz w:val="15"/>
                          </w:rPr>
                          <w:t>7,950,000</w:t>
                        </w:r>
                      </w:p>
                    </w:tc>
                    <w:tc>
                      <w:tcPr>
                        <w:tcW w:w="2259" w:type="dxa"/>
                        <w:gridSpan w:val="2"/>
                        <w:tcBorders>
                          <w:top w:val="nil" w:sz="6" w:space="0" w:color="auto"/>
                          <w:left w:val="nil" w:sz="6" w:space="0" w:color="auto"/>
                          <w:bottom w:val="nil" w:sz="6" w:space="0" w:color="auto"/>
                          <w:right w:val="nil" w:sz="6" w:space="0" w:color="auto"/>
                        </w:tcBorders>
                      </w:tcPr>
                      <w:p>
                        <w:pPr>
                          <w:pStyle w:val="TableParagraph"/>
                          <w:spacing w:line="173" w:lineRule="exact"/>
                          <w:ind w:left="58" w:right="0"/>
                          <w:jc w:val="left"/>
                          <w:rPr>
                            <w:rFonts w:ascii="宋体" w:hAnsi="宋体" w:cs="宋体" w:eastAsia="宋体" w:hint="default"/>
                            <w:sz w:val="15"/>
                            <w:szCs w:val="15"/>
                          </w:rPr>
                        </w:pPr>
                        <w:r>
                          <w:rPr>
                            <w:rFonts w:ascii="宋体" w:hAnsi="宋体" w:cs="宋体" w:eastAsia="宋体" w:hint="default"/>
                            <w:sz w:val="15"/>
                            <w:szCs w:val="15"/>
                          </w:rPr>
                          <w:t>以公允价值计量且其</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tc>
                    <w:tc>
                      <w:tcPr>
                        <w:tcW w:w="1260" w:type="dxa"/>
                        <w:tcBorders>
                          <w:top w:val="nil" w:sz="6" w:space="0" w:color="auto"/>
                          <w:left w:val="nil" w:sz="6" w:space="0" w:color="auto"/>
                          <w:bottom w:val="nil" w:sz="6" w:space="0" w:color="auto"/>
                          <w:right w:val="nil" w:sz="6" w:space="0" w:color="auto"/>
                        </w:tcBorders>
                      </w:tcPr>
                      <w:p>
                        <w:pPr>
                          <w:pStyle w:val="TableParagraph"/>
                          <w:spacing w:line="173" w:lineRule="exact"/>
                          <w:ind w:right="199"/>
                          <w:jc w:val="right"/>
                          <w:rPr>
                            <w:rFonts w:ascii="宋体" w:hAnsi="宋体" w:cs="宋体" w:eastAsia="宋体" w:hint="default"/>
                            <w:sz w:val="15"/>
                            <w:szCs w:val="15"/>
                          </w:rPr>
                        </w:pPr>
                        <w:r>
                          <w:rPr>
                            <w:rFonts w:ascii="宋体"/>
                            <w:spacing w:val="-2"/>
                            <w:sz w:val="15"/>
                          </w:rPr>
                          <w:t>7,961,642</w:t>
                        </w:r>
                      </w:p>
                    </w:tc>
                  </w:tr>
                  <w:tr>
                    <w:trPr>
                      <w:trHeight w:val="19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4" w:right="0"/>
                          <w:jc w:val="left"/>
                          <w:rPr>
                            <w:rFonts w:ascii="宋体" w:hAnsi="宋体" w:cs="宋体" w:eastAsia="宋体" w:hint="default"/>
                            <w:sz w:val="15"/>
                            <w:szCs w:val="15"/>
                          </w:rPr>
                        </w:pPr>
                        <w:r>
                          <w:rPr>
                            <w:rFonts w:ascii="宋体"/>
                            <w:w w:val="100"/>
                            <w:sz w:val="15"/>
                          </w:rPr>
                          <w:t> </w:t>
                        </w:r>
                      </w:p>
                    </w:tc>
                    <w:tc>
                      <w:tcPr>
                        <w:tcW w:w="1096" w:type="dxa"/>
                        <w:tcBorders>
                          <w:top w:val="nil" w:sz="6" w:space="0" w:color="auto"/>
                          <w:left w:val="nil" w:sz="6" w:space="0" w:color="auto"/>
                          <w:bottom w:val="nil" w:sz="6" w:space="0" w:color="auto"/>
                          <w:right w:val="nil" w:sz="6" w:space="0" w:color="auto"/>
                        </w:tcBorders>
                      </w:tcPr>
                      <w:p>
                        <w:pPr/>
                      </w:p>
                    </w:tc>
                    <w:tc>
                      <w:tcPr>
                        <w:tcW w:w="2259" w:type="dxa"/>
                        <w:gridSpan w:val="2"/>
                        <w:tcBorders>
                          <w:top w:val="nil" w:sz="6" w:space="0" w:color="auto"/>
                          <w:left w:val="nil" w:sz="6" w:space="0" w:color="auto"/>
                          <w:bottom w:val="nil" w:sz="6" w:space="0" w:color="auto"/>
                          <w:right w:val="nil" w:sz="6" w:space="0" w:color="auto"/>
                        </w:tcBorders>
                      </w:tcPr>
                      <w:p>
                        <w:pPr>
                          <w:pStyle w:val="TableParagraph"/>
                          <w:spacing w:line="173" w:lineRule="exact"/>
                          <w:ind w:left="251" w:right="0"/>
                          <w:jc w:val="left"/>
                          <w:rPr>
                            <w:rFonts w:ascii="宋体" w:hAnsi="宋体" w:cs="宋体" w:eastAsia="宋体" w:hint="default"/>
                            <w:sz w:val="15"/>
                            <w:szCs w:val="15"/>
                          </w:rPr>
                        </w:pPr>
                        <w:r>
                          <w:rPr>
                            <w:rFonts w:ascii="宋体" w:hAnsi="宋体" w:cs="宋体" w:eastAsia="宋体" w:hint="default"/>
                            <w:sz w:val="15"/>
                            <w:szCs w:val="15"/>
                          </w:rPr>
                          <w:t>变动计入当期损益</w:t>
                        </w:r>
                        <w:r>
                          <w:rPr>
                            <w:rFonts w:ascii="宋体" w:hAnsi="宋体" w:cs="宋体" w:eastAsia="宋体" w:hint="default"/>
                            <w:sz w:val="15"/>
                            <w:szCs w:val="15"/>
                          </w:rPr>
                          <w:t> </w:t>
                        </w:r>
                        <w:r>
                          <w:rPr>
                            <w:rFonts w:ascii="宋体" w:hAnsi="宋体" w:cs="宋体" w:eastAsia="宋体" w:hint="default"/>
                            <w:spacing w:val="-2"/>
                            <w:sz w:val="15"/>
                            <w:szCs w:val="15"/>
                          </w:rPr>
                          <w:t> </w:t>
                        </w:r>
                        <w:r>
                          <w:rPr>
                            <w:rFonts w:ascii="宋体" w:hAnsi="宋体" w:cs="宋体" w:eastAsia="宋体" w:hint="default"/>
                            <w:spacing w:val="-2"/>
                            <w:w w:val="100"/>
                            <w:sz w:val="15"/>
                            <w:szCs w:val="15"/>
                          </w:rPr>
                          <w:t> </w:t>
                        </w:r>
                        <w:r>
                          <w:rPr>
                            <w:rFonts w:ascii="宋体" w:hAnsi="宋体" w:cs="宋体" w:eastAsia="宋体" w:hint="default"/>
                            <w:w w:val="100"/>
                            <w:sz w:val="15"/>
                            <w:szCs w:val="15"/>
                          </w:rPr>
                          <w:t> </w:t>
                        </w:r>
                      </w:p>
                    </w:tc>
                    <w:tc>
                      <w:tcPr>
                        <w:tcW w:w="1260" w:type="dxa"/>
                        <w:tcBorders>
                          <w:top w:val="nil" w:sz="6" w:space="0" w:color="auto"/>
                          <w:left w:val="nil" w:sz="6" w:space="0" w:color="auto"/>
                          <w:bottom w:val="nil" w:sz="6" w:space="0" w:color="auto"/>
                          <w:right w:val="nil" w:sz="6" w:space="0" w:color="auto"/>
                        </w:tcBorders>
                      </w:tcPr>
                      <w:p>
                        <w:pPr/>
                      </w:p>
                    </w:tc>
                  </w:tr>
                  <w:tr>
                    <w:trPr>
                      <w:trHeight w:val="173"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32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2424" w:type="dxa"/>
                        <w:tcBorders>
                          <w:top w:val="nil" w:sz="6" w:space="0" w:color="auto"/>
                          <w:left w:val="nil" w:sz="6" w:space="0" w:color="auto"/>
                          <w:bottom w:val="nil" w:sz="6" w:space="0" w:color="auto"/>
                          <w:right w:val="nil" w:sz="6" w:space="0" w:color="auto"/>
                        </w:tcBorders>
                      </w:tcPr>
                      <w:p>
                        <w:pPr>
                          <w:pStyle w:val="TableParagraph"/>
                          <w:spacing w:line="173" w:lineRule="exact"/>
                          <w:ind w:left="4" w:right="0"/>
                          <w:jc w:val="left"/>
                          <w:rPr>
                            <w:rFonts w:ascii="宋体" w:hAnsi="宋体" w:cs="宋体" w:eastAsia="宋体" w:hint="default"/>
                            <w:sz w:val="15"/>
                            <w:szCs w:val="15"/>
                          </w:rPr>
                        </w:pPr>
                        <w:r>
                          <w:rPr>
                            <w:rFonts w:ascii="宋体"/>
                            <w:w w:val="100"/>
                            <w:sz w:val="15"/>
                          </w:rPr>
                          <w:t> </w:t>
                        </w:r>
                      </w:p>
                    </w:tc>
                    <w:tc>
                      <w:tcPr>
                        <w:tcW w:w="1096" w:type="dxa"/>
                        <w:tcBorders>
                          <w:top w:val="nil" w:sz="6" w:space="0" w:color="auto"/>
                          <w:left w:val="nil" w:sz="6" w:space="0" w:color="auto"/>
                          <w:bottom w:val="nil" w:sz="6" w:space="0" w:color="auto"/>
                          <w:right w:val="nil" w:sz="6" w:space="0" w:color="auto"/>
                        </w:tcBorders>
                      </w:tcPr>
                      <w:p>
                        <w:pPr/>
                      </w:p>
                    </w:tc>
                    <w:tc>
                      <w:tcPr>
                        <w:tcW w:w="327" w:type="dxa"/>
                        <w:tcBorders>
                          <w:top w:val="nil" w:sz="6" w:space="0" w:color="auto"/>
                          <w:left w:val="nil" w:sz="6" w:space="0" w:color="auto"/>
                          <w:bottom w:val="nil" w:sz="6" w:space="0" w:color="auto"/>
                          <w:right w:val="nil" w:sz="6" w:space="0" w:color="auto"/>
                        </w:tcBorders>
                      </w:tcPr>
                      <w:p>
                        <w:pPr/>
                      </w:p>
                    </w:tc>
                    <w:tc>
                      <w:tcPr>
                        <w:tcW w:w="1932" w:type="dxa"/>
                        <w:tcBorders>
                          <w:top w:val="nil" w:sz="6" w:space="0" w:color="auto"/>
                          <w:left w:val="nil" w:sz="6" w:space="0" w:color="auto"/>
                          <w:bottom w:val="nil" w:sz="6" w:space="0" w:color="auto"/>
                          <w:right w:val="nil" w:sz="6" w:space="0" w:color="auto"/>
                        </w:tcBorders>
                      </w:tcPr>
                      <w:p>
                        <w:pPr>
                          <w:pStyle w:val="TableParagraph"/>
                          <w:spacing w:line="173" w:lineRule="exact"/>
                          <w:ind w:left="75"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准则要求</w:t>
                        </w:r>
                        <w:r>
                          <w:rPr>
                            <w:rFonts w:ascii="宋体" w:hAnsi="宋体" w:cs="宋体" w:eastAsia="宋体" w:hint="default"/>
                            <w:sz w:val="15"/>
                            <w:szCs w:val="15"/>
                          </w:rPr>
                          <w:t>) </w:t>
                        </w:r>
                      </w:p>
                    </w:tc>
                    <w:tc>
                      <w:tcPr>
                        <w:tcW w:w="1260"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w w:val="100"/>
          <w:sz w:val="15"/>
        </w:rPr>
        <w:t> </w:t>
      </w:r>
    </w:p>
    <w:p>
      <w:pPr>
        <w:spacing w:after="0"/>
        <w:jc w:val="left"/>
        <w:rPr>
          <w:rFonts w:ascii="宋体" w:hAnsi="宋体" w:cs="宋体" w:eastAsia="宋体" w:hint="default"/>
          <w:sz w:val="15"/>
          <w:szCs w:val="15"/>
        </w:rPr>
        <w:sectPr>
          <w:type w:val="continuous"/>
          <w:pgSz w:w="11910" w:h="16840"/>
          <w:pgMar w:top="1120" w:bottom="1380" w:left="960" w:right="15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312" w:lineRule="exact" w:before="56"/>
        <w:ind w:left="316" w:right="97"/>
        <w:jc w:val="left"/>
        <w:rPr>
          <w:rFonts w:ascii="宋体" w:hAnsi="宋体" w:cs="宋体" w:eastAsia="宋体" w:hint="default"/>
        </w:rPr>
      </w:pPr>
      <w:r>
        <w:rPr>
          <w:spacing w:val="-2"/>
        </w:rPr>
        <w:t>在首次执行日，原金融资产账面价值调整为按照修订后金融工具确认和计量准则的规</w:t>
      </w:r>
      <w:r>
        <w:rPr>
          <w:spacing w:val="-94"/>
        </w:rPr>
        <w:t> </w:t>
      </w:r>
      <w:r>
        <w:rPr>
          <w:spacing w:val="-94"/>
        </w:rPr>
      </w:r>
      <w:r>
        <w:rPr/>
        <w:t>定进行分类和计量的新金融资产账面价值的调节表：</w:t>
      </w:r>
      <w:r>
        <w:rPr>
          <w:rFonts w:ascii="宋体" w:hAnsi="宋体" w:cs="宋体" w:eastAsia="宋体" w:hint="default"/>
        </w:rPr>
        <w:t> </w:t>
      </w:r>
    </w:p>
    <w:p>
      <w:pPr>
        <w:pStyle w:val="BodyText"/>
        <w:spacing w:line="280" w:lineRule="exact"/>
        <w:ind w:left="316" w:right="0"/>
        <w:jc w:val="left"/>
        <w:rPr>
          <w:rFonts w:ascii="宋体" w:hAnsi="宋体" w:cs="宋体" w:eastAsia="宋体" w:hint="default"/>
        </w:rPr>
      </w:pPr>
      <w:r>
        <w:rPr>
          <w:rFonts w:ascii="宋体"/>
        </w:rPr>
        <w:t> </w:t>
      </w:r>
    </w:p>
    <w:p>
      <w:pPr>
        <w:pStyle w:val="BodyText"/>
        <w:spacing w:line="313" w:lineRule="exact"/>
        <w:ind w:left="316" w:right="97"/>
        <w:jc w:val="left"/>
        <w:rPr>
          <w:rFonts w:ascii="宋体" w:hAnsi="宋体" w:cs="宋体" w:eastAsia="宋体" w:hint="default"/>
        </w:rPr>
      </w:pPr>
      <w:r>
        <w:rPr/>
        <w:t>本集团</w:t>
      </w:r>
      <w:r>
        <w:rPr>
          <w:rFonts w:ascii="宋体" w:hAnsi="宋体" w:cs="宋体" w:eastAsia="宋体" w:hint="default"/>
        </w:rPr>
        <w:t> </w:t>
      </w:r>
    </w:p>
    <w:p>
      <w:pPr>
        <w:spacing w:before="1"/>
        <w:ind w:left="316" w:right="0" w:firstLine="0"/>
        <w:jc w:val="left"/>
        <w:rPr>
          <w:rFonts w:ascii="宋体" w:hAnsi="宋体" w:cs="宋体" w:eastAsia="宋体" w:hint="default"/>
          <w:sz w:val="18"/>
          <w:szCs w:val="18"/>
        </w:rPr>
      </w:pPr>
      <w:r>
        <w:rPr>
          <w:rFonts w:ascii="宋体"/>
          <w:b/>
          <w:w w:val="99"/>
          <w:sz w:val="18"/>
        </w:rPr>
        <w:t> </w:t>
      </w:r>
      <w:r>
        <w:rPr>
          <w:rFonts w:ascii="宋体"/>
          <w:sz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8"/>
          <w:szCs w:val="28"/>
        </w:rPr>
      </w:pPr>
    </w:p>
    <w:p>
      <w:pPr>
        <w:tabs>
          <w:tab w:pos="2250" w:val="left" w:leader="none"/>
        </w:tabs>
        <w:spacing w:line="195" w:lineRule="exact" w:before="54"/>
        <w:ind w:left="874" w:right="0" w:firstLine="0"/>
        <w:jc w:val="center"/>
        <w:rPr>
          <w:rFonts w:ascii="宋体" w:hAnsi="宋体" w:cs="宋体" w:eastAsia="宋体" w:hint="default"/>
          <w:sz w:val="15"/>
          <w:szCs w:val="15"/>
        </w:rPr>
      </w:pPr>
      <w:r>
        <w:rPr/>
        <w:pict>
          <v:shape style="position:absolute;margin-left:53.84pt;margin-top:-238.187103pt;width:444pt;height:600.950pt;mso-position-horizontal-relative:page;mso-position-vertical-relative:paragraph;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46"/>
                    <w:gridCol w:w="137"/>
                    <w:gridCol w:w="1545"/>
                    <w:gridCol w:w="80"/>
                    <w:gridCol w:w="1296"/>
                    <w:gridCol w:w="86"/>
                    <w:gridCol w:w="1230"/>
                    <w:gridCol w:w="128"/>
                    <w:gridCol w:w="1481"/>
                    <w:gridCol w:w="350"/>
                  </w:tblGrid>
                  <w:tr>
                    <w:trPr>
                      <w:trHeight w:val="173"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51" w:lineRule="exact"/>
                          <w:ind w:left="200" w:right="0"/>
                          <w:jc w:val="left"/>
                          <w:rPr>
                            <w:rFonts w:ascii="宋体" w:hAnsi="宋体" w:cs="宋体" w:eastAsia="宋体" w:hint="default"/>
                            <w:sz w:val="15"/>
                            <w:szCs w:val="15"/>
                          </w:rPr>
                        </w:pPr>
                        <w:r>
                          <w:rPr>
                            <w:rFonts w:ascii="宋体"/>
                            <w:w w:val="100"/>
                            <w:sz w:val="15"/>
                          </w:rPr>
                          <w:t> </w:t>
                        </w:r>
                      </w:p>
                    </w:tc>
                    <w:tc>
                      <w:tcPr>
                        <w:tcW w:w="137" w:type="dxa"/>
                        <w:vMerge w:val="restart"/>
                        <w:tcBorders>
                          <w:top w:val="nil" w:sz="6" w:space="0" w:color="auto"/>
                          <w:left w:val="nil" w:sz="6" w:space="0" w:color="auto"/>
                          <w:right w:val="nil" w:sz="6" w:space="0" w:color="auto"/>
                        </w:tcBorders>
                      </w:tcPr>
                      <w:p>
                        <w:pPr/>
                      </w:p>
                    </w:tc>
                    <w:tc>
                      <w:tcPr>
                        <w:tcW w:w="1545" w:type="dxa"/>
                        <w:vMerge w:val="restart"/>
                        <w:tcBorders>
                          <w:top w:val="nil" w:sz="6" w:space="0" w:color="auto"/>
                          <w:left w:val="nil" w:sz="6" w:space="0" w:color="auto"/>
                          <w:right w:val="nil" w:sz="6" w:space="0" w:color="auto"/>
                        </w:tcBorders>
                      </w:tcPr>
                      <w:p>
                        <w:pPr>
                          <w:pStyle w:val="TableParagraph"/>
                          <w:spacing w:line="150" w:lineRule="exact"/>
                          <w:ind w:right="-2"/>
                          <w:jc w:val="right"/>
                          <w:rPr>
                            <w:rFonts w:ascii="宋体" w:hAnsi="宋体" w:cs="宋体" w:eastAsia="宋体" w:hint="default"/>
                            <w:sz w:val="15"/>
                            <w:szCs w:val="15"/>
                          </w:rPr>
                        </w:pPr>
                        <w:r>
                          <w:rPr>
                            <w:rFonts w:ascii="宋体" w:hAnsi="宋体" w:cs="宋体" w:eastAsia="宋体" w:hint="default"/>
                            <w:spacing w:val="-2"/>
                            <w:sz w:val="15"/>
                            <w:szCs w:val="15"/>
                          </w:rPr>
                          <w:t>按原金融工具准则列示</w:t>
                        </w:r>
                      </w:p>
                      <w:p>
                        <w:pPr>
                          <w:pStyle w:val="TableParagraph"/>
                          <w:spacing w:line="194" w:lineRule="exact"/>
                          <w:ind w:right="-2"/>
                          <w:jc w:val="right"/>
                          <w:rPr>
                            <w:rFonts w:ascii="宋体" w:hAnsi="宋体" w:cs="宋体" w:eastAsia="宋体" w:hint="default"/>
                            <w:sz w:val="15"/>
                            <w:szCs w:val="15"/>
                          </w:rPr>
                        </w:pPr>
                        <w:r>
                          <w:rPr>
                            <w:rFonts w:ascii="宋体" w:hAnsi="宋体" w:cs="宋体" w:eastAsia="宋体" w:hint="default"/>
                            <w:spacing w:val="-2"/>
                            <w:sz w:val="15"/>
                            <w:szCs w:val="15"/>
                          </w:rPr>
                          <w:t>的账面价值</w:t>
                        </w:r>
                        <w:r>
                          <w:rPr>
                            <w:rFonts w:ascii="宋体" w:hAnsi="宋体" w:cs="宋体" w:eastAsia="宋体" w:hint="default"/>
                            <w:spacing w:val="-2"/>
                            <w:sz w:val="15"/>
                            <w:szCs w:val="15"/>
                          </w:rPr>
                          <w:t>2018</w:t>
                        </w:r>
                        <w:r>
                          <w:rPr>
                            <w:rFonts w:ascii="宋体" w:hAnsi="宋体" w:cs="宋体" w:eastAsia="宋体" w:hint="default"/>
                            <w:spacing w:val="-2"/>
                            <w:sz w:val="15"/>
                            <w:szCs w:val="15"/>
                          </w:rPr>
                          <w:t>年</w:t>
                        </w:r>
                        <w:r>
                          <w:rPr>
                            <w:rFonts w:ascii="宋体" w:hAnsi="宋体" w:cs="宋体" w:eastAsia="宋体" w:hint="default"/>
                            <w:spacing w:val="-2"/>
                            <w:sz w:val="15"/>
                            <w:szCs w:val="15"/>
                          </w:rPr>
                          <w:t>12</w:t>
                        </w:r>
                        <w:r>
                          <w:rPr>
                            <w:rFonts w:ascii="宋体" w:hAnsi="宋体" w:cs="宋体" w:eastAsia="宋体" w:hint="default"/>
                            <w:spacing w:val="-2"/>
                            <w:sz w:val="15"/>
                            <w:szCs w:val="15"/>
                          </w:rPr>
                          <w:t>月</w:t>
                        </w:r>
                      </w:p>
                      <w:p>
                        <w:pPr>
                          <w:pStyle w:val="TableParagraph"/>
                          <w:spacing w:line="195" w:lineRule="exact"/>
                          <w:ind w:right="-2"/>
                          <w:jc w:val="right"/>
                          <w:rPr>
                            <w:rFonts w:ascii="宋体" w:hAnsi="宋体" w:cs="宋体" w:eastAsia="宋体" w:hint="default"/>
                            <w:sz w:val="15"/>
                            <w:szCs w:val="15"/>
                          </w:rPr>
                        </w:pPr>
                        <w:r>
                          <w:rPr>
                            <w:rFonts w:ascii="宋体" w:hAnsi="宋体" w:cs="宋体" w:eastAsia="宋体" w:hint="default"/>
                            <w:spacing w:val="-1"/>
                            <w:sz w:val="15"/>
                            <w:szCs w:val="15"/>
                          </w:rPr>
                          <w:t>31</w:t>
                        </w:r>
                        <w:r>
                          <w:rPr>
                            <w:rFonts w:ascii="宋体" w:hAnsi="宋体" w:cs="宋体" w:eastAsia="宋体" w:hint="default"/>
                            <w:spacing w:val="-1"/>
                            <w:sz w:val="15"/>
                            <w:szCs w:val="15"/>
                          </w:rPr>
                          <w:t>日</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51" w:lineRule="exact"/>
                          <w:ind w:right="-1"/>
                          <w:jc w:val="right"/>
                          <w:rPr>
                            <w:rFonts w:ascii="宋体" w:hAnsi="宋体" w:cs="宋体" w:eastAsia="宋体" w:hint="default"/>
                            <w:sz w:val="15"/>
                            <w:szCs w:val="15"/>
                          </w:rPr>
                        </w:pPr>
                        <w:r>
                          <w:rPr>
                            <w:rFonts w:ascii="宋体" w:hAnsi="宋体" w:cs="宋体" w:eastAsia="宋体" w:hint="default"/>
                            <w:sz w:val="15"/>
                            <w:szCs w:val="15"/>
                          </w:rPr>
                          <w:t>重分类</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51" w:lineRule="exact"/>
                          <w:ind w:right="-1"/>
                          <w:jc w:val="right"/>
                          <w:rPr>
                            <w:rFonts w:ascii="宋体" w:hAnsi="宋体" w:cs="宋体" w:eastAsia="宋体" w:hint="default"/>
                            <w:sz w:val="15"/>
                            <w:szCs w:val="15"/>
                          </w:rPr>
                        </w:pPr>
                        <w:r>
                          <w:rPr>
                            <w:rFonts w:ascii="宋体" w:hAnsi="宋体" w:cs="宋体" w:eastAsia="宋体" w:hint="default"/>
                            <w:spacing w:val="-1"/>
                            <w:sz w:val="15"/>
                            <w:szCs w:val="15"/>
                          </w:rPr>
                          <w:t>重新计量</w:t>
                        </w:r>
                      </w:p>
                    </w:tc>
                    <w:tc>
                      <w:tcPr>
                        <w:tcW w:w="128" w:type="dxa"/>
                        <w:tcBorders>
                          <w:top w:val="nil" w:sz="6" w:space="0" w:color="auto"/>
                          <w:left w:val="nil" w:sz="6" w:space="0" w:color="auto"/>
                          <w:bottom w:val="nil" w:sz="6" w:space="0" w:color="auto"/>
                          <w:right w:val="nil" w:sz="6" w:space="0" w:color="auto"/>
                        </w:tcBorders>
                      </w:tcPr>
                      <w:p>
                        <w:pPr/>
                      </w:p>
                    </w:tc>
                    <w:tc>
                      <w:tcPr>
                        <w:tcW w:w="1481" w:type="dxa"/>
                        <w:vMerge w:val="restart"/>
                        <w:tcBorders>
                          <w:top w:val="nil" w:sz="6" w:space="0" w:color="auto"/>
                          <w:left w:val="nil" w:sz="6" w:space="0" w:color="auto"/>
                          <w:right w:val="nil" w:sz="6" w:space="0" w:color="auto"/>
                        </w:tcBorders>
                      </w:tcPr>
                      <w:p>
                        <w:pPr>
                          <w:pStyle w:val="TableParagraph"/>
                          <w:spacing w:line="150" w:lineRule="exact"/>
                          <w:ind w:right="-2"/>
                          <w:jc w:val="right"/>
                          <w:rPr>
                            <w:rFonts w:ascii="宋体" w:hAnsi="宋体" w:cs="宋体" w:eastAsia="宋体" w:hint="default"/>
                            <w:sz w:val="15"/>
                            <w:szCs w:val="15"/>
                          </w:rPr>
                        </w:pPr>
                        <w:r>
                          <w:rPr>
                            <w:rFonts w:ascii="宋体" w:hAnsi="宋体" w:cs="宋体" w:eastAsia="宋体" w:hint="default"/>
                            <w:spacing w:val="-1"/>
                            <w:sz w:val="15"/>
                            <w:szCs w:val="15"/>
                          </w:rPr>
                          <w:t>按新金融工具准则列</w:t>
                        </w:r>
                      </w:p>
                      <w:p>
                        <w:pPr>
                          <w:pStyle w:val="TableParagraph"/>
                          <w:spacing w:line="194" w:lineRule="exact"/>
                          <w:ind w:right="-2"/>
                          <w:jc w:val="right"/>
                          <w:rPr>
                            <w:rFonts w:ascii="宋体" w:hAnsi="宋体" w:cs="宋体" w:eastAsia="宋体" w:hint="default"/>
                            <w:sz w:val="15"/>
                            <w:szCs w:val="15"/>
                          </w:rPr>
                        </w:pPr>
                        <w:r>
                          <w:rPr>
                            <w:rFonts w:ascii="宋体" w:hAnsi="宋体" w:cs="宋体" w:eastAsia="宋体" w:hint="default"/>
                            <w:spacing w:val="-2"/>
                            <w:sz w:val="15"/>
                            <w:szCs w:val="15"/>
                          </w:rPr>
                          <w:t>示的账面价值</w:t>
                        </w:r>
                        <w:r>
                          <w:rPr>
                            <w:rFonts w:ascii="宋体" w:hAnsi="宋体" w:cs="宋体" w:eastAsia="宋体" w:hint="default"/>
                            <w:spacing w:val="-2"/>
                            <w:sz w:val="15"/>
                            <w:szCs w:val="15"/>
                          </w:rPr>
                          <w:t>2019</w:t>
                        </w:r>
                        <w:r>
                          <w:rPr>
                            <w:rFonts w:ascii="宋体" w:hAnsi="宋体" w:cs="宋体" w:eastAsia="宋体" w:hint="default"/>
                            <w:spacing w:val="-2"/>
                            <w:sz w:val="15"/>
                            <w:szCs w:val="15"/>
                          </w:rPr>
                          <w:t>年</w:t>
                        </w:r>
                        <w:r>
                          <w:rPr>
                            <w:rFonts w:ascii="宋体" w:hAnsi="宋体" w:cs="宋体" w:eastAsia="宋体" w:hint="default"/>
                            <w:spacing w:val="-2"/>
                            <w:sz w:val="15"/>
                            <w:szCs w:val="15"/>
                          </w:rPr>
                          <w:t>1</w:t>
                        </w:r>
                      </w:p>
                      <w:p>
                        <w:pPr>
                          <w:pStyle w:val="TableParagraph"/>
                          <w:spacing w:line="195" w:lineRule="exact"/>
                          <w:ind w:right="-3"/>
                          <w:jc w:val="right"/>
                          <w:rPr>
                            <w:rFonts w:ascii="宋体" w:hAnsi="宋体" w:cs="宋体" w:eastAsia="宋体" w:hint="default"/>
                            <w:sz w:val="15"/>
                            <w:szCs w:val="15"/>
                          </w:rPr>
                        </w:pPr>
                        <w:r>
                          <w:rPr>
                            <w:rFonts w:ascii="宋体" w:hAnsi="宋体" w:cs="宋体" w:eastAsia="宋体" w:hint="default"/>
                            <w:spacing w:val="-1"/>
                            <w:sz w:val="15"/>
                            <w:szCs w:val="15"/>
                          </w:rPr>
                          <w:t>月</w:t>
                        </w:r>
                        <w:r>
                          <w:rPr>
                            <w:rFonts w:ascii="宋体" w:hAnsi="宋体" w:cs="宋体" w:eastAsia="宋体" w:hint="default"/>
                            <w:spacing w:val="-1"/>
                            <w:sz w:val="15"/>
                            <w:szCs w:val="15"/>
                          </w:rPr>
                          <w:t>1</w:t>
                        </w:r>
                        <w:r>
                          <w:rPr>
                            <w:rFonts w:ascii="宋体" w:hAnsi="宋体" w:cs="宋体" w:eastAsia="宋体" w:hint="default"/>
                            <w:spacing w:val="-1"/>
                            <w:sz w:val="15"/>
                            <w:szCs w:val="15"/>
                          </w:rPr>
                          <w:t>日</w:t>
                        </w:r>
                      </w:p>
                    </w:tc>
                    <w:tc>
                      <w:tcPr>
                        <w:tcW w:w="350" w:type="dxa"/>
                        <w:vMerge w:val="restart"/>
                        <w:tcBorders>
                          <w:top w:val="nil" w:sz="6" w:space="0" w:color="auto"/>
                          <w:left w:val="nil" w:sz="6" w:space="0" w:color="auto"/>
                          <w:right w:val="nil" w:sz="6" w:space="0" w:color="auto"/>
                        </w:tcBorders>
                      </w:tcPr>
                      <w:p>
                        <w:pPr/>
                      </w:p>
                    </w:tc>
                  </w:tr>
                  <w:tr>
                    <w:trPr>
                      <w:trHeight w:val="389"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vMerge/>
                        <w:tcBorders>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left="5" w:right="0"/>
                          <w:jc w:val="left"/>
                          <w:rPr>
                            <w:rFonts w:ascii="宋体" w:hAnsi="宋体" w:cs="宋体" w:eastAsia="宋体" w:hint="default"/>
                            <w:sz w:val="15"/>
                            <w:szCs w:val="15"/>
                          </w:rPr>
                        </w:pPr>
                        <w:r>
                          <w:rPr>
                            <w:rFonts w:ascii="宋体"/>
                            <w:w w:val="100"/>
                            <w:sz w:val="15"/>
                          </w:rPr>
                          <w:t> </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left="11" w:right="0"/>
                          <w:jc w:val="left"/>
                          <w:rPr>
                            <w:rFonts w:ascii="宋体" w:hAnsi="宋体" w:cs="宋体" w:eastAsia="宋体" w:hint="default"/>
                            <w:sz w:val="15"/>
                            <w:szCs w:val="15"/>
                          </w:rPr>
                        </w:pPr>
                        <w:r>
                          <w:rPr>
                            <w:rFonts w:ascii="宋体"/>
                            <w:w w:val="100"/>
                            <w:sz w:val="15"/>
                          </w:rPr>
                          <w:t> </w:t>
                        </w: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 </w:t>
                        </w:r>
                      </w:p>
                    </w:tc>
                    <w:tc>
                      <w:tcPr>
                        <w:tcW w:w="1481" w:type="dxa"/>
                        <w:vMerge/>
                        <w:tcBorders>
                          <w:left w:val="nil" w:sz="6" w:space="0" w:color="auto"/>
                          <w:bottom w:val="nil" w:sz="6" w:space="0" w:color="auto"/>
                          <w:right w:val="nil" w:sz="6" w:space="0" w:color="auto"/>
                        </w:tcBorders>
                      </w:tcPr>
                      <w:p>
                        <w:pPr/>
                      </w:p>
                    </w:tc>
                    <w:tc>
                      <w:tcPr>
                        <w:tcW w:w="350" w:type="dxa"/>
                        <w:vMerge/>
                        <w:tcBorders>
                          <w:left w:val="nil" w:sz="6" w:space="0" w:color="auto"/>
                          <w:bottom w:val="nil" w:sz="6" w:space="0" w:color="auto"/>
                          <w:right w:val="nil" w:sz="6" w:space="0" w:color="auto"/>
                        </w:tcBorders>
                      </w:tcPr>
                      <w:p>
                        <w:pP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3"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191"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以摊余成本计量的金融资产</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3"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198"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8" w:lineRule="exact"/>
                          <w:ind w:left="200" w:right="0"/>
                          <w:jc w:val="left"/>
                          <w:rPr>
                            <w:rFonts w:ascii="宋体" w:hAnsi="宋体" w:cs="宋体" w:eastAsia="宋体" w:hint="default"/>
                            <w:sz w:val="15"/>
                            <w:szCs w:val="15"/>
                          </w:rPr>
                        </w:pPr>
                        <w:r>
                          <w:rPr>
                            <w:rFonts w:ascii="宋体" w:hAnsi="宋体" w:cs="宋体" w:eastAsia="宋体" w:hint="default"/>
                            <w:i/>
                            <w:sz w:val="16"/>
                            <w:szCs w:val="16"/>
                          </w:rPr>
                          <w:t>应收票据</w:t>
                        </w:r>
                        <w:r>
                          <w:rPr>
                            <w:rFonts w:ascii="宋体" w:hAnsi="宋体" w:cs="宋体" w:eastAsia="宋体" w:hint="default"/>
                            <w:w w:val="100"/>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6"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6"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6"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2"/>
                            <w:sz w:val="15"/>
                          </w:rPr>
                          <w:t>115,302,348</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w w:val="100"/>
                            <w:sz w:val="15"/>
                          </w:rPr>
                          <w:t>-</w:t>
                        </w:r>
                      </w:p>
                    </w:tc>
                    <w:tc>
                      <w:tcPr>
                        <w:tcW w:w="128" w:type="dxa"/>
                        <w:tcBorders>
                          <w:top w:val="nil" w:sz="6" w:space="0" w:color="auto"/>
                          <w:left w:val="nil" w:sz="6" w:space="0" w:color="auto"/>
                          <w:bottom w:val="nil" w:sz="6" w:space="0" w:color="auto"/>
                          <w:right w:val="nil" w:sz="6" w:space="0" w:color="auto"/>
                        </w:tcBorders>
                      </w:tcPr>
                      <w:p>
                        <w:pPr>
                          <w:pStyle w:val="TableParagraph"/>
                          <w:spacing w:line="172"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115,302,348</w:t>
                        </w:r>
                      </w:p>
                    </w:tc>
                    <w:tc>
                      <w:tcPr>
                        <w:tcW w:w="35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重新计量：预期信用损失准备</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74"/>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79"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w w:val="100"/>
                            <w:sz w:val="15"/>
                            <w:u w:val="single" w:color="000000"/>
                          </w:rPr>
                          <w:t> </w:t>
                        </w:r>
                        <w:r>
                          <w:rPr>
                            <w:rFonts w:ascii="宋体"/>
                            <w:sz w:val="15"/>
                            <w:u w:val="single" w:color="000000"/>
                          </w:rPr>
                          <w:t>-</w:t>
                        </w:r>
                        <w:r>
                          <w:rPr>
                            <w:rFonts w:ascii="宋体"/>
                            <w:sz w:val="15"/>
                          </w:rPr>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z w:val="15"/>
                          </w:rPr>
                          <w:t>(  </w:t>
                        </w:r>
                        <w:r>
                          <w:rPr>
                            <w:rFonts w:ascii="宋体"/>
                            <w:spacing w:val="69"/>
                            <w:sz w:val="15"/>
                          </w:rPr>
                          <w:t> </w:t>
                        </w:r>
                        <w:r>
                          <w:rPr>
                            <w:rFonts w:ascii="宋体"/>
                            <w:spacing w:val="69"/>
                            <w:sz w:val="15"/>
                            <w:u w:val="single" w:color="000000"/>
                          </w:rPr>
                          <w:t> </w:t>
                        </w:r>
                        <w:r>
                          <w:rPr>
                            <w:rFonts w:ascii="宋体"/>
                            <w:sz w:val="15"/>
                            <w:u w:val="single" w:color="000000"/>
                          </w:rPr>
                          <w:t>292,486</w:t>
                        </w:r>
                        <w:r>
                          <w:rPr>
                            <w:rFonts w:ascii="宋体"/>
                            <w:sz w:val="15"/>
                          </w:rPr>
                        </w: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w:t>
                        </w: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z w:val="15"/>
                          </w:rPr>
                          <w:t>(        </w:t>
                        </w:r>
                        <w:r>
                          <w:rPr>
                            <w:rFonts w:ascii="宋体"/>
                            <w:spacing w:val="64"/>
                            <w:sz w:val="15"/>
                          </w:rPr>
                          <w:t> </w:t>
                        </w:r>
                        <w:r>
                          <w:rPr>
                            <w:rFonts w:ascii="宋体"/>
                            <w:spacing w:val="64"/>
                            <w:sz w:val="15"/>
                            <w:u w:val="single" w:color="000000"/>
                          </w:rPr>
                          <w:t> </w:t>
                        </w:r>
                        <w:r>
                          <w:rPr>
                            <w:rFonts w:ascii="宋体"/>
                            <w:sz w:val="15"/>
                            <w:u w:val="single" w:color="000000"/>
                          </w:rPr>
                          <w:t>292,486</w:t>
                        </w:r>
                        <w:r>
                          <w:rPr>
                            <w:rFonts w:ascii="宋体"/>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sz w:val="15"/>
                          </w:rPr>
                          <w:t>) </w:t>
                        </w:r>
                      </w:p>
                    </w:tc>
                  </w:tr>
                  <w:tr>
                    <w:trPr>
                      <w:trHeight w:val="211"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8" w:lineRule="exact"/>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90"/>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7"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4" w:lineRule="exact"/>
                          <w:ind w:right="-1"/>
                          <w:jc w:val="right"/>
                          <w:rPr>
                            <w:rFonts w:ascii="宋体" w:hAnsi="宋体" w:cs="宋体" w:eastAsia="宋体" w:hint="default"/>
                            <w:sz w:val="15"/>
                            <w:szCs w:val="15"/>
                          </w:rPr>
                        </w:pPr>
                        <w:r>
                          <w:rPr>
                            <w:rFonts w:ascii="宋体"/>
                            <w:w w:val="100"/>
                            <w:sz w:val="15"/>
                          </w:rPr>
                        </w:r>
                        <w:r>
                          <w:rPr>
                            <w:rFonts w:ascii="宋体"/>
                            <w:spacing w:val="-1"/>
                            <w:sz w:val="15"/>
                            <w:u w:val="single" w:color="000000"/>
                          </w:rPr>
                          <w:t>115,302,348</w:t>
                        </w:r>
                        <w:r>
                          <w:rPr>
                            <w:rFonts w:ascii="宋体"/>
                            <w:spacing w:val="-1"/>
                            <w:sz w:val="15"/>
                          </w:rPr>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4"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4" w:lineRule="exact"/>
                          <w:ind w:right="0"/>
                          <w:jc w:val="right"/>
                          <w:rPr>
                            <w:rFonts w:ascii="宋体" w:hAnsi="宋体" w:cs="宋体" w:eastAsia="宋体" w:hint="default"/>
                            <w:sz w:val="15"/>
                            <w:szCs w:val="15"/>
                          </w:rPr>
                        </w:pPr>
                        <w:r>
                          <w:rPr>
                            <w:rFonts w:ascii="宋体"/>
                            <w:sz w:val="15"/>
                          </w:rPr>
                          <w:t>(  </w:t>
                        </w:r>
                        <w:r>
                          <w:rPr>
                            <w:rFonts w:ascii="宋体"/>
                            <w:spacing w:val="69"/>
                            <w:sz w:val="15"/>
                          </w:rPr>
                          <w:t> </w:t>
                        </w:r>
                        <w:r>
                          <w:rPr>
                            <w:rFonts w:ascii="宋体"/>
                            <w:spacing w:val="69"/>
                            <w:sz w:val="15"/>
                            <w:u w:val="single" w:color="000000"/>
                          </w:rPr>
                          <w:t> </w:t>
                        </w:r>
                        <w:r>
                          <w:rPr>
                            <w:rFonts w:ascii="宋体"/>
                            <w:sz w:val="15"/>
                            <w:u w:val="single" w:color="000000"/>
                          </w:rPr>
                          <w:t>292,486</w:t>
                        </w:r>
                        <w:r>
                          <w:rPr>
                            <w:rFonts w:ascii="宋体"/>
                            <w:sz w:val="15"/>
                          </w:rPr>
                        </w:r>
                      </w:p>
                    </w:tc>
                    <w:tc>
                      <w:tcPr>
                        <w:tcW w:w="128" w:type="dxa"/>
                        <w:tcBorders>
                          <w:top w:val="nil" w:sz="6" w:space="0" w:color="auto"/>
                          <w:left w:val="nil" w:sz="6" w:space="0" w:color="auto"/>
                          <w:bottom w:val="nil" w:sz="6" w:space="0" w:color="auto"/>
                          <w:right w:val="nil" w:sz="6" w:space="0" w:color="auto"/>
                        </w:tcBorders>
                      </w:tcPr>
                      <w:p>
                        <w:pPr>
                          <w:pStyle w:val="TableParagraph"/>
                          <w:spacing w:line="174" w:lineRule="exact"/>
                          <w:ind w:left="-2" w:right="0"/>
                          <w:jc w:val="left"/>
                          <w:rPr>
                            <w:rFonts w:ascii="宋体" w:hAnsi="宋体" w:cs="宋体" w:eastAsia="宋体" w:hint="default"/>
                            <w:sz w:val="15"/>
                            <w:szCs w:val="15"/>
                          </w:rPr>
                        </w:pPr>
                        <w:r>
                          <w:rPr>
                            <w:rFonts w:ascii="宋体"/>
                            <w:w w:val="100"/>
                            <w:sz w:val="15"/>
                          </w:rPr>
                          <w:t>)</w:t>
                        </w:r>
                      </w:p>
                    </w:tc>
                    <w:tc>
                      <w:tcPr>
                        <w:tcW w:w="1481" w:type="dxa"/>
                        <w:tcBorders>
                          <w:top w:val="nil" w:sz="6" w:space="0" w:color="auto"/>
                          <w:left w:val="nil" w:sz="6" w:space="0" w:color="auto"/>
                          <w:bottom w:val="nil" w:sz="6" w:space="0" w:color="auto"/>
                          <w:right w:val="nil" w:sz="6" w:space="0" w:color="auto"/>
                        </w:tcBorders>
                      </w:tcPr>
                      <w:p>
                        <w:pPr>
                          <w:pStyle w:val="TableParagraph"/>
                          <w:spacing w:line="174"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115,009,862</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174" w:lineRule="exact"/>
                          <w:ind w:right="0"/>
                          <w:jc w:val="left"/>
                          <w:rPr>
                            <w:rFonts w:ascii="宋体" w:hAnsi="宋体" w:cs="宋体" w:eastAsia="宋体" w:hint="default"/>
                            <w:sz w:val="15"/>
                            <w:szCs w:val="15"/>
                          </w:rPr>
                        </w:pPr>
                        <w:r>
                          <w:rPr>
                            <w:rFonts w:ascii="宋体"/>
                            <w:w w:val="100"/>
                            <w:sz w:val="15"/>
                          </w:rPr>
                          <w:t> </w:t>
                        </w:r>
                      </w:p>
                    </w:tc>
                  </w:tr>
                  <w:tr>
                    <w:trPr>
                      <w:trHeight w:val="200"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8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82"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198"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8" w:lineRule="exact"/>
                          <w:ind w:left="200" w:right="0"/>
                          <w:jc w:val="left"/>
                          <w:rPr>
                            <w:rFonts w:ascii="宋体" w:hAnsi="宋体" w:cs="宋体" w:eastAsia="宋体" w:hint="default"/>
                            <w:sz w:val="15"/>
                            <w:szCs w:val="15"/>
                          </w:rPr>
                        </w:pPr>
                        <w:r>
                          <w:rPr>
                            <w:rFonts w:ascii="宋体" w:hAnsi="宋体" w:cs="宋体" w:eastAsia="宋体" w:hint="default"/>
                            <w:i/>
                            <w:sz w:val="16"/>
                            <w:szCs w:val="16"/>
                          </w:rPr>
                          <w:t>应收账款</w:t>
                        </w:r>
                        <w:r>
                          <w:rPr>
                            <w:rFonts w:ascii="宋体" w:hAnsi="宋体" w:cs="宋体" w:eastAsia="宋体" w:hint="default"/>
                            <w:w w:val="100"/>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6"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2"/>
                            <w:sz w:val="15"/>
                          </w:rPr>
                          <w:t>1,389,930,749</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2"/>
                            <w:sz w:val="15"/>
                          </w:rPr>
                          <w:t>1,389,930,749</w:t>
                        </w: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重新计量：预期信用损失准备</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72"/>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79"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w:t>
                        </w:r>
                        <w:r>
                          <w:rPr>
                            <w:rFonts w:ascii="宋体"/>
                            <w:spacing w:val="-2"/>
                            <w:sz w:val="15"/>
                            <w:u w:val="single" w:color="000000"/>
                          </w:rPr>
                          <w:t>66,516,282</w:t>
                        </w:r>
                        <w:r>
                          <w:rPr>
                            <w:rFonts w:ascii="宋体"/>
                            <w:spacing w:val="-2"/>
                            <w:sz w:val="15"/>
                          </w:rPr>
                        </w: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w:t>
                        </w: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   </w:t>
                        </w:r>
                        <w:r>
                          <w:rPr>
                            <w:rFonts w:ascii="宋体"/>
                            <w:spacing w:val="63"/>
                            <w:sz w:val="15"/>
                          </w:rPr>
                          <w:t> </w:t>
                        </w:r>
                        <w:r>
                          <w:rPr>
                            <w:rFonts w:ascii="宋体"/>
                            <w:spacing w:val="63"/>
                            <w:sz w:val="15"/>
                            <w:u w:val="single" w:color="000000"/>
                          </w:rPr>
                          <w:t> </w:t>
                        </w:r>
                        <w:r>
                          <w:rPr>
                            <w:rFonts w:ascii="宋体"/>
                            <w:sz w:val="15"/>
                            <w:u w:val="single" w:color="000000"/>
                          </w:rPr>
                          <w:t>66,516,282</w:t>
                        </w:r>
                        <w:r>
                          <w:rPr>
                            <w:rFonts w:ascii="宋体"/>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sz w:val="15"/>
                          </w:rPr>
                          <w:t>) </w:t>
                        </w:r>
                      </w:p>
                    </w:tc>
                  </w:tr>
                  <w:tr>
                    <w:trPr>
                      <w:trHeight w:val="210"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8" w:lineRule="exact"/>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87"/>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5"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2"/>
                            <w:sz w:val="15"/>
                            <w:u w:val="single" w:color="000000"/>
                          </w:rPr>
                          <w:t>1,389,930,749</w:t>
                        </w:r>
                        <w:r>
                          <w:rPr>
                            <w:rFonts w:ascii="宋体"/>
                            <w:spacing w:val="-2"/>
                            <w:sz w:val="15"/>
                          </w:rPr>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w:t>
                        </w:r>
                        <w:r>
                          <w:rPr>
                            <w:rFonts w:ascii="宋体"/>
                            <w:spacing w:val="-2"/>
                            <w:sz w:val="15"/>
                            <w:u w:val="single" w:color="000000"/>
                          </w:rPr>
                          <w:t>66,516,282</w:t>
                        </w:r>
                        <w:r>
                          <w:rPr>
                            <w:rFonts w:ascii="宋体"/>
                            <w:spacing w:val="-2"/>
                            <w:sz w:val="15"/>
                          </w:rPr>
                        </w: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w:t>
                        </w: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2"/>
                            <w:sz w:val="15"/>
                            <w:u w:val="single" w:color="000000"/>
                          </w:rPr>
                          <w:t>1,323,414,467</w:t>
                        </w:r>
                        <w:r>
                          <w:rPr>
                            <w:rFonts w:ascii="宋体"/>
                            <w:spacing w:val="-2"/>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00"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8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82"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198"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8" w:lineRule="exact"/>
                          <w:ind w:left="200" w:right="0"/>
                          <w:jc w:val="left"/>
                          <w:rPr>
                            <w:rFonts w:ascii="宋体" w:hAnsi="宋体" w:cs="宋体" w:eastAsia="宋体" w:hint="default"/>
                            <w:sz w:val="16"/>
                            <w:szCs w:val="16"/>
                          </w:rPr>
                        </w:pPr>
                        <w:r>
                          <w:rPr>
                            <w:rFonts w:ascii="宋体" w:hAnsi="宋体" w:cs="宋体" w:eastAsia="宋体" w:hint="default"/>
                            <w:i/>
                            <w:sz w:val="16"/>
                            <w:szCs w:val="16"/>
                          </w:rPr>
                          <w:t>其他应收款</w:t>
                        </w:r>
                        <w:r>
                          <w:rPr>
                            <w:rFonts w:ascii="宋体" w:hAnsi="宋体" w:cs="宋体" w:eastAsia="宋体" w:hint="default"/>
                            <w:i/>
                            <w:sz w:val="16"/>
                            <w:szCs w:val="16"/>
                          </w:rPr>
                          <w:t> </w:t>
                        </w:r>
                        <w:r>
                          <w:rPr>
                            <w:rFonts w:ascii="宋体" w:hAnsi="宋体" w:cs="宋体" w:eastAsia="宋体" w:hint="default"/>
                            <w:sz w:val="16"/>
                            <w:szCs w:val="16"/>
                          </w:rPr>
                        </w:r>
                      </w:p>
                    </w:tc>
                    <w:tc>
                      <w:tcPr>
                        <w:tcW w:w="137" w:type="dxa"/>
                        <w:tcBorders>
                          <w:top w:val="nil" w:sz="6" w:space="0" w:color="auto"/>
                          <w:left w:val="nil" w:sz="6" w:space="0" w:color="auto"/>
                          <w:bottom w:val="nil" w:sz="6" w:space="0" w:color="auto"/>
                          <w:right w:val="nil" w:sz="6" w:space="0" w:color="auto"/>
                        </w:tcBorders>
                      </w:tcPr>
                      <w:p>
                        <w:pPr>
                          <w:pStyle w:val="TableParagraph"/>
                          <w:spacing w:line="176"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6"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6"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sz w:val="15"/>
                          </w:rPr>
                          <w:t>393,441,377</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sz w:val="15"/>
                          </w:rPr>
                          <w:t>393,441,377</w:t>
                        </w: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重新计量：预期信用损失准备</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74"/>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79"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sz w:val="15"/>
                            <w:u w:val="single" w:color="000000"/>
                          </w:rPr>
                          <w:t>1,534,476</w:t>
                        </w:r>
                        <w:r>
                          <w:rPr>
                            <w:rFonts w:ascii="宋体"/>
                            <w:spacing w:val="-2"/>
                            <w:sz w:val="15"/>
                          </w:rPr>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sz w:val="15"/>
                            <w:u w:val="single" w:color="000000"/>
                          </w:rPr>
                          <w:t>1,534,476</w:t>
                        </w:r>
                        <w:r>
                          <w:rPr>
                            <w:rFonts w:ascii="宋体"/>
                            <w:spacing w:val="-2"/>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210"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8" w:lineRule="exact"/>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90"/>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5"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393,441,377</w:t>
                        </w:r>
                        <w:r>
                          <w:rPr>
                            <w:rFonts w:ascii="宋体"/>
                            <w:spacing w:val="-2"/>
                            <w:sz w:val="15"/>
                          </w:rPr>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sz w:val="15"/>
                            <w:u w:val="single" w:color="000000"/>
                          </w:rPr>
                          <w:t>1,534,476</w:t>
                        </w:r>
                        <w:r>
                          <w:rPr>
                            <w:rFonts w:ascii="宋体"/>
                            <w:spacing w:val="-2"/>
                            <w:sz w:val="15"/>
                          </w:rPr>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394,975,853</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00"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8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82"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198"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8" w:lineRule="exact"/>
                          <w:ind w:left="200" w:right="0"/>
                          <w:jc w:val="left"/>
                          <w:rPr>
                            <w:rFonts w:ascii="宋体" w:hAnsi="宋体" w:cs="宋体" w:eastAsia="宋体" w:hint="default"/>
                            <w:sz w:val="15"/>
                            <w:szCs w:val="15"/>
                          </w:rPr>
                        </w:pPr>
                        <w:r>
                          <w:rPr>
                            <w:rFonts w:ascii="宋体" w:hAnsi="宋体" w:cs="宋体" w:eastAsia="宋体" w:hint="default"/>
                            <w:i/>
                            <w:sz w:val="16"/>
                            <w:szCs w:val="16"/>
                          </w:rPr>
                          <w:t>股权投资</w:t>
                        </w:r>
                        <w:r>
                          <w:rPr>
                            <w:rFonts w:ascii="宋体" w:hAnsi="宋体" w:cs="宋体" w:eastAsia="宋体" w:hint="default"/>
                            <w:w w:val="100"/>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6"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6"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6" w:lineRule="exact"/>
                          <w:ind w:right="0"/>
                          <w:jc w:val="left"/>
                          <w:rPr>
                            <w:rFonts w:ascii="宋体" w:hAnsi="宋体" w:cs="宋体" w:eastAsia="宋体" w:hint="default"/>
                            <w:sz w:val="15"/>
                            <w:szCs w:val="15"/>
                          </w:rPr>
                        </w:pPr>
                        <w:r>
                          <w:rPr>
                            <w:rFonts w:ascii="宋体"/>
                            <w:w w:val="100"/>
                            <w:sz w:val="15"/>
                          </w:rPr>
                          <w:t> </w:t>
                        </w:r>
                      </w:p>
                    </w:tc>
                  </w:tr>
                  <w:tr>
                    <w:trPr>
                      <w:trHeight w:val="195"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509,367,709</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(509,367,709</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2" w:lineRule="exact"/>
                          <w:ind w:right="-2"/>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350" w:type="dxa"/>
                        <w:tcBorders>
                          <w:top w:val="nil" w:sz="6" w:space="0" w:color="auto"/>
                          <w:left w:val="nil" w:sz="6" w:space="0" w:color="auto"/>
                          <w:bottom w:val="nil" w:sz="6" w:space="0" w:color="auto"/>
                          <w:right w:val="nil" w:sz="6" w:space="0" w:color="auto"/>
                        </w:tcBorders>
                      </w:tcPr>
                      <w:p>
                        <w:pPr/>
                      </w:p>
                    </w:tc>
                  </w:tr>
                  <w:tr>
                    <w:trPr>
                      <w:trHeight w:val="390" w:hRule="exact"/>
                    </w:trPr>
                    <w:tc>
                      <w:tcPr>
                        <w:tcW w:w="2546" w:type="dxa"/>
                        <w:vMerge w:val="restart"/>
                        <w:tcBorders>
                          <w:top w:val="nil" w:sz="6" w:space="0" w:color="auto"/>
                          <w:left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减：转出至以公允价值计量且</w:t>
                        </w:r>
                        <w:r>
                          <w:rPr>
                            <w:rFonts w:ascii="宋体" w:hAnsi="宋体" w:cs="宋体" w:eastAsia="宋体" w:hint="default"/>
                            <w:sz w:val="15"/>
                            <w:szCs w:val="15"/>
                          </w:rPr>
                          <w:t> </w:t>
                        </w:r>
                      </w:p>
                      <w:p>
                        <w:pPr>
                          <w:pStyle w:val="TableParagraph"/>
                          <w:spacing w:line="240" w:lineRule="auto"/>
                          <w:ind w:left="800" w:right="16" w:hanging="601"/>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其变动计入当期损益</w:t>
                        </w:r>
                        <w:r>
                          <w:rPr>
                            <w:rFonts w:ascii="宋体" w:hAnsi="宋体" w:cs="宋体" w:eastAsia="宋体" w:hint="default"/>
                            <w:spacing w:val="-2"/>
                            <w:sz w:val="15"/>
                            <w:szCs w:val="15"/>
                          </w:rPr>
                          <w:t> </w:t>
                        </w:r>
                        <w:r>
                          <w:rPr>
                            <w:rFonts w:ascii="宋体" w:hAnsi="宋体" w:cs="宋体" w:eastAsia="宋体" w:hint="default"/>
                            <w:spacing w:val="-2"/>
                            <w:sz w:val="15"/>
                            <w:szCs w:val="15"/>
                          </w:rPr>
                        </w:r>
                        <w:r>
                          <w:rPr>
                            <w:rFonts w:ascii="宋体" w:hAnsi="宋体" w:cs="宋体" w:eastAsia="宋体" w:hint="default"/>
                            <w:sz w:val="15"/>
                            <w:szCs w:val="15"/>
                          </w:rPr>
                          <w:t>（新金</w:t>
                        </w:r>
                        <w:r>
                          <w:rPr>
                            <w:rFonts w:ascii="宋体" w:hAnsi="宋体" w:cs="宋体" w:eastAsia="宋体" w:hint="default"/>
                            <w:w w:val="100"/>
                            <w:sz w:val="15"/>
                            <w:szCs w:val="15"/>
                          </w:rPr>
                          <w:t> </w:t>
                        </w:r>
                        <w:r>
                          <w:rPr>
                            <w:rFonts w:ascii="宋体" w:hAnsi="宋体" w:cs="宋体" w:eastAsia="宋体" w:hint="default"/>
                            <w:sz w:val="15"/>
                            <w:szCs w:val="15"/>
                          </w:rPr>
                          <w:t>融工具准则）</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46" w:type="dxa"/>
                        <w:vMerge/>
                        <w:tcBorders>
                          <w:left w:val="nil" w:sz="6" w:space="0" w:color="auto"/>
                          <w:bottom w:val="nil" w:sz="6" w:space="0" w:color="auto"/>
                          <w:right w:val="nil" w:sz="6" w:space="0" w:color="auto"/>
                        </w:tcBorders>
                      </w:tcPr>
                      <w:p>
                        <w:pPr/>
                      </w:p>
                    </w:tc>
                    <w:tc>
                      <w:tcPr>
                        <w:tcW w:w="137" w:type="dxa"/>
                        <w:tcBorders>
                          <w:top w:val="nil" w:sz="6" w:space="0" w:color="auto"/>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509,367,709</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509,367,709</w:t>
                        </w: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重新计量：公允价值变动损益</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72"/>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79"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sz w:val="15"/>
                            <w:u w:val="single" w:color="000000"/>
                          </w:rPr>
                          <w:t>167,669,491</w:t>
                        </w:r>
                        <w:r>
                          <w:rPr>
                            <w:rFonts w:ascii="宋体"/>
                            <w:spacing w:val="-1"/>
                            <w:sz w:val="15"/>
                          </w:rPr>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167,669,491</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10"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8" w:lineRule="exact"/>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87"/>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5"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509,367,709</w:t>
                        </w:r>
                        <w:r>
                          <w:rPr>
                            <w:rFonts w:ascii="宋体"/>
                            <w:spacing w:val="-2"/>
                            <w:sz w:val="15"/>
                          </w:rPr>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sz w:val="15"/>
                            <w:u w:val="single" w:color="000000"/>
                          </w:rPr>
                          <w:t>167,669,491</w:t>
                        </w:r>
                        <w:r>
                          <w:rPr>
                            <w:rFonts w:ascii="宋体"/>
                            <w:spacing w:val="-1"/>
                            <w:sz w:val="15"/>
                          </w:rPr>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677,037,200</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00"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8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82"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198"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8" w:lineRule="exact"/>
                          <w:ind w:left="200" w:right="0"/>
                          <w:jc w:val="left"/>
                          <w:rPr>
                            <w:rFonts w:ascii="宋体" w:hAnsi="宋体" w:cs="宋体" w:eastAsia="宋体" w:hint="default"/>
                            <w:sz w:val="16"/>
                            <w:szCs w:val="16"/>
                          </w:rPr>
                        </w:pPr>
                        <w:r>
                          <w:rPr>
                            <w:rFonts w:ascii="宋体" w:hAnsi="宋体" w:cs="宋体" w:eastAsia="宋体" w:hint="default"/>
                            <w:i/>
                            <w:sz w:val="16"/>
                            <w:szCs w:val="16"/>
                          </w:rPr>
                          <w:t>理财产品</w:t>
                        </w:r>
                        <w:r>
                          <w:rPr>
                            <w:rFonts w:ascii="宋体" w:hAnsi="宋体" w:cs="宋体" w:eastAsia="宋体" w:hint="default"/>
                            <w:i/>
                            <w:sz w:val="16"/>
                            <w:szCs w:val="16"/>
                          </w:rPr>
                          <w:t> </w:t>
                        </w:r>
                        <w:r>
                          <w:rPr>
                            <w:rFonts w:ascii="宋体" w:hAnsi="宋体" w:cs="宋体" w:eastAsia="宋体" w:hint="default"/>
                            <w:sz w:val="16"/>
                            <w:szCs w:val="16"/>
                          </w:rPr>
                        </w:r>
                      </w:p>
                    </w:tc>
                    <w:tc>
                      <w:tcPr>
                        <w:tcW w:w="137" w:type="dxa"/>
                        <w:tcBorders>
                          <w:top w:val="nil" w:sz="6" w:space="0" w:color="auto"/>
                          <w:left w:val="nil" w:sz="6" w:space="0" w:color="auto"/>
                          <w:bottom w:val="nil" w:sz="6" w:space="0" w:color="auto"/>
                          <w:right w:val="nil" w:sz="6" w:space="0" w:color="auto"/>
                        </w:tcBorders>
                      </w:tcPr>
                      <w:p>
                        <w:pPr>
                          <w:pStyle w:val="TableParagraph"/>
                          <w:spacing w:line="176"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6"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6"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sz w:val="15"/>
                          </w:rPr>
                          <w:t>411,143,000</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(411,143,000</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w w:val="100"/>
                            <w:sz w:val="15"/>
                          </w:rPr>
                          <w:t>-</w:t>
                        </w:r>
                      </w:p>
                    </w:tc>
                    <w:tc>
                      <w:tcPr>
                        <w:tcW w:w="350" w:type="dxa"/>
                        <w:tcBorders>
                          <w:top w:val="nil" w:sz="6" w:space="0" w:color="auto"/>
                          <w:left w:val="nil" w:sz="6" w:space="0" w:color="auto"/>
                          <w:bottom w:val="nil" w:sz="6" w:space="0" w:color="auto"/>
                          <w:right w:val="nil" w:sz="6" w:space="0" w:color="auto"/>
                        </w:tcBorders>
                      </w:tcPr>
                      <w:p>
                        <w:pPr/>
                      </w:p>
                    </w:tc>
                  </w:tr>
                  <w:tr>
                    <w:trPr>
                      <w:trHeight w:val="389" w:hRule="exact"/>
                    </w:trPr>
                    <w:tc>
                      <w:tcPr>
                        <w:tcW w:w="2546" w:type="dxa"/>
                        <w:vMerge w:val="restart"/>
                        <w:tcBorders>
                          <w:top w:val="nil" w:sz="6" w:space="0" w:color="auto"/>
                          <w:left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减：转出至以公允价值计量且</w:t>
                        </w:r>
                        <w:r>
                          <w:rPr>
                            <w:rFonts w:ascii="宋体" w:hAnsi="宋体" w:cs="宋体" w:eastAsia="宋体" w:hint="default"/>
                            <w:sz w:val="15"/>
                            <w:szCs w:val="15"/>
                          </w:rPr>
                          <w:t> </w:t>
                        </w:r>
                      </w:p>
                      <w:p>
                        <w:pPr>
                          <w:pStyle w:val="TableParagraph"/>
                          <w:spacing w:line="240" w:lineRule="auto"/>
                          <w:ind w:left="800" w:right="16" w:hanging="601"/>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其变动计入当期损益</w:t>
                        </w:r>
                        <w:r>
                          <w:rPr>
                            <w:rFonts w:ascii="宋体" w:hAnsi="宋体" w:cs="宋体" w:eastAsia="宋体" w:hint="default"/>
                            <w:spacing w:val="-2"/>
                            <w:sz w:val="15"/>
                            <w:szCs w:val="15"/>
                          </w:rPr>
                          <w:t> </w:t>
                        </w:r>
                        <w:r>
                          <w:rPr>
                            <w:rFonts w:ascii="宋体" w:hAnsi="宋体" w:cs="宋体" w:eastAsia="宋体" w:hint="default"/>
                            <w:spacing w:val="-2"/>
                            <w:sz w:val="15"/>
                            <w:szCs w:val="15"/>
                          </w:rPr>
                        </w:r>
                        <w:r>
                          <w:rPr>
                            <w:rFonts w:ascii="宋体" w:hAnsi="宋体" w:cs="宋体" w:eastAsia="宋体" w:hint="default"/>
                            <w:sz w:val="15"/>
                            <w:szCs w:val="15"/>
                          </w:rPr>
                          <w:t>（新金</w:t>
                        </w:r>
                        <w:r>
                          <w:rPr>
                            <w:rFonts w:ascii="宋体" w:hAnsi="宋体" w:cs="宋体" w:eastAsia="宋体" w:hint="default"/>
                            <w:w w:val="100"/>
                            <w:sz w:val="15"/>
                            <w:szCs w:val="15"/>
                          </w:rPr>
                          <w:t> </w:t>
                        </w:r>
                        <w:r>
                          <w:rPr>
                            <w:rFonts w:ascii="宋体" w:hAnsi="宋体" w:cs="宋体" w:eastAsia="宋体" w:hint="default"/>
                            <w:sz w:val="15"/>
                            <w:szCs w:val="15"/>
                          </w:rPr>
                          <w:t>融工具准则）</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46" w:type="dxa"/>
                        <w:vMerge/>
                        <w:tcBorders>
                          <w:left w:val="nil" w:sz="6" w:space="0" w:color="auto"/>
                          <w:bottom w:val="nil" w:sz="6" w:space="0" w:color="auto"/>
                          <w:right w:val="nil" w:sz="6" w:space="0" w:color="auto"/>
                        </w:tcBorders>
                      </w:tcPr>
                      <w:p>
                        <w:pPr/>
                      </w:p>
                    </w:tc>
                    <w:tc>
                      <w:tcPr>
                        <w:tcW w:w="137" w:type="dxa"/>
                        <w:tcBorders>
                          <w:top w:val="nil" w:sz="6" w:space="0" w:color="auto"/>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411,143,000</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411,143,000</w:t>
                        </w: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重新计量：公允价值变动损益</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74"/>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79"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10,743,644</w:t>
                        </w:r>
                        <w:r>
                          <w:rPr>
                            <w:rFonts w:ascii="宋体"/>
                            <w:spacing w:val="-2"/>
                            <w:sz w:val="15"/>
                          </w:rPr>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sz w:val="15"/>
                            <w:u w:val="single" w:color="000000"/>
                          </w:rPr>
                          <w:t>10,743,644</w:t>
                        </w:r>
                        <w:r>
                          <w:rPr>
                            <w:rFonts w:ascii="宋体"/>
                            <w:spacing w:val="-2"/>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10"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8" w:lineRule="exact"/>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137" w:type="dxa"/>
                        <w:vMerge w:val="restart"/>
                        <w:tcBorders>
                          <w:top w:val="nil" w:sz="6" w:space="0" w:color="auto"/>
                          <w:left w:val="nil" w:sz="6" w:space="0" w:color="auto"/>
                          <w:right w:val="nil" w:sz="6" w:space="0" w:color="auto"/>
                        </w:tcBorders>
                      </w:tcPr>
                      <w:p>
                        <w:pPr>
                          <w:pStyle w:val="TableParagraph"/>
                          <w:spacing w:line="240" w:lineRule="auto" w:before="90"/>
                          <w:ind w:left="18" w:right="0"/>
                          <w:jc w:val="left"/>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5" w:hRule="exact"/>
                    </w:trPr>
                    <w:tc>
                      <w:tcPr>
                        <w:tcW w:w="2546" w:type="dxa"/>
                        <w:tcBorders>
                          <w:top w:val="nil" w:sz="6" w:space="0" w:color="auto"/>
                          <w:left w:val="nil" w:sz="6" w:space="0" w:color="auto"/>
                          <w:bottom w:val="nil" w:sz="6" w:space="0" w:color="auto"/>
                          <w:right w:val="nil" w:sz="6" w:space="0" w:color="auto"/>
                        </w:tcBorders>
                      </w:tcPr>
                      <w:p>
                        <w:pPr/>
                      </w:p>
                    </w:tc>
                    <w:tc>
                      <w:tcPr>
                        <w:tcW w:w="137" w:type="dxa"/>
                        <w:vMerge/>
                        <w:tcBorders>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411,143,000</w:t>
                        </w:r>
                        <w:r>
                          <w:rPr>
                            <w:rFonts w:ascii="宋体"/>
                            <w:spacing w:val="-1"/>
                            <w:sz w:val="15"/>
                          </w:rPr>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10,743,644</w:t>
                        </w:r>
                        <w:r>
                          <w:rPr>
                            <w:rFonts w:ascii="宋体"/>
                            <w:spacing w:val="-2"/>
                            <w:sz w:val="15"/>
                          </w:rPr>
                        </w: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421,886,644</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53"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8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82"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333"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200" w:right="0"/>
                          <w:jc w:val="left"/>
                          <w:rPr>
                            <w:rFonts w:ascii="宋体" w:hAnsi="宋体" w:cs="宋体" w:eastAsia="宋体" w:hint="default"/>
                            <w:sz w:val="15"/>
                            <w:szCs w:val="15"/>
                          </w:rPr>
                        </w:pPr>
                        <w:r>
                          <w:rPr>
                            <w:rFonts w:ascii="宋体" w:hAnsi="宋体" w:cs="宋体" w:eastAsia="宋体" w:hint="default"/>
                            <w:sz w:val="15"/>
                            <w:szCs w:val="15"/>
                          </w:rPr>
                          <w:t>以摊余成本计量的总金融资产</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
                          <w:jc w:val="right"/>
                          <w:rPr>
                            <w:rFonts w:ascii="宋体" w:hAnsi="宋体" w:cs="宋体" w:eastAsia="宋体" w:hint="default"/>
                            <w:sz w:val="15"/>
                            <w:szCs w:val="15"/>
                          </w:rPr>
                        </w:pPr>
                        <w:r>
                          <w:rPr>
                            <w:rFonts w:ascii="宋体"/>
                            <w:w w:val="100"/>
                            <w:sz w:val="15"/>
                          </w:rPr>
                        </w:r>
                        <w:r>
                          <w:rPr>
                            <w:rFonts w:ascii="宋体"/>
                            <w:spacing w:val="-2"/>
                            <w:sz w:val="15"/>
                            <w:u w:val="single" w:color="000000"/>
                          </w:rPr>
                          <w:t>2,819,185,183</w:t>
                        </w:r>
                        <w:r>
                          <w:rPr>
                            <w:rFonts w:ascii="宋体"/>
                            <w:spacing w:val="-2"/>
                            <w:sz w:val="15"/>
                          </w:rPr>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
                          <w:jc w:val="right"/>
                          <w:rPr>
                            <w:rFonts w:ascii="宋体" w:hAnsi="宋体" w:cs="宋体" w:eastAsia="宋体" w:hint="default"/>
                            <w:sz w:val="15"/>
                            <w:szCs w:val="15"/>
                          </w:rPr>
                        </w:pPr>
                        <w:r>
                          <w:rPr>
                            <w:rFonts w:ascii="宋体"/>
                            <w:w w:val="100"/>
                            <w:sz w:val="15"/>
                          </w:rPr>
                        </w:r>
                        <w:r>
                          <w:rPr>
                            <w:rFonts w:ascii="宋体"/>
                            <w:spacing w:val="-1"/>
                            <w:sz w:val="15"/>
                            <w:u w:val="single" w:color="000000"/>
                          </w:rPr>
                          <w:t>113,138,843</w:t>
                        </w:r>
                        <w:r>
                          <w:rPr>
                            <w:rFonts w:ascii="宋体"/>
                            <w:spacing w:val="-1"/>
                            <w:sz w:val="15"/>
                          </w:rPr>
                        </w:r>
                      </w:p>
                    </w:tc>
                    <w:tc>
                      <w:tcPr>
                        <w:tcW w:w="128"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
                          <w:jc w:val="right"/>
                          <w:rPr>
                            <w:rFonts w:ascii="宋体" w:hAnsi="宋体" w:cs="宋体" w:eastAsia="宋体" w:hint="default"/>
                            <w:sz w:val="15"/>
                            <w:szCs w:val="15"/>
                          </w:rPr>
                        </w:pPr>
                        <w:r>
                          <w:rPr>
                            <w:rFonts w:ascii="宋体"/>
                            <w:w w:val="100"/>
                            <w:sz w:val="15"/>
                          </w:rPr>
                        </w:r>
                        <w:r>
                          <w:rPr>
                            <w:rFonts w:ascii="宋体"/>
                            <w:spacing w:val="-2"/>
                            <w:sz w:val="15"/>
                            <w:u w:val="single" w:color="000000"/>
                          </w:rPr>
                          <w:t>2,932,324,026</w:t>
                        </w:r>
                        <w:r>
                          <w:rPr>
                            <w:rFonts w:ascii="宋体"/>
                            <w:spacing w:val="-2"/>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0"/>
                          <w:jc w:val="left"/>
                          <w:rPr>
                            <w:rFonts w:ascii="宋体" w:hAnsi="宋体" w:cs="宋体" w:eastAsia="宋体" w:hint="default"/>
                            <w:sz w:val="15"/>
                            <w:szCs w:val="15"/>
                          </w:rPr>
                        </w:pPr>
                        <w:r>
                          <w:rPr>
                            <w:rFonts w:ascii="宋体"/>
                            <w:w w:val="100"/>
                            <w:sz w:val="15"/>
                          </w:rPr>
                          <w:t> </w:t>
                        </w:r>
                      </w:p>
                    </w:tc>
                  </w:tr>
                  <w:tr>
                    <w:trPr>
                      <w:trHeight w:val="20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8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82"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3"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385"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以公允价值计量且其变动计入</w:t>
                        </w:r>
                        <w:r>
                          <w:rPr>
                            <w:rFonts w:ascii="宋体" w:hAnsi="宋体" w:cs="宋体" w:eastAsia="宋体" w:hint="default"/>
                            <w:sz w:val="15"/>
                            <w:szCs w:val="15"/>
                          </w:rPr>
                          <w:t> </w:t>
                        </w:r>
                      </w:p>
                      <w:p>
                        <w:pPr>
                          <w:pStyle w:val="TableParagraph"/>
                          <w:spacing w:line="195"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其他综合收益的金融资产</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left"/>
                          <w:rPr>
                            <w:rFonts w:ascii="宋体" w:hAnsi="宋体" w:cs="宋体" w:eastAsia="宋体" w:hint="default"/>
                            <w:sz w:val="15"/>
                            <w:szCs w:val="15"/>
                          </w:rPr>
                        </w:pPr>
                        <w:r>
                          <w:rPr>
                            <w:rFonts w:ascii="宋体"/>
                            <w:w w:val="100"/>
                            <w:sz w:val="15"/>
                          </w:rPr>
                          <w:t> </w:t>
                        </w:r>
                      </w:p>
                    </w:tc>
                  </w:tr>
                  <w:tr>
                    <w:trPr>
                      <w:trHeight w:val="198"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8" w:lineRule="exact"/>
                          <w:ind w:left="200" w:right="0"/>
                          <w:jc w:val="left"/>
                          <w:rPr>
                            <w:rFonts w:ascii="宋体" w:hAnsi="宋体" w:cs="宋体" w:eastAsia="宋体" w:hint="default"/>
                            <w:sz w:val="16"/>
                            <w:szCs w:val="16"/>
                          </w:rPr>
                        </w:pPr>
                        <w:r>
                          <w:rPr>
                            <w:rFonts w:ascii="宋体" w:hAnsi="宋体" w:cs="宋体" w:eastAsia="宋体" w:hint="default"/>
                            <w:i/>
                            <w:sz w:val="16"/>
                            <w:szCs w:val="16"/>
                          </w:rPr>
                          <w:t>股权投资</w:t>
                        </w:r>
                        <w:r>
                          <w:rPr>
                            <w:rFonts w:ascii="宋体" w:hAnsi="宋体" w:cs="宋体" w:eastAsia="宋体" w:hint="default"/>
                            <w:i/>
                            <w:sz w:val="16"/>
                            <w:szCs w:val="16"/>
                          </w:rPr>
                          <w:t>-</w:t>
                        </w:r>
                        <w:r>
                          <w:rPr>
                            <w:rFonts w:ascii="宋体" w:hAnsi="宋体" w:cs="宋体" w:eastAsia="宋体" w:hint="default"/>
                            <w:i/>
                            <w:sz w:val="16"/>
                            <w:szCs w:val="16"/>
                          </w:rPr>
                          <w:t>可供出售金融资产</w:t>
                        </w:r>
                        <w:r>
                          <w:rPr>
                            <w:rFonts w:ascii="宋体" w:hAnsi="宋体" w:cs="宋体" w:eastAsia="宋体" w:hint="default"/>
                            <w:i/>
                            <w:sz w:val="16"/>
                            <w:szCs w:val="16"/>
                          </w:rPr>
                          <w:t> </w:t>
                        </w:r>
                        <w:r>
                          <w:rPr>
                            <w:rFonts w:ascii="宋体" w:hAnsi="宋体" w:cs="宋体" w:eastAsia="宋体" w:hint="default"/>
                            <w:sz w:val="16"/>
                            <w:szCs w:val="16"/>
                          </w:rPr>
                        </w:r>
                      </w:p>
                    </w:tc>
                    <w:tc>
                      <w:tcPr>
                        <w:tcW w:w="137" w:type="dxa"/>
                        <w:tcBorders>
                          <w:top w:val="nil" w:sz="6" w:space="0" w:color="auto"/>
                          <w:left w:val="nil" w:sz="6" w:space="0" w:color="auto"/>
                          <w:bottom w:val="nil" w:sz="6" w:space="0" w:color="auto"/>
                          <w:right w:val="nil" w:sz="6" w:space="0" w:color="auto"/>
                        </w:tcBorders>
                      </w:tcPr>
                      <w:p>
                        <w:pPr>
                          <w:pStyle w:val="TableParagraph"/>
                          <w:spacing w:line="176"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6"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6"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2"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167,713,557</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r>
                          <w:rPr>
                            <w:rFonts w:ascii="宋体"/>
                            <w:spacing w:val="66"/>
                            <w:sz w:val="15"/>
                          </w:rPr>
                          <w:t> </w:t>
                        </w:r>
                        <w:r>
                          <w:rPr>
                            <w:rFonts w:ascii="宋体"/>
                            <w:sz w:val="15"/>
                          </w:rPr>
                          <w:t>167,713,557</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28" w:type="dxa"/>
                        <w:tcBorders>
                          <w:top w:val="nil" w:sz="6" w:space="0" w:color="auto"/>
                          <w:left w:val="nil" w:sz="6" w:space="0" w:color="auto"/>
                          <w:bottom w:val="nil" w:sz="6" w:space="0" w:color="auto"/>
                          <w:right w:val="nil" w:sz="6" w:space="0" w:color="auto"/>
                        </w:tcBorders>
                      </w:tcPr>
                      <w:p>
                        <w:pPr>
                          <w:pStyle w:val="TableParagraph"/>
                          <w:spacing w:line="172"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Style w:val="TableParagraph"/>
                          <w:spacing w:line="172" w:lineRule="exact"/>
                          <w:ind w:right="-2"/>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35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left"/>
                          <w:rPr>
                            <w:rFonts w:ascii="宋体" w:hAnsi="宋体" w:cs="宋体" w:eastAsia="宋体" w:hint="default"/>
                            <w:sz w:val="15"/>
                            <w:szCs w:val="15"/>
                          </w:rPr>
                        </w:pPr>
                        <w:r>
                          <w:rPr>
                            <w:rFonts w:ascii="宋体"/>
                            <w:w w:val="100"/>
                            <w:sz w:val="15"/>
                          </w:rPr>
                          <w:t> </w:t>
                        </w:r>
                      </w:p>
                    </w:tc>
                  </w:tr>
                  <w:tr>
                    <w:trPr>
                      <w:trHeight w:val="389" w:hRule="exact"/>
                    </w:trPr>
                    <w:tc>
                      <w:tcPr>
                        <w:tcW w:w="2546" w:type="dxa"/>
                        <w:vMerge w:val="restart"/>
                        <w:tcBorders>
                          <w:top w:val="nil" w:sz="6" w:space="0" w:color="auto"/>
                          <w:left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减：转出至以公允价值计量且</w:t>
                        </w:r>
                        <w:r>
                          <w:rPr>
                            <w:rFonts w:ascii="宋体" w:hAnsi="宋体" w:cs="宋体" w:eastAsia="宋体" w:hint="default"/>
                            <w:sz w:val="15"/>
                            <w:szCs w:val="15"/>
                          </w:rPr>
                          <w:t> </w:t>
                        </w:r>
                      </w:p>
                      <w:p>
                        <w:pPr>
                          <w:pStyle w:val="TableParagraph"/>
                          <w:spacing w:line="194"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其变动计入当期损益</w:t>
                        </w:r>
                        <w:r>
                          <w:rPr>
                            <w:rFonts w:ascii="宋体" w:hAnsi="宋体" w:cs="宋体" w:eastAsia="宋体" w:hint="default"/>
                            <w:sz w:val="15"/>
                            <w:szCs w:val="15"/>
                          </w:rPr>
                          <w:t> </w:t>
                        </w:r>
                      </w:p>
                      <w:p>
                        <w:pPr>
                          <w:pStyle w:val="TableParagraph"/>
                          <w:spacing w:line="195"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（新金融工具准则）</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244" w:hRule="exact"/>
                    </w:trPr>
                    <w:tc>
                      <w:tcPr>
                        <w:tcW w:w="2546" w:type="dxa"/>
                        <w:vMerge/>
                        <w:tcBorders>
                          <w:left w:val="nil" w:sz="6" w:space="0" w:color="auto"/>
                          <w:bottom w:val="nil" w:sz="6" w:space="0" w:color="auto"/>
                          <w:right w:val="nil" w:sz="6" w:space="0" w:color="auto"/>
                        </w:tcBorders>
                      </w:tcPr>
                      <w:p>
                        <w:pPr/>
                      </w:p>
                    </w:tc>
                    <w:tc>
                      <w:tcPr>
                        <w:tcW w:w="137" w:type="dxa"/>
                        <w:tcBorders>
                          <w:top w:val="nil" w:sz="6" w:space="0" w:color="auto"/>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167,713,557</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sz w:val="15"/>
                          </w:rPr>
                          <w:t>167,713,557</w:t>
                        </w: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340"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sz w:val="15"/>
                          </w:rPr>
                          <w:t>167,713,557</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right"/>
                          <w:rPr>
                            <w:rFonts w:ascii="宋体" w:hAnsi="宋体" w:cs="宋体" w:eastAsia="宋体" w:hint="default"/>
                            <w:sz w:val="15"/>
                            <w:szCs w:val="15"/>
                          </w:rPr>
                        </w:pPr>
                        <w:r>
                          <w:rPr>
                            <w:rFonts w:ascii="宋体"/>
                            <w:w w:val="100"/>
                            <w:sz w:val="15"/>
                          </w:rPr>
                          <w:t>-</w:t>
                        </w: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right"/>
                          <w:rPr>
                            <w:rFonts w:ascii="宋体" w:hAnsi="宋体" w:cs="宋体" w:eastAsia="宋体" w:hint="default"/>
                            <w:sz w:val="15"/>
                            <w:szCs w:val="15"/>
                          </w:rPr>
                        </w:pPr>
                        <w:r>
                          <w:rPr>
                            <w:rFonts w:ascii="宋体"/>
                            <w:w w:val="100"/>
                            <w:sz w:val="15"/>
                          </w:rPr>
                          <w:t>-</w:t>
                        </w:r>
                      </w:p>
                    </w:tc>
                    <w:tc>
                      <w:tcPr>
                        <w:tcW w:w="128"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sz w:val="15"/>
                          </w:rPr>
                          <w:t>167,713,557</w:t>
                        </w:r>
                      </w:p>
                    </w:tc>
                    <w:tc>
                      <w:tcPr>
                        <w:tcW w:w="35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3"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3"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173"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总计</w:t>
                        </w:r>
                        <w:r>
                          <w:rPr>
                            <w:rFonts w:ascii="宋体" w:hAnsi="宋体" w:cs="宋体" w:eastAsia="宋体" w:hint="default"/>
                            <w:sz w:val="15"/>
                            <w:szCs w:val="15"/>
                          </w:rPr>
                          <w:t> </w:t>
                        </w:r>
                      </w:p>
                    </w:tc>
                    <w:tc>
                      <w:tcPr>
                        <w:tcW w:w="137" w:type="dxa"/>
                        <w:tcBorders>
                          <w:top w:val="nil" w:sz="6" w:space="0" w:color="auto"/>
                          <w:left w:val="nil" w:sz="6" w:space="0" w:color="auto"/>
                          <w:bottom w:val="nil" w:sz="6" w:space="0" w:color="auto"/>
                          <w:right w:val="nil" w:sz="6" w:space="0" w:color="auto"/>
                        </w:tcBorders>
                      </w:tcPr>
                      <w:p>
                        <w:pPr>
                          <w:pStyle w:val="TableParagraph"/>
                          <w:spacing w:line="173" w:lineRule="exact"/>
                          <w:ind w:right="23"/>
                          <w:jc w:val="center"/>
                          <w:rPr>
                            <w:rFonts w:ascii="宋体" w:hAnsi="宋体" w:cs="宋体" w:eastAsia="宋体" w:hint="default"/>
                            <w:sz w:val="15"/>
                            <w:szCs w:val="15"/>
                          </w:rPr>
                        </w:pPr>
                        <w:r>
                          <w:rPr>
                            <w:rFonts w:ascii="宋体"/>
                            <w:w w:val="100"/>
                            <w:sz w:val="15"/>
                          </w:rPr>
                          <w:t> </w:t>
                        </w:r>
                      </w:p>
                    </w:tc>
                    <w:tc>
                      <w:tcPr>
                        <w:tcW w:w="15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2,986,898,740</w:t>
                        </w:r>
                      </w:p>
                    </w:tc>
                    <w:tc>
                      <w:tcPr>
                        <w:tcW w:w="80"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86"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113,138,843</w:t>
                        </w:r>
                      </w:p>
                    </w:tc>
                    <w:tc>
                      <w:tcPr>
                        <w:tcW w:w="128" w:type="dxa"/>
                        <w:tcBorders>
                          <w:top w:val="nil" w:sz="6" w:space="0" w:color="auto"/>
                          <w:left w:val="nil" w:sz="6" w:space="0" w:color="auto"/>
                          <w:bottom w:val="nil" w:sz="6" w:space="0" w:color="auto"/>
                          <w:right w:val="nil" w:sz="6" w:space="0" w:color="auto"/>
                        </w:tcBorders>
                      </w:tcPr>
                      <w:p>
                        <w:pPr>
                          <w:pStyle w:val="TableParagraph"/>
                          <w:spacing w:line="173" w:lineRule="exact"/>
                          <w:ind w:left="-2" w:right="0"/>
                          <w:jc w:val="left"/>
                          <w:rPr>
                            <w:rFonts w:ascii="宋体" w:hAnsi="宋体" w:cs="宋体" w:eastAsia="宋体" w:hint="default"/>
                            <w:sz w:val="15"/>
                            <w:szCs w:val="15"/>
                          </w:rPr>
                        </w:pPr>
                        <w:r>
                          <w:rPr>
                            <w:rFonts w:ascii="宋体"/>
                            <w:w w:val="100"/>
                            <w:sz w:val="15"/>
                          </w:rPr>
                          <w:t> </w:t>
                        </w:r>
                      </w:p>
                    </w:tc>
                    <w:tc>
                      <w:tcPr>
                        <w:tcW w:w="148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2"/>
                            <w:sz w:val="15"/>
                          </w:rPr>
                          <w:t>3,100,037,583</w:t>
                        </w: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bl>
                <w:p>
                  <w:pPr/>
                </w:p>
              </w:txbxContent>
            </v:textbox>
            <w10:wrap type="none"/>
          </v:shape>
        </w:pict>
      </w:r>
      <w:r>
        <w:rPr>
          <w:rFonts w:ascii="宋体"/>
          <w:w w:val="100"/>
          <w:sz w:val="15"/>
        </w:rPr>
        <w:t> </w:t>
      </w:r>
      <w:r>
        <w:rPr>
          <w:rFonts w:ascii="宋体"/>
          <w:sz w:val="15"/>
        </w:rPr>
        <w:tab/>
      </w:r>
      <w:r>
        <w:rPr>
          <w:rFonts w:ascii="宋体"/>
          <w:w w:val="100"/>
          <w:sz w:val="15"/>
        </w:rPr>
        <w:t> </w:t>
      </w:r>
    </w:p>
    <w:p>
      <w:pPr>
        <w:tabs>
          <w:tab w:pos="2250" w:val="left" w:leader="none"/>
        </w:tabs>
        <w:spacing w:line="194" w:lineRule="exact" w:before="0"/>
        <w:ind w:left="874" w:right="0" w:firstLine="0"/>
        <w:jc w:val="center"/>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p>
    <w:p>
      <w:pPr>
        <w:spacing w:line="195" w:lineRule="exact" w:before="0"/>
        <w:ind w:left="2250" w:right="0" w:firstLine="0"/>
        <w:jc w:val="center"/>
        <w:rPr>
          <w:rFonts w:ascii="宋体" w:hAnsi="宋体" w:cs="宋体" w:eastAsia="宋体" w:hint="default"/>
          <w:sz w:val="15"/>
          <w:szCs w:val="15"/>
        </w:rPr>
      </w:pPr>
      <w:r>
        <w:rPr>
          <w:rFonts w:ascii="宋体"/>
          <w:w w:val="100"/>
          <w:sz w:val="15"/>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tabs>
          <w:tab w:pos="2250" w:val="left" w:leader="none"/>
        </w:tabs>
        <w:spacing w:line="195" w:lineRule="exact" w:before="54"/>
        <w:ind w:left="874" w:right="0" w:firstLine="0"/>
        <w:jc w:val="center"/>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p>
    <w:p>
      <w:pPr>
        <w:tabs>
          <w:tab w:pos="2250" w:val="left" w:leader="none"/>
        </w:tabs>
        <w:spacing w:line="194" w:lineRule="exact" w:before="0"/>
        <w:ind w:left="874" w:right="0" w:firstLine="0"/>
        <w:jc w:val="center"/>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p>
    <w:p>
      <w:pPr>
        <w:spacing w:line="195" w:lineRule="exact" w:before="0"/>
        <w:ind w:left="2250" w:right="0" w:firstLine="0"/>
        <w:jc w:val="center"/>
        <w:rPr>
          <w:rFonts w:ascii="宋体" w:hAnsi="宋体" w:cs="宋体" w:eastAsia="宋体" w:hint="default"/>
          <w:sz w:val="15"/>
          <w:szCs w:val="15"/>
        </w:rPr>
      </w:pPr>
      <w:r>
        <w:rPr>
          <w:rFonts w:ascii="宋体"/>
          <w:w w:val="100"/>
          <w:sz w:val="15"/>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spacing w:before="54"/>
        <w:ind w:left="2250" w:right="0" w:firstLine="0"/>
        <w:jc w:val="center"/>
        <w:rPr>
          <w:rFonts w:ascii="宋体" w:hAnsi="宋体" w:cs="宋体" w:eastAsia="宋体" w:hint="default"/>
          <w:sz w:val="15"/>
          <w:szCs w:val="15"/>
        </w:rPr>
      </w:pPr>
      <w:r>
        <w:rPr>
          <w:rFonts w:ascii="宋体"/>
          <w:w w:val="100"/>
          <w:sz w:val="15"/>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tabs>
          <w:tab w:pos="2250" w:val="left" w:leader="none"/>
        </w:tabs>
        <w:spacing w:line="195" w:lineRule="exact" w:before="54"/>
        <w:ind w:left="874" w:right="0" w:firstLine="0"/>
        <w:jc w:val="center"/>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p>
    <w:p>
      <w:pPr>
        <w:tabs>
          <w:tab w:pos="2250" w:val="left" w:leader="none"/>
        </w:tabs>
        <w:spacing w:line="194" w:lineRule="exact" w:before="0"/>
        <w:ind w:left="874" w:right="0" w:firstLine="0"/>
        <w:jc w:val="center"/>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p>
    <w:p>
      <w:pPr>
        <w:tabs>
          <w:tab w:pos="2250" w:val="left" w:leader="none"/>
        </w:tabs>
        <w:spacing w:line="195" w:lineRule="exact" w:before="0"/>
        <w:ind w:left="874" w:right="0" w:firstLine="0"/>
        <w:jc w:val="center"/>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p>
    <w:p>
      <w:pPr>
        <w:spacing w:after="0" w:line="195" w:lineRule="exact"/>
        <w:jc w:val="center"/>
        <w:rPr>
          <w:rFonts w:ascii="宋体" w:hAnsi="宋体" w:cs="宋体" w:eastAsia="宋体" w:hint="default"/>
          <w:sz w:val="15"/>
          <w:szCs w:val="15"/>
        </w:rPr>
        <w:sectPr>
          <w:pgSz w:w="11910" w:h="16840"/>
          <w:pgMar w:header="882" w:footer="1195" w:top="1120" w:bottom="1380" w:left="960" w:right="1680"/>
        </w:sectPr>
      </w:pPr>
    </w:p>
    <w:p>
      <w:pPr>
        <w:spacing w:line="240" w:lineRule="auto" w:before="0"/>
        <w:rPr>
          <w:rFonts w:ascii="宋体" w:hAnsi="宋体" w:cs="宋体" w:eastAsia="宋体" w:hint="default"/>
          <w:sz w:val="18"/>
          <w:szCs w:val="18"/>
        </w:rPr>
      </w:pPr>
    </w:p>
    <w:p>
      <w:pPr>
        <w:spacing w:line="189" w:lineRule="exact" w:before="54"/>
        <w:ind w:left="2096" w:right="0" w:firstLine="0"/>
        <w:jc w:val="center"/>
        <w:rPr>
          <w:rFonts w:ascii="宋体" w:hAnsi="宋体" w:cs="宋体" w:eastAsia="宋体" w:hint="default"/>
          <w:sz w:val="15"/>
          <w:szCs w:val="15"/>
        </w:rPr>
      </w:pPr>
      <w:r>
        <w:rPr>
          <w:rFonts w:ascii="宋体"/>
          <w:w w:val="100"/>
          <w:sz w:val="15"/>
        </w:rPr>
        <w:t>-</w:t>
      </w:r>
    </w:p>
    <w:p>
      <w:pPr>
        <w:spacing w:line="225" w:lineRule="exact" w:before="0"/>
        <w:ind w:left="316" w:right="0" w:firstLine="0"/>
        <w:jc w:val="left"/>
        <w:rPr>
          <w:rFonts w:ascii="宋体" w:hAnsi="宋体" w:cs="宋体" w:eastAsia="宋体" w:hint="default"/>
          <w:sz w:val="18"/>
          <w:szCs w:val="18"/>
        </w:rPr>
      </w:pPr>
      <w:r>
        <w:rPr>
          <w:rFonts w:ascii="宋体"/>
          <w:sz w:val="18"/>
        </w:rPr>
        <w:t> </w:t>
      </w:r>
    </w:p>
    <w:p>
      <w:pPr>
        <w:pStyle w:val="BodyText"/>
        <w:spacing w:line="311" w:lineRule="exact"/>
        <w:ind w:left="316" w:right="97"/>
        <w:jc w:val="left"/>
        <w:rPr>
          <w:rFonts w:ascii="宋体" w:hAnsi="宋体" w:cs="宋体" w:eastAsia="宋体" w:hint="default"/>
        </w:rPr>
      </w:pPr>
      <w:r>
        <w:rPr/>
        <w:t>本公司</w:t>
      </w:r>
      <w:r>
        <w:rPr>
          <w:rFonts w:ascii="宋体" w:hAnsi="宋体" w:cs="宋体" w:eastAsia="宋体" w:hint="default"/>
        </w:rPr>
        <w:t> </w:t>
      </w:r>
    </w:p>
    <w:p>
      <w:pPr>
        <w:spacing w:before="1"/>
        <w:ind w:left="316" w:right="0" w:firstLine="0"/>
        <w:jc w:val="left"/>
        <w:rPr>
          <w:rFonts w:ascii="宋体" w:hAnsi="宋体" w:cs="宋体" w:eastAsia="宋体" w:hint="default"/>
          <w:sz w:val="18"/>
          <w:szCs w:val="18"/>
        </w:rPr>
      </w:pPr>
      <w:r>
        <w:rPr>
          <w:rFonts w:ascii="宋体"/>
          <w:sz w:val="18"/>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before="54"/>
        <w:ind w:left="0" w:right="2153" w:firstLine="0"/>
        <w:jc w:val="right"/>
        <w:rPr>
          <w:rFonts w:ascii="宋体" w:hAnsi="宋体" w:cs="宋体" w:eastAsia="宋体" w:hint="default"/>
          <w:sz w:val="15"/>
          <w:szCs w:val="15"/>
        </w:rPr>
      </w:pPr>
      <w:r>
        <w:rPr/>
        <w:pict>
          <v:shape style="position:absolute;margin-left:53.84pt;margin-top:-72.917122pt;width:444pt;height:533.5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09"/>
                    <w:gridCol w:w="325"/>
                    <w:gridCol w:w="1395"/>
                    <w:gridCol w:w="80"/>
                    <w:gridCol w:w="1295"/>
                    <w:gridCol w:w="87"/>
                    <w:gridCol w:w="1230"/>
                    <w:gridCol w:w="74"/>
                    <w:gridCol w:w="1535"/>
                    <w:gridCol w:w="350"/>
                  </w:tblGrid>
                  <w:tr>
                    <w:trPr>
                      <w:trHeight w:val="173"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51" w:lineRule="exact"/>
                          <w:ind w:left="200" w:right="0"/>
                          <w:jc w:val="left"/>
                          <w:rPr>
                            <w:rFonts w:ascii="宋体" w:hAnsi="宋体" w:cs="宋体" w:eastAsia="宋体" w:hint="default"/>
                            <w:sz w:val="15"/>
                            <w:szCs w:val="15"/>
                          </w:rPr>
                        </w:pPr>
                        <w:r>
                          <w:rPr>
                            <w:rFonts w:ascii="宋体"/>
                            <w:w w:val="100"/>
                            <w:sz w:val="15"/>
                          </w:rPr>
                          <w:t> </w:t>
                        </w:r>
                      </w:p>
                    </w:tc>
                    <w:tc>
                      <w:tcPr>
                        <w:tcW w:w="1720" w:type="dxa"/>
                        <w:gridSpan w:val="2"/>
                        <w:vMerge w:val="restart"/>
                        <w:tcBorders>
                          <w:top w:val="nil" w:sz="6" w:space="0" w:color="auto"/>
                          <w:left w:val="nil" w:sz="6" w:space="0" w:color="auto"/>
                          <w:right w:val="nil" w:sz="6" w:space="0" w:color="auto"/>
                        </w:tcBorders>
                      </w:tcPr>
                      <w:p>
                        <w:pPr>
                          <w:pStyle w:val="TableParagraph"/>
                          <w:spacing w:line="150" w:lineRule="exact"/>
                          <w:ind w:right="-2"/>
                          <w:jc w:val="right"/>
                          <w:rPr>
                            <w:rFonts w:ascii="宋体" w:hAnsi="宋体" w:cs="宋体" w:eastAsia="宋体" w:hint="default"/>
                            <w:sz w:val="15"/>
                            <w:szCs w:val="15"/>
                          </w:rPr>
                        </w:pPr>
                        <w:r>
                          <w:rPr>
                            <w:rFonts w:ascii="宋体" w:hAnsi="宋体" w:cs="宋体" w:eastAsia="宋体" w:hint="default"/>
                            <w:spacing w:val="-2"/>
                            <w:sz w:val="15"/>
                            <w:szCs w:val="15"/>
                          </w:rPr>
                          <w:t>按原金融工具准则列示</w:t>
                        </w:r>
                      </w:p>
                      <w:p>
                        <w:pPr>
                          <w:pStyle w:val="TableParagraph"/>
                          <w:spacing w:line="194" w:lineRule="exact"/>
                          <w:ind w:right="-2"/>
                          <w:jc w:val="right"/>
                          <w:rPr>
                            <w:rFonts w:ascii="宋体" w:hAnsi="宋体" w:cs="宋体" w:eastAsia="宋体" w:hint="default"/>
                            <w:sz w:val="15"/>
                            <w:szCs w:val="15"/>
                          </w:rPr>
                        </w:pPr>
                        <w:r>
                          <w:rPr>
                            <w:rFonts w:ascii="宋体" w:hAnsi="宋体" w:cs="宋体" w:eastAsia="宋体" w:hint="default"/>
                            <w:spacing w:val="-2"/>
                            <w:sz w:val="15"/>
                            <w:szCs w:val="15"/>
                          </w:rPr>
                          <w:t>的账面价值</w:t>
                        </w:r>
                        <w:r>
                          <w:rPr>
                            <w:rFonts w:ascii="宋体" w:hAnsi="宋体" w:cs="宋体" w:eastAsia="宋体" w:hint="default"/>
                            <w:spacing w:val="-2"/>
                            <w:sz w:val="15"/>
                            <w:szCs w:val="15"/>
                          </w:rPr>
                          <w:t>2018</w:t>
                        </w:r>
                        <w:r>
                          <w:rPr>
                            <w:rFonts w:ascii="宋体" w:hAnsi="宋体" w:cs="宋体" w:eastAsia="宋体" w:hint="default"/>
                            <w:spacing w:val="-2"/>
                            <w:sz w:val="15"/>
                            <w:szCs w:val="15"/>
                          </w:rPr>
                          <w:t>年</w:t>
                        </w:r>
                        <w:r>
                          <w:rPr>
                            <w:rFonts w:ascii="宋体" w:hAnsi="宋体" w:cs="宋体" w:eastAsia="宋体" w:hint="default"/>
                            <w:spacing w:val="-2"/>
                            <w:sz w:val="15"/>
                            <w:szCs w:val="15"/>
                          </w:rPr>
                          <w:t>12</w:t>
                        </w:r>
                        <w:r>
                          <w:rPr>
                            <w:rFonts w:ascii="宋体" w:hAnsi="宋体" w:cs="宋体" w:eastAsia="宋体" w:hint="default"/>
                            <w:spacing w:val="-2"/>
                            <w:sz w:val="15"/>
                            <w:szCs w:val="15"/>
                          </w:rPr>
                          <w:t>月</w:t>
                        </w:r>
                      </w:p>
                      <w:p>
                        <w:pPr>
                          <w:pStyle w:val="TableParagraph"/>
                          <w:spacing w:line="195" w:lineRule="exact"/>
                          <w:ind w:right="-2"/>
                          <w:jc w:val="right"/>
                          <w:rPr>
                            <w:rFonts w:ascii="宋体" w:hAnsi="宋体" w:cs="宋体" w:eastAsia="宋体" w:hint="default"/>
                            <w:sz w:val="15"/>
                            <w:szCs w:val="15"/>
                          </w:rPr>
                        </w:pPr>
                        <w:r>
                          <w:rPr>
                            <w:rFonts w:ascii="宋体" w:hAnsi="宋体" w:cs="宋体" w:eastAsia="宋体" w:hint="default"/>
                            <w:spacing w:val="-1"/>
                            <w:sz w:val="15"/>
                            <w:szCs w:val="15"/>
                          </w:rPr>
                          <w:t>31</w:t>
                        </w:r>
                        <w:r>
                          <w:rPr>
                            <w:rFonts w:ascii="宋体" w:hAnsi="宋体" w:cs="宋体" w:eastAsia="宋体" w:hint="default"/>
                            <w:spacing w:val="-1"/>
                            <w:sz w:val="15"/>
                            <w:szCs w:val="15"/>
                          </w:rPr>
                          <w:t>日</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51" w:lineRule="exact"/>
                          <w:ind w:right="-2"/>
                          <w:jc w:val="right"/>
                          <w:rPr>
                            <w:rFonts w:ascii="宋体" w:hAnsi="宋体" w:cs="宋体" w:eastAsia="宋体" w:hint="default"/>
                            <w:sz w:val="15"/>
                            <w:szCs w:val="15"/>
                          </w:rPr>
                        </w:pPr>
                        <w:r>
                          <w:rPr>
                            <w:rFonts w:ascii="宋体" w:hAnsi="宋体" w:cs="宋体" w:eastAsia="宋体" w:hint="default"/>
                            <w:sz w:val="15"/>
                            <w:szCs w:val="15"/>
                          </w:rPr>
                          <w:t>重分类</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51" w:lineRule="exact"/>
                          <w:ind w:right="-1"/>
                          <w:jc w:val="right"/>
                          <w:rPr>
                            <w:rFonts w:ascii="宋体" w:hAnsi="宋体" w:cs="宋体" w:eastAsia="宋体" w:hint="default"/>
                            <w:sz w:val="15"/>
                            <w:szCs w:val="15"/>
                          </w:rPr>
                        </w:pPr>
                        <w:r>
                          <w:rPr>
                            <w:rFonts w:ascii="宋体" w:hAnsi="宋体" w:cs="宋体" w:eastAsia="宋体" w:hint="default"/>
                            <w:spacing w:val="-1"/>
                            <w:sz w:val="15"/>
                            <w:szCs w:val="15"/>
                          </w:rPr>
                          <w:t>重新计量</w:t>
                        </w:r>
                      </w:p>
                    </w:tc>
                    <w:tc>
                      <w:tcPr>
                        <w:tcW w:w="74" w:type="dxa"/>
                        <w:tcBorders>
                          <w:top w:val="nil" w:sz="6" w:space="0" w:color="auto"/>
                          <w:left w:val="nil" w:sz="6" w:space="0" w:color="auto"/>
                          <w:bottom w:val="nil" w:sz="6" w:space="0" w:color="auto"/>
                          <w:right w:val="nil" w:sz="6" w:space="0" w:color="auto"/>
                        </w:tcBorders>
                      </w:tcPr>
                      <w:p>
                        <w:pPr/>
                      </w:p>
                    </w:tc>
                    <w:tc>
                      <w:tcPr>
                        <w:tcW w:w="1535" w:type="dxa"/>
                        <w:vMerge w:val="restart"/>
                        <w:tcBorders>
                          <w:top w:val="nil" w:sz="6" w:space="0" w:color="auto"/>
                          <w:left w:val="nil" w:sz="6" w:space="0" w:color="auto"/>
                          <w:right w:val="nil" w:sz="6" w:space="0" w:color="auto"/>
                        </w:tcBorders>
                      </w:tcPr>
                      <w:p>
                        <w:pPr>
                          <w:pStyle w:val="TableParagraph"/>
                          <w:spacing w:line="150" w:lineRule="exact"/>
                          <w:ind w:right="-2"/>
                          <w:jc w:val="right"/>
                          <w:rPr>
                            <w:rFonts w:ascii="宋体" w:hAnsi="宋体" w:cs="宋体" w:eastAsia="宋体" w:hint="default"/>
                            <w:sz w:val="15"/>
                            <w:szCs w:val="15"/>
                          </w:rPr>
                        </w:pPr>
                        <w:r>
                          <w:rPr>
                            <w:rFonts w:ascii="宋体" w:hAnsi="宋体" w:cs="宋体" w:eastAsia="宋体" w:hint="default"/>
                            <w:spacing w:val="-1"/>
                            <w:sz w:val="15"/>
                            <w:szCs w:val="15"/>
                          </w:rPr>
                          <w:t>按新金融工具准则列</w:t>
                        </w:r>
                      </w:p>
                      <w:p>
                        <w:pPr>
                          <w:pStyle w:val="TableParagraph"/>
                          <w:spacing w:line="194" w:lineRule="exact"/>
                          <w:ind w:right="-2"/>
                          <w:jc w:val="right"/>
                          <w:rPr>
                            <w:rFonts w:ascii="宋体" w:hAnsi="宋体" w:cs="宋体" w:eastAsia="宋体" w:hint="default"/>
                            <w:sz w:val="15"/>
                            <w:szCs w:val="15"/>
                          </w:rPr>
                        </w:pPr>
                        <w:r>
                          <w:rPr>
                            <w:rFonts w:ascii="宋体" w:hAnsi="宋体" w:cs="宋体" w:eastAsia="宋体" w:hint="default"/>
                            <w:spacing w:val="-2"/>
                            <w:sz w:val="15"/>
                            <w:szCs w:val="15"/>
                          </w:rPr>
                          <w:t>示的账面价值</w:t>
                        </w:r>
                        <w:r>
                          <w:rPr>
                            <w:rFonts w:ascii="宋体" w:hAnsi="宋体" w:cs="宋体" w:eastAsia="宋体" w:hint="default"/>
                            <w:spacing w:val="-2"/>
                            <w:sz w:val="15"/>
                            <w:szCs w:val="15"/>
                          </w:rPr>
                          <w:t>2019</w:t>
                        </w:r>
                        <w:r>
                          <w:rPr>
                            <w:rFonts w:ascii="宋体" w:hAnsi="宋体" w:cs="宋体" w:eastAsia="宋体" w:hint="default"/>
                            <w:spacing w:val="-2"/>
                            <w:sz w:val="15"/>
                            <w:szCs w:val="15"/>
                          </w:rPr>
                          <w:t>年</w:t>
                        </w:r>
                        <w:r>
                          <w:rPr>
                            <w:rFonts w:ascii="宋体" w:hAnsi="宋体" w:cs="宋体" w:eastAsia="宋体" w:hint="default"/>
                            <w:spacing w:val="-2"/>
                            <w:sz w:val="15"/>
                            <w:szCs w:val="15"/>
                          </w:rPr>
                          <w:t>1</w:t>
                        </w:r>
                      </w:p>
                      <w:p>
                        <w:pPr>
                          <w:pStyle w:val="TableParagraph"/>
                          <w:spacing w:line="195" w:lineRule="exact"/>
                          <w:ind w:right="-3"/>
                          <w:jc w:val="right"/>
                          <w:rPr>
                            <w:rFonts w:ascii="宋体" w:hAnsi="宋体" w:cs="宋体" w:eastAsia="宋体" w:hint="default"/>
                            <w:sz w:val="15"/>
                            <w:szCs w:val="15"/>
                          </w:rPr>
                        </w:pPr>
                        <w:r>
                          <w:rPr>
                            <w:rFonts w:ascii="宋体" w:hAnsi="宋体" w:cs="宋体" w:eastAsia="宋体" w:hint="default"/>
                            <w:spacing w:val="-1"/>
                            <w:sz w:val="15"/>
                            <w:szCs w:val="15"/>
                          </w:rPr>
                          <w:t>月</w:t>
                        </w:r>
                        <w:r>
                          <w:rPr>
                            <w:rFonts w:ascii="宋体" w:hAnsi="宋体" w:cs="宋体" w:eastAsia="宋体" w:hint="default"/>
                            <w:spacing w:val="-1"/>
                            <w:sz w:val="15"/>
                            <w:szCs w:val="15"/>
                          </w:rPr>
                          <w:t>1</w:t>
                        </w:r>
                        <w:r>
                          <w:rPr>
                            <w:rFonts w:ascii="宋体" w:hAnsi="宋体" w:cs="宋体" w:eastAsia="宋体" w:hint="default"/>
                            <w:spacing w:val="-1"/>
                            <w:sz w:val="15"/>
                            <w:szCs w:val="15"/>
                          </w:rPr>
                          <w:t>日</w:t>
                        </w:r>
                      </w:p>
                    </w:tc>
                    <w:tc>
                      <w:tcPr>
                        <w:tcW w:w="350" w:type="dxa"/>
                        <w:vMerge w:val="restart"/>
                        <w:tcBorders>
                          <w:top w:val="nil" w:sz="6" w:space="0" w:color="auto"/>
                          <w:left w:val="nil" w:sz="6" w:space="0" w:color="auto"/>
                          <w:right w:val="nil" w:sz="6" w:space="0" w:color="auto"/>
                        </w:tcBorders>
                      </w:tcPr>
                      <w:p>
                        <w:pPr/>
                      </w:p>
                    </w:tc>
                  </w:tr>
                  <w:tr>
                    <w:trPr>
                      <w:trHeight w:val="389" w:hRule="exact"/>
                    </w:trPr>
                    <w:tc>
                      <w:tcPr>
                        <w:tcW w:w="2509" w:type="dxa"/>
                        <w:tcBorders>
                          <w:top w:val="nil" w:sz="6" w:space="0" w:color="auto"/>
                          <w:left w:val="nil" w:sz="6" w:space="0" w:color="auto"/>
                          <w:bottom w:val="nil" w:sz="6" w:space="0" w:color="auto"/>
                          <w:right w:val="nil" w:sz="6" w:space="0" w:color="auto"/>
                        </w:tcBorders>
                      </w:tcPr>
                      <w:p>
                        <w:pPr/>
                      </w:p>
                    </w:tc>
                    <w:tc>
                      <w:tcPr>
                        <w:tcW w:w="1720" w:type="dxa"/>
                        <w:gridSpan w:val="2"/>
                        <w:vMerge/>
                        <w:tcBorders>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left="5" w:right="0"/>
                          <w:jc w:val="left"/>
                          <w:rPr>
                            <w:rFonts w:ascii="宋体" w:hAnsi="宋体" w:cs="宋体" w:eastAsia="宋体" w:hint="default"/>
                            <w:sz w:val="15"/>
                            <w:szCs w:val="15"/>
                          </w:rPr>
                        </w:pPr>
                        <w:r>
                          <w:rPr>
                            <w:rFonts w:ascii="宋体"/>
                            <w:w w:val="100"/>
                            <w:sz w:val="15"/>
                          </w:rPr>
                          <w:t> </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left="11" w:right="0"/>
                          <w:jc w:val="left"/>
                          <w:rPr>
                            <w:rFonts w:ascii="宋体" w:hAnsi="宋体" w:cs="宋体" w:eastAsia="宋体" w:hint="default"/>
                            <w:sz w:val="15"/>
                            <w:szCs w:val="15"/>
                          </w:rPr>
                        </w:pPr>
                        <w:r>
                          <w:rPr>
                            <w:rFonts w:ascii="宋体"/>
                            <w:w w:val="100"/>
                            <w:sz w:val="15"/>
                          </w:rPr>
                          <w:t> </w:t>
                        </w:r>
                      </w:p>
                    </w:tc>
                    <w:tc>
                      <w:tcPr>
                        <w:tcW w:w="74" w:type="dxa"/>
                        <w:tcBorders>
                          <w:top w:val="nil" w:sz="6" w:space="0" w:color="auto"/>
                          <w:left w:val="nil" w:sz="6" w:space="0" w:color="auto"/>
                          <w:bottom w:val="nil" w:sz="6" w:space="0" w:color="auto"/>
                          <w:right w:val="nil" w:sz="6" w:space="0" w:color="auto"/>
                        </w:tcBorders>
                      </w:tcPr>
                      <w:p>
                        <w:pPr/>
                      </w:p>
                    </w:tc>
                    <w:tc>
                      <w:tcPr>
                        <w:tcW w:w="1535" w:type="dxa"/>
                        <w:vMerge/>
                        <w:tcBorders>
                          <w:left w:val="nil" w:sz="6" w:space="0" w:color="auto"/>
                          <w:bottom w:val="nil" w:sz="6" w:space="0" w:color="auto"/>
                          <w:right w:val="nil" w:sz="6" w:space="0" w:color="auto"/>
                        </w:tcBorders>
                      </w:tcPr>
                      <w:p>
                        <w:pPr/>
                      </w:p>
                    </w:tc>
                    <w:tc>
                      <w:tcPr>
                        <w:tcW w:w="350" w:type="dxa"/>
                        <w:vMerge/>
                        <w:tcBorders>
                          <w:left w:val="nil" w:sz="6" w:space="0" w:color="auto"/>
                          <w:bottom w:val="nil" w:sz="6" w:space="0" w:color="auto"/>
                          <w:right w:val="nil" w:sz="6" w:space="0" w:color="auto"/>
                        </w:tcBorders>
                      </w:tcPr>
                      <w:p>
                        <w:pP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3"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192"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以摊余成本计量的金融资产</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3"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20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9" w:lineRule="exact"/>
                          <w:ind w:left="200" w:right="0"/>
                          <w:jc w:val="left"/>
                          <w:rPr>
                            <w:rFonts w:ascii="宋体" w:hAnsi="宋体" w:cs="宋体" w:eastAsia="宋体" w:hint="default"/>
                            <w:sz w:val="15"/>
                            <w:szCs w:val="15"/>
                          </w:rPr>
                        </w:pPr>
                        <w:r>
                          <w:rPr>
                            <w:rFonts w:ascii="宋体" w:hAnsi="宋体" w:cs="宋体" w:eastAsia="宋体" w:hint="default"/>
                            <w:i/>
                            <w:sz w:val="16"/>
                            <w:szCs w:val="16"/>
                          </w:rPr>
                          <w:t>应收账款</w:t>
                        </w:r>
                        <w:r>
                          <w:rPr>
                            <w:rFonts w:ascii="宋体" w:hAnsi="宋体" w:cs="宋体" w:eastAsia="宋体" w:hint="default"/>
                            <w:w w:val="100"/>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7"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2"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sz w:val="15"/>
                          </w:rPr>
                          <w:t>606,199,417</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2" w:lineRule="exact"/>
                          <w:ind w:right="-2"/>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sz w:val="15"/>
                          </w:rPr>
                          <w:t>606,199,417</w:t>
                        </w: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重新计量：预期信用损失准备</w:t>
                        </w:r>
                        <w:r>
                          <w:rPr>
                            <w:rFonts w:ascii="宋体" w:hAnsi="宋体" w:cs="宋体" w:eastAsia="宋体" w:hint="default"/>
                            <w:sz w:val="15"/>
                            <w:szCs w:val="15"/>
                          </w:rPr>
                          <w:t> </w:t>
                        </w:r>
                      </w:p>
                    </w:tc>
                    <w:tc>
                      <w:tcPr>
                        <w:tcW w:w="325" w:type="dxa"/>
                        <w:vMerge w:val="restart"/>
                        <w:tcBorders>
                          <w:top w:val="nil" w:sz="6" w:space="0" w:color="auto"/>
                          <w:left w:val="nil" w:sz="6" w:space="0" w:color="auto"/>
                          <w:right w:val="nil" w:sz="6" w:space="0" w:color="auto"/>
                        </w:tcBorders>
                      </w:tcPr>
                      <w:p>
                        <w:pPr>
                          <w:pStyle w:val="TableParagraph"/>
                          <w:spacing w:line="240" w:lineRule="auto" w:before="72"/>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79" w:hRule="exact"/>
                    </w:trPr>
                    <w:tc>
                      <w:tcPr>
                        <w:tcW w:w="2509" w:type="dxa"/>
                        <w:tcBorders>
                          <w:top w:val="nil" w:sz="6" w:space="0" w:color="auto"/>
                          <w:left w:val="nil" w:sz="6" w:space="0" w:color="auto"/>
                          <w:bottom w:val="nil" w:sz="6" w:space="0" w:color="auto"/>
                          <w:right w:val="nil" w:sz="6" w:space="0" w:color="auto"/>
                        </w:tcBorders>
                      </w:tcPr>
                      <w:p>
                        <w:pPr/>
                      </w:p>
                    </w:tc>
                    <w:tc>
                      <w:tcPr>
                        <w:tcW w:w="325" w:type="dxa"/>
                        <w:vMerge/>
                        <w:tcBorders>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r>
                          <w:rPr>
                            <w:rFonts w:ascii="宋体"/>
                            <w:spacing w:val="67"/>
                            <w:sz w:val="15"/>
                          </w:rPr>
                          <w:t> </w:t>
                        </w:r>
                        <w:r>
                          <w:rPr>
                            <w:rFonts w:ascii="宋体"/>
                            <w:spacing w:val="67"/>
                            <w:sz w:val="15"/>
                            <w:u w:val="single" w:color="000000"/>
                          </w:rPr>
                          <w:t> </w:t>
                        </w:r>
                        <w:r>
                          <w:rPr>
                            <w:rFonts w:ascii="宋体"/>
                            <w:sz w:val="15"/>
                            <w:u w:val="single" w:color="000000"/>
                          </w:rPr>
                          <w:t>49,170,735</w:t>
                        </w:r>
                        <w:r>
                          <w:rPr>
                            <w:rFonts w:ascii="宋体"/>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   </w:t>
                        </w:r>
                        <w:r>
                          <w:rPr>
                            <w:rFonts w:ascii="宋体"/>
                            <w:spacing w:val="63"/>
                            <w:sz w:val="15"/>
                          </w:rPr>
                          <w:t> </w:t>
                        </w:r>
                        <w:r>
                          <w:rPr>
                            <w:rFonts w:ascii="宋体"/>
                            <w:spacing w:val="63"/>
                            <w:sz w:val="15"/>
                            <w:u w:val="single" w:color="000000"/>
                          </w:rPr>
                          <w:t> </w:t>
                        </w:r>
                        <w:r>
                          <w:rPr>
                            <w:rFonts w:ascii="宋体"/>
                            <w:sz w:val="15"/>
                            <w:u w:val="single" w:color="000000"/>
                          </w:rPr>
                          <w:t>49,170,735</w:t>
                        </w:r>
                        <w:r>
                          <w:rPr>
                            <w:rFonts w:ascii="宋体"/>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sz w:val="15"/>
                          </w:rPr>
                          <w:t>) </w:t>
                        </w:r>
                      </w:p>
                    </w:tc>
                  </w:tr>
                  <w:tr>
                    <w:trPr>
                      <w:trHeight w:val="21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88" w:lineRule="exact"/>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325" w:type="dxa"/>
                        <w:vMerge w:val="restart"/>
                        <w:tcBorders>
                          <w:top w:val="nil" w:sz="6" w:space="0" w:color="auto"/>
                          <w:left w:val="nil" w:sz="6" w:space="0" w:color="auto"/>
                          <w:right w:val="nil" w:sz="6" w:space="0" w:color="auto"/>
                        </w:tcBorders>
                      </w:tcPr>
                      <w:p>
                        <w:pPr>
                          <w:pStyle w:val="TableParagraph"/>
                          <w:spacing w:line="240" w:lineRule="auto" w:before="87"/>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5" w:hRule="exact"/>
                    </w:trPr>
                    <w:tc>
                      <w:tcPr>
                        <w:tcW w:w="2509" w:type="dxa"/>
                        <w:tcBorders>
                          <w:top w:val="nil" w:sz="6" w:space="0" w:color="auto"/>
                          <w:left w:val="nil" w:sz="6" w:space="0" w:color="auto"/>
                          <w:bottom w:val="nil" w:sz="6" w:space="0" w:color="auto"/>
                          <w:right w:val="nil" w:sz="6" w:space="0" w:color="auto"/>
                        </w:tcBorders>
                      </w:tcPr>
                      <w:p>
                        <w:pPr/>
                      </w:p>
                    </w:tc>
                    <w:tc>
                      <w:tcPr>
                        <w:tcW w:w="325" w:type="dxa"/>
                        <w:vMerge/>
                        <w:tcBorders>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606,199,417</w:t>
                        </w:r>
                        <w:r>
                          <w:rPr>
                            <w:rFonts w:ascii="宋体"/>
                            <w:spacing w:val="-1"/>
                            <w:sz w:val="15"/>
                          </w:rPr>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r>
                          <w:rPr>
                            <w:rFonts w:ascii="宋体"/>
                            <w:spacing w:val="67"/>
                            <w:sz w:val="15"/>
                          </w:rPr>
                          <w:t> </w:t>
                        </w:r>
                        <w:r>
                          <w:rPr>
                            <w:rFonts w:ascii="宋体"/>
                            <w:spacing w:val="67"/>
                            <w:sz w:val="15"/>
                            <w:u w:val="single" w:color="000000"/>
                          </w:rPr>
                          <w:t> </w:t>
                        </w:r>
                        <w:r>
                          <w:rPr>
                            <w:rFonts w:ascii="宋体"/>
                            <w:sz w:val="15"/>
                            <w:u w:val="single" w:color="000000"/>
                          </w:rPr>
                          <w:t>49,170,735</w:t>
                        </w:r>
                        <w:r>
                          <w:rPr>
                            <w:rFonts w:ascii="宋体"/>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557,028,682</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0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82"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198"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8" w:lineRule="exact"/>
                          <w:ind w:left="200" w:right="0"/>
                          <w:jc w:val="left"/>
                          <w:rPr>
                            <w:rFonts w:ascii="宋体" w:hAnsi="宋体" w:cs="宋体" w:eastAsia="宋体" w:hint="default"/>
                            <w:sz w:val="16"/>
                            <w:szCs w:val="16"/>
                          </w:rPr>
                        </w:pPr>
                        <w:r>
                          <w:rPr>
                            <w:rFonts w:ascii="宋体" w:hAnsi="宋体" w:cs="宋体" w:eastAsia="宋体" w:hint="default"/>
                            <w:i/>
                            <w:sz w:val="16"/>
                            <w:szCs w:val="16"/>
                          </w:rPr>
                          <w:t>其他应收款</w:t>
                        </w:r>
                        <w:r>
                          <w:rPr>
                            <w:rFonts w:ascii="宋体" w:hAnsi="宋体" w:cs="宋体" w:eastAsia="宋体" w:hint="default"/>
                            <w:i/>
                            <w:sz w:val="16"/>
                            <w:szCs w:val="16"/>
                          </w:rPr>
                          <w:t> </w:t>
                        </w:r>
                        <w:r>
                          <w:rPr>
                            <w:rFonts w:ascii="宋体" w:hAnsi="宋体" w:cs="宋体" w:eastAsia="宋体" w:hint="default"/>
                            <w:sz w:val="16"/>
                            <w:szCs w:val="16"/>
                          </w:rPr>
                        </w:r>
                      </w:p>
                    </w:tc>
                    <w:tc>
                      <w:tcPr>
                        <w:tcW w:w="325" w:type="dxa"/>
                        <w:tcBorders>
                          <w:top w:val="nil" w:sz="6" w:space="0" w:color="auto"/>
                          <w:left w:val="nil" w:sz="6" w:space="0" w:color="auto"/>
                          <w:bottom w:val="nil" w:sz="6" w:space="0" w:color="auto"/>
                          <w:right w:val="nil" w:sz="6" w:space="0" w:color="auto"/>
                        </w:tcBorders>
                      </w:tcPr>
                      <w:p>
                        <w:pPr>
                          <w:pStyle w:val="TableParagraph"/>
                          <w:spacing w:line="176"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6"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2"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sz w:val="15"/>
                          </w:rPr>
                          <w:t>922,376,813</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2" w:lineRule="exact"/>
                          <w:ind w:right="-2"/>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sz w:val="15"/>
                          </w:rPr>
                          <w:t>922,376,813</w:t>
                        </w:r>
                      </w:p>
                    </w:tc>
                    <w:tc>
                      <w:tcPr>
                        <w:tcW w:w="350" w:type="dxa"/>
                        <w:tcBorders>
                          <w:top w:val="nil" w:sz="6" w:space="0" w:color="auto"/>
                          <w:left w:val="nil" w:sz="6" w:space="0" w:color="auto"/>
                          <w:bottom w:val="nil" w:sz="6" w:space="0" w:color="auto"/>
                          <w:right w:val="nil" w:sz="6" w:space="0" w:color="auto"/>
                        </w:tcBorders>
                      </w:tcPr>
                      <w:p>
                        <w:pPr/>
                      </w:p>
                    </w:tc>
                  </w:tr>
                  <w:tr>
                    <w:trPr>
                      <w:trHeight w:val="195"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重新计量：预期信用损失准备</w:t>
                        </w:r>
                        <w:r>
                          <w:rPr>
                            <w:rFonts w:ascii="宋体" w:hAnsi="宋体" w:cs="宋体" w:eastAsia="宋体" w:hint="default"/>
                            <w:sz w:val="15"/>
                            <w:szCs w:val="15"/>
                          </w:rPr>
                          <w:t> </w:t>
                        </w:r>
                      </w:p>
                    </w:tc>
                    <w:tc>
                      <w:tcPr>
                        <w:tcW w:w="325" w:type="dxa"/>
                        <w:vMerge w:val="restart"/>
                        <w:tcBorders>
                          <w:top w:val="nil" w:sz="6" w:space="0" w:color="auto"/>
                          <w:left w:val="nil" w:sz="6" w:space="0" w:color="auto"/>
                          <w:right w:val="nil" w:sz="6" w:space="0" w:color="auto"/>
                        </w:tcBorders>
                      </w:tcPr>
                      <w:p>
                        <w:pPr>
                          <w:pStyle w:val="TableParagraph"/>
                          <w:spacing w:line="240" w:lineRule="auto" w:before="75"/>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79" w:hRule="exact"/>
                    </w:trPr>
                    <w:tc>
                      <w:tcPr>
                        <w:tcW w:w="2509" w:type="dxa"/>
                        <w:tcBorders>
                          <w:top w:val="nil" w:sz="6" w:space="0" w:color="auto"/>
                          <w:left w:val="nil" w:sz="6" w:space="0" w:color="auto"/>
                          <w:bottom w:val="nil" w:sz="6" w:space="0" w:color="auto"/>
                          <w:right w:val="nil" w:sz="6" w:space="0" w:color="auto"/>
                        </w:tcBorders>
                      </w:tcPr>
                      <w:p>
                        <w:pPr/>
                      </w:p>
                    </w:tc>
                    <w:tc>
                      <w:tcPr>
                        <w:tcW w:w="325" w:type="dxa"/>
                        <w:vMerge/>
                        <w:tcBorders>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z w:val="15"/>
                          </w:rPr>
                          <w:t>(  </w:t>
                        </w:r>
                        <w:r>
                          <w:rPr>
                            <w:rFonts w:ascii="宋体"/>
                            <w:spacing w:val="69"/>
                            <w:sz w:val="15"/>
                          </w:rPr>
                          <w:t> </w:t>
                        </w:r>
                        <w:r>
                          <w:rPr>
                            <w:rFonts w:ascii="宋体"/>
                            <w:spacing w:val="69"/>
                            <w:sz w:val="15"/>
                            <w:u w:val="single" w:color="000000"/>
                          </w:rPr>
                          <w:t> </w:t>
                        </w:r>
                        <w:r>
                          <w:rPr>
                            <w:rFonts w:ascii="宋体"/>
                            <w:sz w:val="15"/>
                            <w:u w:val="single" w:color="000000"/>
                          </w:rPr>
                          <w:t>2,338,251</w:t>
                        </w:r>
                        <w:r>
                          <w:rPr>
                            <w:rFonts w:ascii="宋体"/>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z w:val="15"/>
                          </w:rPr>
                          <w:t>(     </w:t>
                        </w:r>
                        <w:r>
                          <w:rPr>
                            <w:rFonts w:ascii="宋体"/>
                            <w:spacing w:val="66"/>
                            <w:sz w:val="15"/>
                          </w:rPr>
                          <w:t> </w:t>
                        </w:r>
                        <w:r>
                          <w:rPr>
                            <w:rFonts w:ascii="宋体"/>
                            <w:spacing w:val="66"/>
                            <w:sz w:val="15"/>
                            <w:u w:val="single" w:color="000000"/>
                          </w:rPr>
                          <w:t> </w:t>
                        </w:r>
                        <w:r>
                          <w:rPr>
                            <w:rFonts w:ascii="宋体"/>
                            <w:sz w:val="15"/>
                            <w:u w:val="single" w:color="000000"/>
                          </w:rPr>
                          <w:t>2,338,251</w:t>
                        </w:r>
                        <w:r>
                          <w:rPr>
                            <w:rFonts w:ascii="宋体"/>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r>
                        <w:r>
                          <w:rPr>
                            <w:rFonts w:ascii="宋体"/>
                            <w:sz w:val="15"/>
                            <w:u w:val="single" w:color="000000"/>
                          </w:rPr>
                          <w:t>)</w:t>
                        </w:r>
                        <w:r>
                          <w:rPr>
                            <w:rFonts w:ascii="宋体"/>
                            <w:sz w:val="15"/>
                          </w:rPr>
                          <w:t> </w:t>
                        </w:r>
                      </w:p>
                    </w:tc>
                  </w:tr>
                  <w:tr>
                    <w:trPr>
                      <w:trHeight w:val="21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88" w:lineRule="exact"/>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325" w:type="dxa"/>
                        <w:vMerge w:val="restart"/>
                        <w:tcBorders>
                          <w:top w:val="nil" w:sz="6" w:space="0" w:color="auto"/>
                          <w:left w:val="nil" w:sz="6" w:space="0" w:color="auto"/>
                          <w:right w:val="nil" w:sz="6" w:space="0" w:color="auto"/>
                        </w:tcBorders>
                      </w:tcPr>
                      <w:p>
                        <w:pPr>
                          <w:pStyle w:val="TableParagraph"/>
                          <w:spacing w:line="240" w:lineRule="auto" w:before="90"/>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5" w:hRule="exact"/>
                    </w:trPr>
                    <w:tc>
                      <w:tcPr>
                        <w:tcW w:w="2509" w:type="dxa"/>
                        <w:tcBorders>
                          <w:top w:val="nil" w:sz="6" w:space="0" w:color="auto"/>
                          <w:left w:val="nil" w:sz="6" w:space="0" w:color="auto"/>
                          <w:bottom w:val="nil" w:sz="6" w:space="0" w:color="auto"/>
                          <w:right w:val="nil" w:sz="6" w:space="0" w:color="auto"/>
                        </w:tcBorders>
                      </w:tcPr>
                      <w:p>
                        <w:pPr/>
                      </w:p>
                    </w:tc>
                    <w:tc>
                      <w:tcPr>
                        <w:tcW w:w="325" w:type="dxa"/>
                        <w:vMerge/>
                        <w:tcBorders>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922,376,813</w:t>
                        </w:r>
                        <w:r>
                          <w:rPr>
                            <w:rFonts w:ascii="宋体"/>
                            <w:spacing w:val="-1"/>
                            <w:sz w:val="15"/>
                          </w:rPr>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z w:val="15"/>
                          </w:rPr>
                          <w:t>(  </w:t>
                        </w:r>
                        <w:r>
                          <w:rPr>
                            <w:rFonts w:ascii="宋体"/>
                            <w:spacing w:val="69"/>
                            <w:sz w:val="15"/>
                          </w:rPr>
                          <w:t> </w:t>
                        </w:r>
                        <w:r>
                          <w:rPr>
                            <w:rFonts w:ascii="宋体"/>
                            <w:spacing w:val="69"/>
                            <w:sz w:val="15"/>
                            <w:u w:val="single" w:color="000000"/>
                          </w:rPr>
                          <w:t> </w:t>
                        </w:r>
                        <w:r>
                          <w:rPr>
                            <w:rFonts w:ascii="宋体"/>
                            <w:sz w:val="15"/>
                            <w:u w:val="single" w:color="000000"/>
                          </w:rPr>
                          <w:t>2,338,251</w:t>
                        </w:r>
                        <w:r>
                          <w:rPr>
                            <w:rFonts w:ascii="宋体"/>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920,038,562</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0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82"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198"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8" w:lineRule="exact"/>
                          <w:ind w:left="200" w:right="0"/>
                          <w:jc w:val="left"/>
                          <w:rPr>
                            <w:rFonts w:ascii="宋体" w:hAnsi="宋体" w:cs="宋体" w:eastAsia="宋体" w:hint="default"/>
                            <w:sz w:val="15"/>
                            <w:szCs w:val="15"/>
                          </w:rPr>
                        </w:pPr>
                        <w:r>
                          <w:rPr>
                            <w:rFonts w:ascii="宋体" w:hAnsi="宋体" w:cs="宋体" w:eastAsia="宋体" w:hint="default"/>
                            <w:i/>
                            <w:sz w:val="16"/>
                            <w:szCs w:val="16"/>
                          </w:rPr>
                          <w:t>股权投资</w:t>
                        </w:r>
                        <w:r>
                          <w:rPr>
                            <w:rFonts w:ascii="宋体" w:hAnsi="宋体" w:cs="宋体" w:eastAsia="宋体" w:hint="default"/>
                            <w:w w:val="100"/>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6"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6"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2"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sz w:val="15"/>
                          </w:rPr>
                          <w:t>470,360,000</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(470,360,000</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2" w:lineRule="exact"/>
                          <w:ind w:right="-2"/>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350" w:type="dxa"/>
                        <w:tcBorders>
                          <w:top w:val="nil" w:sz="6" w:space="0" w:color="auto"/>
                          <w:left w:val="nil" w:sz="6" w:space="0" w:color="auto"/>
                          <w:bottom w:val="nil" w:sz="6" w:space="0" w:color="auto"/>
                          <w:right w:val="nil" w:sz="6" w:space="0" w:color="auto"/>
                        </w:tcBorders>
                      </w:tcPr>
                      <w:p>
                        <w:pPr/>
                      </w:p>
                    </w:tc>
                  </w:tr>
                  <w:tr>
                    <w:trPr>
                      <w:trHeight w:val="390" w:hRule="exact"/>
                    </w:trPr>
                    <w:tc>
                      <w:tcPr>
                        <w:tcW w:w="2509" w:type="dxa"/>
                        <w:vMerge w:val="restart"/>
                        <w:tcBorders>
                          <w:top w:val="nil" w:sz="6" w:space="0" w:color="auto"/>
                          <w:left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减：转出至以公允价值计量且</w:t>
                        </w:r>
                        <w:r>
                          <w:rPr>
                            <w:rFonts w:ascii="宋体" w:hAnsi="宋体" w:cs="宋体" w:eastAsia="宋体" w:hint="default"/>
                            <w:sz w:val="15"/>
                            <w:szCs w:val="15"/>
                          </w:rPr>
                          <w:t> </w:t>
                        </w:r>
                      </w:p>
                      <w:p>
                        <w:pPr>
                          <w:pStyle w:val="TableParagraph"/>
                          <w:spacing w:line="240" w:lineRule="auto"/>
                          <w:ind w:left="800" w:right="53" w:hanging="601"/>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其变动计入当期损益</w:t>
                        </w:r>
                        <w:r>
                          <w:rPr>
                            <w:rFonts w:ascii="宋体" w:hAnsi="宋体" w:cs="宋体" w:eastAsia="宋体" w:hint="default"/>
                            <w:spacing w:val="-2"/>
                            <w:sz w:val="15"/>
                            <w:szCs w:val="15"/>
                          </w:rPr>
                          <w:t> </w:t>
                        </w:r>
                        <w:r>
                          <w:rPr>
                            <w:rFonts w:ascii="宋体" w:hAnsi="宋体" w:cs="宋体" w:eastAsia="宋体" w:hint="default"/>
                            <w:spacing w:val="-2"/>
                            <w:sz w:val="15"/>
                            <w:szCs w:val="15"/>
                          </w:rPr>
                        </w:r>
                        <w:r>
                          <w:rPr>
                            <w:rFonts w:ascii="宋体" w:hAnsi="宋体" w:cs="宋体" w:eastAsia="宋体" w:hint="default"/>
                            <w:sz w:val="15"/>
                            <w:szCs w:val="15"/>
                          </w:rPr>
                          <w:t>(</w:t>
                        </w:r>
                        <w:r>
                          <w:rPr>
                            <w:rFonts w:ascii="宋体" w:hAnsi="宋体" w:cs="宋体" w:eastAsia="宋体" w:hint="default"/>
                            <w:sz w:val="15"/>
                            <w:szCs w:val="15"/>
                          </w:rPr>
                          <w:t>新金</w:t>
                        </w:r>
                        <w:r>
                          <w:rPr>
                            <w:rFonts w:ascii="宋体" w:hAnsi="宋体" w:cs="宋体" w:eastAsia="宋体" w:hint="default"/>
                            <w:w w:val="100"/>
                            <w:sz w:val="15"/>
                            <w:szCs w:val="15"/>
                          </w:rPr>
                          <w:t> </w:t>
                        </w:r>
                        <w:r>
                          <w:rPr>
                            <w:rFonts w:ascii="宋体" w:hAnsi="宋体" w:cs="宋体" w:eastAsia="宋体" w:hint="default"/>
                            <w:sz w:val="15"/>
                            <w:szCs w:val="15"/>
                          </w:rPr>
                          <w:t>融工具准则）</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96" w:hRule="exact"/>
                    </w:trPr>
                    <w:tc>
                      <w:tcPr>
                        <w:tcW w:w="2509" w:type="dxa"/>
                        <w:vMerge/>
                        <w:tcBorders>
                          <w:left w:val="nil" w:sz="6" w:space="0" w:color="auto"/>
                          <w:bottom w:val="nil" w:sz="6" w:space="0" w:color="auto"/>
                          <w:right w:val="nil" w:sz="6" w:space="0" w:color="auto"/>
                        </w:tcBorders>
                      </w:tcPr>
                      <w:p>
                        <w:pPr/>
                      </w:p>
                    </w:tc>
                    <w:tc>
                      <w:tcPr>
                        <w:tcW w:w="325"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4" w:lineRule="exact"/>
                          <w:ind w:right="-1"/>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4" w:lineRule="exact"/>
                          <w:ind w:right="-1"/>
                          <w:jc w:val="right"/>
                          <w:rPr>
                            <w:rFonts w:ascii="宋体" w:hAnsi="宋体" w:cs="宋体" w:eastAsia="宋体" w:hint="default"/>
                            <w:sz w:val="15"/>
                            <w:szCs w:val="15"/>
                          </w:rPr>
                        </w:pPr>
                        <w:r>
                          <w:rPr>
                            <w:rFonts w:ascii="宋体"/>
                            <w:spacing w:val="-1"/>
                            <w:sz w:val="15"/>
                          </w:rPr>
                          <w:t>470,360,000</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4"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4" w:lineRule="exact"/>
                          <w:ind w:right="-1"/>
                          <w:jc w:val="right"/>
                          <w:rPr>
                            <w:rFonts w:ascii="宋体" w:hAnsi="宋体" w:cs="宋体" w:eastAsia="宋体" w:hint="default"/>
                            <w:sz w:val="15"/>
                            <w:szCs w:val="15"/>
                          </w:rPr>
                        </w:pPr>
                        <w:r>
                          <w:rPr>
                            <w:rFonts w:ascii="宋体"/>
                            <w:spacing w:val="-1"/>
                            <w:sz w:val="15"/>
                          </w:rPr>
                          <w:t>470,360,000</w:t>
                        </w: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重新计量：公允价值变动损益</w:t>
                        </w:r>
                        <w:r>
                          <w:rPr>
                            <w:rFonts w:ascii="宋体" w:hAnsi="宋体" w:cs="宋体" w:eastAsia="宋体" w:hint="default"/>
                            <w:sz w:val="15"/>
                            <w:szCs w:val="15"/>
                          </w:rPr>
                          <w:t> </w:t>
                        </w:r>
                      </w:p>
                    </w:tc>
                    <w:tc>
                      <w:tcPr>
                        <w:tcW w:w="325" w:type="dxa"/>
                        <w:vMerge w:val="restart"/>
                        <w:tcBorders>
                          <w:top w:val="nil" w:sz="6" w:space="0" w:color="auto"/>
                          <w:left w:val="nil" w:sz="6" w:space="0" w:color="auto"/>
                          <w:right w:val="nil" w:sz="6" w:space="0" w:color="auto"/>
                        </w:tcBorders>
                      </w:tcPr>
                      <w:p>
                        <w:pPr>
                          <w:pStyle w:val="TableParagraph"/>
                          <w:spacing w:line="240" w:lineRule="auto" w:before="72"/>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79" w:hRule="exact"/>
                    </w:trPr>
                    <w:tc>
                      <w:tcPr>
                        <w:tcW w:w="2509" w:type="dxa"/>
                        <w:tcBorders>
                          <w:top w:val="nil" w:sz="6" w:space="0" w:color="auto"/>
                          <w:left w:val="nil" w:sz="6" w:space="0" w:color="auto"/>
                          <w:bottom w:val="nil" w:sz="6" w:space="0" w:color="auto"/>
                          <w:right w:val="nil" w:sz="6" w:space="0" w:color="auto"/>
                        </w:tcBorders>
                      </w:tcPr>
                      <w:p>
                        <w:pPr/>
                      </w:p>
                    </w:tc>
                    <w:tc>
                      <w:tcPr>
                        <w:tcW w:w="325" w:type="dxa"/>
                        <w:vMerge/>
                        <w:tcBorders>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sz w:val="15"/>
                            <w:u w:val="single" w:color="000000"/>
                          </w:rPr>
                          <w:t>150,597,695</w:t>
                        </w:r>
                        <w:r>
                          <w:rPr>
                            <w:rFonts w:ascii="宋体"/>
                            <w:spacing w:val="-1"/>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150,597,695</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1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88" w:lineRule="exact"/>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325" w:type="dxa"/>
                        <w:vMerge w:val="restart"/>
                        <w:tcBorders>
                          <w:top w:val="nil" w:sz="6" w:space="0" w:color="auto"/>
                          <w:left w:val="nil" w:sz="6" w:space="0" w:color="auto"/>
                          <w:right w:val="nil" w:sz="6" w:space="0" w:color="auto"/>
                        </w:tcBorders>
                      </w:tcPr>
                      <w:p>
                        <w:pPr>
                          <w:pStyle w:val="TableParagraph"/>
                          <w:spacing w:line="240" w:lineRule="auto" w:before="87"/>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5" w:hRule="exact"/>
                    </w:trPr>
                    <w:tc>
                      <w:tcPr>
                        <w:tcW w:w="2509" w:type="dxa"/>
                        <w:tcBorders>
                          <w:top w:val="nil" w:sz="6" w:space="0" w:color="auto"/>
                          <w:left w:val="nil" w:sz="6" w:space="0" w:color="auto"/>
                          <w:bottom w:val="nil" w:sz="6" w:space="0" w:color="auto"/>
                          <w:right w:val="nil" w:sz="6" w:space="0" w:color="auto"/>
                        </w:tcBorders>
                      </w:tcPr>
                      <w:p>
                        <w:pPr/>
                      </w:p>
                    </w:tc>
                    <w:tc>
                      <w:tcPr>
                        <w:tcW w:w="325" w:type="dxa"/>
                        <w:vMerge/>
                        <w:tcBorders>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470,360,000</w:t>
                        </w:r>
                        <w:r>
                          <w:rPr>
                            <w:rFonts w:ascii="宋体"/>
                            <w:spacing w:val="-1"/>
                            <w:sz w:val="15"/>
                          </w:rPr>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sz w:val="15"/>
                            <w:u w:val="single" w:color="000000"/>
                          </w:rPr>
                          <w:t>150,597,695</w:t>
                        </w:r>
                        <w:r>
                          <w:rPr>
                            <w:rFonts w:ascii="宋体"/>
                            <w:spacing w:val="-1"/>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620,957,695</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0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82"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198"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8" w:lineRule="exact"/>
                          <w:ind w:left="200" w:right="0"/>
                          <w:jc w:val="left"/>
                          <w:rPr>
                            <w:rFonts w:ascii="宋体" w:hAnsi="宋体" w:cs="宋体" w:eastAsia="宋体" w:hint="default"/>
                            <w:sz w:val="16"/>
                            <w:szCs w:val="16"/>
                          </w:rPr>
                        </w:pPr>
                        <w:r>
                          <w:rPr>
                            <w:rFonts w:ascii="宋体" w:hAnsi="宋体" w:cs="宋体" w:eastAsia="宋体" w:hint="default"/>
                            <w:i/>
                            <w:sz w:val="16"/>
                            <w:szCs w:val="16"/>
                          </w:rPr>
                          <w:t>理财产品</w:t>
                        </w:r>
                        <w:r>
                          <w:rPr>
                            <w:rFonts w:ascii="宋体" w:hAnsi="宋体" w:cs="宋体" w:eastAsia="宋体" w:hint="default"/>
                            <w:i/>
                            <w:sz w:val="16"/>
                            <w:szCs w:val="16"/>
                          </w:rPr>
                          <w:t> </w:t>
                        </w:r>
                        <w:r>
                          <w:rPr>
                            <w:rFonts w:ascii="宋体" w:hAnsi="宋体" w:cs="宋体" w:eastAsia="宋体" w:hint="default"/>
                            <w:sz w:val="16"/>
                            <w:szCs w:val="16"/>
                          </w:rPr>
                        </w:r>
                      </w:p>
                    </w:tc>
                    <w:tc>
                      <w:tcPr>
                        <w:tcW w:w="325" w:type="dxa"/>
                        <w:tcBorders>
                          <w:top w:val="nil" w:sz="6" w:space="0" w:color="auto"/>
                          <w:left w:val="nil" w:sz="6" w:space="0" w:color="auto"/>
                          <w:bottom w:val="nil" w:sz="6" w:space="0" w:color="auto"/>
                          <w:right w:val="nil" w:sz="6" w:space="0" w:color="auto"/>
                        </w:tcBorders>
                      </w:tcPr>
                      <w:p>
                        <w:pPr>
                          <w:pStyle w:val="TableParagraph"/>
                          <w:spacing w:line="176"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6"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2"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2"/>
                            <w:sz w:val="15"/>
                          </w:rPr>
                          <w:t>7,950,000</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spacing w:val="1"/>
                            <w:w w:val="100"/>
                            <w:sz w:val="15"/>
                          </w:rPr>
                          <w:t> </w:t>
                        </w:r>
                        <w:r>
                          <w:rPr>
                            <w:rFonts w:ascii="宋体"/>
                            <w:sz w:val="15"/>
                          </w:rPr>
                          <w:t>( </w:t>
                        </w:r>
                        <w:r>
                          <w:rPr>
                            <w:rFonts w:ascii="宋体"/>
                            <w:spacing w:val="67"/>
                            <w:sz w:val="15"/>
                          </w:rPr>
                          <w:t> </w:t>
                        </w:r>
                        <w:r>
                          <w:rPr>
                            <w:rFonts w:ascii="宋体"/>
                            <w:sz w:val="15"/>
                          </w:rPr>
                          <w:t>7,950,000</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2"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w w:val="100"/>
                            <w:sz w:val="15"/>
                          </w:rPr>
                          <w:t>-</w:t>
                        </w:r>
                      </w:p>
                    </w:tc>
                    <w:tc>
                      <w:tcPr>
                        <w:tcW w:w="350" w:type="dxa"/>
                        <w:tcBorders>
                          <w:top w:val="nil" w:sz="6" w:space="0" w:color="auto"/>
                          <w:left w:val="nil" w:sz="6" w:space="0" w:color="auto"/>
                          <w:bottom w:val="nil" w:sz="6" w:space="0" w:color="auto"/>
                          <w:right w:val="nil" w:sz="6" w:space="0" w:color="auto"/>
                        </w:tcBorders>
                      </w:tcPr>
                      <w:p>
                        <w:pPr/>
                      </w:p>
                    </w:tc>
                  </w:tr>
                  <w:tr>
                    <w:trPr>
                      <w:trHeight w:val="389" w:hRule="exact"/>
                    </w:trPr>
                    <w:tc>
                      <w:tcPr>
                        <w:tcW w:w="2509" w:type="dxa"/>
                        <w:vMerge w:val="restart"/>
                        <w:tcBorders>
                          <w:top w:val="nil" w:sz="6" w:space="0" w:color="auto"/>
                          <w:left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减：转出至以公允价值计量且</w:t>
                        </w:r>
                        <w:r>
                          <w:rPr>
                            <w:rFonts w:ascii="宋体" w:hAnsi="宋体" w:cs="宋体" w:eastAsia="宋体" w:hint="default"/>
                            <w:sz w:val="15"/>
                            <w:szCs w:val="15"/>
                          </w:rPr>
                          <w:t> </w:t>
                        </w:r>
                      </w:p>
                      <w:p>
                        <w:pPr>
                          <w:pStyle w:val="TableParagraph"/>
                          <w:spacing w:line="240" w:lineRule="auto"/>
                          <w:ind w:left="800" w:right="53" w:hanging="601"/>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其变动计入当期损益</w:t>
                        </w:r>
                        <w:r>
                          <w:rPr>
                            <w:rFonts w:ascii="宋体" w:hAnsi="宋体" w:cs="宋体" w:eastAsia="宋体" w:hint="default"/>
                            <w:spacing w:val="-2"/>
                            <w:sz w:val="15"/>
                            <w:szCs w:val="15"/>
                          </w:rPr>
                          <w:t> </w:t>
                        </w:r>
                        <w:r>
                          <w:rPr>
                            <w:rFonts w:ascii="宋体" w:hAnsi="宋体" w:cs="宋体" w:eastAsia="宋体" w:hint="default"/>
                            <w:spacing w:val="-2"/>
                            <w:sz w:val="15"/>
                            <w:szCs w:val="15"/>
                          </w:rPr>
                        </w:r>
                        <w:r>
                          <w:rPr>
                            <w:rFonts w:ascii="宋体" w:hAnsi="宋体" w:cs="宋体" w:eastAsia="宋体" w:hint="default"/>
                            <w:sz w:val="15"/>
                            <w:szCs w:val="15"/>
                          </w:rPr>
                          <w:t>(</w:t>
                        </w:r>
                        <w:r>
                          <w:rPr>
                            <w:rFonts w:ascii="宋体" w:hAnsi="宋体" w:cs="宋体" w:eastAsia="宋体" w:hint="default"/>
                            <w:sz w:val="15"/>
                            <w:szCs w:val="15"/>
                          </w:rPr>
                          <w:t>新金</w:t>
                        </w:r>
                        <w:r>
                          <w:rPr>
                            <w:rFonts w:ascii="宋体" w:hAnsi="宋体" w:cs="宋体" w:eastAsia="宋体" w:hint="default"/>
                            <w:w w:val="100"/>
                            <w:sz w:val="15"/>
                            <w:szCs w:val="15"/>
                          </w:rPr>
                          <w:t> </w:t>
                        </w:r>
                        <w:r>
                          <w:rPr>
                            <w:rFonts w:ascii="宋体" w:hAnsi="宋体" w:cs="宋体" w:eastAsia="宋体" w:hint="default"/>
                            <w:sz w:val="15"/>
                            <w:szCs w:val="15"/>
                          </w:rPr>
                          <w:t>融工具准则）</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09" w:type="dxa"/>
                        <w:vMerge/>
                        <w:tcBorders>
                          <w:left w:val="nil" w:sz="6" w:space="0" w:color="auto"/>
                          <w:bottom w:val="nil" w:sz="6" w:space="0" w:color="auto"/>
                          <w:right w:val="nil" w:sz="6" w:space="0" w:color="auto"/>
                        </w:tcBorders>
                      </w:tcPr>
                      <w:p>
                        <w:pPr/>
                      </w:p>
                    </w:tc>
                    <w:tc>
                      <w:tcPr>
                        <w:tcW w:w="325"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2"/>
                            <w:sz w:val="15"/>
                          </w:rPr>
                          <w:t>7,950,000</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2"/>
                            <w:sz w:val="15"/>
                          </w:rPr>
                          <w:t>7,950,000</w:t>
                        </w:r>
                      </w:p>
                    </w:tc>
                    <w:tc>
                      <w:tcPr>
                        <w:tcW w:w="350" w:type="dxa"/>
                        <w:tcBorders>
                          <w:top w:val="nil" w:sz="6" w:space="0" w:color="auto"/>
                          <w:left w:val="nil" w:sz="6" w:space="0" w:color="auto"/>
                          <w:bottom w:val="nil" w:sz="6" w:space="0" w:color="auto"/>
                          <w:right w:val="nil" w:sz="6" w:space="0" w:color="auto"/>
                        </w:tcBorders>
                      </w:tcPr>
                      <w:p>
                        <w:pP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重新计量：公允价值变动损益</w:t>
                        </w:r>
                        <w:r>
                          <w:rPr>
                            <w:rFonts w:ascii="宋体" w:hAnsi="宋体" w:cs="宋体" w:eastAsia="宋体" w:hint="default"/>
                            <w:sz w:val="15"/>
                            <w:szCs w:val="15"/>
                          </w:rPr>
                          <w:t> </w:t>
                        </w:r>
                      </w:p>
                    </w:tc>
                    <w:tc>
                      <w:tcPr>
                        <w:tcW w:w="325" w:type="dxa"/>
                        <w:vMerge w:val="restart"/>
                        <w:tcBorders>
                          <w:top w:val="nil" w:sz="6" w:space="0" w:color="auto"/>
                          <w:left w:val="nil" w:sz="6" w:space="0" w:color="auto"/>
                          <w:right w:val="nil" w:sz="6" w:space="0" w:color="auto"/>
                        </w:tcBorders>
                      </w:tcPr>
                      <w:p>
                        <w:pPr>
                          <w:pStyle w:val="TableParagraph"/>
                          <w:spacing w:line="240" w:lineRule="auto" w:before="74"/>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79" w:hRule="exact"/>
                    </w:trPr>
                    <w:tc>
                      <w:tcPr>
                        <w:tcW w:w="2509" w:type="dxa"/>
                        <w:tcBorders>
                          <w:top w:val="nil" w:sz="6" w:space="0" w:color="auto"/>
                          <w:left w:val="nil" w:sz="6" w:space="0" w:color="auto"/>
                          <w:bottom w:val="nil" w:sz="6" w:space="0" w:color="auto"/>
                          <w:right w:val="nil" w:sz="6" w:space="0" w:color="auto"/>
                        </w:tcBorders>
                      </w:tcPr>
                      <w:p>
                        <w:pPr/>
                      </w:p>
                    </w:tc>
                    <w:tc>
                      <w:tcPr>
                        <w:tcW w:w="325" w:type="dxa"/>
                        <w:vMerge/>
                        <w:tcBorders>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1"/>
                            <w:sz w:val="15"/>
                            <w:u w:val="single" w:color="000000"/>
                          </w:rPr>
                          <w:t>11,642</w:t>
                        </w:r>
                        <w:r>
                          <w:rPr>
                            <w:rFonts w:ascii="宋体"/>
                            <w:spacing w:val="-1"/>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1"/>
                            <w:sz w:val="15"/>
                            <w:u w:val="single" w:color="000000"/>
                          </w:rPr>
                          <w:t>11,642</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1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88" w:lineRule="exact"/>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325" w:type="dxa"/>
                        <w:vMerge w:val="restart"/>
                        <w:tcBorders>
                          <w:top w:val="nil" w:sz="6" w:space="0" w:color="auto"/>
                          <w:left w:val="nil" w:sz="6" w:space="0" w:color="auto"/>
                          <w:right w:val="nil" w:sz="6" w:space="0" w:color="auto"/>
                        </w:tcBorders>
                      </w:tcPr>
                      <w:p>
                        <w:pPr>
                          <w:pStyle w:val="TableParagraph"/>
                          <w:spacing w:line="240" w:lineRule="auto" w:before="90"/>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5" w:hRule="exact"/>
                    </w:trPr>
                    <w:tc>
                      <w:tcPr>
                        <w:tcW w:w="2509" w:type="dxa"/>
                        <w:tcBorders>
                          <w:top w:val="nil" w:sz="6" w:space="0" w:color="auto"/>
                          <w:left w:val="nil" w:sz="6" w:space="0" w:color="auto"/>
                          <w:bottom w:val="nil" w:sz="6" w:space="0" w:color="auto"/>
                          <w:right w:val="nil" w:sz="6" w:space="0" w:color="auto"/>
                        </w:tcBorders>
                      </w:tcPr>
                      <w:p>
                        <w:pPr/>
                      </w:p>
                    </w:tc>
                    <w:tc>
                      <w:tcPr>
                        <w:tcW w:w="325" w:type="dxa"/>
                        <w:vMerge/>
                        <w:tcBorders>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sz w:val="15"/>
                            <w:u w:val="single" w:color="000000"/>
                          </w:rPr>
                          <w:t>7,950,000</w:t>
                        </w:r>
                        <w:r>
                          <w:rPr>
                            <w:rFonts w:ascii="宋体"/>
                            <w:spacing w:val="-2"/>
                            <w:sz w:val="15"/>
                          </w:rPr>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1"/>
                            <w:sz w:val="15"/>
                            <w:u w:val="single" w:color="000000"/>
                          </w:rPr>
                          <w:t>11,642</w:t>
                        </w:r>
                        <w:r>
                          <w:rPr>
                            <w:rFonts w:ascii="宋体"/>
                            <w:spacing w:val="-1"/>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sz w:val="15"/>
                            <w:u w:val="single" w:color="000000"/>
                          </w:rPr>
                          <w:t>7,961,642</w:t>
                        </w:r>
                        <w:r>
                          <w:rPr>
                            <w:rFonts w:ascii="宋体"/>
                            <w:spacing w:val="-2"/>
                            <w:sz w:val="15"/>
                          </w:rPr>
                        </w:r>
                      </w:p>
                    </w:tc>
                    <w:tc>
                      <w:tcPr>
                        <w:tcW w:w="350" w:type="dxa"/>
                        <w:tcBorders>
                          <w:top w:val="nil" w:sz="6" w:space="0" w:color="auto"/>
                          <w:left w:val="nil" w:sz="6" w:space="0" w:color="auto"/>
                          <w:bottom w:val="nil" w:sz="6" w:space="0" w:color="auto"/>
                          <w:right w:val="nil" w:sz="6" w:space="0" w:color="auto"/>
                        </w:tcBorders>
                      </w:tcPr>
                      <w:p>
                        <w:pPr/>
                      </w:p>
                    </w:tc>
                  </w:tr>
                  <w:tr>
                    <w:trPr>
                      <w:trHeight w:val="253"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82" w:lineRule="exact"/>
                          <w:ind w:left="200" w:right="0"/>
                          <w:jc w:val="left"/>
                          <w:rPr>
                            <w:rFonts w:ascii="宋体" w:hAnsi="宋体" w:cs="宋体" w:eastAsia="宋体" w:hint="default"/>
                            <w:sz w:val="15"/>
                            <w:szCs w:val="15"/>
                          </w:rPr>
                        </w:pPr>
                        <w:r>
                          <w:rPr>
                            <w:rFonts w:ascii="宋体"/>
                            <w:w w:val="100"/>
                            <w:sz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82"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332"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00" w:right="0"/>
                          <w:jc w:val="left"/>
                          <w:rPr>
                            <w:rFonts w:ascii="宋体" w:hAnsi="宋体" w:cs="宋体" w:eastAsia="宋体" w:hint="default"/>
                            <w:sz w:val="15"/>
                            <w:szCs w:val="15"/>
                          </w:rPr>
                        </w:pPr>
                        <w:r>
                          <w:rPr>
                            <w:rFonts w:ascii="宋体" w:hAnsi="宋体" w:cs="宋体" w:eastAsia="宋体" w:hint="default"/>
                            <w:sz w:val="15"/>
                            <w:szCs w:val="15"/>
                          </w:rPr>
                          <w:t>以摊余成本计量的总金融资产</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
                          <w:jc w:val="right"/>
                          <w:rPr>
                            <w:rFonts w:ascii="宋体" w:hAnsi="宋体" w:cs="宋体" w:eastAsia="宋体" w:hint="default"/>
                            <w:sz w:val="15"/>
                            <w:szCs w:val="15"/>
                          </w:rPr>
                        </w:pPr>
                        <w:r>
                          <w:rPr>
                            <w:rFonts w:ascii="宋体"/>
                            <w:w w:val="100"/>
                            <w:sz w:val="15"/>
                          </w:rPr>
                        </w:r>
                        <w:r>
                          <w:rPr>
                            <w:rFonts w:ascii="宋体"/>
                            <w:spacing w:val="-2"/>
                            <w:sz w:val="15"/>
                            <w:u w:val="thick" w:color="000000"/>
                          </w:rPr>
                          <w:t>2,006,886,230</w:t>
                        </w:r>
                        <w:r>
                          <w:rPr>
                            <w:rFonts w:ascii="宋体"/>
                            <w:spacing w:val="-2"/>
                            <w:sz w:val="15"/>
                          </w:rPr>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2"/>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right"/>
                          <w:rPr>
                            <w:rFonts w:ascii="宋体" w:hAnsi="宋体" w:cs="宋体" w:eastAsia="宋体" w:hint="default"/>
                            <w:sz w:val="15"/>
                            <w:szCs w:val="15"/>
                          </w:rPr>
                        </w:pPr>
                        <w:r>
                          <w:rPr>
                            <w:rFonts w:ascii="宋体"/>
                            <w:w w:val="100"/>
                            <w:sz w:val="15"/>
                          </w:rPr>
                        </w:r>
                        <w:r>
                          <w:rPr>
                            <w:rFonts w:ascii="宋体"/>
                            <w:spacing w:val="1"/>
                            <w:w w:val="100"/>
                            <w:sz w:val="15"/>
                            <w:u w:val="thick" w:color="000000"/>
                          </w:rPr>
                          <w:t> </w:t>
                        </w:r>
                        <w:r>
                          <w:rPr>
                            <w:rFonts w:ascii="宋体"/>
                            <w:spacing w:val="-2"/>
                            <w:sz w:val="15"/>
                            <w:u w:val="thick" w:color="000000"/>
                          </w:rPr>
                          <w:t>99,100,351</w:t>
                        </w:r>
                        <w:r>
                          <w:rPr>
                            <w:rFonts w:ascii="宋体"/>
                            <w:spacing w:val="-2"/>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
                          <w:jc w:val="right"/>
                          <w:rPr>
                            <w:rFonts w:ascii="宋体" w:hAnsi="宋体" w:cs="宋体" w:eastAsia="宋体" w:hint="default"/>
                            <w:sz w:val="15"/>
                            <w:szCs w:val="15"/>
                          </w:rPr>
                        </w:pPr>
                        <w:r>
                          <w:rPr>
                            <w:rFonts w:ascii="宋体"/>
                            <w:w w:val="100"/>
                            <w:sz w:val="15"/>
                          </w:rPr>
                        </w:r>
                        <w:r>
                          <w:rPr>
                            <w:rFonts w:ascii="宋体"/>
                            <w:spacing w:val="-2"/>
                            <w:sz w:val="15"/>
                            <w:u w:val="thick" w:color="000000"/>
                          </w:rPr>
                          <w:t>2,105,986,581</w:t>
                        </w:r>
                        <w:r>
                          <w:rPr>
                            <w:rFonts w:ascii="宋体"/>
                            <w:spacing w:val="-2"/>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left"/>
                          <w:rPr>
                            <w:rFonts w:ascii="宋体" w:hAnsi="宋体" w:cs="宋体" w:eastAsia="宋体" w:hint="default"/>
                            <w:sz w:val="15"/>
                            <w:szCs w:val="15"/>
                          </w:rPr>
                        </w:pPr>
                        <w:r>
                          <w:rPr>
                            <w:rFonts w:ascii="宋体"/>
                            <w:w w:val="100"/>
                            <w:sz w:val="15"/>
                          </w:rPr>
                          <w:t> </w:t>
                        </w:r>
                      </w:p>
                    </w:tc>
                  </w:tr>
                  <w:tr>
                    <w:trPr>
                      <w:trHeight w:val="205" w:hRule="exact"/>
                    </w:trPr>
                    <w:tc>
                      <w:tcPr>
                        <w:tcW w:w="2509" w:type="dxa"/>
                        <w:tcBorders>
                          <w:top w:val="nil" w:sz="6" w:space="0" w:color="auto"/>
                          <w:left w:val="nil" w:sz="6" w:space="0" w:color="auto"/>
                          <w:bottom w:val="nil" w:sz="6" w:space="0" w:color="auto"/>
                          <w:right w:val="nil" w:sz="6" w:space="0" w:color="auto"/>
                        </w:tcBorders>
                      </w:tcPr>
                      <w:p>
                        <w:pPr/>
                      </w:p>
                    </w:tc>
                    <w:tc>
                      <w:tcPr>
                        <w:tcW w:w="325" w:type="dxa"/>
                        <w:tcBorders>
                          <w:top w:val="nil" w:sz="6" w:space="0" w:color="auto"/>
                          <w:left w:val="nil" w:sz="6" w:space="0" w:color="auto"/>
                          <w:bottom w:val="nil" w:sz="6" w:space="0" w:color="auto"/>
                          <w:right w:val="nil" w:sz="6" w:space="0" w:color="auto"/>
                        </w:tcBorders>
                      </w:tcPr>
                      <w:p>
                        <w:pPr>
                          <w:pStyle w:val="TableParagraph"/>
                          <w:spacing w:line="183"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left"/>
                          <w:rPr>
                            <w:rFonts w:ascii="宋体" w:hAnsi="宋体" w:cs="宋体" w:eastAsia="宋体" w:hint="default"/>
                            <w:sz w:val="15"/>
                            <w:szCs w:val="15"/>
                          </w:rPr>
                        </w:pPr>
                        <w:r>
                          <w:rPr>
                            <w:rFonts w:ascii="宋体"/>
                            <w:w w:val="100"/>
                            <w:sz w:val="15"/>
                          </w:rPr>
                          <w:t> </w:t>
                        </w:r>
                      </w:p>
                    </w:tc>
                  </w:tr>
                  <w:tr>
                    <w:trPr>
                      <w:trHeight w:val="389"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以公允价值计量且其变动计入</w:t>
                        </w:r>
                        <w:r>
                          <w:rPr>
                            <w:rFonts w:ascii="宋体" w:hAnsi="宋体" w:cs="宋体" w:eastAsia="宋体" w:hint="default"/>
                            <w:sz w:val="15"/>
                            <w:szCs w:val="15"/>
                          </w:rPr>
                          <w:t> </w:t>
                        </w:r>
                      </w:p>
                      <w:p>
                        <w:pPr>
                          <w:pStyle w:val="TableParagraph"/>
                          <w:spacing w:line="195"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其他综合收益的金融资产</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股权投资</w:t>
                        </w:r>
                        <w:r>
                          <w:rPr>
                            <w:rFonts w:ascii="宋体" w:hAnsi="宋体" w:cs="宋体" w:eastAsia="宋体" w:hint="default"/>
                            <w:sz w:val="15"/>
                            <w:szCs w:val="15"/>
                          </w:rPr>
                          <w:t>-</w:t>
                        </w:r>
                        <w:r>
                          <w:rPr>
                            <w:rFonts w:ascii="宋体" w:hAnsi="宋体" w:cs="宋体" w:eastAsia="宋体" w:hint="default"/>
                            <w:sz w:val="15"/>
                            <w:szCs w:val="15"/>
                          </w:rPr>
                          <w:t>可供出售金融资产</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3"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19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z w:val="15"/>
                            <w:szCs w:val="15"/>
                          </w:rPr>
                          <w:t>按原金融工具准则列示的余额</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173"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sz w:val="15"/>
                            <w:u w:val="single" w:color="000000"/>
                          </w:rPr>
                          <w:t>115,041,962</w:t>
                        </w:r>
                        <w:r>
                          <w:rPr>
                            <w:rFonts w:ascii="宋体"/>
                            <w:spacing w:val="-1"/>
                            <w:sz w:val="15"/>
                          </w:rPr>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2"/>
                            <w:sz w:val="15"/>
                            <w:u w:val="single" w:color="000000"/>
                          </w:rPr>
                          <w:t>(115,041,962</w:t>
                        </w:r>
                        <w:r>
                          <w:rPr>
                            <w:rFonts w:ascii="宋体"/>
                            <w:spacing w:val="-2"/>
                            <w:sz w:val="15"/>
                          </w:rPr>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z w:val="15"/>
                            <w:u w:val="single" w:color="000000"/>
                          </w:rPr>
                          <w:t>-</w:t>
                        </w:r>
                        <w:r>
                          <w:rPr>
                            <w:rFonts w:ascii="宋体"/>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2"/>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z w:val="15"/>
                            <w:u w:val="single" w:color="000000"/>
                          </w:rPr>
                          <w:t>-</w:t>
                        </w:r>
                        <w:r>
                          <w:rPr>
                            <w:rFonts w:ascii="宋体"/>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389" w:hRule="exact"/>
                    </w:trPr>
                    <w:tc>
                      <w:tcPr>
                        <w:tcW w:w="2509" w:type="dxa"/>
                        <w:vMerge w:val="restart"/>
                        <w:tcBorders>
                          <w:top w:val="nil" w:sz="6" w:space="0" w:color="auto"/>
                          <w:left w:val="nil" w:sz="6" w:space="0" w:color="auto"/>
                          <w:right w:val="nil" w:sz="6" w:space="0" w:color="auto"/>
                        </w:tcBorders>
                      </w:tcPr>
                      <w:p>
                        <w:pPr>
                          <w:pStyle w:val="TableParagraph"/>
                          <w:spacing w:line="172" w:lineRule="exact"/>
                          <w:ind w:left="200" w:right="0"/>
                          <w:jc w:val="left"/>
                          <w:rPr>
                            <w:rFonts w:ascii="宋体" w:hAnsi="宋体" w:cs="宋体" w:eastAsia="宋体" w:hint="default"/>
                            <w:sz w:val="15"/>
                            <w:szCs w:val="15"/>
                          </w:rPr>
                        </w:pPr>
                        <w:r>
                          <w:rPr>
                            <w:rFonts w:ascii="宋体" w:hAnsi="宋体" w:cs="宋体" w:eastAsia="宋体" w:hint="default"/>
                            <w:sz w:val="15"/>
                            <w:szCs w:val="15"/>
                          </w:rPr>
                          <w:t>减：转出至以公允价值计量且</w:t>
                        </w:r>
                        <w:r>
                          <w:rPr>
                            <w:rFonts w:ascii="宋体" w:hAnsi="宋体" w:cs="宋体" w:eastAsia="宋体" w:hint="default"/>
                            <w:sz w:val="15"/>
                            <w:szCs w:val="15"/>
                          </w:rPr>
                          <w:t> </w:t>
                        </w:r>
                      </w:p>
                      <w:p>
                        <w:pPr>
                          <w:pStyle w:val="TableParagraph"/>
                          <w:spacing w:line="194"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其变动计入当期损益</w:t>
                        </w:r>
                        <w:r>
                          <w:rPr>
                            <w:rFonts w:ascii="宋体" w:hAnsi="宋体" w:cs="宋体" w:eastAsia="宋体" w:hint="default"/>
                            <w:sz w:val="15"/>
                            <w:szCs w:val="15"/>
                          </w:rPr>
                          <w:t> </w:t>
                        </w:r>
                      </w:p>
                      <w:p>
                        <w:pPr>
                          <w:pStyle w:val="TableParagraph"/>
                          <w:spacing w:line="195"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w:t>
                        </w:r>
                        <w:r>
                          <w:rPr>
                            <w:rFonts w:ascii="宋体" w:hAnsi="宋体" w:cs="宋体" w:eastAsia="宋体" w:hint="default"/>
                            <w:sz w:val="15"/>
                            <w:szCs w:val="15"/>
                          </w:rPr>
                          <w:t>新金融工具准则）</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
                    </w:tc>
                  </w:tr>
                  <w:tr>
                    <w:trPr>
                      <w:trHeight w:val="185" w:hRule="exact"/>
                    </w:trPr>
                    <w:tc>
                      <w:tcPr>
                        <w:tcW w:w="2509" w:type="dxa"/>
                        <w:vMerge/>
                        <w:tcBorders>
                          <w:left w:val="nil" w:sz="6" w:space="0" w:color="auto"/>
                          <w:bottom w:val="nil" w:sz="6" w:space="0" w:color="auto"/>
                          <w:right w:val="nil" w:sz="6" w:space="0" w:color="auto"/>
                        </w:tcBorders>
                      </w:tcPr>
                      <w:p>
                        <w:pPr/>
                      </w:p>
                    </w:tc>
                    <w:tc>
                      <w:tcPr>
                        <w:tcW w:w="325"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sz w:val="15"/>
                            <w:u w:val="single" w:color="000000"/>
                          </w:rPr>
                          <w:t>115,041,962</w:t>
                        </w:r>
                        <w:r>
                          <w:rPr>
                            <w:rFonts w:ascii="宋体"/>
                            <w:spacing w:val="-2"/>
                            <w:sz w:val="15"/>
                          </w:rPr>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115,041,962</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389"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00" w:right="0"/>
                          <w:jc w:val="left"/>
                          <w:rPr>
                            <w:rFonts w:ascii="宋体" w:hAnsi="宋体" w:cs="宋体" w:eastAsia="宋体" w:hint="default"/>
                            <w:sz w:val="15"/>
                            <w:szCs w:val="15"/>
                          </w:rPr>
                        </w:pPr>
                        <w:r>
                          <w:rPr>
                            <w:rFonts w:ascii="宋体" w:hAnsi="宋体" w:cs="宋体" w:eastAsia="宋体" w:hint="default"/>
                            <w:sz w:val="15"/>
                            <w:szCs w:val="15"/>
                          </w:rPr>
                          <w:t>按新金融工具准则列示的余额</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115,041,962</w:t>
                        </w:r>
                        <w:r>
                          <w:rPr>
                            <w:rFonts w:ascii="宋体"/>
                            <w:spacing w:val="-1"/>
                            <w:sz w:val="15"/>
                          </w:rPr>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5"/>
                            <w:szCs w:val="15"/>
                          </w:rPr>
                        </w:pPr>
                        <w:r>
                          <w:rPr>
                            <w:rFonts w:ascii="宋体"/>
                            <w:w w:val="100"/>
                            <w:sz w:val="15"/>
                          </w:rPr>
                          <w:t>-</w:t>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115,041,962</w:t>
                        </w:r>
                        <w:r>
                          <w:rPr>
                            <w:rFonts w:ascii="宋体"/>
                            <w:spacing w:val="-1"/>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left"/>
                          <w:rPr>
                            <w:rFonts w:ascii="宋体" w:hAnsi="宋体" w:cs="宋体" w:eastAsia="宋体" w:hint="default"/>
                            <w:sz w:val="15"/>
                            <w:szCs w:val="15"/>
                          </w:rPr>
                        </w:pPr>
                        <w:r>
                          <w:rPr>
                            <w:rFonts w:ascii="宋体"/>
                            <w:w w:val="100"/>
                            <w:sz w:val="15"/>
                          </w:rPr>
                          <w:t> </w:t>
                        </w:r>
                      </w:p>
                    </w:tc>
                  </w:tr>
                  <w:tr>
                    <w:trPr>
                      <w:trHeight w:val="204" w:hRule="exact"/>
                    </w:trPr>
                    <w:tc>
                      <w:tcPr>
                        <w:tcW w:w="2509" w:type="dxa"/>
                        <w:tcBorders>
                          <w:top w:val="nil" w:sz="6" w:space="0" w:color="auto"/>
                          <w:left w:val="nil" w:sz="6" w:space="0" w:color="auto"/>
                          <w:bottom w:val="nil" w:sz="6" w:space="0" w:color="auto"/>
                          <w:right w:val="nil" w:sz="6" w:space="0" w:color="auto"/>
                        </w:tcBorders>
                      </w:tcPr>
                      <w:p>
                        <w:pPr/>
                      </w:p>
                    </w:tc>
                    <w:tc>
                      <w:tcPr>
                        <w:tcW w:w="325" w:type="dxa"/>
                        <w:tcBorders>
                          <w:top w:val="nil" w:sz="6" w:space="0" w:color="auto"/>
                          <w:left w:val="nil" w:sz="6" w:space="0" w:color="auto"/>
                          <w:bottom w:val="nil" w:sz="6" w:space="0" w:color="auto"/>
                          <w:right w:val="nil" w:sz="6" w:space="0" w:color="auto"/>
                        </w:tcBorders>
                      </w:tcPr>
                      <w:p>
                        <w:pPr>
                          <w:pStyle w:val="TableParagraph"/>
                          <w:spacing w:line="182"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left"/>
                          <w:rPr>
                            <w:rFonts w:ascii="宋体" w:hAnsi="宋体" w:cs="宋体" w:eastAsia="宋体" w:hint="default"/>
                            <w:sz w:val="15"/>
                            <w:szCs w:val="15"/>
                          </w:rPr>
                        </w:pPr>
                        <w:r>
                          <w:rPr>
                            <w:rFonts w:ascii="宋体"/>
                            <w:w w:val="100"/>
                            <w:sz w:val="15"/>
                          </w:rPr>
                          <w:t> </w:t>
                        </w:r>
                      </w:p>
                    </w:tc>
                  </w:tr>
                  <w:tr>
                    <w:trPr>
                      <w:trHeight w:val="244" w:hRule="exact"/>
                    </w:trPr>
                    <w:tc>
                      <w:tcPr>
                        <w:tcW w:w="2509" w:type="dxa"/>
                        <w:tcBorders>
                          <w:top w:val="nil" w:sz="6" w:space="0" w:color="auto"/>
                          <w:left w:val="nil" w:sz="6" w:space="0" w:color="auto"/>
                          <w:bottom w:val="nil" w:sz="6" w:space="0" w:color="auto"/>
                          <w:right w:val="nil" w:sz="6" w:space="0" w:color="auto"/>
                        </w:tcBorders>
                      </w:tcPr>
                      <w:p>
                        <w:pPr/>
                      </w:p>
                    </w:tc>
                    <w:tc>
                      <w:tcPr>
                        <w:tcW w:w="325" w:type="dxa"/>
                        <w:tcBorders>
                          <w:top w:val="nil" w:sz="6" w:space="0" w:color="auto"/>
                          <w:left w:val="nil" w:sz="6" w:space="0" w:color="auto"/>
                          <w:bottom w:val="nil" w:sz="6" w:space="0" w:color="auto"/>
                          <w:right w:val="nil" w:sz="6" w:space="0" w:color="auto"/>
                        </w:tcBorders>
                      </w:tcPr>
                      <w:p>
                        <w:pPr>
                          <w:pStyle w:val="TableParagraph"/>
                          <w:spacing w:line="173" w:lineRule="exact"/>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350"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r>
                  <w:tr>
                    <w:trPr>
                      <w:trHeight w:val="33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00" w:right="0"/>
                          <w:jc w:val="left"/>
                          <w:rPr>
                            <w:rFonts w:ascii="宋体" w:hAnsi="宋体" w:cs="宋体" w:eastAsia="宋体" w:hint="default"/>
                            <w:sz w:val="15"/>
                            <w:szCs w:val="15"/>
                          </w:rPr>
                        </w:pPr>
                        <w:r>
                          <w:rPr>
                            <w:rFonts w:ascii="宋体" w:hAnsi="宋体" w:cs="宋体" w:eastAsia="宋体" w:hint="default"/>
                            <w:sz w:val="15"/>
                            <w:szCs w:val="15"/>
                          </w:rPr>
                          <w:t>总计</w:t>
                        </w:r>
                        <w:r>
                          <w:rPr>
                            <w:rFonts w:ascii="宋体" w:hAnsi="宋体" w:cs="宋体" w:eastAsia="宋体" w:hint="default"/>
                            <w:sz w:val="15"/>
                            <w:szCs w:val="15"/>
                          </w:rPr>
                          <w:t> </w:t>
                        </w:r>
                      </w:p>
                    </w:tc>
                    <w:tc>
                      <w:tcPr>
                        <w:tcW w:w="32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5" w:right="0"/>
                          <w:jc w:val="left"/>
                          <w:rPr>
                            <w:rFonts w:ascii="宋体" w:hAnsi="宋体" w:cs="宋体" w:eastAsia="宋体" w:hint="default"/>
                            <w:sz w:val="15"/>
                            <w:szCs w:val="15"/>
                          </w:rPr>
                        </w:pPr>
                        <w:r>
                          <w:rPr>
                            <w:rFonts w:ascii="宋体"/>
                            <w:w w:val="100"/>
                            <w:sz w:val="15"/>
                          </w:rPr>
                          <w:t> </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
                          <w:jc w:val="right"/>
                          <w:rPr>
                            <w:rFonts w:ascii="宋体" w:hAnsi="宋体" w:cs="宋体" w:eastAsia="宋体" w:hint="default"/>
                            <w:sz w:val="15"/>
                            <w:szCs w:val="15"/>
                          </w:rPr>
                        </w:pPr>
                        <w:r>
                          <w:rPr>
                            <w:rFonts w:ascii="宋体"/>
                            <w:w w:val="100"/>
                            <w:sz w:val="15"/>
                          </w:rPr>
                        </w:r>
                        <w:r>
                          <w:rPr>
                            <w:rFonts w:ascii="宋体"/>
                            <w:spacing w:val="-2"/>
                            <w:sz w:val="15"/>
                            <w:u w:val="single" w:color="000000"/>
                          </w:rPr>
                          <w:t>2,121,928,192</w:t>
                        </w:r>
                        <w:r>
                          <w:rPr>
                            <w:rFonts w:ascii="宋体"/>
                            <w:spacing w:val="-2"/>
                            <w:sz w:val="15"/>
                          </w:rPr>
                        </w:r>
                      </w:p>
                    </w:tc>
                    <w:tc>
                      <w:tcPr>
                        <w:tcW w:w="80"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
                          <w:jc w:val="right"/>
                          <w:rPr>
                            <w:rFonts w:ascii="宋体" w:hAnsi="宋体" w:cs="宋体" w:eastAsia="宋体" w:hint="default"/>
                            <w:sz w:val="15"/>
                            <w:szCs w:val="15"/>
                          </w:rPr>
                        </w:pPr>
                        <w:r>
                          <w:rPr>
                            <w:rFonts w:ascii="宋体"/>
                            <w:w w:val="100"/>
                            <w:sz w:val="15"/>
                          </w:rPr>
                          <w:t>-</w:t>
                        </w:r>
                      </w:p>
                    </w:tc>
                    <w:tc>
                      <w:tcPr>
                        <w:tcW w:w="87"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right"/>
                          <w:rPr>
                            <w:rFonts w:ascii="宋体" w:hAnsi="宋体" w:cs="宋体" w:eastAsia="宋体" w:hint="default"/>
                            <w:sz w:val="15"/>
                            <w:szCs w:val="15"/>
                          </w:rPr>
                        </w:pPr>
                        <w:r>
                          <w:rPr>
                            <w:rFonts w:ascii="宋体"/>
                            <w:w w:val="100"/>
                            <w:sz w:val="15"/>
                          </w:rPr>
                        </w:r>
                        <w:r>
                          <w:rPr>
                            <w:rFonts w:ascii="宋体"/>
                            <w:spacing w:val="-1"/>
                            <w:sz w:val="15"/>
                            <w:u w:val="single" w:color="000000"/>
                          </w:rPr>
                          <w:t>99,100,351</w:t>
                        </w:r>
                        <w:r>
                          <w:rPr>
                            <w:rFonts w:ascii="宋体"/>
                            <w:spacing w:val="-1"/>
                            <w:sz w:val="15"/>
                          </w:rPr>
                        </w:r>
                      </w:p>
                    </w:tc>
                    <w:tc>
                      <w:tcPr>
                        <w:tcW w:w="74"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right"/>
                          <w:rPr>
                            <w:rFonts w:ascii="宋体" w:hAnsi="宋体" w:cs="宋体" w:eastAsia="宋体" w:hint="default"/>
                            <w:sz w:val="15"/>
                            <w:szCs w:val="15"/>
                          </w:rPr>
                        </w:pPr>
                        <w:r>
                          <w:rPr>
                            <w:rFonts w:ascii="宋体"/>
                            <w:w w:val="100"/>
                            <w:sz w:val="15"/>
                          </w:rPr>
                        </w:r>
                        <w:r>
                          <w:rPr>
                            <w:rFonts w:ascii="宋体"/>
                            <w:spacing w:val="-2"/>
                            <w:sz w:val="15"/>
                            <w:u w:val="single" w:color="000000"/>
                          </w:rPr>
                          <w:t>2,221,028,543</w:t>
                        </w:r>
                        <w:r>
                          <w:rPr>
                            <w:rFonts w:ascii="宋体"/>
                            <w:spacing w:val="-2"/>
                            <w:sz w:val="15"/>
                          </w:rPr>
                        </w:r>
                      </w:p>
                    </w:tc>
                    <w:tc>
                      <w:tcPr>
                        <w:tcW w:w="350"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0"/>
                          <w:jc w:val="left"/>
                          <w:rPr>
                            <w:rFonts w:ascii="宋体" w:hAnsi="宋体" w:cs="宋体" w:eastAsia="宋体" w:hint="default"/>
                            <w:sz w:val="15"/>
                            <w:szCs w:val="15"/>
                          </w:rPr>
                        </w:pPr>
                        <w:r>
                          <w:rPr>
                            <w:rFonts w:ascii="宋体"/>
                            <w:w w:val="100"/>
                            <w:sz w:val="15"/>
                          </w:rPr>
                          <w:t> </w:t>
                        </w:r>
                      </w:p>
                    </w:tc>
                  </w:tr>
                </w:tbl>
                <w:p>
                  <w:pPr/>
                </w:p>
              </w:txbxContent>
            </v:textbox>
            <w10:wrap type="none"/>
          </v:shape>
        </w:pict>
      </w:r>
      <w:r>
        <w:rPr>
          <w:rFonts w:ascii="宋体"/>
          <w:w w:val="100"/>
          <w:sz w:val="15"/>
        </w:rPr>
        <w:t>)</w:t>
      </w:r>
    </w:p>
    <w:p>
      <w:pPr>
        <w:spacing w:line="240" w:lineRule="auto" w:before="7"/>
        <w:rPr>
          <w:rFonts w:ascii="宋体" w:hAnsi="宋体" w:cs="宋体" w:eastAsia="宋体" w:hint="default"/>
          <w:sz w:val="10"/>
          <w:szCs w:val="10"/>
        </w:rPr>
      </w:pPr>
    </w:p>
    <w:p>
      <w:pPr>
        <w:spacing w:line="195" w:lineRule="exact" w:before="54"/>
        <w:ind w:left="0" w:right="2153" w:firstLine="0"/>
        <w:jc w:val="right"/>
        <w:rPr>
          <w:rFonts w:ascii="宋体" w:hAnsi="宋体" w:cs="宋体" w:eastAsia="宋体" w:hint="default"/>
          <w:sz w:val="15"/>
          <w:szCs w:val="15"/>
        </w:rPr>
      </w:pPr>
      <w:r>
        <w:rPr>
          <w:rFonts w:ascii="宋体"/>
          <w:w w:val="100"/>
          <w:sz w:val="15"/>
        </w:rPr>
        <w:t>)</w:t>
      </w:r>
    </w:p>
    <w:p>
      <w:pPr>
        <w:tabs>
          <w:tab w:pos="1375" w:val="left" w:leader="none"/>
          <w:tab w:pos="2690" w:val="left" w:leader="none"/>
        </w:tabs>
        <w:spacing w:line="194" w:lineRule="exact" w:before="0"/>
        <w:ind w:left="0" w:right="2153" w:firstLine="0"/>
        <w:jc w:val="right"/>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r>
        <w:rPr>
          <w:rFonts w:ascii="宋体"/>
          <w:sz w:val="15"/>
        </w:rPr>
        <w:tab/>
      </w:r>
      <w:r>
        <w:rPr>
          <w:rFonts w:ascii="宋体"/>
          <w:w w:val="100"/>
          <w:sz w:val="15"/>
        </w:rPr>
        <w:t> </w:t>
      </w:r>
    </w:p>
    <w:p>
      <w:pPr>
        <w:tabs>
          <w:tab w:pos="1375" w:val="left" w:leader="none"/>
          <w:tab w:pos="2690" w:val="left" w:leader="none"/>
        </w:tabs>
        <w:spacing w:line="195" w:lineRule="exact" w:before="0"/>
        <w:ind w:left="0" w:right="2153" w:firstLine="0"/>
        <w:jc w:val="right"/>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r>
        <w:rPr>
          <w:rFonts w:ascii="宋体"/>
          <w:sz w:val="15"/>
        </w:rPr>
        <w:tab/>
      </w:r>
      <w:r>
        <w:rPr>
          <w:rFonts w:ascii="宋体"/>
          <w:w w:val="100"/>
          <w:sz w:val="15"/>
        </w:rPr>
        <w:t> </w:t>
      </w:r>
    </w:p>
    <w:p>
      <w:pPr>
        <w:spacing w:line="240" w:lineRule="auto" w:before="6"/>
        <w:rPr>
          <w:rFonts w:ascii="宋体" w:hAnsi="宋体" w:cs="宋体" w:eastAsia="宋体" w:hint="default"/>
          <w:sz w:val="25"/>
          <w:szCs w:val="25"/>
        </w:rPr>
      </w:pPr>
    </w:p>
    <w:p>
      <w:pPr>
        <w:spacing w:before="54"/>
        <w:ind w:left="0" w:right="2153" w:firstLine="0"/>
        <w:jc w:val="right"/>
        <w:rPr>
          <w:rFonts w:ascii="宋体" w:hAnsi="宋体" w:cs="宋体" w:eastAsia="宋体" w:hint="default"/>
          <w:sz w:val="15"/>
          <w:szCs w:val="15"/>
        </w:rPr>
      </w:pPr>
      <w:r>
        <w:rPr>
          <w:rFonts w:ascii="宋体"/>
          <w:w w:val="100"/>
          <w:sz w:val="15"/>
        </w:rPr>
      </w:r>
      <w:r>
        <w:rPr>
          <w:rFonts w:ascii="宋体"/>
          <w:w w:val="100"/>
          <w:sz w:val="15"/>
          <w:u w:val="single" w:color="000000"/>
        </w:rPr>
        <w:t>)</w:t>
      </w:r>
      <w:r>
        <w:rPr>
          <w:rFonts w:ascii="宋体"/>
          <w:w w:val="100"/>
          <w:sz w:val="15"/>
        </w:rPr>
      </w:r>
    </w:p>
    <w:p>
      <w:pPr>
        <w:spacing w:line="240" w:lineRule="auto" w:before="7"/>
        <w:rPr>
          <w:rFonts w:ascii="宋体" w:hAnsi="宋体" w:cs="宋体" w:eastAsia="宋体" w:hint="default"/>
          <w:sz w:val="10"/>
          <w:szCs w:val="10"/>
        </w:rPr>
      </w:pPr>
    </w:p>
    <w:p>
      <w:pPr>
        <w:spacing w:line="195" w:lineRule="exact" w:before="54"/>
        <w:ind w:left="0" w:right="2153" w:firstLine="0"/>
        <w:jc w:val="right"/>
        <w:rPr>
          <w:rFonts w:ascii="宋体" w:hAnsi="宋体" w:cs="宋体" w:eastAsia="宋体" w:hint="default"/>
          <w:sz w:val="15"/>
          <w:szCs w:val="15"/>
        </w:rPr>
      </w:pPr>
      <w:r>
        <w:rPr>
          <w:rFonts w:ascii="宋体"/>
          <w:w w:val="100"/>
          <w:sz w:val="15"/>
        </w:rPr>
        <w:t>)</w:t>
      </w:r>
    </w:p>
    <w:p>
      <w:pPr>
        <w:tabs>
          <w:tab w:pos="3565" w:val="left" w:leader="none"/>
          <w:tab w:pos="4880" w:val="left" w:leader="none"/>
        </w:tabs>
        <w:spacing w:line="194" w:lineRule="exact" w:before="0"/>
        <w:ind w:left="2189" w:right="0" w:firstLine="0"/>
        <w:jc w:val="center"/>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r>
        <w:rPr>
          <w:rFonts w:ascii="宋体"/>
          <w:sz w:val="15"/>
        </w:rPr>
        <w:tab/>
      </w:r>
      <w:r>
        <w:rPr>
          <w:rFonts w:ascii="宋体"/>
          <w:w w:val="100"/>
          <w:sz w:val="15"/>
        </w:rPr>
        <w:t> </w:t>
      </w:r>
    </w:p>
    <w:p>
      <w:pPr>
        <w:tabs>
          <w:tab w:pos="3565" w:val="left" w:leader="none"/>
          <w:tab w:pos="4880" w:val="left" w:leader="none"/>
        </w:tabs>
        <w:spacing w:line="194" w:lineRule="exact" w:before="0"/>
        <w:ind w:left="2189" w:right="0" w:firstLine="0"/>
        <w:jc w:val="center"/>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r>
        <w:rPr>
          <w:rFonts w:ascii="宋体"/>
          <w:sz w:val="15"/>
        </w:rPr>
        <w:tab/>
      </w:r>
      <w:r>
        <w:rPr>
          <w:rFonts w:ascii="宋体"/>
          <w:w w:val="100"/>
          <w:sz w:val="15"/>
        </w:rPr>
        <w:t> </w:t>
      </w:r>
    </w:p>
    <w:p>
      <w:pPr>
        <w:spacing w:line="195" w:lineRule="exact" w:before="0"/>
        <w:ind w:left="2250" w:right="0" w:firstLine="0"/>
        <w:jc w:val="center"/>
        <w:rPr>
          <w:rFonts w:ascii="宋体" w:hAnsi="宋体" w:cs="宋体" w:eastAsia="宋体" w:hint="default"/>
          <w:sz w:val="15"/>
          <w:szCs w:val="15"/>
        </w:rPr>
      </w:pPr>
      <w:r>
        <w:rPr>
          <w:rFonts w:ascii="宋体"/>
          <w:w w:val="100"/>
          <w:sz w:val="15"/>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tbl>
      <w:tblPr>
        <w:tblW w:w="0" w:type="auto"/>
        <w:jc w:val="left"/>
        <w:tblInd w:w="4310" w:type="dxa"/>
        <w:tblLayout w:type="fixed"/>
        <w:tblCellMar>
          <w:top w:w="0" w:type="dxa"/>
          <w:left w:w="0" w:type="dxa"/>
          <w:bottom w:w="0" w:type="dxa"/>
          <w:right w:w="0" w:type="dxa"/>
        </w:tblCellMar>
        <w:tblLook w:val="01E0"/>
      </w:tblPr>
      <w:tblGrid>
        <w:gridCol w:w="1334"/>
        <w:gridCol w:w="152"/>
        <w:gridCol w:w="1350"/>
      </w:tblGrid>
      <w:tr>
        <w:trPr>
          <w:trHeight w:val="204" w:hRule="exact"/>
        </w:trPr>
        <w:tc>
          <w:tcPr>
            <w:tcW w:w="1334" w:type="dxa"/>
            <w:tcBorders>
              <w:top w:val="nil" w:sz="6" w:space="0" w:color="auto"/>
              <w:left w:val="nil" w:sz="6" w:space="0" w:color="auto"/>
              <w:bottom w:val="nil" w:sz="6" w:space="0" w:color="auto"/>
              <w:right w:val="nil" w:sz="6" w:space="0" w:color="auto"/>
            </w:tcBorders>
          </w:tcPr>
          <w:p>
            <w:pPr>
              <w:pStyle w:val="TableParagraph"/>
              <w:spacing w:line="182" w:lineRule="exact"/>
              <w:ind w:left="35" w:right="0"/>
              <w:jc w:val="left"/>
              <w:rPr>
                <w:rFonts w:ascii="宋体" w:hAnsi="宋体" w:cs="宋体" w:eastAsia="宋体" w:hint="default"/>
                <w:sz w:val="15"/>
                <w:szCs w:val="15"/>
              </w:rPr>
            </w:pPr>
            <w:r>
              <w:rPr>
                <w:rFonts w:ascii="宋体"/>
                <w:w w:val="100"/>
                <w:sz w:val="15"/>
              </w:rPr>
              <w:t> </w:t>
            </w:r>
          </w:p>
        </w:tc>
        <w:tc>
          <w:tcPr>
            <w:tcW w:w="152" w:type="dxa"/>
            <w:tcBorders>
              <w:top w:val="nil" w:sz="6" w:space="0" w:color="auto"/>
              <w:left w:val="nil" w:sz="6" w:space="0" w:color="auto"/>
              <w:bottom w:val="nil" w:sz="6" w:space="0" w:color="auto"/>
              <w:right w:val="nil" w:sz="6" w:space="0" w:color="auto"/>
            </w:tcBorders>
          </w:tcPr>
          <w:p>
            <w:pPr>
              <w:pStyle w:val="TableParagraph"/>
              <w:spacing w:line="182" w:lineRule="exact"/>
              <w:ind w:right="0"/>
              <w:jc w:val="right"/>
              <w:rPr>
                <w:rFonts w:ascii="宋体" w:hAnsi="宋体" w:cs="宋体" w:eastAsia="宋体" w:hint="default"/>
                <w:sz w:val="15"/>
                <w:szCs w:val="15"/>
              </w:rPr>
            </w:pPr>
            <w:r>
              <w:rPr>
                <w:rFonts w:ascii="宋体"/>
                <w:w w:val="100"/>
                <w:sz w:val="15"/>
              </w:rPr>
              <w:t> </w:t>
            </w:r>
          </w:p>
        </w:tc>
        <w:tc>
          <w:tcPr>
            <w:tcW w:w="1350"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5"/>
                <w:szCs w:val="15"/>
              </w:rPr>
            </w:pPr>
            <w:r>
              <w:rPr>
                <w:rFonts w:ascii="宋体"/>
                <w:w w:val="100"/>
                <w:sz w:val="15"/>
              </w:rPr>
              <w:t> </w:t>
            </w:r>
          </w:p>
        </w:tc>
      </w:tr>
      <w:tr>
        <w:trPr>
          <w:trHeight w:val="194" w:hRule="exact"/>
        </w:trPr>
        <w:tc>
          <w:tcPr>
            <w:tcW w:w="1334"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15"/>
                <w:szCs w:val="15"/>
              </w:rPr>
            </w:pPr>
            <w:r>
              <w:rPr>
                <w:rFonts w:ascii="宋体"/>
                <w:w w:val="100"/>
                <w:sz w:val="15"/>
              </w:rPr>
              <w:t> </w:t>
            </w:r>
          </w:p>
        </w:tc>
        <w:tc>
          <w:tcPr>
            <w:tcW w:w="152"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 </w:t>
            </w:r>
          </w:p>
        </w:tc>
        <w:tc>
          <w:tcPr>
            <w:tcW w:w="1350" w:type="dxa"/>
            <w:tcBorders>
              <w:top w:val="nil" w:sz="6" w:space="0" w:color="auto"/>
              <w:left w:val="nil" w:sz="6" w:space="0" w:color="auto"/>
              <w:bottom w:val="nil" w:sz="6" w:space="0" w:color="auto"/>
              <w:right w:val="nil" w:sz="6" w:space="0" w:color="auto"/>
            </w:tcBorders>
          </w:tcPr>
          <w:p>
            <w:pPr>
              <w:pStyle w:val="TableParagraph"/>
              <w:spacing w:line="173" w:lineRule="exact"/>
              <w:ind w:right="33"/>
              <w:jc w:val="right"/>
              <w:rPr>
                <w:rFonts w:ascii="宋体" w:hAnsi="宋体" w:cs="宋体" w:eastAsia="宋体" w:hint="default"/>
                <w:sz w:val="15"/>
                <w:szCs w:val="15"/>
              </w:rPr>
            </w:pPr>
            <w:r>
              <w:rPr>
                <w:rFonts w:ascii="宋体"/>
                <w:w w:val="100"/>
                <w:sz w:val="15"/>
              </w:rPr>
              <w:t> </w:t>
            </w:r>
          </w:p>
        </w:tc>
      </w:tr>
      <w:tr>
        <w:trPr>
          <w:trHeight w:val="273" w:hRule="exact"/>
        </w:trPr>
        <w:tc>
          <w:tcPr>
            <w:tcW w:w="1334"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135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tbl>
      <w:tblPr>
        <w:tblW w:w="0" w:type="auto"/>
        <w:jc w:val="left"/>
        <w:tblInd w:w="4268" w:type="dxa"/>
        <w:tblLayout w:type="fixed"/>
        <w:tblCellMar>
          <w:top w:w="0" w:type="dxa"/>
          <w:left w:w="0" w:type="dxa"/>
          <w:bottom w:w="0" w:type="dxa"/>
          <w:right w:w="0" w:type="dxa"/>
        </w:tblCellMar>
        <w:tblLook w:val="01E0"/>
      </w:tblPr>
      <w:tblGrid>
        <w:gridCol w:w="152"/>
        <w:gridCol w:w="1223"/>
        <w:gridCol w:w="152"/>
        <w:gridCol w:w="1163"/>
        <w:gridCol w:w="152"/>
      </w:tblGrid>
      <w:tr>
        <w:trPr>
          <w:trHeight w:val="584" w:hRule="exact"/>
        </w:trPr>
        <w:tc>
          <w:tcPr>
            <w:tcW w:w="152" w:type="dxa"/>
            <w:tcBorders>
              <w:top w:val="nil" w:sz="6" w:space="0" w:color="auto"/>
              <w:left w:val="nil" w:sz="6" w:space="0" w:color="auto"/>
              <w:bottom w:val="nil" w:sz="6" w:space="0" w:color="auto"/>
              <w:right w:val="nil" w:sz="6" w:space="0" w:color="auto"/>
            </w:tcBorders>
          </w:tcPr>
          <w:p>
            <w:pPr>
              <w:pStyle w:val="TableParagraph"/>
              <w:spacing w:line="182" w:lineRule="exact"/>
              <w:ind w:left="76" w:right="0"/>
              <w:jc w:val="left"/>
              <w:rPr>
                <w:rFonts w:ascii="宋体" w:hAnsi="宋体" w:cs="宋体" w:eastAsia="宋体" w:hint="default"/>
                <w:sz w:val="15"/>
                <w:szCs w:val="15"/>
              </w:rPr>
            </w:pPr>
            <w:r>
              <w:rPr>
                <w:rFonts w:ascii="宋体"/>
                <w:w w:val="100"/>
                <w:sz w:val="15"/>
              </w:rPr>
              <w:t> </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6" w:right="0"/>
              <w:jc w:val="left"/>
              <w:rPr>
                <w:rFonts w:ascii="宋体" w:hAnsi="宋体" w:cs="宋体" w:eastAsia="宋体" w:hint="default"/>
                <w:sz w:val="15"/>
                <w:szCs w:val="15"/>
              </w:rPr>
            </w:pPr>
            <w:r>
              <w:rPr>
                <w:rFonts w:ascii="宋体"/>
                <w:w w:val="100"/>
                <w:sz w:val="15"/>
              </w:rPr>
              <w:t> </w:t>
            </w:r>
          </w:p>
        </w:tc>
        <w:tc>
          <w:tcPr>
            <w:tcW w:w="122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182" w:lineRule="exact"/>
              <w:ind w:left="76" w:right="0"/>
              <w:jc w:val="left"/>
              <w:rPr>
                <w:rFonts w:ascii="宋体" w:hAnsi="宋体" w:cs="宋体" w:eastAsia="宋体" w:hint="default"/>
                <w:sz w:val="15"/>
                <w:szCs w:val="15"/>
              </w:rPr>
            </w:pPr>
            <w:r>
              <w:rPr>
                <w:rFonts w:ascii="宋体"/>
                <w:w w:val="100"/>
                <w:sz w:val="15"/>
              </w:rPr>
              <w:t> </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6" w:right="0"/>
              <w:jc w:val="left"/>
              <w:rPr>
                <w:rFonts w:ascii="宋体" w:hAnsi="宋体" w:cs="宋体" w:eastAsia="宋体" w:hint="default"/>
                <w:sz w:val="15"/>
                <w:szCs w:val="15"/>
              </w:rPr>
            </w:pPr>
            <w:r>
              <w:rPr>
                <w:rFonts w:ascii="宋体"/>
                <w:w w:val="100"/>
                <w:sz w:val="15"/>
              </w:rPr>
              <w:t> </w:t>
            </w:r>
          </w:p>
        </w:tc>
        <w:tc>
          <w:tcPr>
            <w:tcW w:w="116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182" w:lineRule="exact"/>
              <w:ind w:left="76" w:right="0"/>
              <w:jc w:val="left"/>
              <w:rPr>
                <w:rFonts w:ascii="宋体" w:hAnsi="宋体" w:cs="宋体" w:eastAsia="宋体" w:hint="default"/>
                <w:sz w:val="15"/>
                <w:szCs w:val="15"/>
              </w:rPr>
            </w:pPr>
            <w:r>
              <w:rPr>
                <w:rFonts w:ascii="宋体"/>
                <w:w w:val="100"/>
                <w:sz w:val="15"/>
              </w:rPr>
              <w:t> </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6" w:right="0"/>
              <w:jc w:val="left"/>
              <w:rPr>
                <w:rFonts w:ascii="宋体" w:hAnsi="宋体" w:cs="宋体" w:eastAsia="宋体" w:hint="default"/>
                <w:sz w:val="15"/>
                <w:szCs w:val="15"/>
              </w:rPr>
            </w:pPr>
            <w:r>
              <w:rPr>
                <w:rFonts w:ascii="宋体"/>
                <w:w w:val="100"/>
                <w:sz w:val="15"/>
              </w:rPr>
              <w:t> </w:t>
            </w:r>
          </w:p>
        </w:tc>
      </w:tr>
      <w:tr>
        <w:trPr>
          <w:trHeight w:val="302" w:hRule="exact"/>
        </w:trPr>
        <w:tc>
          <w:tcPr>
            <w:tcW w:w="152"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right"/>
              <w:rPr>
                <w:rFonts w:ascii="宋体" w:hAnsi="宋体" w:cs="宋体" w:eastAsia="宋体" w:hint="default"/>
                <w:sz w:val="15"/>
                <w:szCs w:val="15"/>
              </w:rPr>
            </w:pPr>
            <w:r>
              <w:rPr>
                <w:rFonts w:ascii="宋体"/>
                <w:w w:val="100"/>
                <w:sz w:val="15"/>
              </w:rPr>
              <w:t> </w:t>
            </w:r>
          </w:p>
        </w:tc>
        <w:tc>
          <w:tcPr>
            <w:tcW w:w="122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right"/>
              <w:rPr>
                <w:rFonts w:ascii="宋体" w:hAnsi="宋体" w:cs="宋体" w:eastAsia="宋体" w:hint="default"/>
                <w:sz w:val="15"/>
                <w:szCs w:val="15"/>
              </w:rPr>
            </w:pPr>
            <w:r>
              <w:rPr>
                <w:rFonts w:ascii="宋体"/>
                <w:w w:val="100"/>
                <w:sz w:val="15"/>
              </w:rPr>
              <w:t> </w:t>
            </w:r>
          </w:p>
        </w:tc>
        <w:tc>
          <w:tcPr>
            <w:tcW w:w="116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right"/>
              <w:rPr>
                <w:rFonts w:ascii="宋体" w:hAnsi="宋体" w:cs="宋体" w:eastAsia="宋体" w:hint="default"/>
                <w:sz w:val="15"/>
                <w:szCs w:val="15"/>
              </w:rPr>
            </w:pPr>
            <w:r>
              <w:rPr>
                <w:rFonts w:ascii="宋体"/>
                <w:w w:val="100"/>
                <w:sz w:val="15"/>
              </w:rPr>
              <w:t> </w:t>
            </w:r>
          </w:p>
        </w:tc>
      </w:tr>
      <w:tr>
        <w:trPr>
          <w:trHeight w:val="875" w:hRule="exact"/>
        </w:trPr>
        <w:tc>
          <w:tcPr>
            <w:tcW w:w="152" w:type="dxa"/>
            <w:tcBorders>
              <w:top w:val="nil" w:sz="6" w:space="0" w:color="auto"/>
              <w:left w:val="nil" w:sz="6" w:space="0" w:color="auto"/>
              <w:bottom w:val="nil" w:sz="6" w:space="0" w:color="auto"/>
              <w:right w:val="nil" w:sz="6" w:space="0" w:color="auto"/>
            </w:tcBorders>
          </w:tcPr>
          <w:p>
            <w:pPr>
              <w:pStyle w:val="TableParagraph"/>
              <w:spacing w:line="195" w:lineRule="exact" w:before="73"/>
              <w:ind w:left="76" w:right="0"/>
              <w:jc w:val="left"/>
              <w:rPr>
                <w:rFonts w:ascii="宋体" w:hAnsi="宋体" w:cs="宋体" w:eastAsia="宋体" w:hint="default"/>
                <w:sz w:val="15"/>
                <w:szCs w:val="15"/>
              </w:rPr>
            </w:pPr>
            <w:r>
              <w:rPr>
                <w:rFonts w:ascii="宋体"/>
                <w:w w:val="100"/>
                <w:sz w:val="15"/>
              </w:rPr>
              <w:t> </w:t>
            </w:r>
          </w:p>
          <w:p>
            <w:pPr>
              <w:pStyle w:val="TableParagraph"/>
              <w:spacing w:line="194" w:lineRule="exact"/>
              <w:ind w:left="76" w:right="0"/>
              <w:jc w:val="left"/>
              <w:rPr>
                <w:rFonts w:ascii="宋体" w:hAnsi="宋体" w:cs="宋体" w:eastAsia="宋体" w:hint="default"/>
                <w:sz w:val="15"/>
                <w:szCs w:val="15"/>
              </w:rPr>
            </w:pPr>
            <w:r>
              <w:rPr>
                <w:rFonts w:ascii="宋体"/>
                <w:w w:val="100"/>
                <w:sz w:val="15"/>
              </w:rPr>
              <w:t> </w:t>
            </w:r>
          </w:p>
          <w:p>
            <w:pPr>
              <w:pStyle w:val="TableParagraph"/>
              <w:spacing w:line="195" w:lineRule="exact"/>
              <w:ind w:left="76" w:right="0"/>
              <w:jc w:val="left"/>
              <w:rPr>
                <w:rFonts w:ascii="宋体" w:hAnsi="宋体" w:cs="宋体" w:eastAsia="宋体" w:hint="default"/>
                <w:sz w:val="15"/>
                <w:szCs w:val="15"/>
              </w:rPr>
            </w:pPr>
            <w:r>
              <w:rPr>
                <w:rFonts w:ascii="宋体"/>
                <w:w w:val="100"/>
                <w:sz w:val="15"/>
              </w:rPr>
              <w:t> </w:t>
            </w:r>
          </w:p>
        </w:tc>
        <w:tc>
          <w:tcPr>
            <w:tcW w:w="122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195" w:lineRule="exact" w:before="73"/>
              <w:ind w:left="76" w:right="0"/>
              <w:jc w:val="left"/>
              <w:rPr>
                <w:rFonts w:ascii="宋体" w:hAnsi="宋体" w:cs="宋体" w:eastAsia="宋体" w:hint="default"/>
                <w:sz w:val="15"/>
                <w:szCs w:val="15"/>
              </w:rPr>
            </w:pPr>
            <w:r>
              <w:rPr>
                <w:rFonts w:ascii="宋体"/>
                <w:w w:val="100"/>
                <w:sz w:val="15"/>
              </w:rPr>
              <w:t> </w:t>
            </w:r>
          </w:p>
          <w:p>
            <w:pPr>
              <w:pStyle w:val="TableParagraph"/>
              <w:spacing w:line="194" w:lineRule="exact"/>
              <w:ind w:left="76" w:right="0"/>
              <w:jc w:val="left"/>
              <w:rPr>
                <w:rFonts w:ascii="宋体" w:hAnsi="宋体" w:cs="宋体" w:eastAsia="宋体" w:hint="default"/>
                <w:sz w:val="15"/>
                <w:szCs w:val="15"/>
              </w:rPr>
            </w:pPr>
            <w:r>
              <w:rPr>
                <w:rFonts w:ascii="宋体"/>
                <w:w w:val="100"/>
                <w:sz w:val="15"/>
              </w:rPr>
              <w:t> </w:t>
            </w:r>
          </w:p>
          <w:p>
            <w:pPr>
              <w:pStyle w:val="TableParagraph"/>
              <w:spacing w:line="195" w:lineRule="exact"/>
              <w:ind w:left="76" w:right="0"/>
              <w:jc w:val="left"/>
              <w:rPr>
                <w:rFonts w:ascii="宋体" w:hAnsi="宋体" w:cs="宋体" w:eastAsia="宋体" w:hint="default"/>
                <w:sz w:val="15"/>
                <w:szCs w:val="15"/>
              </w:rPr>
            </w:pPr>
            <w:r>
              <w:rPr>
                <w:rFonts w:ascii="宋体"/>
                <w:w w:val="100"/>
                <w:sz w:val="15"/>
              </w:rPr>
            </w:r>
            <w:r>
              <w:rPr>
                <w:rFonts w:ascii="宋体"/>
                <w:w w:val="100"/>
                <w:sz w:val="15"/>
                <w:u w:val="single" w:color="000000"/>
              </w:rPr>
              <w:t>)</w:t>
            </w:r>
            <w:r>
              <w:rPr>
                <w:rFonts w:ascii="宋体"/>
                <w:w w:val="100"/>
                <w:sz w:val="15"/>
              </w:rPr>
            </w:r>
          </w:p>
        </w:tc>
        <w:tc>
          <w:tcPr>
            <w:tcW w:w="116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195" w:lineRule="exact" w:before="73"/>
              <w:ind w:left="76" w:right="0"/>
              <w:jc w:val="left"/>
              <w:rPr>
                <w:rFonts w:ascii="宋体" w:hAnsi="宋体" w:cs="宋体" w:eastAsia="宋体" w:hint="default"/>
                <w:sz w:val="15"/>
                <w:szCs w:val="15"/>
              </w:rPr>
            </w:pPr>
            <w:r>
              <w:rPr>
                <w:rFonts w:ascii="宋体"/>
                <w:w w:val="100"/>
                <w:sz w:val="15"/>
              </w:rPr>
              <w:t> </w:t>
            </w:r>
          </w:p>
          <w:p>
            <w:pPr>
              <w:pStyle w:val="TableParagraph"/>
              <w:spacing w:line="194" w:lineRule="exact"/>
              <w:ind w:left="76" w:right="0"/>
              <w:jc w:val="left"/>
              <w:rPr>
                <w:rFonts w:ascii="宋体" w:hAnsi="宋体" w:cs="宋体" w:eastAsia="宋体" w:hint="default"/>
                <w:sz w:val="15"/>
                <w:szCs w:val="15"/>
              </w:rPr>
            </w:pPr>
            <w:r>
              <w:rPr>
                <w:rFonts w:ascii="宋体"/>
                <w:w w:val="100"/>
                <w:sz w:val="15"/>
              </w:rPr>
              <w:t> </w:t>
            </w:r>
          </w:p>
          <w:p>
            <w:pPr>
              <w:pStyle w:val="TableParagraph"/>
              <w:spacing w:line="195" w:lineRule="exact"/>
              <w:ind w:left="76" w:right="0"/>
              <w:jc w:val="left"/>
              <w:rPr>
                <w:rFonts w:ascii="宋体" w:hAnsi="宋体" w:cs="宋体" w:eastAsia="宋体" w:hint="default"/>
                <w:sz w:val="15"/>
                <w:szCs w:val="15"/>
              </w:rPr>
            </w:pPr>
            <w:r>
              <w:rPr>
                <w:rFonts w:ascii="宋体"/>
                <w:w w:val="100"/>
                <w:sz w:val="15"/>
              </w:rPr>
              <w:t> </w:t>
            </w:r>
          </w:p>
        </w:tc>
      </w:tr>
      <w:tr>
        <w:trPr>
          <w:trHeight w:val="380" w:hRule="exact"/>
        </w:trPr>
        <w:tc>
          <w:tcPr>
            <w:tcW w:w="15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5"/>
                <w:szCs w:val="15"/>
              </w:rPr>
            </w:pPr>
            <w:r>
              <w:rPr>
                <w:rFonts w:ascii="宋体"/>
                <w:w w:val="100"/>
                <w:sz w:val="15"/>
              </w:rPr>
              <w:t> </w:t>
            </w:r>
          </w:p>
        </w:tc>
        <w:tc>
          <w:tcPr>
            <w:tcW w:w="122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5"/>
                <w:szCs w:val="15"/>
              </w:rPr>
            </w:pPr>
            <w:r>
              <w:rPr>
                <w:rFonts w:ascii="宋体"/>
                <w:w w:val="100"/>
                <w:sz w:val="15"/>
              </w:rPr>
              <w:t> </w:t>
            </w:r>
          </w:p>
        </w:tc>
        <w:tc>
          <w:tcPr>
            <w:tcW w:w="116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5"/>
                <w:szCs w:val="15"/>
              </w:rPr>
            </w:pPr>
            <w:r>
              <w:rPr>
                <w:rFonts w:ascii="宋体"/>
                <w:w w:val="100"/>
                <w:sz w:val="15"/>
              </w:rPr>
              <w:t> </w:t>
            </w:r>
          </w:p>
        </w:tc>
      </w:tr>
      <w:tr>
        <w:trPr>
          <w:trHeight w:val="389" w:hRule="exact"/>
        </w:trPr>
        <w:tc>
          <w:tcPr>
            <w:tcW w:w="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5"/>
                <w:szCs w:val="15"/>
              </w:rPr>
            </w:pPr>
            <w:r>
              <w:rPr>
                <w:rFonts w:ascii="宋体"/>
                <w:w w:val="100"/>
                <w:sz w:val="15"/>
              </w:rPr>
              <w:t> </w:t>
            </w:r>
          </w:p>
        </w:tc>
        <w:tc>
          <w:tcPr>
            <w:tcW w:w="122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5"/>
                <w:szCs w:val="15"/>
              </w:rPr>
            </w:pPr>
            <w:r>
              <w:rPr>
                <w:rFonts w:ascii="宋体"/>
                <w:w w:val="100"/>
                <w:sz w:val="15"/>
              </w:rPr>
              <w:t> </w:t>
            </w:r>
          </w:p>
        </w:tc>
        <w:tc>
          <w:tcPr>
            <w:tcW w:w="116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5"/>
                <w:szCs w:val="15"/>
              </w:rPr>
            </w:pPr>
            <w:r>
              <w:rPr>
                <w:rFonts w:ascii="宋体"/>
                <w:w w:val="100"/>
                <w:sz w:val="15"/>
              </w:rPr>
              <w:t> </w:t>
            </w:r>
          </w:p>
        </w:tc>
      </w:tr>
      <w:tr>
        <w:trPr>
          <w:trHeight w:val="495" w:hRule="exact"/>
        </w:trPr>
        <w:tc>
          <w:tcPr>
            <w:tcW w:w="152" w:type="dxa"/>
            <w:tcBorders>
              <w:top w:val="nil" w:sz="6" w:space="0" w:color="auto"/>
              <w:left w:val="nil" w:sz="6" w:space="0" w:color="auto"/>
              <w:bottom w:val="nil" w:sz="6" w:space="0" w:color="auto"/>
              <w:right w:val="nil" w:sz="6" w:space="0" w:color="auto"/>
            </w:tcBorders>
          </w:tcPr>
          <w:p>
            <w:pPr>
              <w:pStyle w:val="TableParagraph"/>
              <w:spacing w:line="181" w:lineRule="exact"/>
              <w:ind w:left="76" w:right="0"/>
              <w:jc w:val="left"/>
              <w:rPr>
                <w:rFonts w:ascii="宋体" w:hAnsi="宋体" w:cs="宋体" w:eastAsia="宋体" w:hint="default"/>
                <w:sz w:val="15"/>
                <w:szCs w:val="15"/>
              </w:rPr>
            </w:pPr>
            <w:r>
              <w:rPr>
                <w:rFonts w:ascii="宋体"/>
                <w:w w:val="100"/>
                <w:sz w:val="15"/>
              </w:rPr>
              <w:t> </w:t>
            </w:r>
          </w:p>
          <w:p>
            <w:pPr>
              <w:pStyle w:val="TableParagraph"/>
              <w:spacing w:line="195" w:lineRule="exact"/>
              <w:ind w:left="76" w:right="0"/>
              <w:jc w:val="left"/>
              <w:rPr>
                <w:rFonts w:ascii="宋体" w:hAnsi="宋体" w:cs="宋体" w:eastAsia="宋体" w:hint="default"/>
                <w:sz w:val="15"/>
                <w:szCs w:val="15"/>
              </w:rPr>
            </w:pPr>
            <w:r>
              <w:rPr>
                <w:rFonts w:ascii="宋体"/>
                <w:w w:val="100"/>
                <w:sz w:val="15"/>
              </w:rPr>
              <w:t> </w:t>
            </w:r>
          </w:p>
        </w:tc>
        <w:tc>
          <w:tcPr>
            <w:tcW w:w="122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181" w:lineRule="exact"/>
              <w:ind w:left="76" w:right="0"/>
              <w:jc w:val="left"/>
              <w:rPr>
                <w:rFonts w:ascii="宋体" w:hAnsi="宋体" w:cs="宋体" w:eastAsia="宋体" w:hint="default"/>
                <w:sz w:val="15"/>
                <w:szCs w:val="15"/>
              </w:rPr>
            </w:pPr>
            <w:r>
              <w:rPr>
                <w:rFonts w:ascii="宋体"/>
                <w:w w:val="100"/>
                <w:sz w:val="15"/>
              </w:rPr>
              <w:t> </w:t>
            </w:r>
          </w:p>
          <w:p>
            <w:pPr>
              <w:pStyle w:val="TableParagraph"/>
              <w:spacing w:line="195" w:lineRule="exact"/>
              <w:ind w:left="76" w:right="0"/>
              <w:jc w:val="left"/>
              <w:rPr>
                <w:rFonts w:ascii="宋体" w:hAnsi="宋体" w:cs="宋体" w:eastAsia="宋体" w:hint="default"/>
                <w:sz w:val="15"/>
                <w:szCs w:val="15"/>
              </w:rPr>
            </w:pPr>
            <w:r>
              <w:rPr>
                <w:rFonts w:ascii="宋体"/>
                <w:w w:val="100"/>
                <w:sz w:val="15"/>
              </w:rPr>
              <w:t> </w:t>
            </w:r>
          </w:p>
        </w:tc>
        <w:tc>
          <w:tcPr>
            <w:tcW w:w="116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181" w:lineRule="exact"/>
              <w:ind w:left="76" w:right="0"/>
              <w:jc w:val="left"/>
              <w:rPr>
                <w:rFonts w:ascii="宋体" w:hAnsi="宋体" w:cs="宋体" w:eastAsia="宋体" w:hint="default"/>
                <w:sz w:val="15"/>
                <w:szCs w:val="15"/>
              </w:rPr>
            </w:pPr>
            <w:r>
              <w:rPr>
                <w:rFonts w:ascii="宋体"/>
                <w:w w:val="100"/>
                <w:sz w:val="15"/>
              </w:rPr>
              <w:t> </w:t>
            </w:r>
          </w:p>
          <w:p>
            <w:pPr>
              <w:pStyle w:val="TableParagraph"/>
              <w:spacing w:line="195" w:lineRule="exact"/>
              <w:ind w:left="76" w:right="0"/>
              <w:jc w:val="left"/>
              <w:rPr>
                <w:rFonts w:ascii="宋体" w:hAnsi="宋体" w:cs="宋体" w:eastAsia="宋体" w:hint="default"/>
                <w:sz w:val="15"/>
                <w:szCs w:val="15"/>
              </w:rPr>
            </w:pPr>
            <w:r>
              <w:rPr>
                <w:rFonts w:ascii="宋体"/>
                <w:w w:val="100"/>
                <w:sz w:val="15"/>
              </w:rPr>
              <w:t> </w:t>
            </w:r>
          </w:p>
        </w:tc>
      </w:tr>
      <w:tr>
        <w:trPr>
          <w:trHeight w:val="282" w:hRule="exact"/>
        </w:trPr>
        <w:tc>
          <w:tcPr>
            <w:tcW w:w="152"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0"/>
              <w:jc w:val="right"/>
              <w:rPr>
                <w:rFonts w:ascii="宋体" w:hAnsi="宋体" w:cs="宋体" w:eastAsia="宋体" w:hint="default"/>
                <w:sz w:val="15"/>
                <w:szCs w:val="15"/>
              </w:rPr>
            </w:pPr>
            <w:r>
              <w:rPr>
                <w:rFonts w:ascii="宋体"/>
                <w:w w:val="100"/>
                <w:sz w:val="15"/>
              </w:rPr>
              <w:t> </w:t>
            </w:r>
          </w:p>
        </w:tc>
        <w:tc>
          <w:tcPr>
            <w:tcW w:w="122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0"/>
              <w:jc w:val="right"/>
              <w:rPr>
                <w:rFonts w:ascii="宋体" w:hAnsi="宋体" w:cs="宋体" w:eastAsia="宋体" w:hint="default"/>
                <w:sz w:val="15"/>
                <w:szCs w:val="15"/>
              </w:rPr>
            </w:pPr>
            <w:r>
              <w:rPr>
                <w:rFonts w:ascii="宋体"/>
                <w:w w:val="100"/>
                <w:sz w:val="15"/>
              </w:rPr>
              <w:t> </w:t>
            </w:r>
          </w:p>
        </w:tc>
        <w:tc>
          <w:tcPr>
            <w:tcW w:w="1163" w:type="dxa"/>
            <w:tcBorders>
              <w:top w:val="nil" w:sz="6" w:space="0" w:color="auto"/>
              <w:left w:val="nil" w:sz="6" w:space="0" w:color="auto"/>
              <w:bottom w:val="nil" w:sz="6" w:space="0" w:color="auto"/>
              <w:right w:val="nil" w:sz="6" w:space="0" w:color="auto"/>
            </w:tcBorders>
          </w:tcPr>
          <w:p>
            <w:pPr/>
          </w:p>
        </w:tc>
        <w:tc>
          <w:tcPr>
            <w:tcW w:w="152"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0"/>
              <w:jc w:val="right"/>
              <w:rPr>
                <w:rFonts w:ascii="宋体" w:hAnsi="宋体" w:cs="宋体" w:eastAsia="宋体" w:hint="default"/>
                <w:sz w:val="15"/>
                <w:szCs w:val="15"/>
              </w:rPr>
            </w:pPr>
            <w:r>
              <w:rPr>
                <w:rFonts w:ascii="宋体"/>
                <w:w w:val="100"/>
                <w:sz w:val="15"/>
              </w:rPr>
              <w:t> </w:t>
            </w:r>
          </w:p>
        </w:tc>
      </w:tr>
    </w:tbl>
    <w:p>
      <w:pPr>
        <w:spacing w:line="206" w:lineRule="exact" w:before="0"/>
        <w:ind w:left="316" w:right="0" w:firstLine="0"/>
        <w:jc w:val="left"/>
        <w:rPr>
          <w:rFonts w:ascii="宋体" w:hAnsi="宋体" w:cs="宋体" w:eastAsia="宋体" w:hint="default"/>
          <w:sz w:val="18"/>
          <w:szCs w:val="18"/>
        </w:rPr>
      </w:pPr>
      <w:r>
        <w:rPr>
          <w:rFonts w:ascii="宋体"/>
          <w:sz w:val="18"/>
        </w:rPr>
        <w:t> </w:t>
      </w:r>
    </w:p>
    <w:p>
      <w:pPr>
        <w:pStyle w:val="BodyText"/>
        <w:spacing w:line="310" w:lineRule="exact" w:before="30"/>
        <w:ind w:left="316" w:right="97"/>
        <w:jc w:val="left"/>
        <w:rPr>
          <w:rFonts w:ascii="宋体" w:hAnsi="宋体" w:cs="宋体" w:eastAsia="宋体" w:hint="default"/>
        </w:rPr>
      </w:pPr>
      <w:r>
        <w:rPr>
          <w:spacing w:val="-2"/>
        </w:rPr>
        <w:t>在首次执行日，原金融资产减值准备</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日金额调整为按照修订后金融工具</w:t>
      </w:r>
      <w:r>
        <w:rPr>
          <w:spacing w:val="-85"/>
        </w:rPr>
        <w:t> </w:t>
      </w:r>
      <w:r>
        <w:rPr/>
        <w:t>准则的规定进行分类和计量的新损失准备调节表：</w:t>
      </w:r>
      <w:r>
        <w:rPr>
          <w:rFonts w:ascii="宋体" w:hAnsi="宋体" w:cs="宋体" w:eastAsia="宋体" w:hint="default"/>
        </w:rPr>
        <w:t> </w:t>
      </w:r>
    </w:p>
    <w:p>
      <w:pPr>
        <w:pStyle w:val="BodyText"/>
        <w:spacing w:line="312" w:lineRule="exact"/>
        <w:ind w:left="316" w:right="97"/>
        <w:jc w:val="left"/>
        <w:rPr>
          <w:rFonts w:ascii="宋体" w:hAnsi="宋体" w:cs="宋体" w:eastAsia="宋体" w:hint="default"/>
        </w:rPr>
      </w:pPr>
      <w:r>
        <w:rPr>
          <w:rFonts w:ascii="宋体" w:hAnsi="宋体" w:cs="宋体" w:eastAsia="宋体" w:hint="default"/>
        </w:rPr>
        <w:t>  </w:t>
      </w:r>
      <w:r>
        <w:rPr/>
        <w:t>本集团</w:t>
      </w:r>
      <w:r>
        <w:rPr>
          <w:rFonts w:ascii="宋体" w:hAnsi="宋体" w:cs="宋体" w:eastAsia="宋体" w:hint="default"/>
        </w:rPr>
        <w:t> </w:t>
      </w:r>
    </w:p>
    <w:p>
      <w:pPr>
        <w:spacing w:line="205" w:lineRule="exact" w:before="0"/>
        <w:ind w:left="316" w:right="0" w:firstLine="0"/>
        <w:jc w:val="left"/>
        <w:rPr>
          <w:rFonts w:ascii="宋体" w:hAnsi="宋体" w:cs="宋体" w:eastAsia="宋体" w:hint="default"/>
          <w:sz w:val="18"/>
          <w:szCs w:val="18"/>
        </w:rPr>
      </w:pPr>
      <w:r>
        <w:rPr>
          <w:rFonts w:ascii="宋体"/>
          <w:sz w:val="18"/>
        </w:rPr>
        <w:t> </w:t>
      </w:r>
    </w:p>
    <w:p>
      <w:pPr>
        <w:spacing w:line="240" w:lineRule="auto" w:before="6"/>
        <w:rPr>
          <w:rFonts w:ascii="宋体" w:hAnsi="宋体" w:cs="宋体" w:eastAsia="宋体" w:hint="default"/>
          <w:sz w:val="4"/>
          <w:szCs w:val="4"/>
        </w:rPr>
      </w:pPr>
    </w:p>
    <w:tbl>
      <w:tblPr>
        <w:tblW w:w="0" w:type="auto"/>
        <w:jc w:val="left"/>
        <w:tblInd w:w="1573" w:type="dxa"/>
        <w:tblLayout w:type="fixed"/>
        <w:tblCellMar>
          <w:top w:w="0" w:type="dxa"/>
          <w:left w:w="0" w:type="dxa"/>
          <w:bottom w:w="0" w:type="dxa"/>
          <w:right w:w="0" w:type="dxa"/>
        </w:tblCellMar>
        <w:tblLook w:val="01E0"/>
      </w:tblPr>
      <w:tblGrid>
        <w:gridCol w:w="1044"/>
        <w:gridCol w:w="1743"/>
        <w:gridCol w:w="669"/>
        <w:gridCol w:w="1196"/>
        <w:gridCol w:w="106"/>
        <w:gridCol w:w="235"/>
        <w:gridCol w:w="2281"/>
      </w:tblGrid>
      <w:tr>
        <w:trPr>
          <w:trHeight w:val="346" w:hRule="exact"/>
        </w:trPr>
        <w:tc>
          <w:tcPr>
            <w:tcW w:w="1044" w:type="dxa"/>
            <w:tcBorders>
              <w:top w:val="nil" w:sz="6" w:space="0" w:color="auto"/>
              <w:left w:val="nil" w:sz="6" w:space="0" w:color="auto"/>
              <w:bottom w:val="nil" w:sz="6" w:space="0" w:color="auto"/>
              <w:right w:val="nil" w:sz="6" w:space="0" w:color="auto"/>
            </w:tcBorders>
          </w:tcPr>
          <w:p>
            <w:pPr>
              <w:pStyle w:val="TableParagraph"/>
              <w:spacing w:line="151" w:lineRule="exact"/>
              <w:ind w:left="200" w:right="0"/>
              <w:jc w:val="left"/>
              <w:rPr>
                <w:rFonts w:ascii="宋体" w:hAnsi="宋体" w:cs="宋体" w:eastAsia="宋体" w:hint="default"/>
                <w:sz w:val="15"/>
                <w:szCs w:val="15"/>
              </w:rPr>
            </w:pPr>
            <w:r>
              <w:rPr>
                <w:rFonts w:ascii="宋体" w:hAnsi="宋体" w:cs="宋体" w:eastAsia="宋体" w:hint="default"/>
                <w:sz w:val="15"/>
                <w:szCs w:val="15"/>
              </w:rPr>
              <w:t>计量类别</w:t>
            </w:r>
          </w:p>
        </w:tc>
        <w:tc>
          <w:tcPr>
            <w:tcW w:w="1743" w:type="dxa"/>
            <w:tcBorders>
              <w:top w:val="nil" w:sz="6" w:space="0" w:color="auto"/>
              <w:left w:val="nil" w:sz="6" w:space="0" w:color="auto"/>
              <w:bottom w:val="nil" w:sz="6" w:space="0" w:color="auto"/>
              <w:right w:val="nil" w:sz="6" w:space="0" w:color="auto"/>
            </w:tcBorders>
          </w:tcPr>
          <w:p>
            <w:pPr>
              <w:pStyle w:val="TableParagraph"/>
              <w:spacing w:line="150" w:lineRule="exact"/>
              <w:ind w:left="241" w:right="-1"/>
              <w:jc w:val="left"/>
              <w:rPr>
                <w:rFonts w:ascii="宋体" w:hAnsi="宋体" w:cs="宋体" w:eastAsia="宋体" w:hint="default"/>
                <w:sz w:val="15"/>
                <w:szCs w:val="15"/>
              </w:rPr>
            </w:pPr>
            <w:r>
              <w:rPr>
                <w:rFonts w:ascii="宋体" w:hAnsi="宋体" w:cs="宋体" w:eastAsia="宋体" w:hint="default"/>
                <w:spacing w:val="-2"/>
                <w:sz w:val="15"/>
                <w:szCs w:val="15"/>
              </w:rPr>
              <w:t>按原金融工具准则计提</w:t>
            </w:r>
          </w:p>
          <w:p>
            <w:pPr>
              <w:pStyle w:val="TableParagraph"/>
              <w:spacing w:line="195" w:lineRule="exact"/>
              <w:ind w:left="1141" w:right="-2"/>
              <w:jc w:val="left"/>
              <w:rPr>
                <w:rFonts w:ascii="宋体" w:hAnsi="宋体" w:cs="宋体" w:eastAsia="宋体" w:hint="default"/>
                <w:sz w:val="15"/>
                <w:szCs w:val="15"/>
              </w:rPr>
            </w:pPr>
            <w:r>
              <w:rPr>
                <w:rFonts w:ascii="宋体" w:hAnsi="宋体" w:cs="宋体" w:eastAsia="宋体" w:hint="default"/>
                <w:spacing w:val="-1"/>
                <w:sz w:val="15"/>
                <w:szCs w:val="15"/>
              </w:rPr>
              <w:t>损失准备</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 w:right="0"/>
              <w:jc w:val="left"/>
              <w:rPr>
                <w:rFonts w:ascii="宋体" w:hAnsi="宋体" w:cs="宋体" w:eastAsia="宋体" w:hint="default"/>
                <w:sz w:val="15"/>
                <w:szCs w:val="15"/>
              </w:rPr>
            </w:pPr>
            <w:r>
              <w:rPr>
                <w:rFonts w:ascii="宋体"/>
                <w:w w:val="100"/>
                <w:sz w:val="15"/>
              </w:rPr>
              <w:t> </w:t>
            </w:r>
          </w:p>
        </w:tc>
        <w:tc>
          <w:tcPr>
            <w:tcW w:w="1196" w:type="dxa"/>
            <w:tcBorders>
              <w:top w:val="nil" w:sz="6" w:space="0" w:color="auto"/>
              <w:left w:val="nil" w:sz="6" w:space="0" w:color="auto"/>
              <w:bottom w:val="nil" w:sz="6" w:space="0" w:color="auto"/>
              <w:right w:val="nil" w:sz="6" w:space="0" w:color="auto"/>
            </w:tcBorders>
          </w:tcPr>
          <w:p>
            <w:pPr>
              <w:pStyle w:val="TableParagraph"/>
              <w:spacing w:line="151" w:lineRule="exact"/>
              <w:ind w:left="594" w:right="-2"/>
              <w:jc w:val="left"/>
              <w:rPr>
                <w:rFonts w:ascii="宋体" w:hAnsi="宋体" w:cs="宋体" w:eastAsia="宋体" w:hint="default"/>
                <w:sz w:val="15"/>
                <w:szCs w:val="15"/>
              </w:rPr>
            </w:pPr>
            <w:r>
              <w:rPr>
                <w:rFonts w:ascii="宋体" w:hAnsi="宋体" w:cs="宋体" w:eastAsia="宋体" w:hint="default"/>
                <w:spacing w:val="-1"/>
                <w:sz w:val="15"/>
                <w:szCs w:val="15"/>
              </w:rPr>
              <w:t>重新计量</w:t>
            </w:r>
          </w:p>
        </w:tc>
        <w:tc>
          <w:tcPr>
            <w:tcW w:w="10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 w:right="0"/>
              <w:jc w:val="left"/>
              <w:rPr>
                <w:rFonts w:ascii="宋体" w:hAnsi="宋体" w:cs="宋体" w:eastAsia="宋体" w:hint="default"/>
                <w:sz w:val="15"/>
                <w:szCs w:val="15"/>
              </w:rPr>
            </w:pPr>
            <w:r>
              <w:rPr>
                <w:rFonts w:ascii="宋体"/>
                <w:w w:val="100"/>
                <w:sz w:val="15"/>
              </w:rPr>
              <w:t> </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1" w:right="0"/>
              <w:jc w:val="left"/>
              <w:rPr>
                <w:rFonts w:ascii="宋体" w:hAnsi="宋体" w:cs="宋体" w:eastAsia="宋体" w:hint="default"/>
                <w:sz w:val="15"/>
                <w:szCs w:val="15"/>
              </w:rPr>
            </w:pPr>
            <w:r>
              <w:rPr>
                <w:rFonts w:ascii="宋体"/>
                <w:w w:val="100"/>
                <w:sz w:val="15"/>
              </w:rPr>
              <w:t> </w:t>
            </w:r>
          </w:p>
        </w:tc>
        <w:tc>
          <w:tcPr>
            <w:tcW w:w="2281" w:type="dxa"/>
            <w:tcBorders>
              <w:top w:val="nil" w:sz="6" w:space="0" w:color="auto"/>
              <w:left w:val="nil" w:sz="6" w:space="0" w:color="auto"/>
              <w:bottom w:val="nil" w:sz="6" w:space="0" w:color="auto"/>
              <w:right w:val="nil" w:sz="6" w:space="0" w:color="auto"/>
            </w:tcBorders>
          </w:tcPr>
          <w:p>
            <w:pPr>
              <w:pStyle w:val="TableParagraph"/>
              <w:spacing w:line="150" w:lineRule="exact"/>
              <w:ind w:right="198"/>
              <w:jc w:val="right"/>
              <w:rPr>
                <w:rFonts w:ascii="宋体" w:hAnsi="宋体" w:cs="宋体" w:eastAsia="宋体" w:hint="default"/>
                <w:sz w:val="15"/>
                <w:szCs w:val="15"/>
              </w:rPr>
            </w:pPr>
            <w:r>
              <w:rPr>
                <w:rFonts w:ascii="宋体" w:hAnsi="宋体" w:cs="宋体" w:eastAsia="宋体" w:hint="default"/>
                <w:spacing w:val="-2"/>
                <w:sz w:val="15"/>
                <w:szCs w:val="15"/>
              </w:rPr>
              <w:t>按新金融工具准则计提损失准</w:t>
            </w:r>
          </w:p>
          <w:p>
            <w:pPr>
              <w:pStyle w:val="TableParagraph"/>
              <w:spacing w:line="195" w:lineRule="exact"/>
              <w:ind w:right="199"/>
              <w:jc w:val="right"/>
              <w:rPr>
                <w:rFonts w:ascii="宋体" w:hAnsi="宋体" w:cs="宋体" w:eastAsia="宋体" w:hint="default"/>
                <w:sz w:val="15"/>
                <w:szCs w:val="15"/>
              </w:rPr>
            </w:pPr>
            <w:r>
              <w:rPr>
                <w:rFonts w:ascii="宋体" w:hAnsi="宋体" w:cs="宋体" w:eastAsia="宋体" w:hint="default"/>
                <w:w w:val="100"/>
                <w:sz w:val="15"/>
                <w:szCs w:val="15"/>
              </w:rPr>
              <w:t>备</w:t>
            </w:r>
          </w:p>
        </w:tc>
      </w:tr>
    </w:tbl>
    <w:p>
      <w:pPr>
        <w:spacing w:after="0" w:line="195" w:lineRule="exact"/>
        <w:jc w:val="right"/>
        <w:rPr>
          <w:rFonts w:ascii="宋体" w:hAnsi="宋体" w:cs="宋体" w:eastAsia="宋体" w:hint="default"/>
          <w:sz w:val="15"/>
          <w:szCs w:val="15"/>
        </w:rPr>
        <w:sectPr>
          <w:pgSz w:w="11910" w:h="16840"/>
          <w:pgMar w:header="882" w:footer="1195" w:top="1120" w:bottom="1380" w:left="960" w:right="1680"/>
        </w:sectPr>
      </w:pPr>
    </w:p>
    <w:p>
      <w:pPr>
        <w:spacing w:line="240" w:lineRule="auto" w:before="3"/>
        <w:rPr>
          <w:rFonts w:ascii="宋体" w:hAnsi="宋体" w:cs="宋体" w:eastAsia="宋体" w:hint="default"/>
          <w:sz w:val="2"/>
          <w:szCs w:val="2"/>
        </w:rPr>
      </w:pPr>
    </w:p>
    <w:tbl>
      <w:tblPr>
        <w:tblW w:w="0" w:type="auto"/>
        <w:jc w:val="left"/>
        <w:tblInd w:w="108" w:type="dxa"/>
        <w:tblLayout w:type="fixed"/>
        <w:tblCellMar>
          <w:top w:w="0" w:type="dxa"/>
          <w:left w:w="0" w:type="dxa"/>
          <w:bottom w:w="0" w:type="dxa"/>
          <w:right w:w="0" w:type="dxa"/>
        </w:tblCellMar>
        <w:tblLook w:val="01E0"/>
      </w:tblPr>
      <w:tblGrid>
        <w:gridCol w:w="2086"/>
        <w:gridCol w:w="581"/>
        <w:gridCol w:w="1406"/>
        <w:gridCol w:w="519"/>
        <w:gridCol w:w="1345"/>
        <w:gridCol w:w="535"/>
        <w:gridCol w:w="1887"/>
        <w:gridCol w:w="508"/>
      </w:tblGrid>
      <w:tr>
        <w:trPr>
          <w:trHeight w:val="509" w:hRule="exact"/>
        </w:trPr>
        <w:tc>
          <w:tcPr>
            <w:tcW w:w="2086"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28" w:right="0"/>
              <w:jc w:val="left"/>
              <w:rPr>
                <w:rFonts w:ascii="宋体" w:hAnsi="宋体" w:cs="宋体" w:eastAsia="宋体" w:hint="default"/>
                <w:sz w:val="15"/>
                <w:szCs w:val="15"/>
              </w:rPr>
            </w:pPr>
            <w:r>
              <w:rPr>
                <w:rFonts w:ascii="宋体"/>
                <w:w w:val="100"/>
                <w:sz w:val="15"/>
              </w:rPr>
              <w:t> </w:t>
            </w:r>
          </w:p>
        </w:tc>
        <w:tc>
          <w:tcPr>
            <w:tcW w:w="581"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0"/>
              <w:jc w:val="left"/>
              <w:rPr>
                <w:rFonts w:ascii="宋体" w:hAnsi="宋体" w:cs="宋体" w:eastAsia="宋体" w:hint="default"/>
                <w:sz w:val="15"/>
                <w:szCs w:val="15"/>
              </w:rPr>
            </w:pPr>
            <w:r>
              <w:rPr>
                <w:rFonts w:ascii="宋体"/>
                <w:w w:val="100"/>
                <w:sz w:val="15"/>
              </w:rPr>
              <w:t> </w:t>
            </w:r>
          </w:p>
        </w:tc>
        <w:tc>
          <w:tcPr>
            <w:tcW w:w="1406" w:type="dxa"/>
            <w:tcBorders>
              <w:top w:val="single" w:sz="6" w:space="0" w:color="000000"/>
              <w:left w:val="nil" w:sz="6" w:space="0" w:color="auto"/>
              <w:bottom w:val="nil" w:sz="6" w:space="0" w:color="auto"/>
              <w:right w:val="nil" w:sz="6" w:space="0" w:color="auto"/>
            </w:tcBorders>
          </w:tcPr>
          <w:p>
            <w:pPr/>
          </w:p>
        </w:tc>
        <w:tc>
          <w:tcPr>
            <w:tcW w:w="519"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1" w:right="0"/>
              <w:jc w:val="left"/>
              <w:rPr>
                <w:rFonts w:ascii="宋体" w:hAnsi="宋体" w:cs="宋体" w:eastAsia="宋体" w:hint="default"/>
                <w:sz w:val="15"/>
                <w:szCs w:val="15"/>
              </w:rPr>
            </w:pPr>
            <w:r>
              <w:rPr>
                <w:rFonts w:ascii="宋体"/>
                <w:w w:val="100"/>
                <w:sz w:val="15"/>
              </w:rPr>
              <w:t> </w:t>
            </w:r>
          </w:p>
        </w:tc>
        <w:tc>
          <w:tcPr>
            <w:tcW w:w="1345" w:type="dxa"/>
            <w:tcBorders>
              <w:top w:val="single" w:sz="6" w:space="0" w:color="000000"/>
              <w:left w:val="nil" w:sz="6" w:space="0" w:color="auto"/>
              <w:bottom w:val="nil" w:sz="6" w:space="0" w:color="auto"/>
              <w:right w:val="nil" w:sz="6" w:space="0" w:color="auto"/>
            </w:tcBorders>
          </w:tcPr>
          <w:p>
            <w:pPr/>
          </w:p>
        </w:tc>
        <w:tc>
          <w:tcPr>
            <w:tcW w:w="53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1" w:right="0"/>
              <w:jc w:val="left"/>
              <w:rPr>
                <w:rFonts w:ascii="宋体" w:hAnsi="宋体" w:cs="宋体" w:eastAsia="宋体" w:hint="default"/>
                <w:sz w:val="15"/>
                <w:szCs w:val="15"/>
              </w:rPr>
            </w:pPr>
            <w:r>
              <w:rPr>
                <w:rFonts w:ascii="宋体"/>
                <w:w w:val="100"/>
                <w:sz w:val="15"/>
              </w:rPr>
              <w:t> </w:t>
            </w:r>
          </w:p>
        </w:tc>
        <w:tc>
          <w:tcPr>
            <w:tcW w:w="1887" w:type="dxa"/>
            <w:tcBorders>
              <w:top w:val="single" w:sz="6" w:space="0" w:color="000000"/>
              <w:left w:val="nil" w:sz="6" w:space="0" w:color="auto"/>
              <w:bottom w:val="nil" w:sz="6" w:space="0" w:color="auto"/>
              <w:right w:val="nil" w:sz="6" w:space="0" w:color="auto"/>
            </w:tcBorders>
          </w:tcPr>
          <w:p>
            <w:pPr/>
          </w:p>
        </w:tc>
        <w:tc>
          <w:tcPr>
            <w:tcW w:w="508" w:type="dxa"/>
            <w:tcBorders>
              <w:top w:val="single" w:sz="6" w:space="0" w:color="000000"/>
              <w:left w:val="nil" w:sz="6" w:space="0" w:color="auto"/>
              <w:bottom w:val="nil" w:sz="6" w:space="0" w:color="auto"/>
              <w:right w:val="nil" w:sz="6" w:space="0" w:color="auto"/>
            </w:tcBorders>
          </w:tcPr>
          <w:p>
            <w:pPr/>
          </w:p>
        </w:tc>
      </w:tr>
      <w:tr>
        <w:trPr>
          <w:trHeight w:val="396" w:hRule="exact"/>
        </w:trPr>
        <w:tc>
          <w:tcPr>
            <w:tcW w:w="2086" w:type="dxa"/>
            <w:vMerge w:val="restart"/>
            <w:tcBorders>
              <w:top w:val="nil" w:sz="6" w:space="0" w:color="auto"/>
              <w:left w:val="nil" w:sz="6" w:space="0" w:color="auto"/>
              <w:right w:val="nil" w:sz="6" w:space="0" w:color="auto"/>
            </w:tcBorders>
          </w:tcPr>
          <w:p>
            <w:pPr>
              <w:pStyle w:val="TableParagraph"/>
              <w:spacing w:line="165" w:lineRule="exact"/>
              <w:ind w:left="28" w:right="-4"/>
              <w:jc w:val="left"/>
              <w:rPr>
                <w:rFonts w:ascii="宋体" w:hAnsi="宋体" w:cs="宋体" w:eastAsia="宋体" w:hint="default"/>
                <w:sz w:val="15"/>
                <w:szCs w:val="15"/>
              </w:rPr>
            </w:pPr>
            <w:r>
              <w:rPr>
                <w:rFonts w:ascii="宋体" w:hAnsi="宋体" w:cs="宋体" w:eastAsia="宋体" w:hint="default"/>
                <w:spacing w:val="11"/>
                <w:sz w:val="15"/>
                <w:szCs w:val="15"/>
              </w:rPr>
              <w:t>贷款和应收款</w:t>
            </w:r>
            <w:r>
              <w:rPr>
                <w:rFonts w:ascii="宋体" w:hAnsi="宋体" w:cs="宋体" w:eastAsia="宋体" w:hint="default"/>
                <w:spacing w:val="11"/>
                <w:sz w:val="15"/>
                <w:szCs w:val="15"/>
              </w:rPr>
              <w:t>(</w:t>
            </w:r>
            <w:r>
              <w:rPr>
                <w:rFonts w:ascii="宋体" w:hAnsi="宋体" w:cs="宋体" w:eastAsia="宋体" w:hint="default"/>
                <w:spacing w:val="-32"/>
                <w:sz w:val="15"/>
                <w:szCs w:val="15"/>
              </w:rPr>
              <w:t> </w:t>
            </w:r>
            <w:r>
              <w:rPr>
                <w:rFonts w:ascii="宋体" w:hAnsi="宋体" w:cs="宋体" w:eastAsia="宋体" w:hint="default"/>
                <w:spacing w:val="10"/>
                <w:sz w:val="15"/>
                <w:szCs w:val="15"/>
              </w:rPr>
              <w:t>原金融工具准</w:t>
            </w:r>
          </w:p>
          <w:p>
            <w:pPr>
              <w:pStyle w:val="TableParagraph"/>
              <w:spacing w:line="240" w:lineRule="auto"/>
              <w:ind w:left="28" w:right="-4"/>
              <w:jc w:val="left"/>
              <w:rPr>
                <w:rFonts w:ascii="宋体" w:hAnsi="宋体" w:cs="宋体" w:eastAsia="宋体" w:hint="default"/>
                <w:sz w:val="15"/>
                <w:szCs w:val="15"/>
              </w:rPr>
            </w:pPr>
            <w:r>
              <w:rPr>
                <w:rFonts w:ascii="宋体" w:hAnsi="宋体" w:cs="宋体" w:eastAsia="宋体" w:hint="default"/>
                <w:spacing w:val="5"/>
                <w:sz w:val="15"/>
                <w:szCs w:val="15"/>
              </w:rPr>
              <w:t>则</w:t>
            </w:r>
            <w:r>
              <w:rPr>
                <w:rFonts w:ascii="宋体" w:hAnsi="宋体" w:cs="宋体" w:eastAsia="宋体" w:hint="default"/>
                <w:spacing w:val="5"/>
                <w:sz w:val="15"/>
                <w:szCs w:val="15"/>
              </w:rPr>
              <w:t>)/</w:t>
            </w:r>
            <w:r>
              <w:rPr>
                <w:rFonts w:ascii="宋体" w:hAnsi="宋体" w:cs="宋体" w:eastAsia="宋体" w:hint="default"/>
                <w:spacing w:val="5"/>
                <w:sz w:val="15"/>
                <w:szCs w:val="15"/>
              </w:rPr>
              <w:t>以摊余成本计量的金融资</w:t>
            </w:r>
            <w:r>
              <w:rPr>
                <w:rFonts w:ascii="宋体" w:hAnsi="宋体" w:cs="宋体" w:eastAsia="宋体" w:hint="default"/>
                <w:spacing w:val="-38"/>
                <w:sz w:val="15"/>
                <w:szCs w:val="15"/>
              </w:rPr>
              <w:t> </w:t>
            </w:r>
            <w:r>
              <w:rPr>
                <w:rFonts w:ascii="宋体" w:hAnsi="宋体" w:cs="宋体" w:eastAsia="宋体" w:hint="default"/>
                <w:spacing w:val="-38"/>
                <w:sz w:val="15"/>
                <w:szCs w:val="15"/>
              </w:rPr>
            </w:r>
            <w:r>
              <w:rPr>
                <w:rFonts w:ascii="宋体" w:hAnsi="宋体" w:cs="宋体" w:eastAsia="宋体" w:hint="default"/>
                <w:sz w:val="15"/>
                <w:szCs w:val="15"/>
              </w:rPr>
              <w:t>产</w:t>
            </w:r>
            <w:r>
              <w:rPr>
                <w:rFonts w:ascii="宋体" w:hAnsi="宋体" w:cs="宋体" w:eastAsia="宋体" w:hint="default"/>
                <w:sz w:val="15"/>
                <w:szCs w:val="15"/>
              </w:rPr>
              <w:t>(</w:t>
            </w:r>
            <w:r>
              <w:rPr>
                <w:rFonts w:ascii="宋体" w:hAnsi="宋体" w:cs="宋体" w:eastAsia="宋体" w:hint="default"/>
                <w:sz w:val="15"/>
                <w:szCs w:val="15"/>
              </w:rPr>
              <w:t>新金融工具准则</w:t>
            </w:r>
            <w:r>
              <w:rPr>
                <w:rFonts w:ascii="宋体" w:hAnsi="宋体" w:cs="宋体" w:eastAsia="宋体" w:hint="default"/>
                <w:sz w:val="15"/>
                <w:szCs w:val="15"/>
              </w:rPr>
              <w:t>) </w:t>
            </w:r>
          </w:p>
        </w:tc>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
        </w:tc>
        <w:tc>
          <w:tcPr>
            <w:tcW w:w="519"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
        </w:tc>
        <w:tc>
          <w:tcPr>
            <w:tcW w:w="535" w:type="dxa"/>
            <w:tcBorders>
              <w:top w:val="nil" w:sz="6" w:space="0" w:color="auto"/>
              <w:left w:val="nil" w:sz="6" w:space="0" w:color="auto"/>
              <w:bottom w:val="nil" w:sz="6" w:space="0" w:color="auto"/>
              <w:right w:val="nil" w:sz="6" w:space="0" w:color="auto"/>
            </w:tcBorders>
          </w:tcPr>
          <w:p>
            <w:pPr/>
          </w:p>
        </w:tc>
        <w:tc>
          <w:tcPr>
            <w:tcW w:w="1887" w:type="dxa"/>
            <w:tcBorders>
              <w:top w:val="nil" w:sz="6" w:space="0" w:color="auto"/>
              <w:left w:val="nil" w:sz="6" w:space="0" w:color="auto"/>
              <w:bottom w:val="nil" w:sz="6" w:space="0" w:color="auto"/>
              <w:right w:val="nil" w:sz="6" w:space="0" w:color="auto"/>
            </w:tcBorders>
          </w:tcPr>
          <w:p>
            <w:pPr/>
          </w:p>
        </w:tc>
        <w:tc>
          <w:tcPr>
            <w:tcW w:w="508" w:type="dxa"/>
            <w:tcBorders>
              <w:top w:val="nil" w:sz="6" w:space="0" w:color="auto"/>
              <w:left w:val="nil" w:sz="6" w:space="0" w:color="auto"/>
              <w:bottom w:val="nil" w:sz="6" w:space="0" w:color="auto"/>
              <w:right w:val="nil" w:sz="6" w:space="0" w:color="auto"/>
            </w:tcBorders>
          </w:tcPr>
          <w:p>
            <w:pPr/>
          </w:p>
        </w:tc>
      </w:tr>
      <w:tr>
        <w:trPr>
          <w:trHeight w:val="187" w:hRule="exact"/>
        </w:trPr>
        <w:tc>
          <w:tcPr>
            <w:tcW w:w="2086" w:type="dxa"/>
            <w:vMerge/>
            <w:tcBorders>
              <w:left w:val="nil" w:sz="6" w:space="0" w:color="auto"/>
              <w:bottom w:val="nil" w:sz="6" w:space="0" w:color="auto"/>
              <w:right w:val="nil" w:sz="6" w:space="0" w:color="auto"/>
            </w:tcBorders>
          </w:tcPr>
          <w:p>
            <w:pPr/>
          </w:p>
        </w:tc>
        <w:tc>
          <w:tcPr>
            <w:tcW w:w="581"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 </w:t>
            </w:r>
          </w:p>
        </w:tc>
        <w:tc>
          <w:tcPr>
            <w:tcW w:w="519" w:type="dxa"/>
            <w:tcBorders>
              <w:top w:val="nil" w:sz="6" w:space="0" w:color="auto"/>
              <w:left w:val="nil" w:sz="6" w:space="0" w:color="auto"/>
              <w:bottom w:val="nil" w:sz="6" w:space="0" w:color="auto"/>
              <w:right w:val="nil" w:sz="6" w:space="0" w:color="auto"/>
            </w:tcBorders>
          </w:tcPr>
          <w:p>
            <w:pPr>
              <w:pStyle w:val="TableParagraph"/>
              <w:spacing w:line="173" w:lineRule="exact"/>
              <w:ind w:left="-1" w:right="0"/>
              <w:jc w:val="left"/>
              <w:rPr>
                <w:rFonts w:ascii="宋体" w:hAnsi="宋体" w:cs="宋体" w:eastAsia="宋体" w:hint="default"/>
                <w:sz w:val="15"/>
                <w:szCs w:val="15"/>
              </w:rPr>
            </w:pPr>
            <w:r>
              <w:rPr>
                <w:rFonts w:ascii="宋体"/>
                <w:w w:val="100"/>
                <w:sz w:val="15"/>
              </w:rPr>
              <w:t> </w:t>
            </w:r>
          </w:p>
        </w:tc>
        <w:tc>
          <w:tcPr>
            <w:tcW w:w="1345" w:type="dxa"/>
            <w:tcBorders>
              <w:top w:val="nil" w:sz="6" w:space="0" w:color="auto"/>
              <w:left w:val="nil" w:sz="6" w:space="0" w:color="auto"/>
              <w:bottom w:val="nil" w:sz="6" w:space="0" w:color="auto"/>
              <w:right w:val="nil" w:sz="6" w:space="0" w:color="auto"/>
            </w:tcBorders>
          </w:tcPr>
          <w:p>
            <w:pPr/>
          </w:p>
        </w:tc>
        <w:tc>
          <w:tcPr>
            <w:tcW w:w="535" w:type="dxa"/>
            <w:tcBorders>
              <w:top w:val="nil" w:sz="6" w:space="0" w:color="auto"/>
              <w:left w:val="nil" w:sz="6" w:space="0" w:color="auto"/>
              <w:bottom w:val="nil" w:sz="6" w:space="0" w:color="auto"/>
              <w:right w:val="nil" w:sz="6" w:space="0" w:color="auto"/>
            </w:tcBorders>
          </w:tcPr>
          <w:p>
            <w:pPr>
              <w:pStyle w:val="TableParagraph"/>
              <w:spacing w:line="173" w:lineRule="exact"/>
              <w:ind w:left="-1" w:right="0"/>
              <w:jc w:val="left"/>
              <w:rPr>
                <w:rFonts w:ascii="宋体" w:hAnsi="宋体" w:cs="宋体" w:eastAsia="宋体" w:hint="default"/>
                <w:sz w:val="15"/>
                <w:szCs w:val="15"/>
              </w:rPr>
            </w:pPr>
            <w:r>
              <w:rPr>
                <w:rFonts w:ascii="宋体"/>
                <w:w w:val="100"/>
                <w:sz w:val="15"/>
              </w:rPr>
              <w:t> </w:t>
            </w:r>
          </w:p>
        </w:tc>
        <w:tc>
          <w:tcPr>
            <w:tcW w:w="1887" w:type="dxa"/>
            <w:tcBorders>
              <w:top w:val="nil" w:sz="6" w:space="0" w:color="auto"/>
              <w:left w:val="nil" w:sz="6" w:space="0" w:color="auto"/>
              <w:bottom w:val="nil" w:sz="6" w:space="0" w:color="auto"/>
              <w:right w:val="nil" w:sz="6" w:space="0" w:color="auto"/>
            </w:tcBorders>
          </w:tcPr>
          <w:p>
            <w:pPr/>
          </w:p>
        </w:tc>
        <w:tc>
          <w:tcPr>
            <w:tcW w:w="508" w:type="dxa"/>
            <w:tcBorders>
              <w:top w:val="nil" w:sz="6" w:space="0" w:color="auto"/>
              <w:left w:val="nil" w:sz="6" w:space="0" w:color="auto"/>
              <w:bottom w:val="nil" w:sz="6" w:space="0" w:color="auto"/>
              <w:right w:val="nil" w:sz="6" w:space="0" w:color="auto"/>
            </w:tcBorders>
          </w:tcPr>
          <w:p>
            <w:pPr/>
          </w:p>
        </w:tc>
      </w:tr>
      <w:tr>
        <w:trPr>
          <w:trHeight w:val="202"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165" w:lineRule="exact"/>
              <w:ind w:left="28" w:right="0"/>
              <w:jc w:val="left"/>
              <w:rPr>
                <w:rFonts w:ascii="宋体" w:hAnsi="宋体" w:cs="宋体" w:eastAsia="宋体" w:hint="default"/>
                <w:sz w:val="15"/>
                <w:szCs w:val="15"/>
              </w:rPr>
            </w:pPr>
            <w:r>
              <w:rPr>
                <w:rFonts w:ascii="宋体" w:hAnsi="宋体" w:cs="宋体" w:eastAsia="宋体" w:hint="default"/>
                <w:sz w:val="15"/>
                <w:szCs w:val="15"/>
              </w:rPr>
              <w:t>应收票据</w:t>
            </w:r>
            <w:r>
              <w:rPr>
                <w:rFonts w:ascii="宋体" w:hAnsi="宋体" w:cs="宋体" w:eastAsia="宋体" w:hint="default"/>
                <w:sz w:val="15"/>
                <w:szCs w:val="15"/>
              </w:rPr>
              <w:t> </w:t>
            </w:r>
          </w:p>
        </w:tc>
        <w:tc>
          <w:tcPr>
            <w:tcW w:w="581"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Style w:val="TableParagraph"/>
              <w:spacing w:line="180" w:lineRule="exact"/>
              <w:ind w:right="-1"/>
              <w:jc w:val="right"/>
              <w:rPr>
                <w:rFonts w:ascii="宋体" w:hAnsi="宋体" w:cs="宋体" w:eastAsia="宋体" w:hint="default"/>
                <w:sz w:val="15"/>
                <w:szCs w:val="15"/>
              </w:rPr>
            </w:pPr>
            <w:r>
              <w:rPr>
                <w:rFonts w:ascii="宋体"/>
                <w:w w:val="100"/>
                <w:sz w:val="15"/>
              </w:rPr>
              <w:t>-</w:t>
            </w:r>
          </w:p>
        </w:tc>
        <w:tc>
          <w:tcPr>
            <w:tcW w:w="519" w:type="dxa"/>
            <w:tcBorders>
              <w:top w:val="nil" w:sz="6" w:space="0" w:color="auto"/>
              <w:left w:val="nil" w:sz="6" w:space="0" w:color="auto"/>
              <w:bottom w:val="nil" w:sz="6" w:space="0" w:color="auto"/>
              <w:right w:val="nil" w:sz="6" w:space="0" w:color="auto"/>
            </w:tcBorders>
          </w:tcPr>
          <w:p>
            <w:pPr>
              <w:pStyle w:val="TableParagraph"/>
              <w:spacing w:line="180" w:lineRule="exact"/>
              <w:ind w:left="-1" w:right="0"/>
              <w:jc w:val="left"/>
              <w:rPr>
                <w:rFonts w:ascii="宋体" w:hAnsi="宋体" w:cs="宋体" w:eastAsia="宋体" w:hint="default"/>
                <w:sz w:val="15"/>
                <w:szCs w:val="15"/>
              </w:rPr>
            </w:pPr>
            <w:r>
              <w:rPr>
                <w:rFonts w:ascii="宋体"/>
                <w:w w:val="100"/>
                <w:sz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180"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2"/>
                <w:sz w:val="15"/>
              </w:rPr>
              <w:t>292,486</w:t>
            </w:r>
          </w:p>
        </w:tc>
        <w:tc>
          <w:tcPr>
            <w:tcW w:w="535" w:type="dxa"/>
            <w:tcBorders>
              <w:top w:val="nil" w:sz="6" w:space="0" w:color="auto"/>
              <w:left w:val="nil" w:sz="6" w:space="0" w:color="auto"/>
              <w:bottom w:val="nil" w:sz="6" w:space="0" w:color="auto"/>
              <w:right w:val="nil" w:sz="6" w:space="0" w:color="auto"/>
            </w:tcBorders>
          </w:tcPr>
          <w:p>
            <w:pPr>
              <w:pStyle w:val="TableParagraph"/>
              <w:spacing w:line="180" w:lineRule="exact"/>
              <w:ind w:left="-1" w:right="0"/>
              <w:jc w:val="left"/>
              <w:rPr>
                <w:rFonts w:ascii="宋体" w:hAnsi="宋体" w:cs="宋体" w:eastAsia="宋体" w:hint="default"/>
                <w:sz w:val="15"/>
                <w:szCs w:val="15"/>
              </w:rPr>
            </w:pPr>
            <w:r>
              <w:rPr>
                <w:rFonts w:ascii="宋体"/>
                <w:w w:val="100"/>
                <w:sz w:val="15"/>
              </w:rPr>
              <w:t> </w:t>
            </w:r>
          </w:p>
        </w:tc>
        <w:tc>
          <w:tcPr>
            <w:tcW w:w="1887"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1"/>
                <w:sz w:val="15"/>
              </w:rPr>
              <w:t>292,486</w:t>
            </w:r>
          </w:p>
        </w:tc>
        <w:tc>
          <w:tcPr>
            <w:tcW w:w="508" w:type="dxa"/>
            <w:tcBorders>
              <w:top w:val="nil" w:sz="6" w:space="0" w:color="auto"/>
              <w:left w:val="nil" w:sz="6" w:space="0" w:color="auto"/>
              <w:bottom w:val="nil" w:sz="6" w:space="0" w:color="auto"/>
              <w:right w:val="nil" w:sz="6" w:space="0" w:color="auto"/>
            </w:tcBorders>
          </w:tcPr>
          <w:p>
            <w:pPr>
              <w:pStyle w:val="TableParagraph"/>
              <w:spacing w:line="180" w:lineRule="exact"/>
              <w:ind w:left="75" w:right="0"/>
              <w:jc w:val="left"/>
              <w:rPr>
                <w:rFonts w:ascii="宋体" w:hAnsi="宋体" w:cs="宋体" w:eastAsia="宋体" w:hint="default"/>
                <w:sz w:val="15"/>
                <w:szCs w:val="15"/>
              </w:rPr>
            </w:pPr>
            <w:r>
              <w:rPr>
                <w:rFonts w:ascii="宋体"/>
                <w:w w:val="100"/>
                <w:sz w:val="15"/>
              </w:rPr>
              <w:t> </w:t>
            </w:r>
          </w:p>
        </w:tc>
      </w:tr>
      <w:tr>
        <w:trPr>
          <w:trHeight w:val="194"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173" w:lineRule="exact"/>
              <w:ind w:left="28" w:right="0"/>
              <w:jc w:val="left"/>
              <w:rPr>
                <w:rFonts w:ascii="宋体" w:hAnsi="宋体" w:cs="宋体" w:eastAsia="宋体" w:hint="default"/>
                <w:sz w:val="15"/>
                <w:szCs w:val="15"/>
              </w:rPr>
            </w:pPr>
            <w:r>
              <w:rPr>
                <w:rFonts w:ascii="宋体" w:hAnsi="宋体" w:cs="宋体" w:eastAsia="宋体" w:hint="default"/>
                <w:sz w:val="15"/>
                <w:szCs w:val="15"/>
              </w:rPr>
              <w:t>应收账款</w:t>
            </w:r>
            <w:r>
              <w:rPr>
                <w:rFonts w:ascii="宋体" w:hAnsi="宋体" w:cs="宋体" w:eastAsia="宋体" w:hint="default"/>
                <w:sz w:val="15"/>
                <w:szCs w:val="15"/>
              </w:rPr>
              <w:t> </w:t>
            </w:r>
          </w:p>
        </w:tc>
        <w:tc>
          <w:tcPr>
            <w:tcW w:w="58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384,698,285</w:t>
            </w:r>
          </w:p>
        </w:tc>
        <w:tc>
          <w:tcPr>
            <w:tcW w:w="519"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66,516,282</w:t>
            </w:r>
          </w:p>
        </w:tc>
        <w:tc>
          <w:tcPr>
            <w:tcW w:w="535" w:type="dxa"/>
            <w:tcBorders>
              <w:top w:val="nil" w:sz="6" w:space="0" w:color="auto"/>
              <w:left w:val="nil" w:sz="6" w:space="0" w:color="auto"/>
              <w:bottom w:val="nil" w:sz="6" w:space="0" w:color="auto"/>
              <w:right w:val="nil" w:sz="6" w:space="0" w:color="auto"/>
            </w:tcBorders>
          </w:tcPr>
          <w:p>
            <w:pPr/>
          </w:p>
        </w:tc>
        <w:tc>
          <w:tcPr>
            <w:tcW w:w="188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451,214,567</w:t>
            </w:r>
          </w:p>
        </w:tc>
        <w:tc>
          <w:tcPr>
            <w:tcW w:w="508" w:type="dxa"/>
            <w:tcBorders>
              <w:top w:val="nil" w:sz="6" w:space="0" w:color="auto"/>
              <w:left w:val="nil" w:sz="6" w:space="0" w:color="auto"/>
              <w:bottom w:val="nil" w:sz="6" w:space="0" w:color="auto"/>
              <w:right w:val="nil" w:sz="6" w:space="0" w:color="auto"/>
            </w:tcBorders>
          </w:tcPr>
          <w:p>
            <w:pPr/>
          </w:p>
        </w:tc>
      </w:tr>
      <w:tr>
        <w:trPr>
          <w:trHeight w:val="194"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173" w:lineRule="exact"/>
              <w:ind w:left="28" w:right="0"/>
              <w:jc w:val="left"/>
              <w:rPr>
                <w:rFonts w:ascii="宋体" w:hAnsi="宋体" w:cs="宋体" w:eastAsia="宋体" w:hint="default"/>
                <w:sz w:val="15"/>
                <w:szCs w:val="15"/>
              </w:rPr>
            </w:pPr>
            <w:r>
              <w:rPr>
                <w:rFonts w:ascii="宋体" w:hAnsi="宋体" w:cs="宋体" w:eastAsia="宋体" w:hint="default"/>
                <w:sz w:val="15"/>
                <w:szCs w:val="15"/>
              </w:rPr>
              <w:t>其他应收款</w:t>
            </w:r>
            <w:r>
              <w:rPr>
                <w:rFonts w:ascii="宋体" w:hAnsi="宋体" w:cs="宋体" w:eastAsia="宋体" w:hint="default"/>
                <w:sz w:val="15"/>
                <w:szCs w:val="15"/>
              </w:rPr>
              <w:t> </w:t>
            </w:r>
          </w:p>
        </w:tc>
        <w:tc>
          <w:tcPr>
            <w:tcW w:w="58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42,878,385</w:t>
            </w:r>
            <w:r>
              <w:rPr>
                <w:rFonts w:ascii="宋体"/>
                <w:spacing w:val="-2"/>
                <w:sz w:val="15"/>
              </w:rPr>
            </w:r>
          </w:p>
        </w:tc>
        <w:tc>
          <w:tcPr>
            <w:tcW w:w="519"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z w:val="15"/>
              </w:rPr>
              <w:t>(</w:t>
            </w:r>
            <w:r>
              <w:rPr>
                <w:rFonts w:ascii="宋体"/>
                <w:spacing w:val="70"/>
                <w:sz w:val="15"/>
              </w:rPr>
              <w:t> </w:t>
            </w:r>
            <w:r>
              <w:rPr>
                <w:rFonts w:ascii="宋体"/>
                <w:spacing w:val="70"/>
                <w:sz w:val="15"/>
                <w:u w:val="single" w:color="000000"/>
              </w:rPr>
              <w:t> </w:t>
            </w:r>
            <w:r>
              <w:rPr>
                <w:rFonts w:ascii="宋体"/>
                <w:sz w:val="15"/>
                <w:u w:val="single" w:color="000000"/>
              </w:rPr>
              <w:t>1,534,476</w:t>
            </w:r>
            <w:r>
              <w:rPr>
                <w:rFonts w:ascii="宋体"/>
                <w:sz w:val="15"/>
              </w:rPr>
            </w:r>
          </w:p>
        </w:tc>
        <w:tc>
          <w:tcPr>
            <w:tcW w:w="535" w:type="dxa"/>
            <w:tcBorders>
              <w:top w:val="nil" w:sz="6" w:space="0" w:color="auto"/>
              <w:left w:val="nil" w:sz="6" w:space="0" w:color="auto"/>
              <w:bottom w:val="nil" w:sz="6" w:space="0" w:color="auto"/>
              <w:right w:val="nil" w:sz="6" w:space="0" w:color="auto"/>
            </w:tcBorders>
          </w:tcPr>
          <w:p>
            <w:pPr>
              <w:pStyle w:val="TableParagraph"/>
              <w:spacing w:line="173" w:lineRule="exact"/>
              <w:ind w:left="-1" w:right="0"/>
              <w:jc w:val="left"/>
              <w:rPr>
                <w:rFonts w:ascii="宋体" w:hAnsi="宋体" w:cs="宋体" w:eastAsia="宋体" w:hint="default"/>
                <w:sz w:val="15"/>
                <w:szCs w:val="15"/>
              </w:rPr>
            </w:pPr>
            <w:r>
              <w:rPr>
                <w:rFonts w:ascii="宋体"/>
                <w:sz w:val="15"/>
              </w:rPr>
              <w:t>) </w:t>
            </w:r>
          </w:p>
        </w:tc>
        <w:tc>
          <w:tcPr>
            <w:tcW w:w="188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41,343,909</w:t>
            </w:r>
            <w:r>
              <w:rPr>
                <w:rFonts w:ascii="宋体"/>
                <w:spacing w:val="-2"/>
                <w:sz w:val="15"/>
              </w:rPr>
            </w:r>
          </w:p>
        </w:tc>
        <w:tc>
          <w:tcPr>
            <w:tcW w:w="508" w:type="dxa"/>
            <w:tcBorders>
              <w:top w:val="nil" w:sz="6" w:space="0" w:color="auto"/>
              <w:left w:val="nil" w:sz="6" w:space="0" w:color="auto"/>
              <w:bottom w:val="nil" w:sz="6" w:space="0" w:color="auto"/>
              <w:right w:val="nil" w:sz="6" w:space="0" w:color="auto"/>
            </w:tcBorders>
          </w:tcPr>
          <w:p>
            <w:pPr/>
          </w:p>
        </w:tc>
      </w:tr>
      <w:tr>
        <w:trPr>
          <w:trHeight w:val="194"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173" w:lineRule="exact"/>
              <w:ind w:left="28" w:right="0"/>
              <w:jc w:val="left"/>
              <w:rPr>
                <w:rFonts w:ascii="宋体" w:hAnsi="宋体" w:cs="宋体" w:eastAsia="宋体" w:hint="default"/>
                <w:sz w:val="15"/>
                <w:szCs w:val="15"/>
              </w:rPr>
            </w:pPr>
            <w:r>
              <w:rPr>
                <w:rFonts w:ascii="宋体" w:hAnsi="宋体" w:cs="宋体" w:eastAsia="宋体" w:hint="default"/>
                <w:sz w:val="15"/>
                <w:szCs w:val="15"/>
              </w:rPr>
              <w:t>小计</w:t>
            </w:r>
            <w:r>
              <w:rPr>
                <w:rFonts w:ascii="宋体" w:hAnsi="宋体" w:cs="宋体" w:eastAsia="宋体" w:hint="default"/>
                <w:sz w:val="15"/>
                <w:szCs w:val="15"/>
              </w:rPr>
              <w:t> </w:t>
            </w:r>
          </w:p>
        </w:tc>
        <w:tc>
          <w:tcPr>
            <w:tcW w:w="58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u w:val="single" w:color="000000"/>
              </w:rPr>
              <w:t>427,576,670</w:t>
            </w:r>
            <w:r>
              <w:rPr>
                <w:rFonts w:ascii="宋体"/>
                <w:spacing w:val="-2"/>
                <w:sz w:val="15"/>
              </w:rPr>
            </w:r>
          </w:p>
        </w:tc>
        <w:tc>
          <w:tcPr>
            <w:tcW w:w="519"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u w:val="single" w:color="000000"/>
              </w:rPr>
              <w:t>65,274,292</w:t>
            </w:r>
            <w:r>
              <w:rPr>
                <w:rFonts w:ascii="宋体"/>
                <w:spacing w:val="-2"/>
                <w:sz w:val="15"/>
              </w:rPr>
            </w:r>
          </w:p>
        </w:tc>
        <w:tc>
          <w:tcPr>
            <w:tcW w:w="535" w:type="dxa"/>
            <w:tcBorders>
              <w:top w:val="nil" w:sz="6" w:space="0" w:color="auto"/>
              <w:left w:val="nil" w:sz="6" w:space="0" w:color="auto"/>
              <w:bottom w:val="nil" w:sz="6" w:space="0" w:color="auto"/>
              <w:right w:val="nil" w:sz="6" w:space="0" w:color="auto"/>
            </w:tcBorders>
          </w:tcPr>
          <w:p>
            <w:pPr/>
          </w:p>
        </w:tc>
        <w:tc>
          <w:tcPr>
            <w:tcW w:w="188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sz w:val="15"/>
                <w:u w:val="single" w:color="000000"/>
              </w:rPr>
              <w:t>492,850,962</w:t>
            </w:r>
            <w:r>
              <w:rPr>
                <w:rFonts w:ascii="宋体"/>
                <w:spacing w:val="-1"/>
                <w:sz w:val="15"/>
              </w:rPr>
            </w:r>
          </w:p>
        </w:tc>
        <w:tc>
          <w:tcPr>
            <w:tcW w:w="508" w:type="dxa"/>
            <w:tcBorders>
              <w:top w:val="nil" w:sz="6" w:space="0" w:color="auto"/>
              <w:left w:val="nil" w:sz="6" w:space="0" w:color="auto"/>
              <w:bottom w:val="nil" w:sz="6" w:space="0" w:color="auto"/>
              <w:right w:val="nil" w:sz="6" w:space="0" w:color="auto"/>
            </w:tcBorders>
          </w:tcPr>
          <w:p>
            <w:pPr/>
          </w:p>
        </w:tc>
      </w:tr>
      <w:tr>
        <w:trPr>
          <w:trHeight w:val="18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173" w:lineRule="exact"/>
              <w:ind w:left="28" w:right="0"/>
              <w:jc w:val="left"/>
              <w:rPr>
                <w:rFonts w:ascii="宋体" w:hAnsi="宋体" w:cs="宋体" w:eastAsia="宋体" w:hint="default"/>
                <w:sz w:val="15"/>
                <w:szCs w:val="15"/>
              </w:rPr>
            </w:pPr>
            <w:r>
              <w:rPr>
                <w:rFonts w:ascii="宋体"/>
                <w:w w:val="100"/>
                <w:sz w:val="15"/>
              </w:rPr>
              <w:t> </w:t>
            </w:r>
          </w:p>
        </w:tc>
        <w:tc>
          <w:tcPr>
            <w:tcW w:w="58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
        </w:tc>
        <w:tc>
          <w:tcPr>
            <w:tcW w:w="519" w:type="dxa"/>
            <w:tcBorders>
              <w:top w:val="nil" w:sz="6" w:space="0" w:color="auto"/>
              <w:left w:val="nil" w:sz="6" w:space="0" w:color="auto"/>
              <w:bottom w:val="nil" w:sz="6" w:space="0" w:color="auto"/>
              <w:right w:val="nil" w:sz="6" w:space="0" w:color="auto"/>
            </w:tcBorders>
          </w:tcPr>
          <w:p>
            <w:pPr>
              <w:pStyle w:val="TableParagraph"/>
              <w:spacing w:line="173" w:lineRule="exact"/>
              <w:ind w:left="-1" w:right="0"/>
              <w:jc w:val="left"/>
              <w:rPr>
                <w:rFonts w:ascii="宋体" w:hAnsi="宋体" w:cs="宋体" w:eastAsia="宋体" w:hint="default"/>
                <w:sz w:val="15"/>
                <w:szCs w:val="15"/>
              </w:rPr>
            </w:pPr>
            <w:r>
              <w:rPr>
                <w:rFonts w:ascii="宋体"/>
                <w:w w:val="100"/>
                <w:sz w:val="15"/>
              </w:rPr>
              <w:t> </w:t>
            </w:r>
          </w:p>
        </w:tc>
        <w:tc>
          <w:tcPr>
            <w:tcW w:w="1345" w:type="dxa"/>
            <w:tcBorders>
              <w:top w:val="nil" w:sz="6" w:space="0" w:color="auto"/>
              <w:left w:val="nil" w:sz="6" w:space="0" w:color="auto"/>
              <w:bottom w:val="nil" w:sz="6" w:space="0" w:color="auto"/>
              <w:right w:val="nil" w:sz="6" w:space="0" w:color="auto"/>
            </w:tcBorders>
          </w:tcPr>
          <w:p>
            <w:pPr/>
          </w:p>
        </w:tc>
        <w:tc>
          <w:tcPr>
            <w:tcW w:w="535" w:type="dxa"/>
            <w:tcBorders>
              <w:top w:val="nil" w:sz="6" w:space="0" w:color="auto"/>
              <w:left w:val="nil" w:sz="6" w:space="0" w:color="auto"/>
              <w:bottom w:val="nil" w:sz="6" w:space="0" w:color="auto"/>
              <w:right w:val="nil" w:sz="6" w:space="0" w:color="auto"/>
            </w:tcBorders>
          </w:tcPr>
          <w:p>
            <w:pPr>
              <w:pStyle w:val="TableParagraph"/>
              <w:spacing w:line="173" w:lineRule="exact"/>
              <w:ind w:left="-1" w:right="0"/>
              <w:jc w:val="left"/>
              <w:rPr>
                <w:rFonts w:ascii="宋体" w:hAnsi="宋体" w:cs="宋体" w:eastAsia="宋体" w:hint="default"/>
                <w:sz w:val="15"/>
                <w:szCs w:val="15"/>
              </w:rPr>
            </w:pPr>
            <w:r>
              <w:rPr>
                <w:rFonts w:ascii="宋体"/>
                <w:w w:val="100"/>
                <w:sz w:val="15"/>
              </w:rPr>
              <w:t> </w:t>
            </w:r>
          </w:p>
        </w:tc>
        <w:tc>
          <w:tcPr>
            <w:tcW w:w="1887" w:type="dxa"/>
            <w:tcBorders>
              <w:top w:val="nil" w:sz="6" w:space="0" w:color="auto"/>
              <w:left w:val="nil" w:sz="6" w:space="0" w:color="auto"/>
              <w:bottom w:val="nil" w:sz="6" w:space="0" w:color="auto"/>
              <w:right w:val="nil" w:sz="6" w:space="0" w:color="auto"/>
            </w:tcBorders>
          </w:tcPr>
          <w:p>
            <w:pPr/>
          </w:p>
        </w:tc>
        <w:tc>
          <w:tcPr>
            <w:tcW w:w="508" w:type="dxa"/>
            <w:tcBorders>
              <w:top w:val="nil" w:sz="6" w:space="0" w:color="auto"/>
              <w:left w:val="nil" w:sz="6" w:space="0" w:color="auto"/>
              <w:bottom w:val="nil" w:sz="6" w:space="0" w:color="auto"/>
              <w:right w:val="nil" w:sz="6" w:space="0" w:color="auto"/>
            </w:tcBorders>
          </w:tcPr>
          <w:p>
            <w:pPr>
              <w:pStyle w:val="TableParagraph"/>
              <w:spacing w:line="173" w:lineRule="exact"/>
              <w:ind w:left="-1" w:right="0"/>
              <w:jc w:val="left"/>
              <w:rPr>
                <w:rFonts w:ascii="宋体" w:hAnsi="宋体" w:cs="宋体" w:eastAsia="宋体" w:hint="default"/>
                <w:sz w:val="15"/>
                <w:szCs w:val="15"/>
              </w:rPr>
            </w:pPr>
            <w:r>
              <w:rPr>
                <w:rFonts w:ascii="宋体"/>
                <w:w w:val="100"/>
                <w:sz w:val="15"/>
              </w:rPr>
              <w:t> </w:t>
            </w:r>
          </w:p>
        </w:tc>
      </w:tr>
      <w:tr>
        <w:trPr>
          <w:trHeight w:val="544" w:hRule="exact"/>
        </w:trPr>
        <w:tc>
          <w:tcPr>
            <w:tcW w:w="2086" w:type="dxa"/>
            <w:vMerge w:val="restart"/>
            <w:tcBorders>
              <w:top w:val="nil" w:sz="6" w:space="0" w:color="auto"/>
              <w:left w:val="nil" w:sz="6" w:space="0" w:color="auto"/>
              <w:right w:val="nil" w:sz="6" w:space="0" w:color="auto"/>
            </w:tcBorders>
          </w:tcPr>
          <w:p>
            <w:pPr>
              <w:pStyle w:val="TableParagraph"/>
              <w:spacing w:line="165" w:lineRule="exact"/>
              <w:ind w:left="28" w:right="0"/>
              <w:jc w:val="both"/>
              <w:rPr>
                <w:rFonts w:ascii="宋体" w:hAnsi="宋体" w:cs="宋体" w:eastAsia="宋体" w:hint="default"/>
                <w:sz w:val="15"/>
                <w:szCs w:val="15"/>
              </w:rPr>
            </w:pPr>
            <w:r>
              <w:rPr>
                <w:rFonts w:ascii="宋体" w:hAnsi="宋体" w:cs="宋体" w:eastAsia="宋体" w:hint="default"/>
                <w:spacing w:val="2"/>
                <w:w w:val="100"/>
                <w:sz w:val="15"/>
                <w:szCs w:val="15"/>
              </w:rPr>
              <w:t>可供</w:t>
            </w:r>
            <w:r>
              <w:rPr>
                <w:rFonts w:ascii="宋体" w:hAnsi="宋体" w:cs="宋体" w:eastAsia="宋体" w:hint="default"/>
                <w:w w:val="100"/>
                <w:sz w:val="15"/>
                <w:szCs w:val="15"/>
              </w:rPr>
              <w:t>出</w:t>
            </w:r>
            <w:r>
              <w:rPr>
                <w:rFonts w:ascii="宋体" w:hAnsi="宋体" w:cs="宋体" w:eastAsia="宋体" w:hint="default"/>
                <w:spacing w:val="2"/>
                <w:w w:val="100"/>
                <w:sz w:val="15"/>
                <w:szCs w:val="15"/>
              </w:rPr>
              <w:t>售</w:t>
            </w:r>
            <w:r>
              <w:rPr>
                <w:rFonts w:ascii="宋体" w:hAnsi="宋体" w:cs="宋体" w:eastAsia="宋体" w:hint="default"/>
                <w:w w:val="100"/>
                <w:sz w:val="15"/>
                <w:szCs w:val="15"/>
              </w:rPr>
              <w:t>金</w:t>
            </w:r>
            <w:r>
              <w:rPr>
                <w:rFonts w:ascii="宋体" w:hAnsi="宋体" w:cs="宋体" w:eastAsia="宋体" w:hint="default"/>
                <w:spacing w:val="2"/>
                <w:w w:val="100"/>
                <w:sz w:val="15"/>
                <w:szCs w:val="15"/>
              </w:rPr>
              <w:t>融工</w:t>
            </w:r>
            <w:r>
              <w:rPr>
                <w:rFonts w:ascii="宋体" w:hAnsi="宋体" w:cs="宋体" w:eastAsia="宋体" w:hint="default"/>
                <w:spacing w:val="1"/>
                <w:w w:val="100"/>
                <w:sz w:val="15"/>
                <w:szCs w:val="15"/>
              </w:rPr>
              <w:t>具</w:t>
            </w:r>
            <w:r>
              <w:rPr>
                <w:rFonts w:ascii="宋体" w:hAnsi="宋体" w:cs="宋体" w:eastAsia="宋体" w:hint="default"/>
                <w:spacing w:val="1"/>
                <w:w w:val="100"/>
                <w:sz w:val="15"/>
                <w:szCs w:val="15"/>
              </w:rPr>
              <w:t>(</w:t>
            </w:r>
            <w:r>
              <w:rPr>
                <w:rFonts w:ascii="宋体" w:hAnsi="宋体" w:cs="宋体" w:eastAsia="宋体" w:hint="default"/>
                <w:spacing w:val="2"/>
                <w:w w:val="100"/>
                <w:sz w:val="15"/>
                <w:szCs w:val="15"/>
              </w:rPr>
              <w:t>原金</w:t>
            </w:r>
            <w:r>
              <w:rPr>
                <w:rFonts w:ascii="宋体" w:hAnsi="宋体" w:cs="宋体" w:eastAsia="宋体" w:hint="default"/>
                <w:w w:val="100"/>
                <w:sz w:val="15"/>
                <w:szCs w:val="15"/>
              </w:rPr>
              <w:t>融</w:t>
            </w:r>
            <w:r>
              <w:rPr>
                <w:rFonts w:ascii="宋体" w:hAnsi="宋体" w:cs="宋体" w:eastAsia="宋体" w:hint="default"/>
                <w:spacing w:val="2"/>
                <w:w w:val="100"/>
                <w:sz w:val="15"/>
                <w:szCs w:val="15"/>
              </w:rPr>
              <w:t>工</w:t>
            </w:r>
            <w:r>
              <w:rPr>
                <w:rFonts w:ascii="宋体" w:hAnsi="宋体" w:cs="宋体" w:eastAsia="宋体" w:hint="default"/>
                <w:w w:val="100"/>
                <w:sz w:val="15"/>
                <w:szCs w:val="15"/>
              </w:rPr>
              <w:t>具</w:t>
            </w:r>
          </w:p>
          <w:p>
            <w:pPr>
              <w:pStyle w:val="TableParagraph"/>
              <w:spacing w:line="240" w:lineRule="auto"/>
              <w:ind w:left="28" w:right="-4"/>
              <w:jc w:val="both"/>
              <w:rPr>
                <w:rFonts w:ascii="宋体" w:hAnsi="宋体" w:cs="宋体" w:eastAsia="宋体" w:hint="default"/>
                <w:sz w:val="15"/>
                <w:szCs w:val="15"/>
              </w:rPr>
            </w:pPr>
            <w:r>
              <w:rPr>
                <w:rFonts w:ascii="宋体" w:hAnsi="宋体" w:cs="宋体" w:eastAsia="宋体" w:hint="default"/>
                <w:spacing w:val="5"/>
                <w:sz w:val="15"/>
                <w:szCs w:val="15"/>
              </w:rPr>
              <w:t>准则</w:t>
            </w:r>
            <w:r>
              <w:rPr>
                <w:rFonts w:ascii="宋体" w:hAnsi="宋体" w:cs="宋体" w:eastAsia="宋体" w:hint="default"/>
                <w:spacing w:val="5"/>
                <w:sz w:val="15"/>
                <w:szCs w:val="15"/>
              </w:rPr>
              <w:t>)/</w:t>
            </w:r>
            <w:r>
              <w:rPr>
                <w:rFonts w:ascii="宋体" w:hAnsi="宋体" w:cs="宋体" w:eastAsia="宋体" w:hint="default"/>
                <w:spacing w:val="5"/>
                <w:sz w:val="15"/>
                <w:szCs w:val="15"/>
              </w:rPr>
              <w:t>以公允价值计量且其变</w:t>
            </w:r>
            <w:r>
              <w:rPr>
                <w:rFonts w:ascii="宋体" w:hAnsi="宋体" w:cs="宋体" w:eastAsia="宋体" w:hint="default"/>
                <w:spacing w:val="-39"/>
                <w:sz w:val="15"/>
                <w:szCs w:val="15"/>
              </w:rPr>
              <w:t> </w:t>
            </w:r>
            <w:r>
              <w:rPr>
                <w:rFonts w:ascii="宋体" w:hAnsi="宋体" w:cs="宋体" w:eastAsia="宋体" w:hint="default"/>
                <w:spacing w:val="-39"/>
                <w:sz w:val="15"/>
                <w:szCs w:val="15"/>
              </w:rPr>
            </w:r>
            <w:r>
              <w:rPr>
                <w:rFonts w:ascii="宋体" w:hAnsi="宋体" w:cs="宋体" w:eastAsia="宋体" w:hint="default"/>
                <w:spacing w:val="6"/>
                <w:sz w:val="15"/>
                <w:szCs w:val="15"/>
              </w:rPr>
              <w:t>动计入公允价值变动损益的金</w:t>
            </w:r>
            <w:r>
              <w:rPr>
                <w:rFonts w:ascii="宋体" w:hAnsi="宋体" w:cs="宋体" w:eastAsia="宋体" w:hint="default"/>
                <w:spacing w:val="-46"/>
                <w:sz w:val="15"/>
                <w:szCs w:val="15"/>
              </w:rPr>
              <w:t> </w:t>
            </w:r>
            <w:r>
              <w:rPr>
                <w:rFonts w:ascii="宋体" w:hAnsi="宋体" w:cs="宋体" w:eastAsia="宋体" w:hint="default"/>
                <w:spacing w:val="-46"/>
                <w:sz w:val="15"/>
                <w:szCs w:val="15"/>
              </w:rPr>
            </w:r>
            <w:r>
              <w:rPr>
                <w:rFonts w:ascii="宋体" w:hAnsi="宋体" w:cs="宋体" w:eastAsia="宋体" w:hint="default"/>
                <w:sz w:val="15"/>
                <w:szCs w:val="15"/>
              </w:rPr>
              <w:t>融资产</w:t>
            </w:r>
            <w:r>
              <w:rPr>
                <w:rFonts w:ascii="宋体" w:hAnsi="宋体" w:cs="宋体" w:eastAsia="宋体" w:hint="default"/>
                <w:sz w:val="15"/>
                <w:szCs w:val="15"/>
              </w:rPr>
              <w:t>(</w:t>
            </w:r>
            <w:r>
              <w:rPr>
                <w:rFonts w:ascii="宋体" w:hAnsi="宋体" w:cs="宋体" w:eastAsia="宋体" w:hint="default"/>
                <w:sz w:val="15"/>
                <w:szCs w:val="15"/>
              </w:rPr>
              <w:t>新金融工具准则</w:t>
            </w:r>
            <w:r>
              <w:rPr>
                <w:rFonts w:ascii="宋体" w:hAnsi="宋体" w:cs="宋体" w:eastAsia="宋体" w:hint="default"/>
                <w:sz w:val="15"/>
                <w:szCs w:val="15"/>
              </w:rPr>
              <w:t>) </w:t>
            </w:r>
          </w:p>
        </w:tc>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3"/>
              <w:ind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
        </w:tc>
        <w:tc>
          <w:tcPr>
            <w:tcW w:w="519"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
        </w:tc>
        <w:tc>
          <w:tcPr>
            <w:tcW w:w="535" w:type="dxa"/>
            <w:tcBorders>
              <w:top w:val="nil" w:sz="6" w:space="0" w:color="auto"/>
              <w:left w:val="nil" w:sz="6" w:space="0" w:color="auto"/>
              <w:bottom w:val="nil" w:sz="6" w:space="0" w:color="auto"/>
              <w:right w:val="nil" w:sz="6" w:space="0" w:color="auto"/>
            </w:tcBorders>
          </w:tcPr>
          <w:p>
            <w:pPr/>
          </w:p>
        </w:tc>
        <w:tc>
          <w:tcPr>
            <w:tcW w:w="1887" w:type="dxa"/>
            <w:tcBorders>
              <w:top w:val="nil" w:sz="6" w:space="0" w:color="auto"/>
              <w:left w:val="nil" w:sz="6" w:space="0" w:color="auto"/>
              <w:bottom w:val="nil" w:sz="6" w:space="0" w:color="auto"/>
              <w:right w:val="nil" w:sz="6" w:space="0" w:color="auto"/>
            </w:tcBorders>
          </w:tcPr>
          <w:p>
            <w:pPr/>
          </w:p>
        </w:tc>
        <w:tc>
          <w:tcPr>
            <w:tcW w:w="508" w:type="dxa"/>
            <w:tcBorders>
              <w:top w:val="nil" w:sz="6" w:space="0" w:color="auto"/>
              <w:left w:val="nil" w:sz="6" w:space="0" w:color="auto"/>
              <w:bottom w:val="nil" w:sz="6" w:space="0" w:color="auto"/>
              <w:right w:val="nil" w:sz="6" w:space="0" w:color="auto"/>
            </w:tcBorders>
          </w:tcPr>
          <w:p>
            <w:pPr/>
          </w:p>
        </w:tc>
      </w:tr>
      <w:tr>
        <w:trPr>
          <w:trHeight w:val="244" w:hRule="exact"/>
        </w:trPr>
        <w:tc>
          <w:tcPr>
            <w:tcW w:w="2086" w:type="dxa"/>
            <w:vMerge/>
            <w:tcBorders>
              <w:left w:val="nil" w:sz="6" w:space="0" w:color="auto"/>
              <w:bottom w:val="nil" w:sz="6" w:space="0" w:color="auto"/>
              <w:right w:val="nil" w:sz="6" w:space="0" w:color="auto"/>
            </w:tcBorders>
          </w:tcPr>
          <w:p>
            <w:pPr/>
          </w:p>
        </w:tc>
        <w:tc>
          <w:tcPr>
            <w:tcW w:w="581"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31,600,800</w:t>
            </w:r>
            <w:r>
              <w:rPr>
                <w:rFonts w:ascii="宋体"/>
                <w:spacing w:val="-2"/>
                <w:sz w:val="15"/>
              </w:rPr>
            </w:r>
          </w:p>
        </w:tc>
        <w:tc>
          <w:tcPr>
            <w:tcW w:w="519"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
              <w:jc w:val="right"/>
              <w:rPr>
                <w:rFonts w:ascii="宋体" w:hAnsi="宋体" w:cs="宋体" w:eastAsia="宋体" w:hint="default"/>
                <w:sz w:val="15"/>
                <w:szCs w:val="15"/>
              </w:rPr>
            </w:pPr>
            <w:r>
              <w:rPr>
                <w:rFonts w:ascii="宋体"/>
                <w:spacing w:val="-1"/>
                <w:sz w:val="15"/>
              </w:rPr>
              <w:t>(</w:t>
            </w:r>
            <w:r>
              <w:rPr>
                <w:rFonts w:ascii="宋体"/>
                <w:spacing w:val="-1"/>
                <w:sz w:val="15"/>
                <w:u w:val="single" w:color="000000"/>
              </w:rPr>
              <w:t>31,600,800</w:t>
            </w:r>
            <w:r>
              <w:rPr>
                <w:rFonts w:ascii="宋体"/>
                <w:spacing w:val="-1"/>
                <w:sz w:val="15"/>
              </w:rPr>
            </w:r>
          </w:p>
        </w:tc>
        <w:tc>
          <w:tcPr>
            <w:tcW w:w="53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 w:right="0"/>
              <w:jc w:val="left"/>
              <w:rPr>
                <w:rFonts w:ascii="宋体" w:hAnsi="宋体" w:cs="宋体" w:eastAsia="宋体" w:hint="default"/>
                <w:sz w:val="15"/>
                <w:szCs w:val="15"/>
              </w:rPr>
            </w:pPr>
            <w:r>
              <w:rPr>
                <w:rFonts w:ascii="宋体"/>
                <w:sz w:val="15"/>
              </w:rPr>
              <w:t>) </w:t>
            </w:r>
          </w:p>
        </w:tc>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w w:val="100"/>
                <w:sz w:val="15"/>
                <w:u w:val="single" w:color="000000"/>
              </w:rPr>
              <w:t> </w:t>
            </w:r>
            <w:r>
              <w:rPr>
                <w:rFonts w:ascii="宋体"/>
                <w:sz w:val="15"/>
                <w:u w:val="single" w:color="000000"/>
              </w:rPr>
              <w:t>-</w:t>
            </w:r>
            <w:r>
              <w:rPr>
                <w:rFonts w:ascii="宋体"/>
                <w:sz w:val="15"/>
              </w:rPr>
            </w:r>
          </w:p>
        </w:tc>
        <w:tc>
          <w:tcPr>
            <w:tcW w:w="50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 w:right="0"/>
              <w:jc w:val="left"/>
              <w:rPr>
                <w:rFonts w:ascii="宋体" w:hAnsi="宋体" w:cs="宋体" w:eastAsia="宋体" w:hint="default"/>
                <w:sz w:val="15"/>
                <w:szCs w:val="15"/>
              </w:rPr>
            </w:pPr>
            <w:r>
              <w:rPr>
                <w:rFonts w:ascii="宋体"/>
                <w:w w:val="100"/>
                <w:sz w:val="15"/>
              </w:rPr>
              <w:t> </w:t>
            </w:r>
          </w:p>
        </w:tc>
      </w:tr>
      <w:tr>
        <w:trPr>
          <w:trHeight w:val="194"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173" w:lineRule="exact"/>
              <w:ind w:left="28" w:right="0"/>
              <w:jc w:val="left"/>
              <w:rPr>
                <w:rFonts w:ascii="宋体" w:hAnsi="宋体" w:cs="宋体" w:eastAsia="宋体" w:hint="default"/>
                <w:sz w:val="15"/>
                <w:szCs w:val="15"/>
              </w:rPr>
            </w:pPr>
            <w:r>
              <w:rPr>
                <w:rFonts w:ascii="宋体"/>
                <w:w w:val="100"/>
                <w:sz w:val="15"/>
              </w:rPr>
              <w:t> </w:t>
            </w:r>
          </w:p>
        </w:tc>
        <w:tc>
          <w:tcPr>
            <w:tcW w:w="58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
        </w:tc>
        <w:tc>
          <w:tcPr>
            <w:tcW w:w="519" w:type="dxa"/>
            <w:tcBorders>
              <w:top w:val="nil" w:sz="6" w:space="0" w:color="auto"/>
              <w:left w:val="nil" w:sz="6" w:space="0" w:color="auto"/>
              <w:bottom w:val="nil" w:sz="6" w:space="0" w:color="auto"/>
              <w:right w:val="nil" w:sz="6" w:space="0" w:color="auto"/>
            </w:tcBorders>
          </w:tcPr>
          <w:p>
            <w:pPr>
              <w:pStyle w:val="TableParagraph"/>
              <w:spacing w:line="173" w:lineRule="exact"/>
              <w:ind w:left="-1" w:right="0"/>
              <w:jc w:val="left"/>
              <w:rPr>
                <w:rFonts w:ascii="宋体" w:hAnsi="宋体" w:cs="宋体" w:eastAsia="宋体" w:hint="default"/>
                <w:sz w:val="15"/>
                <w:szCs w:val="15"/>
              </w:rPr>
            </w:pPr>
            <w:r>
              <w:rPr>
                <w:rFonts w:ascii="宋体"/>
                <w:w w:val="100"/>
                <w:sz w:val="15"/>
              </w:rPr>
              <w:t> </w:t>
            </w:r>
          </w:p>
        </w:tc>
        <w:tc>
          <w:tcPr>
            <w:tcW w:w="1345" w:type="dxa"/>
            <w:tcBorders>
              <w:top w:val="nil" w:sz="6" w:space="0" w:color="auto"/>
              <w:left w:val="nil" w:sz="6" w:space="0" w:color="auto"/>
              <w:bottom w:val="nil" w:sz="6" w:space="0" w:color="auto"/>
              <w:right w:val="nil" w:sz="6" w:space="0" w:color="auto"/>
            </w:tcBorders>
          </w:tcPr>
          <w:p>
            <w:pPr/>
          </w:p>
        </w:tc>
        <w:tc>
          <w:tcPr>
            <w:tcW w:w="535" w:type="dxa"/>
            <w:tcBorders>
              <w:top w:val="nil" w:sz="6" w:space="0" w:color="auto"/>
              <w:left w:val="nil" w:sz="6" w:space="0" w:color="auto"/>
              <w:bottom w:val="nil" w:sz="6" w:space="0" w:color="auto"/>
              <w:right w:val="nil" w:sz="6" w:space="0" w:color="auto"/>
            </w:tcBorders>
          </w:tcPr>
          <w:p>
            <w:pPr>
              <w:pStyle w:val="TableParagraph"/>
              <w:spacing w:line="173" w:lineRule="exact"/>
              <w:ind w:left="-1" w:right="0"/>
              <w:jc w:val="left"/>
              <w:rPr>
                <w:rFonts w:ascii="宋体" w:hAnsi="宋体" w:cs="宋体" w:eastAsia="宋体" w:hint="default"/>
                <w:sz w:val="15"/>
                <w:szCs w:val="15"/>
              </w:rPr>
            </w:pPr>
            <w:r>
              <w:rPr>
                <w:rFonts w:ascii="宋体"/>
                <w:w w:val="100"/>
                <w:sz w:val="15"/>
              </w:rPr>
              <w:t> </w:t>
            </w:r>
          </w:p>
        </w:tc>
        <w:tc>
          <w:tcPr>
            <w:tcW w:w="1887" w:type="dxa"/>
            <w:tcBorders>
              <w:top w:val="nil" w:sz="6" w:space="0" w:color="auto"/>
              <w:left w:val="nil" w:sz="6" w:space="0" w:color="auto"/>
              <w:bottom w:val="nil" w:sz="6" w:space="0" w:color="auto"/>
              <w:right w:val="nil" w:sz="6" w:space="0" w:color="auto"/>
            </w:tcBorders>
          </w:tcPr>
          <w:p>
            <w:pPr/>
          </w:p>
        </w:tc>
        <w:tc>
          <w:tcPr>
            <w:tcW w:w="508" w:type="dxa"/>
            <w:tcBorders>
              <w:top w:val="nil" w:sz="6" w:space="0" w:color="auto"/>
              <w:left w:val="nil" w:sz="6" w:space="0" w:color="auto"/>
              <w:bottom w:val="nil" w:sz="6" w:space="0" w:color="auto"/>
              <w:right w:val="nil" w:sz="6" w:space="0" w:color="auto"/>
            </w:tcBorders>
          </w:tcPr>
          <w:p>
            <w:pPr>
              <w:pStyle w:val="TableParagraph"/>
              <w:spacing w:line="173" w:lineRule="exact"/>
              <w:ind w:left="-1" w:right="0"/>
              <w:jc w:val="left"/>
              <w:rPr>
                <w:rFonts w:ascii="宋体" w:hAnsi="宋体" w:cs="宋体" w:eastAsia="宋体" w:hint="default"/>
                <w:sz w:val="15"/>
                <w:szCs w:val="15"/>
              </w:rPr>
            </w:pPr>
            <w:r>
              <w:rPr>
                <w:rFonts w:ascii="宋体"/>
                <w:w w:val="100"/>
                <w:sz w:val="15"/>
              </w:rPr>
              <w:t> </w:t>
            </w:r>
          </w:p>
        </w:tc>
      </w:tr>
      <w:tr>
        <w:trPr>
          <w:trHeight w:val="173"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173" w:lineRule="exact"/>
              <w:ind w:left="28" w:right="0"/>
              <w:jc w:val="left"/>
              <w:rPr>
                <w:rFonts w:ascii="宋体" w:hAnsi="宋体" w:cs="宋体" w:eastAsia="宋体" w:hint="default"/>
                <w:sz w:val="15"/>
                <w:szCs w:val="15"/>
              </w:rPr>
            </w:pPr>
            <w:r>
              <w:rPr>
                <w:rFonts w:ascii="宋体" w:hAnsi="宋体" w:cs="宋体" w:eastAsia="宋体" w:hint="default"/>
                <w:sz w:val="15"/>
                <w:szCs w:val="15"/>
              </w:rPr>
              <w:t>总计</w:t>
            </w:r>
            <w:r>
              <w:rPr>
                <w:rFonts w:ascii="宋体" w:hAnsi="宋体" w:cs="宋体" w:eastAsia="宋体" w:hint="default"/>
                <w:sz w:val="15"/>
                <w:szCs w:val="15"/>
              </w:rPr>
              <w:t> </w:t>
            </w:r>
          </w:p>
        </w:tc>
        <w:tc>
          <w:tcPr>
            <w:tcW w:w="58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sz w:val="15"/>
                <w:u w:val="single" w:color="000000"/>
              </w:rPr>
              <w:t>459,177,470</w:t>
            </w:r>
            <w:r>
              <w:rPr>
                <w:rFonts w:ascii="宋体"/>
                <w:spacing w:val="-1"/>
                <w:sz w:val="15"/>
              </w:rPr>
            </w:r>
          </w:p>
        </w:tc>
        <w:tc>
          <w:tcPr>
            <w:tcW w:w="519"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sz w:val="15"/>
                <w:u w:val="single" w:color="000000"/>
              </w:rPr>
              <w:t>33,673,492</w:t>
            </w:r>
            <w:r>
              <w:rPr>
                <w:rFonts w:ascii="宋体"/>
                <w:spacing w:val="-1"/>
                <w:sz w:val="15"/>
              </w:rPr>
            </w:r>
          </w:p>
        </w:tc>
        <w:tc>
          <w:tcPr>
            <w:tcW w:w="535" w:type="dxa"/>
            <w:tcBorders>
              <w:top w:val="nil" w:sz="6" w:space="0" w:color="auto"/>
              <w:left w:val="nil" w:sz="6" w:space="0" w:color="auto"/>
              <w:bottom w:val="nil" w:sz="6" w:space="0" w:color="auto"/>
              <w:right w:val="nil" w:sz="6" w:space="0" w:color="auto"/>
            </w:tcBorders>
          </w:tcPr>
          <w:p>
            <w:pPr/>
          </w:p>
        </w:tc>
        <w:tc>
          <w:tcPr>
            <w:tcW w:w="1887"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r>
            <w:r>
              <w:rPr>
                <w:rFonts w:ascii="宋体"/>
                <w:spacing w:val="-1"/>
                <w:sz w:val="15"/>
                <w:u w:val="single" w:color="000000"/>
              </w:rPr>
              <w:t>492,850,962</w:t>
            </w:r>
            <w:r>
              <w:rPr>
                <w:rFonts w:ascii="宋体"/>
                <w:spacing w:val="-1"/>
                <w:sz w:val="15"/>
              </w:rPr>
            </w:r>
          </w:p>
        </w:tc>
        <w:tc>
          <w:tcPr>
            <w:tcW w:w="508"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82" w:footer="1195" w:top="1080" w:bottom="1380" w:left="1140" w:right="1560"/>
        </w:sectPr>
      </w:pPr>
    </w:p>
    <w:p>
      <w:pPr>
        <w:spacing w:line="217" w:lineRule="exact" w:before="0"/>
        <w:ind w:left="136" w:right="0" w:firstLine="0"/>
        <w:jc w:val="left"/>
        <w:rPr>
          <w:rFonts w:ascii="宋体" w:hAnsi="宋体" w:cs="宋体" w:eastAsia="宋体" w:hint="default"/>
          <w:sz w:val="18"/>
          <w:szCs w:val="18"/>
        </w:rPr>
      </w:pPr>
      <w:r>
        <w:rPr>
          <w:rFonts w:ascii="宋体"/>
          <w:sz w:val="18"/>
        </w:rPr>
        <w:t> </w:t>
      </w:r>
    </w:p>
    <w:p>
      <w:pPr>
        <w:pStyle w:val="BodyText"/>
        <w:spacing w:line="311" w:lineRule="exact"/>
        <w:ind w:right="0"/>
        <w:jc w:val="left"/>
        <w:rPr>
          <w:rFonts w:ascii="宋体" w:hAnsi="宋体" w:cs="宋体" w:eastAsia="宋体" w:hint="default"/>
        </w:rPr>
      </w:pPr>
      <w:r>
        <w:rPr/>
        <w:t>本公司</w:t>
      </w:r>
      <w:r>
        <w:rPr>
          <w:rFonts w:ascii="宋体" w:hAnsi="宋体" w:cs="宋体" w:eastAsia="宋体" w:hint="default"/>
        </w:rPr>
        <w:t> </w:t>
      </w:r>
    </w:p>
    <w:p>
      <w:pPr>
        <w:spacing w:before="1"/>
        <w:ind w:left="136" w:right="0" w:firstLine="0"/>
        <w:jc w:val="left"/>
        <w:rPr>
          <w:rFonts w:ascii="宋体" w:hAnsi="宋体" w:cs="宋体" w:eastAsia="宋体" w:hint="default"/>
          <w:sz w:val="18"/>
          <w:szCs w:val="18"/>
        </w:rPr>
      </w:pPr>
      <w:r>
        <w:rPr>
          <w:rFonts w:ascii="宋体"/>
          <w:sz w:val="18"/>
        </w:rPr>
        <w:t> </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4"/>
        <w:rPr>
          <w:rFonts w:ascii="宋体" w:hAnsi="宋体" w:cs="宋体" w:eastAsia="宋体" w:hint="default"/>
          <w:sz w:val="17"/>
          <w:szCs w:val="17"/>
        </w:rPr>
      </w:pPr>
    </w:p>
    <w:p>
      <w:pPr>
        <w:tabs>
          <w:tab w:pos="1084" w:val="left" w:leader="none"/>
        </w:tabs>
        <w:spacing w:line="147" w:lineRule="exact" w:before="0"/>
        <w:ind w:left="0" w:right="71" w:firstLine="0"/>
        <w:jc w:val="right"/>
        <w:rPr>
          <w:rFonts w:ascii="宋体" w:hAnsi="宋体" w:cs="宋体" w:eastAsia="宋体" w:hint="default"/>
          <w:sz w:val="15"/>
          <w:szCs w:val="15"/>
        </w:rPr>
      </w:pPr>
      <w:r>
        <w:rPr>
          <w:rFonts w:ascii="宋体" w:hAnsi="宋体" w:cs="宋体" w:eastAsia="宋体" w:hint="default"/>
          <w:spacing w:val="-1"/>
          <w:sz w:val="15"/>
          <w:szCs w:val="15"/>
        </w:rPr>
        <w:t>计量类别</w:t>
        <w:tab/>
      </w:r>
      <w:r>
        <w:rPr>
          <w:rFonts w:ascii="宋体" w:hAnsi="宋体" w:cs="宋体" w:eastAsia="宋体" w:hint="default"/>
          <w:spacing w:val="-2"/>
          <w:sz w:val="15"/>
          <w:szCs w:val="15"/>
        </w:rPr>
        <w:t>按原金融工具准则计提</w:t>
      </w:r>
    </w:p>
    <w:p>
      <w:pPr>
        <w:spacing w:line="147" w:lineRule="exact" w:before="0"/>
        <w:ind w:left="0" w:right="0" w:firstLine="0"/>
        <w:jc w:val="right"/>
        <w:rPr>
          <w:rFonts w:ascii="宋体" w:hAnsi="宋体" w:cs="宋体" w:eastAsia="宋体" w:hint="default"/>
          <w:sz w:val="15"/>
          <w:szCs w:val="15"/>
        </w:rPr>
      </w:pPr>
      <w:r>
        <w:rPr/>
        <w:pict>
          <v:shape style="position:absolute;margin-left:62.09pt;margin-top:4.615683pt;width:423.8pt;height:148.8pt;mso-position-horizontal-relative:page;mso-position-vertical-relative:paragraph;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73"/>
                    <w:gridCol w:w="1962"/>
                    <w:gridCol w:w="1844"/>
                    <w:gridCol w:w="1997"/>
                  </w:tblGrid>
                  <w:tr>
                    <w:trPr>
                      <w:trHeight w:val="36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1"/>
                            <w:szCs w:val="11"/>
                          </w:rPr>
                        </w:pPr>
                      </w:p>
                      <w:p>
                        <w:pPr>
                          <w:pStyle w:val="TableParagraph"/>
                          <w:tabs>
                            <w:tab w:pos="2092" w:val="left" w:leader="none"/>
                          </w:tabs>
                          <w:spacing w:line="240" w:lineRule="auto"/>
                          <w:ind w:left="35" w:right="0"/>
                          <w:jc w:val="left"/>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p>
                    </w:tc>
                    <w:tc>
                      <w:tcPr>
                        <w:tcW w:w="1962" w:type="dxa"/>
                        <w:tcBorders>
                          <w:top w:val="nil" w:sz="6" w:space="0" w:color="auto"/>
                          <w:left w:val="nil" w:sz="6" w:space="0" w:color="auto"/>
                          <w:bottom w:val="nil" w:sz="6" w:space="0" w:color="auto"/>
                          <w:right w:val="nil" w:sz="6" w:space="0" w:color="auto"/>
                        </w:tcBorders>
                      </w:tcPr>
                      <w:p>
                        <w:pPr>
                          <w:pStyle w:val="TableParagraph"/>
                          <w:spacing w:line="150" w:lineRule="exact"/>
                          <w:ind w:right="553"/>
                          <w:jc w:val="right"/>
                          <w:rPr>
                            <w:rFonts w:ascii="宋体" w:hAnsi="宋体" w:cs="宋体" w:eastAsia="宋体" w:hint="default"/>
                            <w:sz w:val="15"/>
                            <w:szCs w:val="15"/>
                          </w:rPr>
                        </w:pPr>
                        <w:r>
                          <w:rPr>
                            <w:rFonts w:ascii="宋体" w:hAnsi="宋体" w:cs="宋体" w:eastAsia="宋体" w:hint="default"/>
                            <w:spacing w:val="-1"/>
                            <w:sz w:val="15"/>
                            <w:szCs w:val="15"/>
                          </w:rPr>
                          <w:t>损失准备</w:t>
                        </w:r>
                      </w:p>
                      <w:p>
                        <w:pPr>
                          <w:pStyle w:val="TableParagraph"/>
                          <w:spacing w:line="195" w:lineRule="exact"/>
                          <w:ind w:right="479"/>
                          <w:jc w:val="right"/>
                          <w:rPr>
                            <w:rFonts w:ascii="宋体" w:hAnsi="宋体" w:cs="宋体" w:eastAsia="宋体" w:hint="default"/>
                            <w:sz w:val="15"/>
                            <w:szCs w:val="15"/>
                          </w:rPr>
                        </w:pPr>
                        <w:r>
                          <w:rPr>
                            <w:rFonts w:ascii="宋体"/>
                            <w:w w:val="100"/>
                            <w:sz w:val="15"/>
                          </w:rPr>
                          <w:t> </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1"/>
                            <w:szCs w:val="11"/>
                          </w:rPr>
                        </w:pPr>
                      </w:p>
                      <w:p>
                        <w:pPr>
                          <w:pStyle w:val="TableParagraph"/>
                          <w:spacing w:line="240" w:lineRule="auto"/>
                          <w:ind w:right="458"/>
                          <w:jc w:val="right"/>
                          <w:rPr>
                            <w:rFonts w:ascii="宋体" w:hAnsi="宋体" w:cs="宋体" w:eastAsia="宋体" w:hint="default"/>
                            <w:sz w:val="15"/>
                            <w:szCs w:val="15"/>
                          </w:rPr>
                        </w:pPr>
                        <w:r>
                          <w:rPr>
                            <w:rFonts w:ascii="宋体"/>
                            <w:w w:val="100"/>
                            <w:sz w:val="15"/>
                          </w:rPr>
                          <w:t> </w:t>
                        </w:r>
                      </w:p>
                    </w:tc>
                    <w:tc>
                      <w:tcPr>
                        <w:tcW w:w="1997" w:type="dxa"/>
                        <w:tcBorders>
                          <w:top w:val="nil" w:sz="6" w:space="0" w:color="auto"/>
                          <w:left w:val="nil" w:sz="6" w:space="0" w:color="auto"/>
                          <w:bottom w:val="nil" w:sz="6" w:space="0" w:color="auto"/>
                          <w:right w:val="nil" w:sz="6" w:space="0" w:color="auto"/>
                        </w:tcBorders>
                      </w:tcPr>
                      <w:p>
                        <w:pPr>
                          <w:pStyle w:val="TableParagraph"/>
                          <w:spacing w:line="151" w:lineRule="exact"/>
                          <w:ind w:right="108"/>
                          <w:jc w:val="right"/>
                          <w:rPr>
                            <w:rFonts w:ascii="宋体" w:hAnsi="宋体" w:cs="宋体" w:eastAsia="宋体" w:hint="default"/>
                            <w:sz w:val="15"/>
                            <w:szCs w:val="15"/>
                          </w:rPr>
                        </w:pPr>
                        <w:r>
                          <w:rPr>
                            <w:rFonts w:ascii="宋体" w:hAnsi="宋体" w:cs="宋体" w:eastAsia="宋体" w:hint="default"/>
                            <w:w w:val="100"/>
                            <w:sz w:val="15"/>
                            <w:szCs w:val="15"/>
                          </w:rPr>
                          <w:t>备</w:t>
                        </w:r>
                      </w:p>
                    </w:tc>
                  </w:tr>
                  <w:tr>
                    <w:trPr>
                      <w:trHeight w:val="187"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165" w:lineRule="exact"/>
                          <w:ind w:left="35" w:right="0"/>
                          <w:jc w:val="left"/>
                          <w:rPr>
                            <w:rFonts w:ascii="宋体" w:hAnsi="宋体" w:cs="宋体" w:eastAsia="宋体" w:hint="default"/>
                            <w:sz w:val="15"/>
                            <w:szCs w:val="15"/>
                          </w:rPr>
                        </w:pPr>
                        <w:r>
                          <w:rPr>
                            <w:rFonts w:ascii="宋体" w:hAnsi="宋体" w:cs="宋体" w:eastAsia="宋体" w:hint="default"/>
                            <w:spacing w:val="11"/>
                            <w:sz w:val="15"/>
                            <w:szCs w:val="15"/>
                          </w:rPr>
                          <w:t>贷款和应收款</w:t>
                        </w:r>
                        <w:r>
                          <w:rPr>
                            <w:rFonts w:ascii="宋体" w:hAnsi="宋体" w:cs="宋体" w:eastAsia="宋体" w:hint="default"/>
                            <w:spacing w:val="11"/>
                            <w:sz w:val="15"/>
                            <w:szCs w:val="15"/>
                          </w:rPr>
                          <w:t>(</w:t>
                        </w:r>
                        <w:r>
                          <w:rPr>
                            <w:rFonts w:ascii="宋体" w:hAnsi="宋体" w:cs="宋体" w:eastAsia="宋体" w:hint="default"/>
                            <w:spacing w:val="-32"/>
                            <w:sz w:val="15"/>
                            <w:szCs w:val="15"/>
                          </w:rPr>
                          <w:t> </w:t>
                        </w:r>
                        <w:r>
                          <w:rPr>
                            <w:rFonts w:ascii="宋体" w:hAnsi="宋体" w:cs="宋体" w:eastAsia="宋体" w:hint="default"/>
                            <w:spacing w:val="10"/>
                            <w:sz w:val="15"/>
                            <w:szCs w:val="15"/>
                          </w:rPr>
                          <w:t>原金融工具准</w:t>
                        </w:r>
                      </w:p>
                    </w:tc>
                    <w:tc>
                      <w:tcPr>
                        <w:tcW w:w="1962"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997" w:type="dxa"/>
                        <w:tcBorders>
                          <w:top w:val="nil" w:sz="6" w:space="0" w:color="auto"/>
                          <w:left w:val="nil" w:sz="6" w:space="0" w:color="auto"/>
                          <w:bottom w:val="nil" w:sz="6" w:space="0" w:color="auto"/>
                          <w:right w:val="nil" w:sz="6" w:space="0" w:color="auto"/>
                        </w:tcBorders>
                      </w:tcPr>
                      <w:p>
                        <w:pPr/>
                      </w:p>
                    </w:tc>
                  </w:tr>
                  <w:tr>
                    <w:trPr>
                      <w:trHeight w:val="403"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180" w:lineRule="exact" w:before="22"/>
                          <w:ind w:left="35" w:right="502"/>
                          <w:jc w:val="left"/>
                          <w:rPr>
                            <w:rFonts w:ascii="宋体" w:hAnsi="宋体" w:cs="宋体" w:eastAsia="宋体" w:hint="default"/>
                            <w:sz w:val="15"/>
                            <w:szCs w:val="15"/>
                          </w:rPr>
                        </w:pPr>
                        <w:r>
                          <w:rPr>
                            <w:rFonts w:ascii="宋体" w:hAnsi="宋体" w:cs="宋体" w:eastAsia="宋体" w:hint="default"/>
                            <w:spacing w:val="5"/>
                            <w:position w:val="1"/>
                            <w:sz w:val="15"/>
                            <w:szCs w:val="15"/>
                          </w:rPr>
                          <w:t>则</w:t>
                        </w:r>
                        <w:r>
                          <w:rPr>
                            <w:rFonts w:ascii="宋体" w:hAnsi="宋体" w:cs="宋体" w:eastAsia="宋体" w:hint="default"/>
                            <w:spacing w:val="5"/>
                            <w:position w:val="1"/>
                            <w:sz w:val="15"/>
                            <w:szCs w:val="15"/>
                          </w:rPr>
                          <w:t>)/</w:t>
                        </w:r>
                        <w:r>
                          <w:rPr>
                            <w:rFonts w:ascii="宋体" w:hAnsi="宋体" w:cs="宋体" w:eastAsia="宋体" w:hint="default"/>
                            <w:spacing w:val="5"/>
                            <w:position w:val="1"/>
                            <w:sz w:val="15"/>
                            <w:szCs w:val="15"/>
                          </w:rPr>
                          <w:t>以摊余成本计量的金融资</w:t>
                        </w:r>
                        <w:r>
                          <w:rPr>
                            <w:rFonts w:ascii="宋体" w:hAnsi="宋体" w:cs="宋体" w:eastAsia="宋体" w:hint="default"/>
                            <w:spacing w:val="-42"/>
                            <w:position w:val="1"/>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产</w:t>
                        </w:r>
                        <w:r>
                          <w:rPr>
                            <w:rFonts w:ascii="宋体" w:hAnsi="宋体" w:cs="宋体" w:eastAsia="宋体" w:hint="default"/>
                            <w:sz w:val="15"/>
                            <w:szCs w:val="15"/>
                          </w:rPr>
                          <w:t>(</w:t>
                        </w:r>
                        <w:r>
                          <w:rPr>
                            <w:rFonts w:ascii="宋体" w:hAnsi="宋体" w:cs="宋体" w:eastAsia="宋体" w:hint="default"/>
                            <w:sz w:val="15"/>
                            <w:szCs w:val="15"/>
                          </w:rPr>
                          <w:t>新金融工具准则</w:t>
                        </w:r>
                        <w:r>
                          <w:rPr>
                            <w:rFonts w:ascii="宋体" w:hAnsi="宋体" w:cs="宋体" w:eastAsia="宋体" w:hint="default"/>
                            <w:sz w:val="15"/>
                            <w:szCs w:val="15"/>
                          </w:rPr>
                          <w:t>) </w:t>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479"/>
                          <w:jc w:val="right"/>
                          <w:rPr>
                            <w:rFonts w:ascii="宋体" w:hAnsi="宋体" w:cs="宋体" w:eastAsia="宋体" w:hint="default"/>
                            <w:sz w:val="15"/>
                            <w:szCs w:val="15"/>
                          </w:rPr>
                        </w:pPr>
                        <w:r>
                          <w:rPr>
                            <w:rFonts w:ascii="宋体"/>
                            <w:spacing w:val="-2"/>
                            <w:w w:val="100"/>
                            <w:sz w:val="15"/>
                          </w:rPr>
                          <w:t> </w:t>
                        </w:r>
                        <w:r>
                          <w:rPr>
                            <w:rFonts w:ascii="宋体"/>
                            <w:w w:val="100"/>
                            <w:sz w:val="15"/>
                          </w:rPr>
                          <w:t> </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458"/>
                          <w:jc w:val="right"/>
                          <w:rPr>
                            <w:rFonts w:ascii="宋体" w:hAnsi="宋体" w:cs="宋体" w:eastAsia="宋体" w:hint="default"/>
                            <w:sz w:val="15"/>
                            <w:szCs w:val="15"/>
                          </w:rPr>
                        </w:pPr>
                        <w:r>
                          <w:rPr>
                            <w:rFonts w:ascii="宋体"/>
                            <w:w w:val="100"/>
                            <w:sz w:val="15"/>
                          </w:rPr>
                          <w:t> </w:t>
                        </w:r>
                      </w:p>
                    </w:tc>
                    <w:tc>
                      <w:tcPr>
                        <w:tcW w:w="1997" w:type="dxa"/>
                        <w:tcBorders>
                          <w:top w:val="nil" w:sz="6" w:space="0" w:color="auto"/>
                          <w:left w:val="nil" w:sz="6" w:space="0" w:color="auto"/>
                          <w:bottom w:val="nil" w:sz="6" w:space="0" w:color="auto"/>
                          <w:right w:val="nil" w:sz="6" w:space="0" w:color="auto"/>
                        </w:tcBorders>
                      </w:tcPr>
                      <w:p>
                        <w:pPr/>
                      </w:p>
                    </w:tc>
                  </w:tr>
                  <w:tr>
                    <w:trPr>
                      <w:trHeight w:val="194" w:hRule="exact"/>
                    </w:trPr>
                    <w:tc>
                      <w:tcPr>
                        <w:tcW w:w="2673" w:type="dxa"/>
                        <w:tcBorders>
                          <w:top w:val="nil" w:sz="6" w:space="0" w:color="auto"/>
                          <w:left w:val="nil" w:sz="6" w:space="0" w:color="auto"/>
                          <w:bottom w:val="nil" w:sz="6" w:space="0" w:color="auto"/>
                          <w:right w:val="nil" w:sz="6" w:space="0" w:color="auto"/>
                        </w:tcBorders>
                      </w:tcPr>
                      <w:p>
                        <w:pPr>
                          <w:pStyle w:val="TableParagraph"/>
                          <w:tabs>
                            <w:tab w:pos="2092" w:val="left" w:leader="none"/>
                          </w:tabs>
                          <w:spacing w:line="173" w:lineRule="exact"/>
                          <w:ind w:left="35" w:right="0"/>
                          <w:jc w:val="left"/>
                          <w:rPr>
                            <w:rFonts w:ascii="宋体" w:hAnsi="宋体" w:cs="宋体" w:eastAsia="宋体" w:hint="default"/>
                            <w:sz w:val="15"/>
                            <w:szCs w:val="15"/>
                          </w:rPr>
                        </w:pPr>
                        <w:r>
                          <w:rPr>
                            <w:rFonts w:ascii="宋体" w:hAnsi="宋体" w:cs="宋体" w:eastAsia="宋体" w:hint="default"/>
                            <w:sz w:val="15"/>
                            <w:szCs w:val="15"/>
                          </w:rPr>
                          <w:t>应收账款</w:t>
                        </w:r>
                        <w:r>
                          <w:rPr>
                            <w:rFonts w:ascii="宋体" w:hAnsi="宋体" w:cs="宋体" w:eastAsia="宋体" w:hint="default"/>
                            <w:sz w:val="15"/>
                            <w:szCs w:val="15"/>
                          </w:rPr>
                          <w:t> </w:t>
                          <w:tab/>
                        </w:r>
                        <w:r>
                          <w:rPr>
                            <w:rFonts w:ascii="宋体" w:hAnsi="宋体" w:cs="宋体" w:eastAsia="宋体" w:hint="default"/>
                            <w:w w:val="100"/>
                            <w:sz w:val="15"/>
                            <w:szCs w:val="15"/>
                          </w:rPr>
                          <w:t> </w:t>
                        </w:r>
                      </w:p>
                    </w:tc>
                    <w:tc>
                      <w:tcPr>
                        <w:tcW w:w="1962" w:type="dxa"/>
                        <w:tcBorders>
                          <w:top w:val="nil" w:sz="6" w:space="0" w:color="auto"/>
                          <w:left w:val="nil" w:sz="6" w:space="0" w:color="auto"/>
                          <w:bottom w:val="nil" w:sz="6" w:space="0" w:color="auto"/>
                          <w:right w:val="nil" w:sz="6" w:space="0" w:color="auto"/>
                        </w:tcBorders>
                      </w:tcPr>
                      <w:p>
                        <w:pPr>
                          <w:pStyle w:val="TableParagraph"/>
                          <w:spacing w:line="173" w:lineRule="exact"/>
                          <w:ind w:right="554"/>
                          <w:jc w:val="right"/>
                          <w:rPr>
                            <w:rFonts w:ascii="宋体" w:hAnsi="宋体" w:cs="宋体" w:eastAsia="宋体" w:hint="default"/>
                            <w:sz w:val="15"/>
                            <w:szCs w:val="15"/>
                          </w:rPr>
                        </w:pPr>
                        <w:r>
                          <w:rPr>
                            <w:rFonts w:ascii="宋体"/>
                            <w:spacing w:val="-1"/>
                            <w:sz w:val="15"/>
                          </w:rPr>
                          <w:t>193,657,576</w:t>
                        </w:r>
                      </w:p>
                    </w:tc>
                    <w:tc>
                      <w:tcPr>
                        <w:tcW w:w="1844" w:type="dxa"/>
                        <w:tcBorders>
                          <w:top w:val="nil" w:sz="6" w:space="0" w:color="auto"/>
                          <w:left w:val="nil" w:sz="6" w:space="0" w:color="auto"/>
                          <w:bottom w:val="nil" w:sz="6" w:space="0" w:color="auto"/>
                          <w:right w:val="nil" w:sz="6" w:space="0" w:color="auto"/>
                        </w:tcBorders>
                      </w:tcPr>
                      <w:p>
                        <w:pPr>
                          <w:pStyle w:val="TableParagraph"/>
                          <w:spacing w:line="173" w:lineRule="exact"/>
                          <w:ind w:left="556" w:right="0"/>
                          <w:jc w:val="left"/>
                          <w:rPr>
                            <w:rFonts w:ascii="宋体" w:hAnsi="宋体" w:cs="宋体" w:eastAsia="宋体" w:hint="default"/>
                            <w:sz w:val="15"/>
                            <w:szCs w:val="15"/>
                          </w:rPr>
                        </w:pPr>
                        <w:r>
                          <w:rPr>
                            <w:rFonts w:ascii="宋体"/>
                            <w:sz w:val="15"/>
                          </w:rPr>
                          <w:t>49,170,735</w:t>
                        </w:r>
                      </w:p>
                    </w:tc>
                    <w:tc>
                      <w:tcPr>
                        <w:tcW w:w="1997" w:type="dxa"/>
                        <w:tcBorders>
                          <w:top w:val="nil" w:sz="6" w:space="0" w:color="auto"/>
                          <w:left w:val="nil" w:sz="6" w:space="0" w:color="auto"/>
                          <w:bottom w:val="nil" w:sz="6" w:space="0" w:color="auto"/>
                          <w:right w:val="nil" w:sz="6" w:space="0" w:color="auto"/>
                        </w:tcBorders>
                      </w:tcPr>
                      <w:p>
                        <w:pPr>
                          <w:pStyle w:val="TableParagraph"/>
                          <w:spacing w:line="173" w:lineRule="exact"/>
                          <w:ind w:right="108"/>
                          <w:jc w:val="right"/>
                          <w:rPr>
                            <w:rFonts w:ascii="宋体" w:hAnsi="宋体" w:cs="宋体" w:eastAsia="宋体" w:hint="default"/>
                            <w:sz w:val="15"/>
                            <w:szCs w:val="15"/>
                          </w:rPr>
                        </w:pPr>
                        <w:r>
                          <w:rPr>
                            <w:rFonts w:ascii="宋体"/>
                            <w:spacing w:val="-1"/>
                            <w:sz w:val="15"/>
                          </w:rPr>
                          <w:t>242,828,311</w:t>
                        </w:r>
                      </w:p>
                    </w:tc>
                  </w:tr>
                  <w:tr>
                    <w:trPr>
                      <w:trHeight w:val="194" w:hRule="exact"/>
                    </w:trPr>
                    <w:tc>
                      <w:tcPr>
                        <w:tcW w:w="2673" w:type="dxa"/>
                        <w:tcBorders>
                          <w:top w:val="nil" w:sz="6" w:space="0" w:color="auto"/>
                          <w:left w:val="nil" w:sz="6" w:space="0" w:color="auto"/>
                          <w:bottom w:val="nil" w:sz="6" w:space="0" w:color="auto"/>
                          <w:right w:val="nil" w:sz="6" w:space="0" w:color="auto"/>
                        </w:tcBorders>
                      </w:tcPr>
                      <w:p>
                        <w:pPr>
                          <w:pStyle w:val="TableParagraph"/>
                          <w:tabs>
                            <w:tab w:pos="2092" w:val="left" w:leader="none"/>
                          </w:tabs>
                          <w:spacing w:line="173" w:lineRule="exact"/>
                          <w:ind w:left="35" w:right="0"/>
                          <w:jc w:val="left"/>
                          <w:rPr>
                            <w:rFonts w:ascii="宋体" w:hAnsi="宋体" w:cs="宋体" w:eastAsia="宋体" w:hint="default"/>
                            <w:sz w:val="15"/>
                            <w:szCs w:val="15"/>
                          </w:rPr>
                        </w:pPr>
                        <w:r>
                          <w:rPr>
                            <w:rFonts w:ascii="宋体" w:hAnsi="宋体" w:cs="宋体" w:eastAsia="宋体" w:hint="default"/>
                            <w:sz w:val="15"/>
                            <w:szCs w:val="15"/>
                          </w:rPr>
                          <w:t>其他应收款</w:t>
                        </w:r>
                        <w:r>
                          <w:rPr>
                            <w:rFonts w:ascii="宋体" w:hAnsi="宋体" w:cs="宋体" w:eastAsia="宋体" w:hint="default"/>
                            <w:sz w:val="15"/>
                            <w:szCs w:val="15"/>
                          </w:rPr>
                          <w:t> </w:t>
                          <w:tab/>
                        </w:r>
                        <w:r>
                          <w:rPr>
                            <w:rFonts w:ascii="宋体" w:hAnsi="宋体" w:cs="宋体" w:eastAsia="宋体" w:hint="default"/>
                            <w:w w:val="100"/>
                            <w:sz w:val="15"/>
                            <w:szCs w:val="15"/>
                          </w:rPr>
                          <w:t> </w:t>
                        </w:r>
                      </w:p>
                    </w:tc>
                    <w:tc>
                      <w:tcPr>
                        <w:tcW w:w="1962" w:type="dxa"/>
                        <w:tcBorders>
                          <w:top w:val="nil" w:sz="6" w:space="0" w:color="auto"/>
                          <w:left w:val="nil" w:sz="6" w:space="0" w:color="auto"/>
                          <w:bottom w:val="nil" w:sz="6" w:space="0" w:color="auto"/>
                          <w:right w:val="nil" w:sz="6" w:space="0" w:color="auto"/>
                        </w:tcBorders>
                      </w:tcPr>
                      <w:p>
                        <w:pPr>
                          <w:pStyle w:val="TableParagraph"/>
                          <w:spacing w:line="173" w:lineRule="exact"/>
                          <w:ind w:right="554"/>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45,554,442</w:t>
                        </w:r>
                        <w:r>
                          <w:rPr>
                            <w:rFonts w:ascii="宋体"/>
                            <w:spacing w:val="-2"/>
                            <w:sz w:val="15"/>
                          </w:rPr>
                        </w:r>
                      </w:p>
                    </w:tc>
                    <w:tc>
                      <w:tcPr>
                        <w:tcW w:w="1844" w:type="dxa"/>
                        <w:tcBorders>
                          <w:top w:val="nil" w:sz="6" w:space="0" w:color="auto"/>
                          <w:left w:val="nil" w:sz="6" w:space="0" w:color="auto"/>
                          <w:bottom w:val="nil" w:sz="6" w:space="0" w:color="auto"/>
                          <w:right w:val="nil" w:sz="6" w:space="0" w:color="auto"/>
                        </w:tcBorders>
                      </w:tcPr>
                      <w:p>
                        <w:pPr>
                          <w:pStyle w:val="TableParagraph"/>
                          <w:spacing w:line="173" w:lineRule="exact"/>
                          <w:ind w:right="383"/>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1"/>
                            <w:w w:val="100"/>
                            <w:sz w:val="15"/>
                            <w:u w:val="single" w:color="000000"/>
                          </w:rPr>
                          <w:t> </w:t>
                        </w:r>
                        <w:r>
                          <w:rPr>
                            <w:rFonts w:ascii="宋体"/>
                            <w:spacing w:val="-2"/>
                            <w:sz w:val="15"/>
                            <w:u w:val="single" w:color="000000"/>
                          </w:rPr>
                          <w:t>2,338,251</w:t>
                        </w:r>
                        <w:r>
                          <w:rPr>
                            <w:rFonts w:ascii="宋体"/>
                            <w:spacing w:val="-2"/>
                            <w:sz w:val="15"/>
                          </w:rPr>
                          <w:t> </w:t>
                        </w:r>
                        <w:r>
                          <w:rPr>
                            <w:rFonts w:ascii="宋体"/>
                            <w:sz w:val="15"/>
                          </w:rPr>
                          <w:t> </w:t>
                        </w:r>
                      </w:p>
                    </w:tc>
                    <w:tc>
                      <w:tcPr>
                        <w:tcW w:w="1997" w:type="dxa"/>
                        <w:tcBorders>
                          <w:top w:val="nil" w:sz="6" w:space="0" w:color="auto"/>
                          <w:left w:val="nil" w:sz="6" w:space="0" w:color="auto"/>
                          <w:bottom w:val="nil" w:sz="6" w:space="0" w:color="auto"/>
                          <w:right w:val="nil" w:sz="6" w:space="0" w:color="auto"/>
                        </w:tcBorders>
                      </w:tcPr>
                      <w:p>
                        <w:pPr>
                          <w:pStyle w:val="TableParagraph"/>
                          <w:spacing w:line="173" w:lineRule="exact"/>
                          <w:ind w:right="108"/>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47,892,693</w:t>
                        </w:r>
                        <w:r>
                          <w:rPr>
                            <w:rFonts w:ascii="宋体"/>
                            <w:spacing w:val="-2"/>
                            <w:sz w:val="15"/>
                          </w:rPr>
                        </w:r>
                      </w:p>
                    </w:tc>
                  </w:tr>
                  <w:tr>
                    <w:trPr>
                      <w:trHeight w:val="196" w:hRule="exact"/>
                    </w:trPr>
                    <w:tc>
                      <w:tcPr>
                        <w:tcW w:w="2673" w:type="dxa"/>
                        <w:tcBorders>
                          <w:top w:val="nil" w:sz="6" w:space="0" w:color="auto"/>
                          <w:left w:val="nil" w:sz="6" w:space="0" w:color="auto"/>
                          <w:bottom w:val="nil" w:sz="6" w:space="0" w:color="auto"/>
                          <w:right w:val="nil" w:sz="6" w:space="0" w:color="auto"/>
                        </w:tcBorders>
                      </w:tcPr>
                      <w:p>
                        <w:pPr>
                          <w:pStyle w:val="TableParagraph"/>
                          <w:tabs>
                            <w:tab w:pos="2092" w:val="left" w:leader="none"/>
                          </w:tabs>
                          <w:spacing w:line="173" w:lineRule="exact"/>
                          <w:ind w:left="35" w:right="0"/>
                          <w:jc w:val="left"/>
                          <w:rPr>
                            <w:rFonts w:ascii="宋体" w:hAnsi="宋体" w:cs="宋体" w:eastAsia="宋体" w:hint="default"/>
                            <w:sz w:val="15"/>
                            <w:szCs w:val="15"/>
                          </w:rPr>
                        </w:pPr>
                        <w:r>
                          <w:rPr>
                            <w:rFonts w:ascii="宋体" w:hAnsi="宋体" w:cs="宋体" w:eastAsia="宋体" w:hint="default"/>
                            <w:sz w:val="15"/>
                            <w:szCs w:val="15"/>
                          </w:rPr>
                          <w:t>小计</w:t>
                        </w:r>
                        <w:r>
                          <w:rPr>
                            <w:rFonts w:ascii="宋体" w:hAnsi="宋体" w:cs="宋体" w:eastAsia="宋体" w:hint="default"/>
                            <w:sz w:val="15"/>
                            <w:szCs w:val="15"/>
                          </w:rPr>
                          <w:t> </w:t>
                          <w:tab/>
                        </w:r>
                        <w:r>
                          <w:rPr>
                            <w:rFonts w:ascii="宋体" w:hAnsi="宋体" w:cs="宋体" w:eastAsia="宋体" w:hint="default"/>
                            <w:w w:val="100"/>
                            <w:sz w:val="15"/>
                            <w:szCs w:val="15"/>
                          </w:rPr>
                          <w:t> </w:t>
                        </w:r>
                      </w:p>
                    </w:tc>
                    <w:tc>
                      <w:tcPr>
                        <w:tcW w:w="1962" w:type="dxa"/>
                        <w:tcBorders>
                          <w:top w:val="nil" w:sz="6" w:space="0" w:color="auto"/>
                          <w:left w:val="nil" w:sz="6" w:space="0" w:color="auto"/>
                          <w:bottom w:val="nil" w:sz="6" w:space="0" w:color="auto"/>
                          <w:right w:val="nil" w:sz="6" w:space="0" w:color="auto"/>
                        </w:tcBorders>
                      </w:tcPr>
                      <w:p>
                        <w:pPr>
                          <w:pStyle w:val="TableParagraph"/>
                          <w:spacing w:line="173" w:lineRule="exact"/>
                          <w:ind w:right="554"/>
                          <w:jc w:val="right"/>
                          <w:rPr>
                            <w:rFonts w:ascii="宋体" w:hAnsi="宋体" w:cs="宋体" w:eastAsia="宋体" w:hint="default"/>
                            <w:sz w:val="15"/>
                            <w:szCs w:val="15"/>
                          </w:rPr>
                        </w:pPr>
                        <w:r>
                          <w:rPr>
                            <w:rFonts w:ascii="宋体"/>
                            <w:spacing w:val="1"/>
                            <w:w w:val="100"/>
                            <w:sz w:val="15"/>
                          </w:rPr>
                          <w:t> </w:t>
                        </w:r>
                        <w:r>
                          <w:rPr>
                            <w:rFonts w:ascii="宋体"/>
                            <w:spacing w:val="-2"/>
                            <w:sz w:val="15"/>
                            <w:u w:val="thick" w:color="000000"/>
                          </w:rPr>
                          <w:t>239,212,018</w:t>
                        </w:r>
                        <w:r>
                          <w:rPr>
                            <w:rFonts w:ascii="宋体"/>
                            <w:spacing w:val="-2"/>
                            <w:sz w:val="15"/>
                          </w:rPr>
                        </w:r>
                      </w:p>
                    </w:tc>
                    <w:tc>
                      <w:tcPr>
                        <w:tcW w:w="1844" w:type="dxa"/>
                        <w:tcBorders>
                          <w:top w:val="nil" w:sz="6" w:space="0" w:color="auto"/>
                          <w:left w:val="nil" w:sz="6" w:space="0" w:color="auto"/>
                          <w:bottom w:val="nil" w:sz="6" w:space="0" w:color="auto"/>
                          <w:right w:val="nil" w:sz="6" w:space="0" w:color="auto"/>
                        </w:tcBorders>
                      </w:tcPr>
                      <w:p>
                        <w:pPr>
                          <w:pStyle w:val="TableParagraph"/>
                          <w:spacing w:line="173" w:lineRule="exact"/>
                          <w:ind w:left="556" w:right="0"/>
                          <w:jc w:val="left"/>
                          <w:rPr>
                            <w:rFonts w:ascii="宋体" w:hAnsi="宋体" w:cs="宋体" w:eastAsia="宋体" w:hint="default"/>
                            <w:sz w:val="15"/>
                            <w:szCs w:val="15"/>
                          </w:rPr>
                        </w:pPr>
                        <w:r>
                          <w:rPr>
                            <w:rFonts w:ascii="宋体"/>
                            <w:w w:val="100"/>
                            <w:sz w:val="15"/>
                          </w:rPr>
                        </w:r>
                        <w:r>
                          <w:rPr>
                            <w:rFonts w:ascii="宋体"/>
                            <w:sz w:val="15"/>
                            <w:u w:val="thick" w:color="000000"/>
                          </w:rPr>
                          <w:t>51,508,986</w:t>
                        </w:r>
                        <w:r>
                          <w:rPr>
                            <w:rFonts w:ascii="宋体"/>
                            <w:sz w:val="15"/>
                          </w:rPr>
                        </w:r>
                      </w:p>
                    </w:tc>
                    <w:tc>
                      <w:tcPr>
                        <w:tcW w:w="1997" w:type="dxa"/>
                        <w:tcBorders>
                          <w:top w:val="nil" w:sz="6" w:space="0" w:color="auto"/>
                          <w:left w:val="nil" w:sz="6" w:space="0" w:color="auto"/>
                          <w:bottom w:val="nil" w:sz="6" w:space="0" w:color="auto"/>
                          <w:right w:val="nil" w:sz="6" w:space="0" w:color="auto"/>
                        </w:tcBorders>
                      </w:tcPr>
                      <w:p>
                        <w:pPr>
                          <w:pStyle w:val="TableParagraph"/>
                          <w:spacing w:line="173" w:lineRule="exact"/>
                          <w:ind w:right="108"/>
                          <w:jc w:val="right"/>
                          <w:rPr>
                            <w:rFonts w:ascii="宋体" w:hAnsi="宋体" w:cs="宋体" w:eastAsia="宋体" w:hint="default"/>
                            <w:sz w:val="15"/>
                            <w:szCs w:val="15"/>
                          </w:rPr>
                        </w:pPr>
                        <w:r>
                          <w:rPr>
                            <w:rFonts w:ascii="宋体"/>
                            <w:w w:val="100"/>
                            <w:sz w:val="15"/>
                          </w:rPr>
                        </w:r>
                        <w:r>
                          <w:rPr>
                            <w:rFonts w:ascii="宋体"/>
                            <w:spacing w:val="-1"/>
                            <w:sz w:val="15"/>
                            <w:u w:val="thick" w:color="000000"/>
                          </w:rPr>
                          <w:t>290,721,004</w:t>
                        </w:r>
                        <w:r>
                          <w:rPr>
                            <w:rFonts w:ascii="宋体"/>
                            <w:spacing w:val="-1"/>
                            <w:sz w:val="15"/>
                          </w:rPr>
                        </w:r>
                      </w:p>
                    </w:tc>
                  </w:tr>
                  <w:tr>
                    <w:trPr>
                      <w:trHeight w:val="376" w:hRule="exact"/>
                    </w:trPr>
                    <w:tc>
                      <w:tcPr>
                        <w:tcW w:w="2673" w:type="dxa"/>
                        <w:tcBorders>
                          <w:top w:val="nil" w:sz="6" w:space="0" w:color="auto"/>
                          <w:left w:val="nil" w:sz="6" w:space="0" w:color="auto"/>
                          <w:bottom w:val="nil" w:sz="6" w:space="0" w:color="auto"/>
                          <w:right w:val="nil" w:sz="6" w:space="0" w:color="auto"/>
                        </w:tcBorders>
                      </w:tcPr>
                      <w:p>
                        <w:pPr>
                          <w:pStyle w:val="TableParagraph"/>
                          <w:tabs>
                            <w:tab w:pos="2092" w:val="left" w:leader="none"/>
                          </w:tabs>
                          <w:spacing w:line="166" w:lineRule="exact"/>
                          <w:ind w:left="35" w:right="0"/>
                          <w:jc w:val="left"/>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p>
                      <w:p>
                        <w:pPr>
                          <w:pStyle w:val="TableParagraph"/>
                          <w:spacing w:line="188" w:lineRule="exact"/>
                          <w:ind w:left="35" w:right="0"/>
                          <w:jc w:val="left"/>
                          <w:rPr>
                            <w:rFonts w:ascii="宋体" w:hAnsi="宋体" w:cs="宋体" w:eastAsia="宋体" w:hint="default"/>
                            <w:sz w:val="15"/>
                            <w:szCs w:val="15"/>
                          </w:rPr>
                        </w:pPr>
                        <w:r>
                          <w:rPr>
                            <w:rFonts w:ascii="宋体" w:hAnsi="宋体" w:cs="宋体" w:eastAsia="宋体" w:hint="default"/>
                            <w:sz w:val="15"/>
                            <w:szCs w:val="15"/>
                          </w:rPr>
                          <w:t>可供出售金融工具</w:t>
                        </w:r>
                        <w:r>
                          <w:rPr>
                            <w:rFonts w:ascii="宋体" w:hAnsi="宋体" w:cs="宋体" w:eastAsia="宋体" w:hint="default"/>
                            <w:sz w:val="15"/>
                            <w:szCs w:val="15"/>
                          </w:rPr>
                          <w:t>(</w:t>
                        </w:r>
                        <w:r>
                          <w:rPr>
                            <w:rFonts w:ascii="宋体" w:hAnsi="宋体" w:cs="宋体" w:eastAsia="宋体" w:hint="default"/>
                            <w:sz w:val="15"/>
                            <w:szCs w:val="15"/>
                          </w:rPr>
                          <w:t>原金融工具</w:t>
                        </w:r>
                      </w:p>
                    </w:tc>
                    <w:tc>
                      <w:tcPr>
                        <w:tcW w:w="1962" w:type="dxa"/>
                        <w:tcBorders>
                          <w:top w:val="nil" w:sz="6" w:space="0" w:color="auto"/>
                          <w:left w:val="nil" w:sz="6" w:space="0" w:color="auto"/>
                          <w:bottom w:val="nil" w:sz="6" w:space="0" w:color="auto"/>
                          <w:right w:val="nil" w:sz="6" w:space="0" w:color="auto"/>
                        </w:tcBorders>
                      </w:tcPr>
                      <w:p>
                        <w:pPr>
                          <w:pStyle w:val="TableParagraph"/>
                          <w:spacing w:line="174" w:lineRule="exact"/>
                          <w:ind w:right="479"/>
                          <w:jc w:val="right"/>
                          <w:rPr>
                            <w:rFonts w:ascii="宋体" w:hAnsi="宋体" w:cs="宋体" w:eastAsia="宋体" w:hint="default"/>
                            <w:sz w:val="15"/>
                            <w:szCs w:val="15"/>
                          </w:rPr>
                        </w:pPr>
                        <w:r>
                          <w:rPr>
                            <w:rFonts w:ascii="宋体"/>
                            <w:w w:val="100"/>
                            <w:sz w:val="15"/>
                          </w:rPr>
                          <w:t> </w:t>
                        </w:r>
                      </w:p>
                    </w:tc>
                    <w:tc>
                      <w:tcPr>
                        <w:tcW w:w="1844" w:type="dxa"/>
                        <w:tcBorders>
                          <w:top w:val="nil" w:sz="6" w:space="0" w:color="auto"/>
                          <w:left w:val="nil" w:sz="6" w:space="0" w:color="auto"/>
                          <w:bottom w:val="nil" w:sz="6" w:space="0" w:color="auto"/>
                          <w:right w:val="nil" w:sz="6" w:space="0" w:color="auto"/>
                        </w:tcBorders>
                      </w:tcPr>
                      <w:p>
                        <w:pPr>
                          <w:pStyle w:val="TableParagraph"/>
                          <w:spacing w:line="174" w:lineRule="exact"/>
                          <w:ind w:right="458"/>
                          <w:jc w:val="right"/>
                          <w:rPr>
                            <w:rFonts w:ascii="宋体" w:hAnsi="宋体" w:cs="宋体" w:eastAsia="宋体" w:hint="default"/>
                            <w:sz w:val="15"/>
                            <w:szCs w:val="15"/>
                          </w:rPr>
                        </w:pPr>
                        <w:r>
                          <w:rPr>
                            <w:rFonts w:ascii="宋体"/>
                            <w:w w:val="100"/>
                            <w:sz w:val="15"/>
                          </w:rPr>
                          <w:t> </w:t>
                        </w:r>
                      </w:p>
                    </w:tc>
                    <w:tc>
                      <w:tcPr>
                        <w:tcW w:w="1997" w:type="dxa"/>
                        <w:tcBorders>
                          <w:top w:val="nil" w:sz="6" w:space="0" w:color="auto"/>
                          <w:left w:val="nil" w:sz="6" w:space="0" w:color="auto"/>
                          <w:bottom w:val="nil" w:sz="6" w:space="0" w:color="auto"/>
                          <w:right w:val="nil" w:sz="6" w:space="0" w:color="auto"/>
                        </w:tcBorders>
                      </w:tcPr>
                      <w:p>
                        <w:pPr>
                          <w:pStyle w:val="TableParagraph"/>
                          <w:spacing w:line="174" w:lineRule="exact"/>
                          <w:ind w:right="33"/>
                          <w:jc w:val="right"/>
                          <w:rPr>
                            <w:rFonts w:ascii="宋体" w:hAnsi="宋体" w:cs="宋体" w:eastAsia="宋体" w:hint="default"/>
                            <w:sz w:val="15"/>
                            <w:szCs w:val="15"/>
                          </w:rPr>
                        </w:pPr>
                        <w:r>
                          <w:rPr>
                            <w:rFonts w:ascii="宋体"/>
                            <w:w w:val="100"/>
                            <w:sz w:val="15"/>
                          </w:rPr>
                          <w:t> </w:t>
                        </w:r>
                      </w:p>
                    </w:tc>
                  </w:tr>
                  <w:tr>
                    <w:trPr>
                      <w:trHeight w:val="194"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15"/>
                            <w:szCs w:val="15"/>
                          </w:rPr>
                        </w:pPr>
                        <w:r>
                          <w:rPr>
                            <w:rFonts w:ascii="宋体" w:hAnsi="宋体" w:cs="宋体" w:eastAsia="宋体" w:hint="default"/>
                            <w:spacing w:val="5"/>
                            <w:sz w:val="15"/>
                            <w:szCs w:val="15"/>
                          </w:rPr>
                          <w:t>准则</w:t>
                        </w:r>
                        <w:r>
                          <w:rPr>
                            <w:rFonts w:ascii="宋体" w:hAnsi="宋体" w:cs="宋体" w:eastAsia="宋体" w:hint="default"/>
                            <w:spacing w:val="5"/>
                            <w:sz w:val="15"/>
                            <w:szCs w:val="15"/>
                          </w:rPr>
                          <w:t>)/</w:t>
                        </w:r>
                        <w:r>
                          <w:rPr>
                            <w:rFonts w:ascii="宋体" w:hAnsi="宋体" w:cs="宋体" w:eastAsia="宋体" w:hint="default"/>
                            <w:spacing w:val="5"/>
                            <w:sz w:val="15"/>
                            <w:szCs w:val="15"/>
                          </w:rPr>
                          <w:t>以公允价值计量且其变</w:t>
                        </w:r>
                      </w:p>
                    </w:tc>
                    <w:tc>
                      <w:tcPr>
                        <w:tcW w:w="1962"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997" w:type="dxa"/>
                        <w:tcBorders>
                          <w:top w:val="nil" w:sz="6" w:space="0" w:color="auto"/>
                          <w:left w:val="nil" w:sz="6" w:space="0" w:color="auto"/>
                          <w:bottom w:val="nil" w:sz="6" w:space="0" w:color="auto"/>
                          <w:right w:val="nil" w:sz="6" w:space="0" w:color="auto"/>
                        </w:tcBorders>
                      </w:tcPr>
                      <w:p>
                        <w:pPr/>
                      </w:p>
                    </w:tc>
                  </w:tr>
                  <w:tr>
                    <w:trPr>
                      <w:trHeight w:val="194"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89" w:lineRule="exact"/>
                          <w:ind w:right="502"/>
                          <w:jc w:val="right"/>
                          <w:rPr>
                            <w:rFonts w:ascii="宋体" w:hAnsi="宋体" w:cs="宋体" w:eastAsia="宋体" w:hint="default"/>
                            <w:sz w:val="15"/>
                            <w:szCs w:val="15"/>
                          </w:rPr>
                        </w:pPr>
                        <w:r>
                          <w:rPr>
                            <w:rFonts w:ascii="宋体"/>
                            <w:w w:val="100"/>
                            <w:sz w:val="15"/>
                          </w:rPr>
                          <w:t> </w:t>
                        </w:r>
                      </w:p>
                    </w:tc>
                    <w:tc>
                      <w:tcPr>
                        <w:tcW w:w="1962"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997" w:type="dxa"/>
                        <w:tcBorders>
                          <w:top w:val="nil" w:sz="6" w:space="0" w:color="auto"/>
                          <w:left w:val="nil" w:sz="6" w:space="0" w:color="auto"/>
                          <w:bottom w:val="nil" w:sz="6" w:space="0" w:color="auto"/>
                          <w:right w:val="nil" w:sz="6" w:space="0" w:color="auto"/>
                        </w:tcBorders>
                      </w:tcPr>
                      <w:p>
                        <w:pPr/>
                      </w:p>
                    </w:tc>
                  </w:tr>
                  <w:tr>
                    <w:trPr>
                      <w:trHeight w:val="209"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15"/>
                            <w:szCs w:val="15"/>
                          </w:rPr>
                        </w:pPr>
                        <w:r>
                          <w:rPr>
                            <w:rFonts w:ascii="宋体" w:hAnsi="宋体" w:cs="宋体" w:eastAsia="宋体" w:hint="default"/>
                            <w:sz w:val="15"/>
                            <w:szCs w:val="15"/>
                          </w:rPr>
                          <w:t>融资产</w:t>
                        </w:r>
                        <w:r>
                          <w:rPr>
                            <w:rFonts w:ascii="宋体" w:hAnsi="宋体" w:cs="宋体" w:eastAsia="宋体" w:hint="default"/>
                            <w:sz w:val="15"/>
                            <w:szCs w:val="15"/>
                          </w:rPr>
                          <w:t>(</w:t>
                        </w:r>
                        <w:r>
                          <w:rPr>
                            <w:rFonts w:ascii="宋体" w:hAnsi="宋体" w:cs="宋体" w:eastAsia="宋体" w:hint="default"/>
                            <w:sz w:val="15"/>
                            <w:szCs w:val="15"/>
                          </w:rPr>
                          <w:t>新金融工具准则</w:t>
                        </w:r>
                        <w:r>
                          <w:rPr>
                            <w:rFonts w:ascii="宋体" w:hAnsi="宋体" w:cs="宋体" w:eastAsia="宋体" w:hint="default"/>
                            <w:sz w:val="15"/>
                            <w:szCs w:val="15"/>
                          </w:rPr>
                          <w:t>) </w:t>
                        </w:r>
                      </w:p>
                    </w:tc>
                    <w:tc>
                      <w:tcPr>
                        <w:tcW w:w="1962" w:type="dxa"/>
                        <w:tcBorders>
                          <w:top w:val="nil" w:sz="6" w:space="0" w:color="auto"/>
                          <w:left w:val="nil" w:sz="6" w:space="0" w:color="auto"/>
                          <w:bottom w:val="nil" w:sz="6" w:space="0" w:color="auto"/>
                          <w:right w:val="nil" w:sz="6" w:space="0" w:color="auto"/>
                        </w:tcBorders>
                      </w:tcPr>
                      <w:p>
                        <w:pPr>
                          <w:pStyle w:val="TableParagraph"/>
                          <w:spacing w:line="187" w:lineRule="exact"/>
                          <w:ind w:right="554"/>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2"/>
                            <w:sz w:val="15"/>
                            <w:u w:val="single" w:color="000000"/>
                          </w:rPr>
                          <w:t>10,000,000</w:t>
                        </w:r>
                        <w:r>
                          <w:rPr>
                            <w:rFonts w:ascii="宋体"/>
                            <w:spacing w:val="-2"/>
                            <w:sz w:val="15"/>
                          </w:rPr>
                        </w:r>
                      </w:p>
                    </w:tc>
                    <w:tc>
                      <w:tcPr>
                        <w:tcW w:w="1844" w:type="dxa"/>
                        <w:tcBorders>
                          <w:top w:val="nil" w:sz="6" w:space="0" w:color="auto"/>
                          <w:left w:val="nil" w:sz="6" w:space="0" w:color="auto"/>
                          <w:bottom w:val="nil" w:sz="6" w:space="0" w:color="auto"/>
                          <w:right w:val="nil" w:sz="6" w:space="0" w:color="auto"/>
                        </w:tcBorders>
                      </w:tcPr>
                      <w:p>
                        <w:pPr>
                          <w:pStyle w:val="TableParagraph"/>
                          <w:spacing w:line="187" w:lineRule="exact"/>
                          <w:ind w:right="383"/>
                          <w:jc w:val="right"/>
                          <w:rPr>
                            <w:rFonts w:ascii="宋体" w:hAnsi="宋体" w:cs="宋体" w:eastAsia="宋体" w:hint="default"/>
                            <w:sz w:val="15"/>
                            <w:szCs w:val="15"/>
                          </w:rPr>
                        </w:pPr>
                        <w:r>
                          <w:rPr>
                            <w:rFonts w:ascii="宋体"/>
                            <w:spacing w:val="-2"/>
                            <w:sz w:val="15"/>
                          </w:rPr>
                          <w:t>(</w:t>
                        </w:r>
                        <w:r>
                          <w:rPr>
                            <w:rFonts w:ascii="宋体"/>
                            <w:spacing w:val="-2"/>
                            <w:sz w:val="15"/>
                            <w:u w:val="single" w:color="000000"/>
                          </w:rPr>
                          <w:t>10,000,000</w:t>
                        </w:r>
                        <w:r>
                          <w:rPr>
                            <w:rFonts w:ascii="宋体"/>
                            <w:spacing w:val="-2"/>
                            <w:sz w:val="15"/>
                          </w:rPr>
                          <w:t>)</w:t>
                        </w:r>
                        <w:r>
                          <w:rPr>
                            <w:rFonts w:ascii="宋体"/>
                            <w:sz w:val="15"/>
                          </w:rPr>
                          <w:t> </w:t>
                        </w:r>
                      </w:p>
                    </w:tc>
                    <w:tc>
                      <w:tcPr>
                        <w:tcW w:w="1997" w:type="dxa"/>
                        <w:tcBorders>
                          <w:top w:val="nil" w:sz="6" w:space="0" w:color="auto"/>
                          <w:left w:val="nil" w:sz="6" w:space="0" w:color="auto"/>
                          <w:bottom w:val="nil" w:sz="6" w:space="0" w:color="auto"/>
                          <w:right w:val="nil" w:sz="6" w:space="0" w:color="auto"/>
                        </w:tcBorders>
                      </w:tcPr>
                      <w:p>
                        <w:pPr>
                          <w:pStyle w:val="TableParagraph"/>
                          <w:spacing w:line="187" w:lineRule="exact"/>
                          <w:ind w:right="33"/>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w w:val="100"/>
                            <w:sz w:val="15"/>
                            <w:u w:val="single" w:color="000000"/>
                          </w:rPr>
                          <w:t> </w:t>
                        </w:r>
                        <w:r>
                          <w:rPr>
                            <w:rFonts w:ascii="宋体"/>
                            <w:spacing w:val="-2"/>
                            <w:sz w:val="15"/>
                            <w:u w:val="single" w:color="000000"/>
                          </w:rPr>
                          <w:t>-</w:t>
                        </w:r>
                        <w:r>
                          <w:rPr>
                            <w:rFonts w:ascii="宋体"/>
                            <w:spacing w:val="-2"/>
                            <w:sz w:val="15"/>
                          </w:rPr>
                        </w:r>
                        <w:r>
                          <w:rPr>
                            <w:rFonts w:ascii="宋体"/>
                            <w:sz w:val="15"/>
                          </w:rPr>
                          <w:t> </w:t>
                        </w:r>
                      </w:p>
                    </w:tc>
                  </w:tr>
                  <w:tr>
                    <w:trPr>
                      <w:trHeight w:val="194" w:hRule="exact"/>
                    </w:trPr>
                    <w:tc>
                      <w:tcPr>
                        <w:tcW w:w="2673" w:type="dxa"/>
                        <w:tcBorders>
                          <w:top w:val="nil" w:sz="6" w:space="0" w:color="auto"/>
                          <w:left w:val="nil" w:sz="6" w:space="0" w:color="auto"/>
                          <w:bottom w:val="nil" w:sz="6" w:space="0" w:color="auto"/>
                          <w:right w:val="nil" w:sz="6" w:space="0" w:color="auto"/>
                        </w:tcBorders>
                      </w:tcPr>
                      <w:p>
                        <w:pPr>
                          <w:pStyle w:val="TableParagraph"/>
                          <w:tabs>
                            <w:tab w:pos="2092" w:val="left" w:leader="none"/>
                          </w:tabs>
                          <w:spacing w:line="173" w:lineRule="exact"/>
                          <w:ind w:left="35" w:right="0"/>
                          <w:jc w:val="left"/>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t> </w:t>
                        </w:r>
                      </w:p>
                    </w:tc>
                    <w:tc>
                      <w:tcPr>
                        <w:tcW w:w="1962" w:type="dxa"/>
                        <w:tcBorders>
                          <w:top w:val="nil" w:sz="6" w:space="0" w:color="auto"/>
                          <w:left w:val="nil" w:sz="6" w:space="0" w:color="auto"/>
                          <w:bottom w:val="nil" w:sz="6" w:space="0" w:color="auto"/>
                          <w:right w:val="nil" w:sz="6" w:space="0" w:color="auto"/>
                        </w:tcBorders>
                      </w:tcPr>
                      <w:p>
                        <w:pPr>
                          <w:pStyle w:val="TableParagraph"/>
                          <w:spacing w:line="173" w:lineRule="exact"/>
                          <w:ind w:right="479"/>
                          <w:jc w:val="right"/>
                          <w:rPr>
                            <w:rFonts w:ascii="宋体" w:hAnsi="宋体" w:cs="宋体" w:eastAsia="宋体" w:hint="default"/>
                            <w:sz w:val="15"/>
                            <w:szCs w:val="15"/>
                          </w:rPr>
                        </w:pPr>
                        <w:r>
                          <w:rPr>
                            <w:rFonts w:ascii="宋体"/>
                            <w:w w:val="100"/>
                            <w:sz w:val="15"/>
                          </w:rPr>
                          <w:t> </w:t>
                        </w:r>
                      </w:p>
                    </w:tc>
                    <w:tc>
                      <w:tcPr>
                        <w:tcW w:w="1844" w:type="dxa"/>
                        <w:tcBorders>
                          <w:top w:val="nil" w:sz="6" w:space="0" w:color="auto"/>
                          <w:left w:val="nil" w:sz="6" w:space="0" w:color="auto"/>
                          <w:bottom w:val="nil" w:sz="6" w:space="0" w:color="auto"/>
                          <w:right w:val="nil" w:sz="6" w:space="0" w:color="auto"/>
                        </w:tcBorders>
                      </w:tcPr>
                      <w:p>
                        <w:pPr>
                          <w:pStyle w:val="TableParagraph"/>
                          <w:spacing w:line="173" w:lineRule="exact"/>
                          <w:ind w:right="458"/>
                          <w:jc w:val="right"/>
                          <w:rPr>
                            <w:rFonts w:ascii="宋体" w:hAnsi="宋体" w:cs="宋体" w:eastAsia="宋体" w:hint="default"/>
                            <w:sz w:val="15"/>
                            <w:szCs w:val="15"/>
                          </w:rPr>
                        </w:pPr>
                        <w:r>
                          <w:rPr>
                            <w:rFonts w:ascii="宋体"/>
                            <w:w w:val="100"/>
                            <w:sz w:val="15"/>
                          </w:rPr>
                          <w:t> </w:t>
                        </w:r>
                      </w:p>
                    </w:tc>
                    <w:tc>
                      <w:tcPr>
                        <w:tcW w:w="1997" w:type="dxa"/>
                        <w:tcBorders>
                          <w:top w:val="nil" w:sz="6" w:space="0" w:color="auto"/>
                          <w:left w:val="nil" w:sz="6" w:space="0" w:color="auto"/>
                          <w:bottom w:val="nil" w:sz="6" w:space="0" w:color="auto"/>
                          <w:right w:val="nil" w:sz="6" w:space="0" w:color="auto"/>
                        </w:tcBorders>
                      </w:tcPr>
                      <w:p>
                        <w:pPr>
                          <w:pStyle w:val="TableParagraph"/>
                          <w:spacing w:line="173" w:lineRule="exact"/>
                          <w:ind w:right="33"/>
                          <w:jc w:val="right"/>
                          <w:rPr>
                            <w:rFonts w:ascii="宋体" w:hAnsi="宋体" w:cs="宋体" w:eastAsia="宋体" w:hint="default"/>
                            <w:sz w:val="15"/>
                            <w:szCs w:val="15"/>
                          </w:rPr>
                        </w:pPr>
                        <w:r>
                          <w:rPr>
                            <w:rFonts w:ascii="宋体"/>
                            <w:w w:val="100"/>
                            <w:sz w:val="15"/>
                          </w:rPr>
                          <w:t> </w:t>
                        </w:r>
                      </w:p>
                    </w:tc>
                  </w:tr>
                  <w:tr>
                    <w:trPr>
                      <w:trHeight w:val="273" w:hRule="exact"/>
                    </w:trPr>
                    <w:tc>
                      <w:tcPr>
                        <w:tcW w:w="2673" w:type="dxa"/>
                        <w:tcBorders>
                          <w:top w:val="nil" w:sz="6" w:space="0" w:color="auto"/>
                          <w:left w:val="nil" w:sz="6" w:space="0" w:color="auto"/>
                          <w:bottom w:val="nil" w:sz="6" w:space="0" w:color="auto"/>
                          <w:right w:val="nil" w:sz="6" w:space="0" w:color="auto"/>
                        </w:tcBorders>
                      </w:tcPr>
                      <w:p>
                        <w:pPr>
                          <w:pStyle w:val="TableParagraph"/>
                          <w:tabs>
                            <w:tab w:pos="2092" w:val="left" w:leader="none"/>
                          </w:tabs>
                          <w:spacing w:line="173" w:lineRule="exact"/>
                          <w:ind w:left="35" w:right="0"/>
                          <w:jc w:val="left"/>
                          <w:rPr>
                            <w:rFonts w:ascii="宋体" w:hAnsi="宋体" w:cs="宋体" w:eastAsia="宋体" w:hint="default"/>
                            <w:sz w:val="15"/>
                            <w:szCs w:val="15"/>
                          </w:rPr>
                        </w:pPr>
                        <w:r>
                          <w:rPr>
                            <w:rFonts w:ascii="宋体" w:hAnsi="宋体" w:cs="宋体" w:eastAsia="宋体" w:hint="default"/>
                            <w:sz w:val="15"/>
                            <w:szCs w:val="15"/>
                          </w:rPr>
                          <w:t>总计</w:t>
                        </w:r>
                        <w:r>
                          <w:rPr>
                            <w:rFonts w:ascii="宋体" w:hAnsi="宋体" w:cs="宋体" w:eastAsia="宋体" w:hint="default"/>
                            <w:sz w:val="15"/>
                            <w:szCs w:val="15"/>
                          </w:rPr>
                          <w:t> </w:t>
                          <w:tab/>
                        </w:r>
                        <w:r>
                          <w:rPr>
                            <w:rFonts w:ascii="宋体" w:hAnsi="宋体" w:cs="宋体" w:eastAsia="宋体" w:hint="default"/>
                            <w:w w:val="100"/>
                            <w:sz w:val="15"/>
                            <w:szCs w:val="15"/>
                          </w:rPr>
                          <w:t> </w:t>
                        </w:r>
                      </w:p>
                    </w:tc>
                    <w:tc>
                      <w:tcPr>
                        <w:tcW w:w="1962" w:type="dxa"/>
                        <w:tcBorders>
                          <w:top w:val="nil" w:sz="6" w:space="0" w:color="auto"/>
                          <w:left w:val="nil" w:sz="6" w:space="0" w:color="auto"/>
                          <w:bottom w:val="nil" w:sz="6" w:space="0" w:color="auto"/>
                          <w:right w:val="nil" w:sz="6" w:space="0" w:color="auto"/>
                        </w:tcBorders>
                      </w:tcPr>
                      <w:p>
                        <w:pPr>
                          <w:pStyle w:val="TableParagraph"/>
                          <w:spacing w:line="173" w:lineRule="exact"/>
                          <w:ind w:right="554"/>
                          <w:jc w:val="right"/>
                          <w:rPr>
                            <w:rFonts w:ascii="宋体" w:hAnsi="宋体" w:cs="宋体" w:eastAsia="宋体" w:hint="default"/>
                            <w:sz w:val="15"/>
                            <w:szCs w:val="15"/>
                          </w:rPr>
                        </w:pPr>
                        <w:r>
                          <w:rPr>
                            <w:rFonts w:ascii="宋体"/>
                            <w:w w:val="100"/>
                            <w:sz w:val="15"/>
                          </w:rPr>
                        </w:r>
                        <w:r>
                          <w:rPr>
                            <w:rFonts w:ascii="宋体"/>
                            <w:spacing w:val="-1"/>
                            <w:sz w:val="15"/>
                            <w:u w:val="single" w:color="000000"/>
                          </w:rPr>
                          <w:t>249,212,018</w:t>
                        </w:r>
                        <w:r>
                          <w:rPr>
                            <w:rFonts w:ascii="宋体"/>
                            <w:spacing w:val="-1"/>
                            <w:sz w:val="15"/>
                          </w:rPr>
                        </w:r>
                      </w:p>
                    </w:tc>
                    <w:tc>
                      <w:tcPr>
                        <w:tcW w:w="1844" w:type="dxa"/>
                        <w:tcBorders>
                          <w:top w:val="nil" w:sz="6" w:space="0" w:color="auto"/>
                          <w:left w:val="nil" w:sz="6" w:space="0" w:color="auto"/>
                          <w:bottom w:val="nil" w:sz="6" w:space="0" w:color="auto"/>
                          <w:right w:val="nil" w:sz="6" w:space="0" w:color="auto"/>
                        </w:tcBorders>
                      </w:tcPr>
                      <w:p>
                        <w:pPr>
                          <w:pStyle w:val="TableParagraph"/>
                          <w:spacing w:line="173" w:lineRule="exact"/>
                          <w:ind w:left="556" w:right="0"/>
                          <w:jc w:val="left"/>
                          <w:rPr>
                            <w:rFonts w:ascii="宋体" w:hAnsi="宋体" w:cs="宋体" w:eastAsia="宋体" w:hint="default"/>
                            <w:sz w:val="15"/>
                            <w:szCs w:val="15"/>
                          </w:rPr>
                        </w:pPr>
                        <w:r>
                          <w:rPr>
                            <w:rFonts w:ascii="宋体"/>
                            <w:w w:val="100"/>
                            <w:sz w:val="15"/>
                          </w:rPr>
                        </w:r>
                        <w:r>
                          <w:rPr>
                            <w:rFonts w:ascii="宋体"/>
                            <w:sz w:val="15"/>
                            <w:u w:val="single" w:color="000000"/>
                          </w:rPr>
                          <w:t>41,508,986</w:t>
                        </w:r>
                        <w:r>
                          <w:rPr>
                            <w:rFonts w:ascii="宋体"/>
                            <w:sz w:val="15"/>
                          </w:rPr>
                        </w:r>
                      </w:p>
                    </w:tc>
                    <w:tc>
                      <w:tcPr>
                        <w:tcW w:w="1997" w:type="dxa"/>
                        <w:tcBorders>
                          <w:top w:val="nil" w:sz="6" w:space="0" w:color="auto"/>
                          <w:left w:val="nil" w:sz="6" w:space="0" w:color="auto"/>
                          <w:bottom w:val="nil" w:sz="6" w:space="0" w:color="auto"/>
                          <w:right w:val="nil" w:sz="6" w:space="0" w:color="auto"/>
                        </w:tcBorders>
                      </w:tcPr>
                      <w:p>
                        <w:pPr>
                          <w:pStyle w:val="TableParagraph"/>
                          <w:spacing w:line="173" w:lineRule="exact"/>
                          <w:ind w:right="108"/>
                          <w:jc w:val="right"/>
                          <w:rPr>
                            <w:rFonts w:ascii="宋体" w:hAnsi="宋体" w:cs="宋体" w:eastAsia="宋体" w:hint="default"/>
                            <w:sz w:val="15"/>
                            <w:szCs w:val="15"/>
                          </w:rPr>
                        </w:pPr>
                        <w:r>
                          <w:rPr>
                            <w:rFonts w:ascii="宋体"/>
                            <w:w w:val="100"/>
                            <w:sz w:val="15"/>
                          </w:rPr>
                        </w:r>
                        <w:r>
                          <w:rPr>
                            <w:rFonts w:ascii="宋体"/>
                            <w:spacing w:val="-1"/>
                            <w:sz w:val="15"/>
                            <w:u w:val="single" w:color="000000"/>
                          </w:rPr>
                          <w:t>290,721,004</w:t>
                        </w:r>
                        <w:r>
                          <w:rPr>
                            <w:rFonts w:ascii="宋体"/>
                            <w:spacing w:val="-1"/>
                            <w:sz w:val="15"/>
                          </w:rPr>
                        </w:r>
                      </w:p>
                    </w:tc>
                  </w:tr>
                </w:tbl>
                <w:p>
                  <w:pPr/>
                </w:p>
              </w:txbxContent>
            </v:textbox>
            <w10:wrap type="none"/>
          </v:shape>
        </w:pict>
      </w:r>
      <w:r>
        <w:rPr>
          <w:rFonts w:ascii="宋体"/>
          <w:w w:val="100"/>
          <w:sz w:val="15"/>
        </w:rPr>
        <w:t> </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4"/>
        <w:rPr>
          <w:rFonts w:ascii="宋体" w:hAnsi="宋体" w:cs="宋体" w:eastAsia="宋体" w:hint="default"/>
          <w:sz w:val="17"/>
          <w:szCs w:val="17"/>
        </w:rPr>
      </w:pPr>
    </w:p>
    <w:p>
      <w:pPr>
        <w:spacing w:line="147" w:lineRule="exact" w:before="0"/>
        <w:ind w:left="136" w:right="0" w:firstLine="0"/>
        <w:jc w:val="left"/>
        <w:rPr>
          <w:rFonts w:ascii="宋体" w:hAnsi="宋体" w:cs="宋体" w:eastAsia="宋体" w:hint="default"/>
          <w:sz w:val="15"/>
          <w:szCs w:val="15"/>
        </w:rPr>
      </w:pPr>
      <w:r>
        <w:rPr>
          <w:rFonts w:ascii="宋体" w:hAnsi="宋体" w:cs="宋体" w:eastAsia="宋体" w:hint="default"/>
          <w:sz w:val="15"/>
          <w:szCs w:val="15"/>
        </w:rPr>
        <w:t>重新计量</w:t>
      </w:r>
    </w:p>
    <w:p>
      <w:pPr>
        <w:spacing w:line="147" w:lineRule="exact" w:before="0"/>
        <w:ind w:left="0" w:right="0" w:firstLine="0"/>
        <w:jc w:val="right"/>
        <w:rPr>
          <w:rFonts w:ascii="宋体" w:hAnsi="宋体" w:cs="宋体" w:eastAsia="宋体" w:hint="default"/>
          <w:sz w:val="15"/>
          <w:szCs w:val="15"/>
        </w:rPr>
      </w:pPr>
      <w:r>
        <w:rPr>
          <w:rFonts w:ascii="宋体"/>
          <w:w w:val="100"/>
          <w:sz w:val="15"/>
        </w:rPr>
        <w:t> </w:t>
      </w:r>
      <w:r>
        <w:rPr>
          <w:rFonts w:ascii="宋体"/>
          <w:spacing w:val="-12"/>
          <w:sz w:val="15"/>
        </w:rPr>
        <w:t> </w:t>
      </w:r>
      <w:r>
        <w:rPr>
          <w:rFonts w:ascii="宋体"/>
          <w:w w:val="100"/>
          <w:sz w:val="15"/>
        </w:rPr>
        <w:t> </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4"/>
        <w:rPr>
          <w:rFonts w:ascii="宋体" w:hAnsi="宋体" w:cs="宋体" w:eastAsia="宋体" w:hint="default"/>
          <w:sz w:val="17"/>
          <w:szCs w:val="17"/>
        </w:rPr>
      </w:pPr>
    </w:p>
    <w:p>
      <w:pPr>
        <w:spacing w:before="0"/>
        <w:ind w:left="136" w:right="0" w:firstLine="0"/>
        <w:jc w:val="left"/>
        <w:rPr>
          <w:rFonts w:ascii="宋体" w:hAnsi="宋体" w:cs="宋体" w:eastAsia="宋体" w:hint="default"/>
          <w:sz w:val="15"/>
          <w:szCs w:val="15"/>
        </w:rPr>
      </w:pPr>
      <w:r>
        <w:rPr>
          <w:rFonts w:ascii="宋体" w:hAnsi="宋体" w:cs="宋体" w:eastAsia="宋体" w:hint="default"/>
          <w:sz w:val="15"/>
          <w:szCs w:val="15"/>
        </w:rPr>
        <w:t>按新金融工具准则计提损失准</w:t>
      </w:r>
    </w:p>
    <w:p>
      <w:pPr>
        <w:spacing w:after="0"/>
        <w:jc w:val="left"/>
        <w:rPr>
          <w:rFonts w:ascii="宋体" w:hAnsi="宋体" w:cs="宋体" w:eastAsia="宋体" w:hint="default"/>
          <w:sz w:val="15"/>
          <w:szCs w:val="15"/>
        </w:rPr>
        <w:sectPr>
          <w:type w:val="continuous"/>
          <w:pgSz w:w="11910" w:h="16840"/>
          <w:pgMar w:top="1120" w:bottom="1380" w:left="1140" w:right="1560"/>
          <w:cols w:num="4" w:equalWidth="0">
            <w:col w:w="978" w:space="479"/>
            <w:col w:w="2798" w:space="1052"/>
            <w:col w:w="952" w:space="118"/>
            <w:col w:w="2833"/>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before="0"/>
        <w:ind w:left="136" w:right="0" w:firstLine="0"/>
        <w:jc w:val="left"/>
        <w:rPr>
          <w:rFonts w:ascii="宋体" w:hAnsi="宋体" w:cs="宋体" w:eastAsia="宋体" w:hint="default"/>
          <w:sz w:val="15"/>
          <w:szCs w:val="15"/>
        </w:rPr>
      </w:pPr>
      <w:r>
        <w:rPr>
          <w:rFonts w:ascii="宋体" w:hAnsi="宋体" w:cs="宋体" w:eastAsia="宋体" w:hint="default"/>
          <w:spacing w:val="6"/>
          <w:sz w:val="15"/>
          <w:szCs w:val="15"/>
        </w:rPr>
        <w:t>动计入公允价值变动损益的金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pStyle w:val="BodyText"/>
        <w:spacing w:line="312" w:lineRule="exact" w:before="26"/>
        <w:ind w:right="0"/>
        <w:jc w:val="both"/>
        <w:rPr>
          <w:rFonts w:ascii="宋体" w:hAnsi="宋体" w:cs="宋体" w:eastAsia="宋体" w:hint="default"/>
        </w:rPr>
      </w:pPr>
      <w:r>
        <w:rPr/>
        <w:t>财务报表列报方式变更</w:t>
      </w:r>
      <w:r>
        <w:rPr>
          <w:rFonts w:ascii="宋体" w:hAnsi="宋体" w:cs="宋体" w:eastAsia="宋体" w:hint="default"/>
        </w:rPr>
        <w:t> </w:t>
      </w:r>
    </w:p>
    <w:p>
      <w:pPr>
        <w:pStyle w:val="BodyText"/>
        <w:spacing w:line="312" w:lineRule="exact" w:before="28"/>
        <w:ind w:right="106"/>
        <w:jc w:val="left"/>
      </w:pPr>
      <w:r>
        <w:rPr>
          <w:rFonts w:ascii="宋体" w:hAnsi="宋体" w:cs="宋体" w:eastAsia="宋体" w:hint="default"/>
        </w:rPr>
        <w:t> </w:t>
      </w:r>
      <w:r>
        <w:rPr>
          <w:spacing w:val="2"/>
        </w:rPr>
        <w:t>根据《关于修订印发</w:t>
      </w:r>
      <w:r>
        <w:rPr>
          <w:rFonts w:ascii="宋体" w:hAnsi="宋体" w:cs="宋体" w:eastAsia="宋体" w:hint="default"/>
        </w:rPr>
        <w:t>201</w:t>
      </w:r>
      <w:r>
        <w:rPr>
          <w:rFonts w:ascii="宋体" w:hAnsi="宋体" w:cs="宋体" w:eastAsia="宋体" w:hint="default"/>
          <w:spacing w:val="3"/>
        </w:rPr>
        <w:t>9</w:t>
      </w:r>
      <w:r>
        <w:rPr>
          <w:spacing w:val="2"/>
        </w:rPr>
        <w:t>年度一般企业财务报表格式的通知》（财会</w:t>
      </w:r>
      <w:r>
        <w:rPr>
          <w:rFonts w:ascii="宋体" w:hAnsi="宋体" w:cs="宋体" w:eastAsia="宋体" w:hint="default"/>
        </w:rPr>
        <w:t>[2019]</w:t>
      </w:r>
      <w:r>
        <w:rPr>
          <w:rFonts w:ascii="宋体" w:hAnsi="宋体" w:cs="宋体" w:eastAsia="宋体" w:hint="default"/>
          <w:spacing w:val="3"/>
        </w:rPr>
        <w:t>6</w:t>
      </w:r>
      <w:r>
        <w:rPr>
          <w:spacing w:val="2"/>
        </w:rPr>
        <w:t>号</w:t>
      </w:r>
      <w:r>
        <w:rPr/>
        <w:t>）和</w:t>
      </w:r>
    </w:p>
    <w:p>
      <w:pPr>
        <w:pStyle w:val="BodyText"/>
        <w:spacing w:line="310" w:lineRule="exact" w:before="1"/>
        <w:ind w:right="0"/>
        <w:jc w:val="left"/>
      </w:pPr>
      <w:r>
        <w:rPr>
          <w:spacing w:val="-2"/>
        </w:rPr>
        <w:t>《关于修订印发合并财务报表格式（</w:t>
      </w:r>
      <w:r>
        <w:rPr>
          <w:rFonts w:ascii="宋体" w:hAnsi="宋体" w:cs="宋体" w:eastAsia="宋体" w:hint="default"/>
          <w:spacing w:val="-2"/>
        </w:rPr>
        <w:t>2019</w:t>
      </w:r>
      <w:r>
        <w:rPr>
          <w:spacing w:val="-2"/>
        </w:rPr>
        <w:t>版）的通知》（财会</w:t>
      </w:r>
      <w:r>
        <w:rPr>
          <w:rFonts w:ascii="宋体" w:hAnsi="宋体" w:cs="宋体" w:eastAsia="宋体" w:hint="default"/>
          <w:spacing w:val="-2"/>
        </w:rPr>
        <w:t>[2019]16</w:t>
      </w:r>
      <w:r>
        <w:rPr>
          <w:spacing w:val="-2"/>
        </w:rPr>
        <w:t>号）要求，资</w:t>
      </w:r>
      <w:r>
        <w:rPr>
          <w:spacing w:val="-82"/>
        </w:rPr>
        <w:t> </w:t>
      </w:r>
      <w:r>
        <w:rPr>
          <w:spacing w:val="-82"/>
        </w:rPr>
      </w:r>
      <w:r>
        <w:rPr>
          <w:spacing w:val="4"/>
        </w:rPr>
        <w:t>产负债表中，“应收票据及应收账款”项目分拆为“应收票据”及“应收账款”，</w:t>
      </w:r>
    </w:p>
    <w:p>
      <w:pPr>
        <w:pStyle w:val="BodyText"/>
        <w:spacing w:line="312" w:lineRule="exact"/>
        <w:ind w:right="0"/>
        <w:jc w:val="left"/>
      </w:pPr>
      <w:r>
        <w:rPr/>
        <w:t>“应付票据及应付账款”项目分拆为“应付票据”及“应付账款”。 </w:t>
      </w:r>
      <w:r>
        <w:rPr>
          <w:rFonts w:ascii="宋体" w:hAnsi="宋体" w:cs="宋体" w:eastAsia="宋体" w:hint="default"/>
        </w:rPr>
      </w:r>
      <w:r>
        <w:rPr/>
        <w:t>“递延收益”</w:t>
      </w:r>
      <w:r>
        <w:rPr>
          <w:spacing w:val="-57"/>
        </w:rPr>
        <w:t> </w:t>
      </w:r>
      <w:r>
        <w:rPr>
          <w:spacing w:val="-57"/>
        </w:rPr>
      </w:r>
      <w:r>
        <w:rPr>
          <w:spacing w:val="-5"/>
        </w:rPr>
        <w:t>项目中摊销期限只剩一年或不足一年的，或预计在一年内（含一年）进行摊销的部分，</w:t>
      </w:r>
    </w:p>
    <w:p>
      <w:pPr>
        <w:pStyle w:val="BodyText"/>
        <w:spacing w:line="310" w:lineRule="exact" w:before="1"/>
        <w:ind w:right="0"/>
        <w:jc w:val="left"/>
      </w:pPr>
      <w:r>
        <w:rPr>
          <w:spacing w:val="-5"/>
        </w:rPr>
        <w:t>不得归类为流动负债，仍在该项目中填列，不转入“一年内到期的非流动负债”项目。</w:t>
      </w:r>
      <w:r>
        <w:rPr>
          <w:spacing w:val="-97"/>
        </w:rPr>
        <w:t> </w:t>
      </w:r>
      <w:r>
        <w:rPr>
          <w:spacing w:val="-97"/>
        </w:rPr>
      </w:r>
      <w:r>
        <w:rPr/>
        <w:t>利润表中，“研发费用”项目除反映进行研究与开发过程中发生的费用化支出外，还</w:t>
      </w:r>
    </w:p>
    <w:p>
      <w:pPr>
        <w:pStyle w:val="BodyText"/>
        <w:spacing w:line="283" w:lineRule="exact"/>
        <w:ind w:right="0"/>
        <w:jc w:val="both"/>
      </w:pPr>
      <w:r>
        <w:rPr/>
        <w:t>包括了原在“管理费用”项目中列示的自行开发无形资产的摊销；本集团相应追溯调</w:t>
      </w:r>
    </w:p>
    <w:p>
      <w:pPr>
        <w:pStyle w:val="BodyText"/>
        <w:spacing w:line="237" w:lineRule="auto" w:before="1"/>
        <w:ind w:right="187"/>
        <w:jc w:val="both"/>
        <w:rPr>
          <w:rFonts w:ascii="宋体" w:hAnsi="宋体" w:cs="宋体" w:eastAsia="宋体" w:hint="default"/>
        </w:rPr>
      </w:pPr>
      <w:r>
        <w:rPr>
          <w:spacing w:val="-2"/>
        </w:rPr>
        <w:t>整了比较数据。该会计政策变更对合并及公司净利润和所有者权益无影响。此外，随</w:t>
      </w:r>
      <w:r>
        <w:rPr>
          <w:spacing w:val="-95"/>
        </w:rPr>
        <w:t> </w:t>
      </w:r>
      <w:r>
        <w:rPr>
          <w:spacing w:val="-95"/>
        </w:rPr>
      </w:r>
      <w:r>
        <w:rPr>
          <w:spacing w:val="-2"/>
        </w:rPr>
        <w:t>本年新金融工具准则的执行，按照《关于修订印发</w:t>
      </w:r>
      <w:r>
        <w:rPr>
          <w:rFonts w:ascii="宋体" w:hAnsi="宋体" w:cs="宋体" w:eastAsia="宋体" w:hint="default"/>
          <w:spacing w:val="-2"/>
        </w:rPr>
        <w:t>2019</w:t>
      </w:r>
      <w:r>
        <w:rPr>
          <w:spacing w:val="-2"/>
        </w:rPr>
        <w:t>年度一般企业财务报表格式的</w:t>
      </w:r>
      <w:r>
        <w:rPr>
          <w:spacing w:val="-89"/>
        </w:rPr>
        <w:t> </w:t>
      </w:r>
      <w:r>
        <w:rPr/>
        <w:t>通知》（财会</w:t>
      </w:r>
      <w:r>
        <w:rPr>
          <w:rFonts w:ascii="宋体" w:hAnsi="宋体" w:cs="宋体" w:eastAsia="宋体" w:hint="default"/>
        </w:rPr>
        <w:t>[2019]6</w:t>
      </w:r>
      <w:r>
        <w:rPr/>
        <w:t>号）要求，“其他应收款”项目中的“应收利息”改为仅反映</w:t>
      </w:r>
      <w:r>
        <w:rPr>
          <w:spacing w:val="-55"/>
        </w:rPr>
        <w:t> </w:t>
      </w:r>
      <w:r>
        <w:rPr>
          <w:spacing w:val="-55"/>
        </w:rPr>
      </w:r>
      <w:r>
        <w:rPr>
          <w:spacing w:val="-2"/>
        </w:rPr>
        <w:t>相关金融工具已到期可收取但于资产负债表日尚未收到的利息（基于实际利率法计提</w:t>
      </w:r>
      <w:r>
        <w:rPr>
          <w:spacing w:val="-94"/>
        </w:rPr>
        <w:t> </w:t>
      </w:r>
      <w:r>
        <w:rPr>
          <w:spacing w:val="-94"/>
        </w:rPr>
      </w:r>
      <w:r>
        <w:rPr>
          <w:spacing w:val="4"/>
        </w:rPr>
        <w:t>的金融工具的利息包含在相应金融工具的账面余额中），“其他应付款”项目中的</w:t>
      </w:r>
      <w:r>
        <w:rPr>
          <w:spacing w:val="-96"/>
        </w:rPr>
        <w:t> </w:t>
      </w:r>
      <w:r>
        <w:rPr>
          <w:spacing w:val="-96"/>
        </w:rPr>
      </w:r>
      <w:r>
        <w:rPr>
          <w:spacing w:val="4"/>
        </w:rPr>
        <w:t>“应付利息”改为仅反映相关金融工具已到期应支付但于资产负债表日尚未支付的</w:t>
      </w:r>
      <w:r>
        <w:rPr>
          <w:spacing w:val="-103"/>
        </w:rPr>
        <w:t> </w:t>
      </w:r>
      <w:r>
        <w:rPr>
          <w:spacing w:val="-103"/>
        </w:rPr>
      </w:r>
      <w:r>
        <w:rPr/>
        <w:t>利息（基于实际利率法计提的金融工具的利息包含在相应金融工具的账面余额中）， 参照新金融工具准则的衔接规定不追溯调整比较数据。</w:t>
      </w:r>
      <w:r>
        <w:rPr>
          <w:rFonts w:ascii="宋体" w:hAnsi="宋体" w:cs="宋体" w:eastAsia="宋体" w:hint="default"/>
        </w:rPr>
        <w:t> </w:t>
      </w:r>
    </w:p>
    <w:p>
      <w:pPr>
        <w:pStyle w:val="BodyText"/>
        <w:spacing w:line="312" w:lineRule="exact" w:before="29"/>
        <w:ind w:right="0"/>
        <w:jc w:val="left"/>
        <w:rPr>
          <w:rFonts w:ascii="宋体" w:hAnsi="宋体" w:cs="宋体" w:eastAsia="宋体" w:hint="default"/>
        </w:rPr>
      </w:pPr>
      <w:r>
        <w:rPr>
          <w:rFonts w:ascii="宋体" w:hAnsi="宋体" w:cs="宋体" w:eastAsia="宋体" w:hint="default"/>
        </w:rPr>
        <w:t>  </w:t>
      </w:r>
      <w:r>
        <w:rPr/>
        <w:t>上述会计政策变更引起的追溯调整对财务报表的主要影响如下</w:t>
      </w:r>
      <w:r>
        <w:rPr>
          <w:spacing w:val="1"/>
        </w:rPr>
        <w:t>：</w:t>
      </w:r>
      <w:r>
        <w:rPr>
          <w:rFonts w:ascii="宋体" w:hAnsi="宋体" w:cs="宋体" w:eastAsia="宋体" w:hint="default"/>
        </w:rPr>
        <w:t> </w:t>
      </w:r>
    </w:p>
    <w:p>
      <w:pPr>
        <w:pStyle w:val="BodyText"/>
        <w:spacing w:line="281" w:lineRule="exact"/>
        <w:ind w:right="0"/>
        <w:jc w:val="both"/>
        <w:rPr>
          <w:rFonts w:ascii="宋体" w:hAnsi="宋体" w:cs="宋体" w:eastAsia="宋体" w:hint="default"/>
        </w:rPr>
      </w:pPr>
      <w:r>
        <w:rPr>
          <w:rFonts w:ascii="宋体"/>
        </w:rPr>
        <w:t> </w:t>
      </w:r>
    </w:p>
    <w:p>
      <w:pPr>
        <w:spacing w:after="0" w:line="281" w:lineRule="exact"/>
        <w:jc w:val="both"/>
        <w:rPr>
          <w:rFonts w:ascii="宋体" w:hAnsi="宋体" w:cs="宋体" w:eastAsia="宋体" w:hint="default"/>
        </w:rPr>
        <w:sectPr>
          <w:type w:val="continuous"/>
          <w:pgSz w:w="11910" w:h="16840"/>
          <w:pgMar w:top="1120" w:bottom="1380" w:left="1140" w:right="1560"/>
        </w:sectPr>
      </w:pPr>
    </w:p>
    <w:p>
      <w:pPr>
        <w:spacing w:line="240" w:lineRule="auto" w:before="3"/>
        <w:rPr>
          <w:rFonts w:ascii="宋体" w:hAnsi="宋体" w:cs="宋体" w:eastAsia="宋体" w:hint="default"/>
          <w:sz w:val="2"/>
          <w:szCs w:val="2"/>
        </w:rPr>
      </w:pPr>
    </w:p>
    <w:p>
      <w:pPr>
        <w:spacing w:line="20" w:lineRule="exact"/>
        <w:ind w:left="280" w:right="0" w:firstLine="0"/>
        <w:rPr>
          <w:rFonts w:ascii="宋体" w:hAnsi="宋体" w:cs="宋体" w:eastAsia="宋体" w:hint="default"/>
          <w:sz w:val="2"/>
          <w:szCs w:val="2"/>
        </w:rPr>
      </w:pPr>
      <w:r>
        <w:rPr>
          <w:rFonts w:ascii="宋体" w:hAnsi="宋体" w:cs="宋体" w:eastAsia="宋体" w:hint="default"/>
          <w:sz w:val="2"/>
          <w:szCs w:val="2"/>
        </w:rPr>
        <w:pict>
          <v:group style="width:444.1pt;height:.75pt;mso-position-horizontal-relative:char;mso-position-vertical-relative:line" coordorigin="0,0" coordsize="8882,15">
            <v:group style="position:absolute;left:7;top:7;width:8868;height:2" coordorigin="7,7" coordsize="8868,2">
              <v:shape style="position:absolute;left:7;top:7;width:8868;height:2" coordorigin="7,7" coordsize="8868,0" path="m7,7l8875,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18"/>
          <w:szCs w:val="18"/>
        </w:rPr>
      </w:pPr>
    </w:p>
    <w:p>
      <w:pPr>
        <w:pStyle w:val="BodyText"/>
        <w:spacing w:line="415" w:lineRule="auto" w:before="26"/>
        <w:ind w:left="316" w:right="8090"/>
        <w:jc w:val="left"/>
        <w:rPr>
          <w:rFonts w:ascii="宋体" w:hAnsi="宋体" w:cs="宋体" w:eastAsia="宋体" w:hint="default"/>
        </w:rPr>
      </w:pPr>
      <w:r>
        <w:rPr/>
        <w:t>本集团</w:t>
      </w:r>
      <w:r>
        <w:rPr>
          <w:rFonts w:ascii="宋体" w:hAnsi="宋体" w:cs="宋体" w:eastAsia="宋体" w:hint="default"/>
        </w:rPr>
        <w:t> 2019</w:t>
      </w:r>
      <w:r>
        <w:rPr/>
        <w:t>年</w:t>
      </w:r>
      <w:r>
        <w:rPr>
          <w:rFonts w:ascii="宋体" w:hAnsi="宋体" w:cs="宋体" w:eastAsia="宋体" w:hint="default"/>
        </w:rPr>
        <w:t> </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spacing w:line="195" w:lineRule="exact" w:before="54"/>
        <w:ind w:left="0" w:right="1817" w:firstLine="0"/>
        <w:jc w:val="right"/>
        <w:rPr>
          <w:rFonts w:ascii="宋体" w:hAnsi="宋体" w:cs="宋体" w:eastAsia="宋体" w:hint="default"/>
          <w:sz w:val="15"/>
          <w:szCs w:val="15"/>
        </w:rPr>
      </w:pPr>
      <w:r>
        <w:rPr/>
        <w:pict>
          <v:shape style="position:absolute;margin-left:53.84pt;margin-top:-24.677092pt;width:426.85pt;height:222.65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53"/>
                    <w:gridCol w:w="1345"/>
                    <w:gridCol w:w="1135"/>
                    <w:gridCol w:w="244"/>
                    <w:gridCol w:w="998"/>
                    <w:gridCol w:w="72"/>
                    <w:gridCol w:w="37"/>
                    <w:gridCol w:w="1375"/>
                    <w:gridCol w:w="71"/>
                    <w:gridCol w:w="1206"/>
                  </w:tblGrid>
                  <w:tr>
                    <w:trPr>
                      <w:trHeight w:val="178" w:hRule="exact"/>
                    </w:trPr>
                    <w:tc>
                      <w:tcPr>
                        <w:tcW w:w="2053"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151" w:lineRule="exact"/>
                          <w:ind w:right="137"/>
                          <w:jc w:val="right"/>
                          <w:rPr>
                            <w:rFonts w:ascii="宋体" w:hAnsi="宋体" w:cs="宋体" w:eastAsia="宋体" w:hint="default"/>
                            <w:sz w:val="15"/>
                            <w:szCs w:val="15"/>
                          </w:rPr>
                        </w:pPr>
                        <w:r>
                          <w:rPr>
                            <w:rFonts w:ascii="宋体" w:hAnsi="宋体" w:cs="宋体" w:eastAsia="宋体" w:hint="default"/>
                            <w:spacing w:val="-1"/>
                            <w:sz w:val="15"/>
                            <w:szCs w:val="15"/>
                          </w:rPr>
                          <w:t>会计政策变更前</w:t>
                        </w:r>
                      </w:p>
                    </w:tc>
                    <w:tc>
                      <w:tcPr>
                        <w:tcW w:w="2378" w:type="dxa"/>
                        <w:gridSpan w:val="3"/>
                        <w:tcBorders>
                          <w:top w:val="nil" w:sz="6" w:space="0" w:color="auto"/>
                          <w:left w:val="nil" w:sz="6" w:space="0" w:color="auto"/>
                          <w:bottom w:val="single" w:sz="4" w:space="0" w:color="000000"/>
                          <w:right w:val="nil" w:sz="6" w:space="0" w:color="auto"/>
                        </w:tcBorders>
                      </w:tcPr>
                      <w:p>
                        <w:pPr>
                          <w:pStyle w:val="TableParagraph"/>
                          <w:spacing w:line="151" w:lineRule="exact"/>
                          <w:ind w:left="511" w:right="0"/>
                          <w:jc w:val="left"/>
                          <w:rPr>
                            <w:rFonts w:ascii="宋体" w:hAnsi="宋体" w:cs="宋体" w:eastAsia="宋体" w:hint="default"/>
                            <w:sz w:val="15"/>
                            <w:szCs w:val="15"/>
                          </w:rPr>
                        </w:pPr>
                        <w:r>
                          <w:rPr>
                            <w:rFonts w:ascii="宋体" w:hAnsi="宋体" w:cs="宋体" w:eastAsia="宋体" w:hint="default"/>
                            <w:sz w:val="15"/>
                            <w:szCs w:val="15"/>
                          </w:rPr>
                          <w:t>新金融工具准则影响</w:t>
                        </w:r>
                        <w:r>
                          <w:rPr>
                            <w:rFonts w:ascii="宋体" w:hAnsi="宋体" w:cs="宋体" w:eastAsia="宋体" w:hint="default"/>
                            <w:sz w:val="15"/>
                            <w:szCs w:val="15"/>
                          </w:rPr>
                          <w:t> </w:t>
                        </w:r>
                      </w:p>
                    </w:tc>
                    <w:tc>
                      <w:tcPr>
                        <w:tcW w:w="72" w:type="dxa"/>
                        <w:tcBorders>
                          <w:top w:val="nil" w:sz="6" w:space="0" w:color="auto"/>
                          <w:left w:val="nil" w:sz="6" w:space="0" w:color="auto"/>
                          <w:bottom w:val="single" w:sz="4" w:space="0" w:color="000000"/>
                          <w:right w:val="nil" w:sz="6" w:space="0" w:color="auto"/>
                        </w:tcBorders>
                      </w:tcPr>
                      <w:p>
                        <w:pPr/>
                      </w:p>
                    </w:tc>
                    <w:tc>
                      <w:tcPr>
                        <w:tcW w:w="37" w:type="dxa"/>
                        <w:tcBorders>
                          <w:top w:val="nil" w:sz="6" w:space="0" w:color="auto"/>
                          <w:left w:val="nil" w:sz="6" w:space="0" w:color="auto"/>
                          <w:bottom w:val="single" w:sz="4" w:space="0" w:color="000000"/>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151" w:lineRule="exact"/>
                          <w:ind w:right="0"/>
                          <w:jc w:val="right"/>
                          <w:rPr>
                            <w:rFonts w:ascii="宋体" w:hAnsi="宋体" w:cs="宋体" w:eastAsia="宋体" w:hint="default"/>
                            <w:sz w:val="15"/>
                            <w:szCs w:val="15"/>
                          </w:rPr>
                        </w:pPr>
                        <w:r>
                          <w:rPr>
                            <w:rFonts w:ascii="宋体" w:hAnsi="宋体" w:cs="宋体" w:eastAsia="宋体" w:hint="default"/>
                            <w:spacing w:val="-1"/>
                            <w:sz w:val="15"/>
                            <w:szCs w:val="15"/>
                          </w:rPr>
                          <w:t>其他财务报表</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151" w:lineRule="exact"/>
                          <w:ind w:right="0"/>
                          <w:jc w:val="right"/>
                          <w:rPr>
                            <w:rFonts w:ascii="宋体" w:hAnsi="宋体" w:cs="宋体" w:eastAsia="宋体" w:hint="default"/>
                            <w:sz w:val="15"/>
                            <w:szCs w:val="15"/>
                          </w:rPr>
                        </w:pPr>
                        <w:r>
                          <w:rPr>
                            <w:rFonts w:ascii="宋体" w:hAnsi="宋体" w:cs="宋体" w:eastAsia="宋体" w:hint="default"/>
                            <w:spacing w:val="-1"/>
                            <w:sz w:val="15"/>
                            <w:szCs w:val="15"/>
                          </w:rPr>
                          <w:t>会计政策变更后</w:t>
                        </w:r>
                      </w:p>
                    </w:tc>
                  </w:tr>
                  <w:tr>
                    <w:trPr>
                      <w:trHeight w:val="296" w:hRule="exact"/>
                    </w:trPr>
                    <w:tc>
                      <w:tcPr>
                        <w:tcW w:w="2053" w:type="dxa"/>
                        <w:tcBorders>
                          <w:top w:val="nil" w:sz="6" w:space="0" w:color="auto"/>
                          <w:left w:val="nil" w:sz="6" w:space="0" w:color="auto"/>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Style w:val="TableParagraph"/>
                          <w:spacing w:line="177" w:lineRule="exact"/>
                          <w:ind w:right="137"/>
                          <w:jc w:val="right"/>
                          <w:rPr>
                            <w:rFonts w:ascii="宋体" w:hAnsi="宋体" w:cs="宋体" w:eastAsia="宋体" w:hint="default"/>
                            <w:sz w:val="15"/>
                            <w:szCs w:val="15"/>
                          </w:rPr>
                        </w:pPr>
                        <w:r>
                          <w:rPr>
                            <w:rFonts w:ascii="宋体" w:hAnsi="宋体" w:cs="宋体" w:eastAsia="宋体" w:hint="default"/>
                            <w:spacing w:val="-1"/>
                            <w:sz w:val="15"/>
                            <w:szCs w:val="15"/>
                          </w:rPr>
                          <w:t>2018</w:t>
                        </w:r>
                        <w:r>
                          <w:rPr>
                            <w:rFonts w:ascii="宋体" w:hAnsi="宋体" w:cs="宋体" w:eastAsia="宋体" w:hint="default"/>
                            <w:spacing w:val="-1"/>
                            <w:sz w:val="15"/>
                            <w:szCs w:val="15"/>
                          </w:rPr>
                          <w:t>年末余额</w:t>
                        </w:r>
                      </w:p>
                    </w:tc>
                    <w:tc>
                      <w:tcPr>
                        <w:tcW w:w="1135" w:type="dxa"/>
                        <w:tcBorders>
                          <w:top w:val="single" w:sz="4" w:space="0" w:color="000000"/>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hAnsi="宋体" w:cs="宋体" w:eastAsia="宋体" w:hint="default"/>
                            <w:sz w:val="15"/>
                            <w:szCs w:val="15"/>
                          </w:rPr>
                          <w:t>重分类</w:t>
                        </w:r>
                      </w:p>
                    </w:tc>
                    <w:tc>
                      <w:tcPr>
                        <w:tcW w:w="244" w:type="dxa"/>
                        <w:tcBorders>
                          <w:top w:val="single" w:sz="4" w:space="0" w:color="000000"/>
                          <w:left w:val="nil" w:sz="6" w:space="0" w:color="auto"/>
                          <w:bottom w:val="nil" w:sz="6" w:space="0" w:color="auto"/>
                          <w:right w:val="nil" w:sz="6" w:space="0" w:color="auto"/>
                        </w:tcBorders>
                      </w:tcPr>
                      <w:p>
                        <w:pPr/>
                      </w:p>
                    </w:tc>
                    <w:tc>
                      <w:tcPr>
                        <w:tcW w:w="998" w:type="dxa"/>
                        <w:tcBorders>
                          <w:top w:val="single" w:sz="4" w:space="0" w:color="000000"/>
                          <w:left w:val="nil" w:sz="6" w:space="0" w:color="auto"/>
                          <w:bottom w:val="nil" w:sz="6" w:space="0" w:color="auto"/>
                          <w:right w:val="nil" w:sz="6" w:space="0" w:color="auto"/>
                        </w:tcBorders>
                      </w:tcPr>
                      <w:p>
                        <w:pPr>
                          <w:pStyle w:val="TableParagraph"/>
                          <w:spacing w:line="172" w:lineRule="exact"/>
                          <w:ind w:right="-1"/>
                          <w:jc w:val="right"/>
                          <w:rPr>
                            <w:rFonts w:ascii="宋体" w:hAnsi="宋体" w:cs="宋体" w:eastAsia="宋体" w:hint="default"/>
                            <w:sz w:val="15"/>
                            <w:szCs w:val="15"/>
                          </w:rPr>
                        </w:pPr>
                        <w:r>
                          <w:rPr>
                            <w:rFonts w:ascii="宋体" w:hAnsi="宋体" w:cs="宋体" w:eastAsia="宋体" w:hint="default"/>
                            <w:spacing w:val="-1"/>
                            <w:sz w:val="15"/>
                            <w:szCs w:val="15"/>
                          </w:rPr>
                          <w:t>重新计量</w:t>
                        </w:r>
                      </w:p>
                    </w:tc>
                    <w:tc>
                      <w:tcPr>
                        <w:tcW w:w="72" w:type="dxa"/>
                        <w:tcBorders>
                          <w:top w:val="single" w:sz="4" w:space="0" w:color="000000"/>
                          <w:left w:val="nil" w:sz="6" w:space="0" w:color="auto"/>
                          <w:bottom w:val="nil" w:sz="6" w:space="0" w:color="auto"/>
                          <w:right w:val="nil" w:sz="6" w:space="0" w:color="auto"/>
                        </w:tcBorders>
                      </w:tcPr>
                      <w:p>
                        <w:pPr/>
                      </w:p>
                    </w:tc>
                    <w:tc>
                      <w:tcPr>
                        <w:tcW w:w="37" w:type="dxa"/>
                        <w:tcBorders>
                          <w:top w:val="single" w:sz="4" w:space="0" w:color="000000"/>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177" w:lineRule="exact"/>
                          <w:ind w:right="0"/>
                          <w:jc w:val="right"/>
                          <w:rPr>
                            <w:rFonts w:ascii="宋体" w:hAnsi="宋体" w:cs="宋体" w:eastAsia="宋体" w:hint="default"/>
                            <w:sz w:val="15"/>
                            <w:szCs w:val="15"/>
                          </w:rPr>
                        </w:pPr>
                        <w:r>
                          <w:rPr>
                            <w:rFonts w:ascii="宋体" w:hAnsi="宋体" w:cs="宋体" w:eastAsia="宋体" w:hint="default"/>
                            <w:spacing w:val="-2"/>
                            <w:sz w:val="15"/>
                            <w:szCs w:val="15"/>
                          </w:rPr>
                          <w:t>列报方式变更影响</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177" w:lineRule="exact"/>
                          <w:ind w:right="0"/>
                          <w:jc w:val="right"/>
                          <w:rPr>
                            <w:rFonts w:ascii="宋体" w:hAnsi="宋体" w:cs="宋体" w:eastAsia="宋体" w:hint="default"/>
                            <w:sz w:val="15"/>
                            <w:szCs w:val="15"/>
                          </w:rPr>
                        </w:pPr>
                        <w:r>
                          <w:rPr>
                            <w:rFonts w:ascii="宋体" w:hAnsi="宋体" w:cs="宋体" w:eastAsia="宋体" w:hint="default"/>
                            <w:spacing w:val="-1"/>
                            <w:sz w:val="15"/>
                            <w:szCs w:val="15"/>
                          </w:rPr>
                          <w:t>2019</w:t>
                        </w:r>
                        <w:r>
                          <w:rPr>
                            <w:rFonts w:ascii="宋体" w:hAnsi="宋体" w:cs="宋体" w:eastAsia="宋体" w:hint="default"/>
                            <w:spacing w:val="-1"/>
                            <w:sz w:val="15"/>
                            <w:szCs w:val="15"/>
                          </w:rPr>
                          <w:t>年初余额</w:t>
                        </w:r>
                      </w:p>
                    </w:tc>
                  </w:tr>
                  <w:tr>
                    <w:trPr>
                      <w:trHeight w:val="486"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应收票据及应收账款</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39"/>
                          <w:jc w:val="right"/>
                          <w:rPr>
                            <w:rFonts w:ascii="宋体" w:hAnsi="宋体" w:cs="宋体" w:eastAsia="宋体" w:hint="default"/>
                            <w:sz w:val="15"/>
                            <w:szCs w:val="15"/>
                          </w:rPr>
                        </w:pPr>
                        <w:r>
                          <w:rPr>
                            <w:rFonts w:ascii="宋体"/>
                            <w:spacing w:val="1"/>
                            <w:w w:val="100"/>
                            <w:sz w:val="15"/>
                          </w:rPr>
                          <w:t> </w:t>
                        </w:r>
                        <w:r>
                          <w:rPr>
                            <w:rFonts w:ascii="宋体"/>
                            <w:spacing w:val="-2"/>
                            <w:sz w:val="15"/>
                          </w:rPr>
                          <w:t>1,505,233,097</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244"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
                          <w:jc w:val="right"/>
                          <w:rPr>
                            <w:rFonts w:ascii="宋体" w:hAnsi="宋体" w:cs="宋体" w:eastAsia="宋体" w:hint="default"/>
                            <w:sz w:val="15"/>
                            <w:szCs w:val="15"/>
                          </w:rPr>
                        </w:pPr>
                        <w:r>
                          <w:rPr>
                            <w:rFonts w:ascii="宋体"/>
                            <w:w w:val="100"/>
                            <w:sz w:val="15"/>
                          </w:rPr>
                          <w:t>-</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(1,505,233,097</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r>
                  <w:tr>
                    <w:trPr>
                      <w:trHeight w:val="391"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应收票据</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38"/>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244"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173" w:lineRule="exact"/>
                          <w:ind w:left="470" w:right="0" w:firstLine="449"/>
                          <w:jc w:val="left"/>
                          <w:rPr>
                            <w:rFonts w:ascii="宋体" w:hAnsi="宋体" w:cs="宋体" w:eastAsia="宋体" w:hint="default"/>
                            <w:sz w:val="15"/>
                            <w:szCs w:val="15"/>
                          </w:rPr>
                        </w:pPr>
                        <w:r>
                          <w:rPr>
                            <w:rFonts w:ascii="宋体"/>
                            <w:w w:val="100"/>
                            <w:sz w:val="15"/>
                          </w:rPr>
                          <w:t>(</w:t>
                        </w:r>
                      </w:p>
                      <w:p>
                        <w:pPr>
                          <w:pStyle w:val="TableParagraph"/>
                          <w:spacing w:line="240" w:lineRule="auto"/>
                          <w:ind w:left="470" w:right="0"/>
                          <w:jc w:val="left"/>
                          <w:rPr>
                            <w:rFonts w:ascii="宋体" w:hAnsi="宋体" w:cs="宋体" w:eastAsia="宋体" w:hint="default"/>
                            <w:sz w:val="15"/>
                            <w:szCs w:val="15"/>
                          </w:rPr>
                        </w:pPr>
                        <w:r>
                          <w:rPr>
                            <w:rFonts w:ascii="宋体"/>
                            <w:spacing w:val="-1"/>
                            <w:sz w:val="15"/>
                          </w:rPr>
                          <w:t>292,486</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115,302,348</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115,009,862</w:t>
                        </w:r>
                      </w:p>
                    </w:tc>
                  </w:tr>
                  <w:tr>
                    <w:trPr>
                      <w:trHeight w:val="194"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应收账款</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173" w:lineRule="exact"/>
                          <w:ind w:right="138"/>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13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1243" w:type="dxa"/>
                        <w:gridSpan w:val="2"/>
                        <w:tcBorders>
                          <w:top w:val="nil" w:sz="6" w:space="0" w:color="auto"/>
                          <w:left w:val="nil" w:sz="6" w:space="0" w:color="auto"/>
                          <w:bottom w:val="nil" w:sz="6" w:space="0" w:color="auto"/>
                          <w:right w:val="nil" w:sz="6" w:space="0" w:color="auto"/>
                        </w:tcBorders>
                      </w:tcPr>
                      <w:p>
                        <w:pPr>
                          <w:pStyle w:val="TableParagraph"/>
                          <w:spacing w:line="173" w:lineRule="exact"/>
                          <w:ind w:left="189" w:right="0"/>
                          <w:jc w:val="left"/>
                          <w:rPr>
                            <w:rFonts w:ascii="宋体" w:hAnsi="宋体" w:cs="宋体" w:eastAsia="宋体" w:hint="default"/>
                            <w:sz w:val="15"/>
                            <w:szCs w:val="15"/>
                          </w:rPr>
                        </w:pPr>
                        <w:r>
                          <w:rPr>
                            <w:rFonts w:ascii="宋体"/>
                            <w:spacing w:val="1"/>
                            <w:w w:val="100"/>
                            <w:sz w:val="15"/>
                          </w:rPr>
                          <w:t> </w:t>
                        </w:r>
                        <w:r>
                          <w:rPr>
                            <w:rFonts w:ascii="宋体"/>
                            <w:sz w:val="15"/>
                          </w:rPr>
                          <w:t>(</w:t>
                        </w:r>
                        <w:r>
                          <w:rPr>
                            <w:rFonts w:ascii="宋体"/>
                            <w:spacing w:val="67"/>
                            <w:sz w:val="15"/>
                          </w:rPr>
                          <w:t> </w:t>
                        </w:r>
                        <w:r>
                          <w:rPr>
                            <w:rFonts w:ascii="宋体"/>
                            <w:sz w:val="15"/>
                          </w:rPr>
                          <w:t>66,516,282</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1,389,930,749</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1,323,414,467</w:t>
                        </w:r>
                      </w:p>
                    </w:tc>
                  </w:tr>
                  <w:tr>
                    <w:trPr>
                      <w:trHeight w:val="194"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其他应收款</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173" w:lineRule="exact"/>
                          <w:ind w:right="139"/>
                          <w:jc w:val="right"/>
                          <w:rPr>
                            <w:rFonts w:ascii="宋体" w:hAnsi="宋体" w:cs="宋体" w:eastAsia="宋体" w:hint="default"/>
                            <w:sz w:val="15"/>
                            <w:szCs w:val="15"/>
                          </w:rPr>
                        </w:pPr>
                        <w:r>
                          <w:rPr>
                            <w:rFonts w:ascii="宋体"/>
                            <w:spacing w:val="1"/>
                            <w:w w:val="100"/>
                            <w:sz w:val="15"/>
                          </w:rPr>
                          <w:t> </w:t>
                        </w:r>
                        <w:r>
                          <w:rPr>
                            <w:rFonts w:ascii="宋体"/>
                            <w:spacing w:val="-2"/>
                            <w:sz w:val="15"/>
                          </w:rPr>
                          <w:t>393,441,377</w:t>
                        </w:r>
                      </w:p>
                    </w:tc>
                    <w:tc>
                      <w:tcPr>
                        <w:tcW w:w="113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244"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1,534,476</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sz w:val="15"/>
                          </w:rPr>
                          <w:t>394,975,853</w:t>
                        </w:r>
                      </w:p>
                    </w:tc>
                  </w:tr>
                  <w:tr>
                    <w:trPr>
                      <w:trHeight w:val="194"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可供出售金融资产</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173" w:lineRule="exact"/>
                          <w:ind w:right="139"/>
                          <w:jc w:val="right"/>
                          <w:rPr>
                            <w:rFonts w:ascii="宋体" w:hAnsi="宋体" w:cs="宋体" w:eastAsia="宋体" w:hint="default"/>
                            <w:sz w:val="15"/>
                            <w:szCs w:val="15"/>
                          </w:rPr>
                        </w:pPr>
                        <w:r>
                          <w:rPr>
                            <w:rFonts w:ascii="宋体"/>
                            <w:spacing w:val="1"/>
                            <w:w w:val="100"/>
                            <w:sz w:val="15"/>
                          </w:rPr>
                          <w:t> </w:t>
                        </w:r>
                        <w:r>
                          <w:rPr>
                            <w:rFonts w:ascii="宋体"/>
                            <w:spacing w:val="-2"/>
                            <w:sz w:val="15"/>
                          </w:rPr>
                          <w:t>677,081,266</w:t>
                        </w:r>
                      </w:p>
                    </w:tc>
                    <w:tc>
                      <w:tcPr>
                        <w:tcW w:w="11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(677,081,266</w:t>
                        </w:r>
                      </w:p>
                    </w:tc>
                    <w:tc>
                      <w:tcPr>
                        <w:tcW w:w="244" w:type="dxa"/>
                        <w:tcBorders>
                          <w:top w:val="nil" w:sz="6" w:space="0" w:color="auto"/>
                          <w:left w:val="nil" w:sz="6" w:space="0" w:color="auto"/>
                          <w:bottom w:val="nil" w:sz="6" w:space="0" w:color="auto"/>
                          <w:right w:val="nil" w:sz="6" w:space="0" w:color="auto"/>
                        </w:tcBorders>
                      </w:tcPr>
                      <w:p>
                        <w:pPr>
                          <w:pStyle w:val="TableParagraph"/>
                          <w:spacing w:line="173" w:lineRule="exact"/>
                          <w:ind w:left="-3" w:right="0"/>
                          <w:jc w:val="left"/>
                          <w:rPr>
                            <w:rFonts w:ascii="宋体" w:hAnsi="宋体" w:cs="宋体" w:eastAsia="宋体" w:hint="default"/>
                            <w:sz w:val="15"/>
                            <w:szCs w:val="15"/>
                          </w:rPr>
                        </w:pPr>
                        <w:r>
                          <w:rPr>
                            <w:rFonts w:ascii="宋体"/>
                            <w:w w:val="100"/>
                            <w:sz w:val="15"/>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r>
                  <w:tr>
                    <w:trPr>
                      <w:trHeight w:val="292"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173" w:lineRule="exact"/>
                          <w:ind w:left="255" w:right="0"/>
                          <w:jc w:val="left"/>
                          <w:rPr>
                            <w:rFonts w:ascii="宋体" w:hAnsi="宋体" w:cs="宋体" w:eastAsia="宋体" w:hint="default"/>
                            <w:sz w:val="15"/>
                            <w:szCs w:val="15"/>
                          </w:rPr>
                        </w:pPr>
                        <w:r>
                          <w:rPr>
                            <w:rFonts w:ascii="宋体" w:hAnsi="宋体" w:cs="宋体" w:eastAsia="宋体" w:hint="default"/>
                            <w:sz w:val="15"/>
                            <w:szCs w:val="15"/>
                          </w:rPr>
                          <w:t>其他非流动金融资产</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173" w:lineRule="exact"/>
                          <w:ind w:right="138"/>
                          <w:jc w:val="right"/>
                          <w:rPr>
                            <w:rFonts w:ascii="宋体" w:hAnsi="宋体" w:cs="宋体" w:eastAsia="宋体" w:hint="default"/>
                            <w:sz w:val="15"/>
                            <w:szCs w:val="15"/>
                          </w:rPr>
                        </w:pPr>
                        <w:r>
                          <w:rPr>
                            <w:rFonts w:ascii="宋体"/>
                            <w:w w:val="100"/>
                            <w:sz w:val="15"/>
                          </w:rPr>
                          <w:t>-</w:t>
                        </w:r>
                      </w:p>
                    </w:tc>
                    <w:tc>
                      <w:tcPr>
                        <w:tcW w:w="113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sz w:val="15"/>
                          </w:rPr>
                          <w:t>677,081,266</w:t>
                        </w:r>
                      </w:p>
                    </w:tc>
                    <w:tc>
                      <w:tcPr>
                        <w:tcW w:w="244"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sz w:val="15"/>
                          </w:rPr>
                          <w:t>167,669,491</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sz w:val="15"/>
                          </w:rPr>
                          <w:t>844,750,757</w:t>
                        </w:r>
                      </w:p>
                    </w:tc>
                  </w:tr>
                  <w:tr>
                    <w:trPr>
                      <w:trHeight w:val="389"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11"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其他流动资产</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39"/>
                          <w:jc w:val="right"/>
                          <w:rPr>
                            <w:rFonts w:ascii="宋体" w:hAnsi="宋体" w:cs="宋体" w:eastAsia="宋体" w:hint="default"/>
                            <w:sz w:val="15"/>
                            <w:szCs w:val="15"/>
                          </w:rPr>
                        </w:pPr>
                        <w:r>
                          <w:rPr>
                            <w:rFonts w:ascii="宋体"/>
                            <w:spacing w:val="-1"/>
                            <w:sz w:val="15"/>
                          </w:rPr>
                          <w:t>823,208,213</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spacing w:val="-2"/>
                            <w:sz w:val="15"/>
                          </w:rPr>
                          <w:t>(411,143,000</w:t>
                        </w:r>
                      </w:p>
                    </w:tc>
                    <w:tc>
                      <w:tcPr>
                        <w:tcW w:w="244"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 w:right="0"/>
                          <w:jc w:val="left"/>
                          <w:rPr>
                            <w:rFonts w:ascii="宋体" w:hAnsi="宋体" w:cs="宋体" w:eastAsia="宋体" w:hint="default"/>
                            <w:sz w:val="15"/>
                            <w:szCs w:val="15"/>
                          </w:rPr>
                        </w:pPr>
                        <w:r>
                          <w:rPr>
                            <w:rFonts w:ascii="宋体"/>
                            <w:w w:val="100"/>
                            <w:sz w:val="15"/>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412,065,213</w:t>
                        </w:r>
                      </w:p>
                    </w:tc>
                  </w:tr>
                  <w:tr>
                    <w:trPr>
                      <w:trHeight w:val="292"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48" w:right="0"/>
                          <w:jc w:val="left"/>
                          <w:rPr>
                            <w:rFonts w:ascii="宋体" w:hAnsi="宋体" w:cs="宋体" w:eastAsia="宋体" w:hint="default"/>
                            <w:sz w:val="15"/>
                            <w:szCs w:val="15"/>
                          </w:rPr>
                        </w:pPr>
                        <w:r>
                          <w:rPr>
                            <w:rFonts w:ascii="宋体" w:hAnsi="宋体" w:cs="宋体" w:eastAsia="宋体" w:hint="default"/>
                            <w:sz w:val="15"/>
                            <w:szCs w:val="15"/>
                          </w:rPr>
                          <w:t>交易性金融资产</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40"/>
                          <w:jc w:val="right"/>
                          <w:rPr>
                            <w:rFonts w:ascii="宋体" w:hAnsi="宋体" w:cs="宋体" w:eastAsia="宋体" w:hint="default"/>
                            <w:sz w:val="15"/>
                            <w:szCs w:val="15"/>
                          </w:rPr>
                        </w:pPr>
                        <w:r>
                          <w:rPr>
                            <w:rFonts w:ascii="宋体"/>
                            <w:w w:val="100"/>
                            <w:sz w:val="15"/>
                          </w:rPr>
                          <w:t>-</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
                          <w:jc w:val="right"/>
                          <w:rPr>
                            <w:rFonts w:ascii="宋体" w:hAnsi="宋体" w:cs="宋体" w:eastAsia="宋体" w:hint="default"/>
                            <w:sz w:val="15"/>
                            <w:szCs w:val="15"/>
                          </w:rPr>
                        </w:pPr>
                        <w:r>
                          <w:rPr>
                            <w:rFonts w:ascii="宋体"/>
                            <w:spacing w:val="-1"/>
                            <w:sz w:val="15"/>
                          </w:rPr>
                          <w:t>411,143,000</w:t>
                        </w:r>
                      </w:p>
                    </w:tc>
                    <w:tc>
                      <w:tcPr>
                        <w:tcW w:w="244"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0"/>
                          <w:jc w:val="right"/>
                          <w:rPr>
                            <w:rFonts w:ascii="宋体" w:hAnsi="宋体" w:cs="宋体" w:eastAsia="宋体" w:hint="default"/>
                            <w:sz w:val="15"/>
                            <w:szCs w:val="15"/>
                          </w:rPr>
                        </w:pPr>
                        <w:r>
                          <w:rPr>
                            <w:rFonts w:ascii="宋体"/>
                            <w:spacing w:val="-1"/>
                            <w:sz w:val="15"/>
                          </w:rPr>
                          <w:t>10,743,644</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
                          <w:jc w:val="right"/>
                          <w:rPr>
                            <w:rFonts w:ascii="宋体" w:hAnsi="宋体" w:cs="宋体" w:eastAsia="宋体" w:hint="default"/>
                            <w:sz w:val="15"/>
                            <w:szCs w:val="15"/>
                          </w:rPr>
                        </w:pPr>
                        <w:r>
                          <w:rPr>
                            <w:rFonts w:ascii="宋体"/>
                            <w:w w:val="100"/>
                            <w:sz w:val="15"/>
                          </w:rPr>
                          <w:t>-</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
                          <w:jc w:val="right"/>
                          <w:rPr>
                            <w:rFonts w:ascii="宋体" w:hAnsi="宋体" w:cs="宋体" w:eastAsia="宋体" w:hint="default"/>
                            <w:sz w:val="15"/>
                            <w:szCs w:val="15"/>
                          </w:rPr>
                        </w:pPr>
                        <w:r>
                          <w:rPr>
                            <w:rFonts w:ascii="宋体"/>
                            <w:spacing w:val="-1"/>
                            <w:sz w:val="15"/>
                          </w:rPr>
                          <w:t>421,886,644</w:t>
                        </w:r>
                      </w:p>
                    </w:tc>
                  </w:tr>
                  <w:tr>
                    <w:trPr>
                      <w:trHeight w:val="292"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173" w:lineRule="exact"/>
                          <w:ind w:left="248" w:right="0"/>
                          <w:jc w:val="left"/>
                          <w:rPr>
                            <w:rFonts w:ascii="宋体" w:hAnsi="宋体" w:cs="宋体" w:eastAsia="宋体" w:hint="default"/>
                            <w:sz w:val="15"/>
                            <w:szCs w:val="15"/>
                          </w:rPr>
                        </w:pPr>
                        <w:r>
                          <w:rPr>
                            <w:rFonts w:ascii="宋体" w:hAnsi="宋体" w:cs="宋体" w:eastAsia="宋体" w:hint="default"/>
                            <w:sz w:val="15"/>
                            <w:szCs w:val="15"/>
                          </w:rPr>
                          <w:t>一年内到期的非流动负债</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173" w:lineRule="exact"/>
                          <w:ind w:right="139"/>
                          <w:jc w:val="right"/>
                          <w:rPr>
                            <w:rFonts w:ascii="宋体" w:hAnsi="宋体" w:cs="宋体" w:eastAsia="宋体" w:hint="default"/>
                            <w:sz w:val="15"/>
                            <w:szCs w:val="15"/>
                          </w:rPr>
                        </w:pPr>
                        <w:r>
                          <w:rPr>
                            <w:rFonts w:ascii="宋体"/>
                            <w:spacing w:val="-1"/>
                            <w:sz w:val="15"/>
                          </w:rPr>
                          <w:t>157,441,377</w:t>
                        </w:r>
                      </w:p>
                    </w:tc>
                    <w:tc>
                      <w:tcPr>
                        <w:tcW w:w="1135"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w w:val="100"/>
                            <w:sz w:val="15"/>
                          </w:rPr>
                          <w:t>-</w:t>
                        </w:r>
                      </w:p>
                    </w:tc>
                    <w:tc>
                      <w:tcPr>
                        <w:tcW w:w="244"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t>-</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z w:val="15"/>
                          </w:rPr>
                          <w:t>( </w:t>
                        </w:r>
                        <w:r>
                          <w:rPr>
                            <w:rFonts w:ascii="宋体"/>
                            <w:spacing w:val="69"/>
                            <w:sz w:val="15"/>
                          </w:rPr>
                          <w:t> </w:t>
                        </w:r>
                        <w:r>
                          <w:rPr>
                            <w:rFonts w:ascii="宋体"/>
                            <w:sz w:val="15"/>
                          </w:rPr>
                          <w:t>23,970,150</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sz w:val="15"/>
                          </w:rPr>
                          <w:t>133,471,227</w:t>
                        </w:r>
                      </w:p>
                    </w:tc>
                  </w:tr>
                  <w:tr>
                    <w:trPr>
                      <w:trHeight w:val="389"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48" w:right="0"/>
                          <w:jc w:val="left"/>
                          <w:rPr>
                            <w:rFonts w:ascii="宋体" w:hAnsi="宋体" w:cs="宋体" w:eastAsia="宋体" w:hint="default"/>
                            <w:sz w:val="15"/>
                            <w:szCs w:val="15"/>
                          </w:rPr>
                        </w:pPr>
                        <w:r>
                          <w:rPr>
                            <w:rFonts w:ascii="宋体" w:hAnsi="宋体" w:cs="宋体" w:eastAsia="宋体" w:hint="default"/>
                            <w:sz w:val="15"/>
                            <w:szCs w:val="15"/>
                          </w:rPr>
                          <w:t>递延收益</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39"/>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sz w:val="15"/>
                          </w:rPr>
                          <w:t>31,456,778</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0"/>
                          <w:jc w:val="right"/>
                          <w:rPr>
                            <w:rFonts w:ascii="宋体" w:hAnsi="宋体" w:cs="宋体" w:eastAsia="宋体" w:hint="default"/>
                            <w:sz w:val="15"/>
                            <w:szCs w:val="15"/>
                          </w:rPr>
                        </w:pPr>
                        <w:r>
                          <w:rPr>
                            <w:rFonts w:ascii="宋体"/>
                            <w:w w:val="100"/>
                            <w:sz w:val="15"/>
                          </w:rPr>
                          <w:t>-</w:t>
                        </w:r>
                      </w:p>
                    </w:tc>
                    <w:tc>
                      <w:tcPr>
                        <w:tcW w:w="244"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w w:val="100"/>
                            <w:sz w:val="15"/>
                          </w:rPr>
                          <w:t>-</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2"/>
                            <w:sz w:val="15"/>
                          </w:rPr>
                          <w:t>23,970,150</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2"/>
                            <w:sz w:val="15"/>
                          </w:rPr>
                          <w:t>55,426,928</w:t>
                        </w:r>
                      </w:p>
                    </w:tc>
                  </w:tr>
                  <w:tr>
                    <w:trPr>
                      <w:trHeight w:val="276"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48" w:right="0"/>
                          <w:jc w:val="left"/>
                          <w:rPr>
                            <w:rFonts w:ascii="宋体" w:hAnsi="宋体" w:cs="宋体" w:eastAsia="宋体" w:hint="default"/>
                            <w:sz w:val="15"/>
                            <w:szCs w:val="15"/>
                          </w:rPr>
                        </w:pPr>
                        <w:r>
                          <w:rPr>
                            <w:rFonts w:ascii="宋体" w:hAnsi="宋体" w:cs="宋体" w:eastAsia="宋体" w:hint="default"/>
                            <w:sz w:val="15"/>
                            <w:szCs w:val="15"/>
                          </w:rPr>
                          <w:t>其他综合收益</w:t>
                        </w:r>
                        <w:r>
                          <w:rPr>
                            <w:rFonts w:ascii="宋体" w:hAnsi="宋体" w:cs="宋体" w:eastAsia="宋体" w:hint="default"/>
                            <w:sz w:val="15"/>
                            <w:szCs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39"/>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sz w:val="15"/>
                            <w:u w:val="single" w:color="000000"/>
                          </w:rPr>
                          <w:t>29,662,129</w:t>
                        </w:r>
                        <w:r>
                          <w:rPr>
                            <w:rFonts w:ascii="宋体"/>
                            <w:spacing w:val="-2"/>
                            <w:sz w:val="15"/>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spacing w:val="-1"/>
                            <w:sz w:val="15"/>
                          </w:rPr>
                          <w:t>(</w:t>
                        </w:r>
                        <w:r>
                          <w:rPr>
                            <w:rFonts w:ascii="宋体"/>
                            <w:spacing w:val="-1"/>
                            <w:sz w:val="15"/>
                            <w:u w:val="single" w:color="000000"/>
                          </w:rPr>
                          <w:t>29,662,129</w:t>
                        </w:r>
                        <w:r>
                          <w:rPr>
                            <w:rFonts w:ascii="宋体"/>
                            <w:spacing w:val="-1"/>
                            <w:sz w:val="15"/>
                          </w:rPr>
                        </w:r>
                      </w:p>
                    </w:tc>
                    <w:tc>
                      <w:tcPr>
                        <w:tcW w:w="244"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 w:right="0"/>
                          <w:jc w:val="left"/>
                          <w:rPr>
                            <w:rFonts w:ascii="宋体" w:hAnsi="宋体" w:cs="宋体" w:eastAsia="宋体" w:hint="default"/>
                            <w:sz w:val="15"/>
                            <w:szCs w:val="15"/>
                          </w:rPr>
                        </w:pPr>
                        <w:r>
                          <w:rPr>
                            <w:rFonts w:ascii="宋体"/>
                            <w:w w:val="100"/>
                            <w:sz w:val="15"/>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w w:val="100"/>
                            <w:sz w:val="15"/>
                          </w:rPr>
                          <w:t>-</w:t>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w w:val="100"/>
                            <w:sz w:val="15"/>
                          </w:rPr>
                          <w:t>-</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0"/>
                          <w:jc w:val="right"/>
                          <w:rPr>
                            <w:rFonts w:ascii="宋体" w:hAnsi="宋体" w:cs="宋体" w:eastAsia="宋体" w:hint="default"/>
                            <w:sz w:val="15"/>
                            <w:szCs w:val="15"/>
                          </w:rPr>
                        </w:pPr>
                        <w:r>
                          <w:rPr>
                            <w:rFonts w:ascii="宋体"/>
                            <w:w w:val="100"/>
                            <w:sz w:val="15"/>
                          </w:rPr>
                          <w:t>-</w:t>
                        </w:r>
                      </w:p>
                    </w:tc>
                  </w:tr>
                  <w:tr>
                    <w:trPr>
                      <w:trHeight w:val="307"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188" w:lineRule="exact"/>
                          <w:ind w:left="284" w:right="0"/>
                          <w:jc w:val="left"/>
                          <w:rPr>
                            <w:rFonts w:ascii="宋体" w:hAnsi="宋体" w:cs="宋体" w:eastAsia="宋体" w:hint="default"/>
                            <w:sz w:val="15"/>
                            <w:szCs w:val="15"/>
                          </w:rPr>
                        </w:pPr>
                        <w:r>
                          <w:rPr>
                            <w:rFonts w:ascii="宋体"/>
                            <w:w w:val="100"/>
                            <w:sz w:val="15"/>
                          </w:rPr>
                          <w:t> </w:t>
                        </w:r>
                      </w:p>
                    </w:tc>
                    <w:tc>
                      <w:tcPr>
                        <w:tcW w:w="1345"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
                    </w:tc>
                  </w:tr>
                  <w:tr>
                    <w:trPr>
                      <w:trHeight w:val="282"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84" w:right="0"/>
                          <w:jc w:val="left"/>
                          <w:rPr>
                            <w:rFonts w:ascii="宋体" w:hAnsi="宋体" w:cs="宋体" w:eastAsia="宋体" w:hint="default"/>
                            <w:sz w:val="15"/>
                            <w:szCs w:val="15"/>
                          </w:rPr>
                        </w:pPr>
                        <w:r>
                          <w:rPr>
                            <w:rFonts w:ascii="宋体"/>
                            <w:w w:val="100"/>
                            <w:sz w:val="15"/>
                          </w:rPr>
                          <w:t> </w:t>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39"/>
                          <w:jc w:val="right"/>
                          <w:rPr>
                            <w:rFonts w:ascii="宋体" w:hAnsi="宋体" w:cs="宋体" w:eastAsia="宋体" w:hint="default"/>
                            <w:sz w:val="15"/>
                            <w:szCs w:val="15"/>
                          </w:rPr>
                        </w:pPr>
                        <w:r>
                          <w:rPr>
                            <w:rFonts w:ascii="宋体"/>
                            <w:w w:val="100"/>
                            <w:sz w:val="15"/>
                          </w:rPr>
                        </w:r>
                        <w:r>
                          <w:rPr>
                            <w:rFonts w:ascii="宋体"/>
                            <w:spacing w:val="-2"/>
                            <w:sz w:val="15"/>
                            <w:u w:val="single" w:color="000000"/>
                          </w:rPr>
                          <w:t>3,617,524,237</w:t>
                        </w:r>
                        <w:r>
                          <w:rPr>
                            <w:rFonts w:ascii="宋体"/>
                            <w:spacing w:val="-2"/>
                            <w:sz w:val="15"/>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spacing w:val="-1"/>
                            <w:sz w:val="15"/>
                          </w:rPr>
                          <w:t>(</w:t>
                        </w:r>
                        <w:r>
                          <w:rPr>
                            <w:rFonts w:ascii="宋体"/>
                            <w:spacing w:val="-1"/>
                            <w:sz w:val="15"/>
                            <w:u w:val="single" w:color="000000"/>
                          </w:rPr>
                          <w:t>29,662,129</w:t>
                        </w:r>
                        <w:r>
                          <w:rPr>
                            <w:rFonts w:ascii="宋体"/>
                            <w:spacing w:val="-1"/>
                            <w:sz w:val="15"/>
                          </w:rPr>
                        </w:r>
                      </w:p>
                    </w:tc>
                    <w:tc>
                      <w:tcPr>
                        <w:tcW w:w="244"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 w:right="0"/>
                          <w:jc w:val="left"/>
                          <w:rPr>
                            <w:rFonts w:ascii="宋体" w:hAnsi="宋体" w:cs="宋体" w:eastAsia="宋体" w:hint="default"/>
                            <w:sz w:val="15"/>
                            <w:szCs w:val="15"/>
                          </w:rPr>
                        </w:pPr>
                        <w:r>
                          <w:rPr>
                            <w:rFonts w:ascii="宋体"/>
                            <w:w w:val="100"/>
                            <w:sz w:val="15"/>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0"/>
                          <w:jc w:val="right"/>
                          <w:rPr>
                            <w:rFonts w:ascii="宋体" w:hAnsi="宋体" w:cs="宋体" w:eastAsia="宋体" w:hint="default"/>
                            <w:sz w:val="15"/>
                            <w:szCs w:val="15"/>
                          </w:rPr>
                        </w:pPr>
                        <w:r>
                          <w:rPr>
                            <w:rFonts w:ascii="宋体"/>
                            <w:w w:val="100"/>
                            <w:sz w:val="15"/>
                          </w:rPr>
                        </w:r>
                        <w:r>
                          <w:rPr>
                            <w:rFonts w:ascii="宋体"/>
                            <w:spacing w:val="-1"/>
                            <w:sz w:val="15"/>
                            <w:u w:val="single" w:color="000000"/>
                          </w:rPr>
                          <w:t>113,138,843</w:t>
                        </w:r>
                        <w:r>
                          <w:rPr>
                            <w:rFonts w:ascii="宋体"/>
                            <w:spacing w:val="-1"/>
                            <w:sz w:val="15"/>
                          </w:rPr>
                        </w:r>
                      </w:p>
                    </w:tc>
                    <w:tc>
                      <w:tcPr>
                        <w:tcW w:w="72" w:type="dxa"/>
                        <w:tcBorders>
                          <w:top w:val="nil" w:sz="6" w:space="0" w:color="auto"/>
                          <w:left w:val="nil" w:sz="6" w:space="0" w:color="auto"/>
                          <w:bottom w:val="nil" w:sz="6" w:space="0" w:color="auto"/>
                          <w:right w:val="nil" w:sz="6" w:space="0" w:color="auto"/>
                        </w:tcBorders>
                      </w:tcPr>
                      <w:p>
                        <w:pPr/>
                      </w:p>
                    </w:tc>
                    <w:tc>
                      <w:tcPr>
                        <w:tcW w:w="37"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w w:val="100"/>
                            <w:sz w:val="15"/>
                          </w:rPr>
                          <w:t>-</w:t>
                        </w:r>
                      </w:p>
                    </w:tc>
                    <w:tc>
                      <w:tcPr>
                        <w:tcW w:w="71"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w w:val="100"/>
                            <w:sz w:val="15"/>
                          </w:rPr>
                        </w:r>
                        <w:r>
                          <w:rPr>
                            <w:rFonts w:ascii="宋体"/>
                            <w:spacing w:val="-2"/>
                            <w:sz w:val="15"/>
                            <w:u w:val="single" w:color="000000"/>
                          </w:rPr>
                          <w:t>3,701,000,951</w:t>
                        </w:r>
                        <w:r>
                          <w:rPr>
                            <w:rFonts w:ascii="宋体"/>
                            <w:spacing w:val="-2"/>
                            <w:sz w:val="15"/>
                          </w:rPr>
                        </w:r>
                      </w:p>
                    </w:tc>
                  </w:tr>
                </w:tbl>
                <w:p>
                  <w:pPr/>
                </w:p>
              </w:txbxContent>
            </v:textbox>
            <w10:wrap type="none"/>
          </v:shape>
        </w:pict>
      </w:r>
      <w:r>
        <w:rPr>
          <w:rFonts w:ascii="宋体"/>
          <w:w w:val="100"/>
          <w:sz w:val="15"/>
        </w:rPr>
        <w:t>)</w:t>
      </w:r>
    </w:p>
    <w:p>
      <w:pPr>
        <w:spacing w:line="194" w:lineRule="exact" w:before="0"/>
        <w:ind w:left="0" w:right="1817" w:firstLine="0"/>
        <w:jc w:val="right"/>
        <w:rPr>
          <w:rFonts w:ascii="宋体" w:hAnsi="宋体" w:cs="宋体" w:eastAsia="宋体" w:hint="default"/>
          <w:sz w:val="15"/>
          <w:szCs w:val="15"/>
        </w:rPr>
      </w:pPr>
      <w:r>
        <w:rPr>
          <w:rFonts w:ascii="宋体"/>
          <w:w w:val="100"/>
          <w:sz w:val="15"/>
        </w:rPr>
        <w:t> </w:t>
      </w:r>
    </w:p>
    <w:p>
      <w:pPr>
        <w:spacing w:line="195" w:lineRule="exact" w:before="0"/>
        <w:ind w:left="2586" w:right="0" w:firstLine="0"/>
        <w:jc w:val="center"/>
        <w:rPr>
          <w:rFonts w:ascii="宋体" w:hAnsi="宋体" w:cs="宋体" w:eastAsia="宋体" w:hint="default"/>
          <w:sz w:val="15"/>
          <w:szCs w:val="15"/>
        </w:rPr>
      </w:pPr>
      <w:r>
        <w:rPr>
          <w:rFonts w:ascii="宋体"/>
          <w:w w:val="100"/>
          <w:sz w:val="15"/>
        </w:rPr>
        <w:t>)</w:t>
      </w:r>
    </w:p>
    <w:p>
      <w:pPr>
        <w:spacing w:line="195" w:lineRule="exact" w:before="0"/>
        <w:ind w:left="2586" w:right="0" w:firstLine="0"/>
        <w:jc w:val="center"/>
        <w:rPr>
          <w:rFonts w:ascii="宋体" w:hAnsi="宋体" w:cs="宋体" w:eastAsia="宋体" w:hint="default"/>
          <w:sz w:val="15"/>
          <w:szCs w:val="15"/>
        </w:rPr>
      </w:pPr>
      <w:r>
        <w:rPr>
          <w:rFonts w:ascii="宋体"/>
          <w:w w:val="100"/>
          <w:sz w:val="15"/>
        </w:rPr>
        <w:t> </w:t>
      </w:r>
    </w:p>
    <w:p>
      <w:pPr>
        <w:spacing w:line="194" w:lineRule="exact" w:before="0"/>
        <w:ind w:left="2586" w:right="0" w:firstLine="0"/>
        <w:jc w:val="center"/>
        <w:rPr>
          <w:rFonts w:ascii="宋体" w:hAnsi="宋体" w:cs="宋体" w:eastAsia="宋体" w:hint="default"/>
          <w:sz w:val="15"/>
          <w:szCs w:val="15"/>
        </w:rPr>
      </w:pPr>
      <w:r>
        <w:rPr>
          <w:rFonts w:ascii="宋体"/>
          <w:w w:val="100"/>
          <w:sz w:val="15"/>
        </w:rPr>
        <w:t>)</w:t>
      </w:r>
    </w:p>
    <w:p>
      <w:pPr>
        <w:spacing w:line="195" w:lineRule="exact" w:before="0"/>
        <w:ind w:left="0" w:right="1817" w:firstLine="0"/>
        <w:jc w:val="right"/>
        <w:rPr>
          <w:rFonts w:ascii="宋体" w:hAnsi="宋体" w:cs="宋体" w:eastAsia="宋体" w:hint="default"/>
          <w:sz w:val="15"/>
          <w:szCs w:val="15"/>
        </w:rPr>
      </w:pPr>
      <w:r>
        <w:rPr>
          <w:rFonts w:ascii="宋体"/>
          <w:w w:val="100"/>
          <w:sz w:val="15"/>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spacing w:before="54"/>
        <w:ind w:left="0" w:right="1817" w:firstLine="0"/>
        <w:jc w:val="right"/>
        <w:rPr>
          <w:rFonts w:ascii="宋体" w:hAnsi="宋体" w:cs="宋体" w:eastAsia="宋体" w:hint="default"/>
          <w:sz w:val="15"/>
          <w:szCs w:val="15"/>
        </w:rPr>
      </w:pPr>
      <w:r>
        <w:rPr>
          <w:rFonts w:ascii="宋体"/>
          <w:w w:val="100"/>
          <w:sz w:val="15"/>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pStyle w:val="BodyText"/>
        <w:spacing w:line="240" w:lineRule="auto" w:before="26"/>
        <w:ind w:left="316" w:right="97"/>
        <w:jc w:val="left"/>
        <w:rPr>
          <w:rFonts w:ascii="宋体" w:hAnsi="宋体" w:cs="宋体" w:eastAsia="宋体" w:hint="default"/>
        </w:rPr>
      </w:pPr>
      <w:r>
        <w:rPr>
          <w:rFonts w:ascii="宋体" w:hAnsi="宋体" w:cs="宋体" w:eastAsia="宋体" w:hint="default"/>
        </w:rPr>
        <w:t>2018</w:t>
      </w:r>
      <w:r>
        <w:rPr/>
        <w:t>年</w:t>
      </w:r>
      <w:r>
        <w:rPr>
          <w:rFonts w:ascii="宋体" w:hAnsi="宋体" w:cs="宋体" w:eastAsia="宋体" w:hint="default"/>
        </w:rPr>
        <w:t> </w:t>
      </w:r>
    </w:p>
    <w:p>
      <w:pPr>
        <w:spacing w:line="240" w:lineRule="auto" w:before="12"/>
        <w:rPr>
          <w:rFonts w:ascii="宋体" w:hAnsi="宋体" w:cs="宋体" w:eastAsia="宋体" w:hint="default"/>
          <w:sz w:val="19"/>
          <w:szCs w:val="19"/>
        </w:rPr>
      </w:pPr>
    </w:p>
    <w:p>
      <w:pPr>
        <w:tabs>
          <w:tab w:pos="3214" w:val="left" w:leader="none"/>
          <w:tab w:pos="5535" w:val="left" w:leader="none"/>
          <w:tab w:pos="7594" w:val="left" w:leader="none"/>
        </w:tabs>
        <w:spacing w:before="0"/>
        <w:ind w:left="316" w:right="97" w:firstLine="0"/>
        <w:jc w:val="left"/>
        <w:rPr>
          <w:rFonts w:ascii="宋体" w:hAnsi="宋体" w:cs="宋体" w:eastAsia="宋体" w:hint="default"/>
          <w:sz w:val="15"/>
          <w:szCs w:val="15"/>
        </w:rPr>
      </w:pPr>
      <w:r>
        <w:rPr/>
        <w:pict>
          <v:shape style="position:absolute;margin-left:210.699997pt;margin-top:12.822898pt;width:271.5pt;height:80.55pt;mso-position-horizontal-relative:page;mso-position-vertical-relative:paragraph;z-index:1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22"/>
                    <w:gridCol w:w="2001"/>
                    <w:gridCol w:w="2006"/>
                  </w:tblGrid>
                  <w:tr>
                    <w:trPr>
                      <w:trHeight w:val="642"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154" w:lineRule="exact"/>
                          <w:ind w:right="406"/>
                          <w:jc w:val="right"/>
                          <w:rPr>
                            <w:rFonts w:ascii="宋体" w:hAnsi="宋体" w:cs="宋体" w:eastAsia="宋体" w:hint="default"/>
                            <w:sz w:val="15"/>
                            <w:szCs w:val="15"/>
                          </w:rPr>
                        </w:pPr>
                        <w:r>
                          <w:rPr>
                            <w:rFonts w:ascii="宋体" w:hAnsi="宋体" w:cs="宋体" w:eastAsia="宋体" w:hint="default"/>
                            <w:spacing w:val="-1"/>
                            <w:sz w:val="15"/>
                            <w:szCs w:val="15"/>
                          </w:rPr>
                          <w:t>本年发生额</w:t>
                        </w:r>
                      </w:p>
                    </w:tc>
                    <w:tc>
                      <w:tcPr>
                        <w:tcW w:w="2001" w:type="dxa"/>
                        <w:tcBorders>
                          <w:top w:val="nil" w:sz="6" w:space="0" w:color="auto"/>
                          <w:left w:val="nil" w:sz="6" w:space="0" w:color="auto"/>
                          <w:bottom w:val="nil" w:sz="6" w:space="0" w:color="auto"/>
                          <w:right w:val="nil" w:sz="6" w:space="0" w:color="auto"/>
                        </w:tcBorders>
                      </w:tcPr>
                      <w:p>
                        <w:pPr>
                          <w:pStyle w:val="TableParagraph"/>
                          <w:spacing w:line="193" w:lineRule="exact"/>
                          <w:ind w:right="237"/>
                          <w:jc w:val="right"/>
                          <w:rPr>
                            <w:rFonts w:ascii="宋体" w:hAnsi="宋体" w:cs="宋体" w:eastAsia="宋体" w:hint="default"/>
                            <w:sz w:val="15"/>
                            <w:szCs w:val="15"/>
                          </w:rPr>
                        </w:pPr>
                        <w:r>
                          <w:rPr>
                            <w:rFonts w:ascii="宋体" w:hAnsi="宋体" w:cs="宋体" w:eastAsia="宋体" w:hint="default"/>
                            <w:spacing w:val="-2"/>
                            <w:sz w:val="15"/>
                            <w:szCs w:val="15"/>
                          </w:rPr>
                          <w:t>列报方式变更影响</w:t>
                        </w: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66"/>
                          <w:jc w:val="right"/>
                          <w:rPr>
                            <w:rFonts w:ascii="宋体" w:hAnsi="宋体" w:cs="宋体" w:eastAsia="宋体" w:hint="default"/>
                            <w:sz w:val="15"/>
                            <w:szCs w:val="15"/>
                          </w:rPr>
                        </w:pPr>
                        <w:r>
                          <w:rPr>
                            <w:rFonts w:ascii="宋体"/>
                            <w:w w:val="100"/>
                            <w:sz w:val="15"/>
                          </w:rPr>
                          <w:t>)</w:t>
                        </w:r>
                      </w:p>
                    </w:tc>
                    <w:tc>
                      <w:tcPr>
                        <w:tcW w:w="2006" w:type="dxa"/>
                        <w:tcBorders>
                          <w:top w:val="nil" w:sz="6" w:space="0" w:color="auto"/>
                          <w:left w:val="nil" w:sz="6" w:space="0" w:color="auto"/>
                          <w:bottom w:val="nil" w:sz="6" w:space="0" w:color="auto"/>
                          <w:right w:val="nil" w:sz="6" w:space="0" w:color="auto"/>
                        </w:tcBorders>
                      </w:tcPr>
                      <w:p>
                        <w:pPr>
                          <w:pStyle w:val="TableParagraph"/>
                          <w:spacing w:line="154" w:lineRule="exact"/>
                          <w:ind w:right="33"/>
                          <w:jc w:val="right"/>
                          <w:rPr>
                            <w:rFonts w:ascii="宋体" w:hAnsi="宋体" w:cs="宋体" w:eastAsia="宋体" w:hint="default"/>
                            <w:sz w:val="15"/>
                            <w:szCs w:val="15"/>
                          </w:rPr>
                        </w:pPr>
                        <w:r>
                          <w:rPr>
                            <w:rFonts w:ascii="宋体" w:hAnsi="宋体" w:cs="宋体" w:eastAsia="宋体" w:hint="default"/>
                            <w:spacing w:val="-1"/>
                            <w:sz w:val="15"/>
                            <w:szCs w:val="15"/>
                          </w:rPr>
                          <w:t>2019</w:t>
                        </w:r>
                        <w:r>
                          <w:rPr>
                            <w:rFonts w:ascii="宋体" w:hAnsi="宋体" w:cs="宋体" w:eastAsia="宋体" w:hint="default"/>
                            <w:spacing w:val="-1"/>
                            <w:sz w:val="15"/>
                            <w:szCs w:val="15"/>
                          </w:rPr>
                          <w:t>年初余额</w:t>
                        </w:r>
                      </w:p>
                    </w:tc>
                  </w:tr>
                  <w:tr>
                    <w:trPr>
                      <w:trHeight w:val="212"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173" w:lineRule="exact"/>
                          <w:ind w:right="410"/>
                          <w:jc w:val="right"/>
                          <w:rPr>
                            <w:rFonts w:ascii="宋体" w:hAnsi="宋体" w:cs="宋体" w:eastAsia="宋体" w:hint="default"/>
                            <w:sz w:val="15"/>
                            <w:szCs w:val="15"/>
                          </w:rPr>
                        </w:pPr>
                        <w:r>
                          <w:rPr>
                            <w:rFonts w:ascii="宋体"/>
                            <w:spacing w:val="-2"/>
                            <w:sz w:val="15"/>
                          </w:rPr>
                          <w:t>1,464,944,097</w:t>
                        </w:r>
                      </w:p>
                    </w:tc>
                    <w:tc>
                      <w:tcPr>
                        <w:tcW w:w="2001" w:type="dxa"/>
                        <w:tcBorders>
                          <w:top w:val="nil" w:sz="6" w:space="0" w:color="auto"/>
                          <w:left w:val="nil" w:sz="6" w:space="0" w:color="auto"/>
                          <w:bottom w:val="nil" w:sz="6" w:space="0" w:color="auto"/>
                          <w:right w:val="nil" w:sz="6" w:space="0" w:color="auto"/>
                        </w:tcBorders>
                      </w:tcPr>
                      <w:p>
                        <w:pPr>
                          <w:pStyle w:val="TableParagraph"/>
                          <w:spacing w:line="173" w:lineRule="exact"/>
                          <w:ind w:right="166"/>
                          <w:jc w:val="right"/>
                          <w:rPr>
                            <w:rFonts w:ascii="宋体" w:hAnsi="宋体" w:cs="宋体" w:eastAsia="宋体" w:hint="default"/>
                            <w:sz w:val="15"/>
                            <w:szCs w:val="15"/>
                          </w:rPr>
                        </w:pPr>
                        <w:r>
                          <w:rPr>
                            <w:rFonts w:ascii="宋体"/>
                            <w:spacing w:val="1"/>
                            <w:w w:val="100"/>
                            <w:sz w:val="15"/>
                          </w:rPr>
                          <w:t> </w:t>
                        </w:r>
                        <w:r>
                          <w:rPr>
                            <w:rFonts w:ascii="宋体"/>
                            <w:spacing w:val="-2"/>
                            <w:sz w:val="15"/>
                          </w:rPr>
                          <w:t>(89,507,951</w:t>
                        </w:r>
                        <w:r>
                          <w:rPr>
                            <w:rFonts w:ascii="宋体"/>
                            <w:sz w:val="15"/>
                          </w:rPr>
                          <w:t> </w:t>
                        </w:r>
                      </w:p>
                    </w:tc>
                    <w:tc>
                      <w:tcPr>
                        <w:tcW w:w="2006" w:type="dxa"/>
                        <w:tcBorders>
                          <w:top w:val="nil" w:sz="6" w:space="0" w:color="auto"/>
                          <w:left w:val="nil" w:sz="6" w:space="0" w:color="auto"/>
                          <w:bottom w:val="nil" w:sz="6" w:space="0" w:color="auto"/>
                          <w:right w:val="nil" w:sz="6" w:space="0" w:color="auto"/>
                        </w:tcBorders>
                      </w:tcPr>
                      <w:p>
                        <w:pPr>
                          <w:pStyle w:val="TableParagraph"/>
                          <w:spacing w:line="173" w:lineRule="exact"/>
                          <w:ind w:right="34"/>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2"/>
                            <w:sz w:val="15"/>
                          </w:rPr>
                          <w:t>1,375,436,146</w:t>
                        </w:r>
                      </w:p>
                    </w:tc>
                  </w:tr>
                  <w:tr>
                    <w:trPr>
                      <w:trHeight w:val="348"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191" w:lineRule="exact"/>
                          <w:ind w:right="410"/>
                          <w:jc w:val="right"/>
                          <w:rPr>
                            <w:rFonts w:ascii="宋体" w:hAnsi="宋体" w:cs="宋体" w:eastAsia="宋体" w:hint="default"/>
                            <w:sz w:val="15"/>
                            <w:szCs w:val="15"/>
                          </w:rPr>
                        </w:pPr>
                        <w:r>
                          <w:rPr>
                            <w:rFonts w:ascii="宋体"/>
                            <w:w w:val="100"/>
                            <w:sz w:val="15"/>
                          </w:rPr>
                        </w:r>
                        <w:r>
                          <w:rPr>
                            <w:rFonts w:ascii="宋体"/>
                            <w:spacing w:val="-2"/>
                            <w:sz w:val="15"/>
                            <w:u w:val="single" w:color="000000"/>
                          </w:rPr>
                          <w:t>1,300,734,561</w:t>
                        </w:r>
                        <w:r>
                          <w:rPr>
                            <w:rFonts w:ascii="宋体"/>
                            <w:spacing w:val="-2"/>
                            <w:sz w:val="15"/>
                          </w:rPr>
                        </w:r>
                      </w:p>
                    </w:tc>
                    <w:tc>
                      <w:tcPr>
                        <w:tcW w:w="2001" w:type="dxa"/>
                        <w:tcBorders>
                          <w:top w:val="nil" w:sz="6" w:space="0" w:color="auto"/>
                          <w:left w:val="nil" w:sz="6" w:space="0" w:color="auto"/>
                          <w:bottom w:val="nil" w:sz="6" w:space="0" w:color="auto"/>
                          <w:right w:val="nil" w:sz="6" w:space="0" w:color="auto"/>
                        </w:tcBorders>
                      </w:tcPr>
                      <w:p>
                        <w:pPr>
                          <w:pStyle w:val="TableParagraph"/>
                          <w:spacing w:line="191" w:lineRule="exact"/>
                          <w:ind w:right="239"/>
                          <w:jc w:val="right"/>
                          <w:rPr>
                            <w:rFonts w:ascii="宋体" w:hAnsi="宋体" w:cs="宋体" w:eastAsia="宋体" w:hint="default"/>
                            <w:sz w:val="15"/>
                            <w:szCs w:val="15"/>
                          </w:rPr>
                        </w:pPr>
                        <w:r>
                          <w:rPr>
                            <w:rFonts w:ascii="宋体"/>
                            <w:w w:val="100"/>
                            <w:sz w:val="15"/>
                          </w:rPr>
                        </w:r>
                        <w:r>
                          <w:rPr>
                            <w:rFonts w:ascii="宋体"/>
                            <w:spacing w:val="-1"/>
                            <w:sz w:val="15"/>
                            <w:u w:val="single" w:color="000000"/>
                          </w:rPr>
                          <w:t>89,507,951</w:t>
                        </w:r>
                        <w:r>
                          <w:rPr>
                            <w:rFonts w:ascii="宋体"/>
                            <w:spacing w:val="-1"/>
                            <w:sz w:val="15"/>
                          </w:rPr>
                        </w:r>
                      </w:p>
                    </w:tc>
                    <w:tc>
                      <w:tcPr>
                        <w:tcW w:w="2006" w:type="dxa"/>
                        <w:tcBorders>
                          <w:top w:val="nil" w:sz="6" w:space="0" w:color="auto"/>
                          <w:left w:val="nil" w:sz="6" w:space="0" w:color="auto"/>
                          <w:bottom w:val="nil" w:sz="6" w:space="0" w:color="auto"/>
                          <w:right w:val="nil" w:sz="6" w:space="0" w:color="auto"/>
                        </w:tcBorders>
                      </w:tcPr>
                      <w:p>
                        <w:pPr>
                          <w:pStyle w:val="TableParagraph"/>
                          <w:spacing w:line="191" w:lineRule="exact"/>
                          <w:ind w:right="37"/>
                          <w:jc w:val="right"/>
                          <w:rPr>
                            <w:rFonts w:ascii="宋体" w:hAnsi="宋体" w:cs="宋体" w:eastAsia="宋体" w:hint="default"/>
                            <w:sz w:val="15"/>
                            <w:szCs w:val="15"/>
                          </w:rPr>
                        </w:pPr>
                        <w:r>
                          <w:rPr>
                            <w:rFonts w:ascii="宋体"/>
                            <w:w w:val="100"/>
                            <w:sz w:val="15"/>
                          </w:rPr>
                        </w:r>
                        <w:r>
                          <w:rPr>
                            <w:rFonts w:ascii="宋体"/>
                            <w:spacing w:val="-2"/>
                            <w:sz w:val="15"/>
                            <w:u w:val="single" w:color="000000"/>
                          </w:rPr>
                          <w:t>1,390,242,512</w:t>
                        </w:r>
                        <w:r>
                          <w:rPr>
                            <w:rFonts w:ascii="宋体"/>
                            <w:spacing w:val="-2"/>
                            <w:sz w:val="15"/>
                          </w:rPr>
                        </w:r>
                      </w:p>
                    </w:tc>
                  </w:tr>
                  <w:tr>
                    <w:trPr>
                      <w:trHeight w:val="408"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410"/>
                          <w:jc w:val="right"/>
                          <w:rPr>
                            <w:rFonts w:ascii="宋体" w:hAnsi="宋体" w:cs="宋体" w:eastAsia="宋体" w:hint="default"/>
                            <w:sz w:val="15"/>
                            <w:szCs w:val="15"/>
                          </w:rPr>
                        </w:pPr>
                        <w:r>
                          <w:rPr>
                            <w:rFonts w:ascii="宋体"/>
                            <w:w w:val="100"/>
                            <w:sz w:val="15"/>
                          </w:rPr>
                        </w:r>
                        <w:r>
                          <w:rPr>
                            <w:rFonts w:ascii="宋体"/>
                            <w:spacing w:val="-2"/>
                            <w:sz w:val="15"/>
                            <w:u w:val="single" w:color="000000"/>
                          </w:rPr>
                          <w:t>2,765,678,658</w:t>
                        </w:r>
                        <w:r>
                          <w:rPr>
                            <w:rFonts w:ascii="宋体"/>
                            <w:spacing w:val="-2"/>
                            <w:sz w:val="15"/>
                          </w:rPr>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408" w:right="0"/>
                          <w:jc w:val="lef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2"/>
                            <w:w w:val="100"/>
                            <w:sz w:val="15"/>
                            <w:u w:val="single" w:color="000000"/>
                          </w:rPr>
                          <w:t> </w:t>
                        </w:r>
                        <w:r>
                          <w:rPr>
                            <w:rFonts w:ascii="宋体"/>
                            <w:sz w:val="15"/>
                            <w:u w:val="single" w:color="000000"/>
                          </w:rPr>
                          <w:t>-</w:t>
                        </w:r>
                        <w:r>
                          <w:rPr>
                            <w:rFonts w:ascii="宋体"/>
                            <w:sz w:val="15"/>
                          </w:rPr>
                        </w:r>
                      </w:p>
                    </w:tc>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7"/>
                          <w:jc w:val="right"/>
                          <w:rPr>
                            <w:rFonts w:ascii="宋体" w:hAnsi="宋体" w:cs="宋体" w:eastAsia="宋体" w:hint="default"/>
                            <w:sz w:val="15"/>
                            <w:szCs w:val="15"/>
                          </w:rPr>
                        </w:pPr>
                        <w:r>
                          <w:rPr>
                            <w:rFonts w:ascii="宋体"/>
                            <w:w w:val="100"/>
                            <w:sz w:val="15"/>
                          </w:rPr>
                        </w:r>
                        <w:r>
                          <w:rPr>
                            <w:rFonts w:ascii="宋体"/>
                            <w:spacing w:val="-2"/>
                            <w:sz w:val="15"/>
                            <w:u w:val="single" w:color="000000"/>
                          </w:rPr>
                          <w:t>2,765,678,658</w:t>
                        </w:r>
                        <w:r>
                          <w:rPr>
                            <w:rFonts w:ascii="宋体"/>
                            <w:spacing w:val="-2"/>
                            <w:sz w:val="15"/>
                          </w:rPr>
                        </w:r>
                      </w:p>
                    </w:tc>
                  </w:tr>
                </w:tbl>
                <w:p>
                  <w:pPr/>
                </w:p>
              </w:txbxContent>
            </v:textbox>
            <w10:wrap type="none"/>
          </v:shape>
        </w:pict>
      </w:r>
      <w:r>
        <w:rPr>
          <w:rFonts w:ascii="宋体" w:hAnsi="宋体" w:cs="宋体" w:eastAsia="宋体" w:hint="default"/>
          <w:w w:val="100"/>
          <w:position w:val="-7"/>
          <w:sz w:val="15"/>
          <w:szCs w:val="15"/>
        </w:rPr>
        <w:t> </w:t>
      </w:r>
      <w:r>
        <w:rPr>
          <w:rFonts w:ascii="宋体" w:hAnsi="宋体" w:cs="宋体" w:eastAsia="宋体" w:hint="default"/>
          <w:position w:val="-7"/>
          <w:sz w:val="15"/>
          <w:szCs w:val="15"/>
        </w:rPr>
        <w:tab/>
      </w:r>
      <w:r>
        <w:rPr>
          <w:rFonts w:ascii="宋体" w:hAnsi="宋体" w:cs="宋体" w:eastAsia="宋体" w:hint="default"/>
          <w:spacing w:val="-1"/>
          <w:position w:val="2"/>
          <w:sz w:val="15"/>
          <w:szCs w:val="15"/>
        </w:rPr>
        <w:t>会计政策变更前</w:t>
        <w:tab/>
      </w:r>
      <w:r>
        <w:rPr>
          <w:rFonts w:ascii="宋体" w:hAnsi="宋体" w:cs="宋体" w:eastAsia="宋体" w:hint="default"/>
          <w:spacing w:val="-1"/>
          <w:sz w:val="15"/>
          <w:szCs w:val="15"/>
        </w:rPr>
        <w:t>其他财务报表</w:t>
      </w:r>
      <w:r>
        <w:rPr>
          <w:rFonts w:ascii="宋体" w:hAnsi="宋体" w:cs="宋体" w:eastAsia="宋体" w:hint="default"/>
          <w:spacing w:val="-1"/>
          <w:position w:val="2"/>
          <w:sz w:val="15"/>
          <w:szCs w:val="15"/>
        </w:rPr>
        <w:tab/>
      </w:r>
      <w:r>
        <w:rPr>
          <w:rFonts w:ascii="宋体" w:hAnsi="宋体" w:cs="宋体" w:eastAsia="宋体" w:hint="default"/>
          <w:spacing w:val="-1"/>
          <w:position w:val="2"/>
          <w:sz w:val="15"/>
          <w:szCs w:val="15"/>
        </w:rPr>
        <w:t>会计政策变更后</w:t>
      </w:r>
      <w:r>
        <w:rPr>
          <w:rFonts w:ascii="宋体" w:hAnsi="宋体" w:cs="宋体" w:eastAsia="宋体" w:hint="default"/>
          <w:spacing w:val="-1"/>
          <w:sz w:val="15"/>
          <w:szCs w:val="15"/>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spacing w:before="54"/>
        <w:ind w:left="316" w:right="97" w:firstLine="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管理费用</w:t>
      </w:r>
      <w:r>
        <w:rPr>
          <w:rFonts w:ascii="宋体" w:hAnsi="宋体" w:cs="宋体" w:eastAsia="宋体" w:hint="default"/>
          <w:spacing w:val="-2"/>
          <w:sz w:val="15"/>
          <w:szCs w:val="15"/>
        </w:rPr>
        <w:t> </w:t>
      </w:r>
      <w:r>
        <w:rPr>
          <w:rFonts w:ascii="宋体" w:hAnsi="宋体" w:cs="宋体" w:eastAsia="宋体" w:hint="default"/>
          <w:sz w:val="15"/>
          <w:szCs w:val="15"/>
        </w:rPr>
        <w:t> </w:t>
      </w:r>
    </w:p>
    <w:p>
      <w:pPr>
        <w:spacing w:before="34"/>
        <w:ind w:left="316" w:right="97" w:firstLine="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研发费用</w:t>
      </w:r>
      <w:r>
        <w:rPr>
          <w:rFonts w:ascii="宋体" w:hAnsi="宋体" w:cs="宋体" w:eastAsia="宋体" w:hint="default"/>
          <w:spacing w:val="-2"/>
          <w:sz w:val="15"/>
          <w:szCs w:val="15"/>
        </w:rPr>
        <w:t> </w:t>
      </w:r>
      <w:r>
        <w:rPr>
          <w:rFonts w:ascii="宋体" w:hAnsi="宋体" w:cs="宋体" w:eastAsia="宋体" w:hint="default"/>
          <w:sz w:val="15"/>
          <w:szCs w:val="15"/>
        </w:rPr>
        <w:t> </w:t>
      </w:r>
    </w:p>
    <w:p>
      <w:pPr>
        <w:spacing w:before="36"/>
        <w:ind w:left="316" w:right="0" w:firstLine="0"/>
        <w:jc w:val="left"/>
        <w:rPr>
          <w:rFonts w:ascii="宋体" w:hAnsi="宋体" w:cs="宋体" w:eastAsia="宋体" w:hint="default"/>
          <w:sz w:val="15"/>
          <w:szCs w:val="15"/>
        </w:rPr>
      </w:pPr>
      <w:r>
        <w:rPr>
          <w:rFonts w:ascii="宋体"/>
          <w:w w:val="100"/>
          <w:sz w:val="15"/>
        </w:rPr>
        <w:t> </w:t>
      </w:r>
    </w:p>
    <w:p>
      <w:pPr>
        <w:spacing w:line="187" w:lineRule="exact" w:before="36"/>
        <w:ind w:left="316" w:right="0" w:firstLine="0"/>
        <w:jc w:val="left"/>
        <w:rPr>
          <w:rFonts w:ascii="宋体" w:hAnsi="宋体" w:cs="宋体" w:eastAsia="宋体" w:hint="default"/>
          <w:sz w:val="15"/>
          <w:szCs w:val="15"/>
        </w:rPr>
      </w:pPr>
      <w:r>
        <w:rPr>
          <w:rFonts w:ascii="宋体"/>
          <w:w w:val="100"/>
          <w:sz w:val="15"/>
        </w:rPr>
        <w:t> </w:t>
      </w:r>
    </w:p>
    <w:p>
      <w:pPr>
        <w:pStyle w:val="BodyText"/>
        <w:spacing w:line="303" w:lineRule="exact"/>
        <w:ind w:left="316" w:right="97"/>
        <w:jc w:val="left"/>
        <w:rPr>
          <w:rFonts w:ascii="宋体" w:hAnsi="宋体" w:cs="宋体" w:eastAsia="宋体" w:hint="default"/>
        </w:rPr>
      </w:pPr>
      <w:r>
        <w:rPr/>
        <w:t>本公司</w:t>
      </w:r>
      <w:r>
        <w:rPr>
          <w:rFonts w:ascii="宋体" w:hAnsi="宋体" w:cs="宋体" w:eastAsia="宋体" w:hint="default"/>
        </w:rPr>
        <w:t> </w:t>
      </w:r>
    </w:p>
    <w:p>
      <w:pPr>
        <w:pStyle w:val="BodyText"/>
        <w:spacing w:line="312" w:lineRule="exact" w:before="28"/>
        <w:ind w:left="316" w:right="8090"/>
        <w:jc w:val="left"/>
        <w:rPr>
          <w:rFonts w:ascii="宋体" w:hAnsi="宋体" w:cs="宋体" w:eastAsia="宋体" w:hint="default"/>
        </w:rPr>
      </w:pPr>
      <w:r>
        <w:rPr>
          <w:rFonts w:ascii="宋体" w:hAnsi="宋体" w:cs="宋体" w:eastAsia="宋体" w:hint="default"/>
        </w:rPr>
        <w:t> 2019</w:t>
      </w:r>
      <w:r>
        <w:rPr/>
        <w:t>年</w:t>
      </w:r>
      <w:r>
        <w:rPr>
          <w:rFonts w:ascii="宋体" w:hAnsi="宋体" w:cs="宋体" w:eastAsia="宋体" w:hint="default"/>
        </w:rPr>
        <w:t> </w:t>
      </w:r>
    </w:p>
    <w:p>
      <w:pPr>
        <w:spacing w:line="240" w:lineRule="auto" w:before="10"/>
        <w:rPr>
          <w:rFonts w:ascii="宋体" w:hAnsi="宋体" w:cs="宋体" w:eastAsia="宋体" w:hint="default"/>
          <w:sz w:val="29"/>
          <w:szCs w:val="29"/>
        </w:rPr>
      </w:pPr>
    </w:p>
    <w:tbl>
      <w:tblPr>
        <w:tblW w:w="0" w:type="auto"/>
        <w:jc w:val="left"/>
        <w:tblInd w:w="281" w:type="dxa"/>
        <w:tblLayout w:type="fixed"/>
        <w:tblCellMar>
          <w:top w:w="0" w:type="dxa"/>
          <w:left w:w="0" w:type="dxa"/>
          <w:bottom w:w="0" w:type="dxa"/>
          <w:right w:w="0" w:type="dxa"/>
        </w:tblCellMar>
        <w:tblLook w:val="01E0"/>
      </w:tblPr>
      <w:tblGrid>
        <w:gridCol w:w="2140"/>
        <w:gridCol w:w="106"/>
        <w:gridCol w:w="1235"/>
        <w:gridCol w:w="2312"/>
        <w:gridCol w:w="1374"/>
        <w:gridCol w:w="1211"/>
      </w:tblGrid>
      <w:tr>
        <w:trPr>
          <w:trHeight w:val="278" w:hRule="exact"/>
        </w:trPr>
        <w:tc>
          <w:tcPr>
            <w:tcW w:w="2140" w:type="dxa"/>
            <w:vMerge w:val="restart"/>
            <w:tcBorders>
              <w:top w:val="nil" w:sz="6" w:space="0" w:color="auto"/>
              <w:left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2" w:right="0"/>
              <w:jc w:val="left"/>
              <w:rPr>
                <w:rFonts w:ascii="宋体" w:hAnsi="宋体" w:cs="宋体" w:eastAsia="宋体" w:hint="default"/>
                <w:sz w:val="15"/>
                <w:szCs w:val="15"/>
              </w:rPr>
            </w:pPr>
            <w:r>
              <w:rPr>
                <w:rFonts w:ascii="宋体"/>
                <w:w w:val="100"/>
                <w:sz w:val="15"/>
              </w:rPr>
              <w:t> </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7"/>
              <w:jc w:val="right"/>
              <w:rPr>
                <w:rFonts w:ascii="宋体" w:hAnsi="宋体" w:cs="宋体" w:eastAsia="宋体" w:hint="default"/>
                <w:sz w:val="15"/>
                <w:szCs w:val="15"/>
              </w:rPr>
            </w:pPr>
            <w:r>
              <w:rPr>
                <w:rFonts w:ascii="宋体" w:hAnsi="宋体" w:cs="宋体" w:eastAsia="宋体" w:hint="default"/>
                <w:spacing w:val="-1"/>
                <w:sz w:val="15"/>
                <w:szCs w:val="15"/>
              </w:rPr>
              <w:t>会计政策变更前</w:t>
            </w:r>
          </w:p>
        </w:tc>
        <w:tc>
          <w:tcPr>
            <w:tcW w:w="2312" w:type="dxa"/>
            <w:tcBorders>
              <w:top w:val="nil" w:sz="6" w:space="0" w:color="auto"/>
              <w:left w:val="nil" w:sz="6" w:space="0" w:color="auto"/>
              <w:bottom w:val="single" w:sz="4" w:space="0" w:color="000000"/>
              <w:right w:val="nil" w:sz="6" w:space="0" w:color="auto"/>
            </w:tcBorders>
          </w:tcPr>
          <w:p>
            <w:pPr>
              <w:pStyle w:val="TableParagraph"/>
              <w:tabs>
                <w:tab w:pos="2213" w:val="left" w:leader="none"/>
              </w:tabs>
              <w:spacing w:line="240" w:lineRule="auto" w:before="54"/>
              <w:ind w:left="410" w:right="0"/>
              <w:jc w:val="left"/>
              <w:rPr>
                <w:rFonts w:ascii="宋体" w:hAnsi="宋体" w:cs="宋体" w:eastAsia="宋体" w:hint="default"/>
                <w:sz w:val="15"/>
                <w:szCs w:val="15"/>
              </w:rPr>
            </w:pPr>
            <w:r>
              <w:rPr>
                <w:rFonts w:ascii="宋体" w:hAnsi="宋体" w:cs="宋体" w:eastAsia="宋体" w:hint="default"/>
                <w:sz w:val="15"/>
                <w:szCs w:val="15"/>
              </w:rPr>
              <w:t>新金融工具准则影响</w:t>
            </w:r>
            <w:r>
              <w:rPr>
                <w:rFonts w:ascii="宋体" w:hAnsi="宋体" w:cs="宋体" w:eastAsia="宋体" w:hint="default"/>
                <w:sz w:val="15"/>
                <w:szCs w:val="15"/>
              </w:rPr>
              <w:t> </w:t>
              <w:tab/>
            </w:r>
            <w:r>
              <w:rPr>
                <w:rFonts w:ascii="宋体" w:hAnsi="宋体" w:cs="宋体" w:eastAsia="宋体" w:hint="default"/>
                <w:w w:val="100"/>
                <w:sz w:val="15"/>
                <w:szCs w:val="15"/>
              </w:rPr>
              <w:t> </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99" w:right="0"/>
              <w:jc w:val="left"/>
              <w:rPr>
                <w:rFonts w:ascii="宋体" w:hAnsi="宋体" w:cs="宋体" w:eastAsia="宋体" w:hint="default"/>
                <w:sz w:val="15"/>
                <w:szCs w:val="15"/>
              </w:rPr>
            </w:pPr>
            <w:r>
              <w:rPr>
                <w:rFonts w:ascii="宋体" w:hAnsi="宋体" w:cs="宋体" w:eastAsia="宋体" w:hint="default"/>
                <w:sz w:val="15"/>
                <w:szCs w:val="15"/>
              </w:rPr>
              <w:t>其他财务报表</w:t>
            </w:r>
            <w:r>
              <w:rPr>
                <w:rFonts w:ascii="宋体" w:hAnsi="宋体" w:cs="宋体" w:eastAsia="宋体" w:hint="default"/>
                <w:sz w:val="15"/>
                <w:szCs w:val="15"/>
              </w:rPr>
              <w:t> </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0"/>
              <w:jc w:val="right"/>
              <w:rPr>
                <w:rFonts w:ascii="宋体" w:hAnsi="宋体" w:cs="宋体" w:eastAsia="宋体" w:hint="default"/>
                <w:sz w:val="15"/>
                <w:szCs w:val="15"/>
              </w:rPr>
            </w:pPr>
            <w:r>
              <w:rPr>
                <w:rFonts w:ascii="宋体" w:hAnsi="宋体" w:cs="宋体" w:eastAsia="宋体" w:hint="default"/>
                <w:spacing w:val="-1"/>
                <w:sz w:val="15"/>
                <w:szCs w:val="15"/>
              </w:rPr>
              <w:t>会计政策变更后</w:t>
            </w:r>
          </w:p>
        </w:tc>
      </w:tr>
      <w:tr>
        <w:trPr>
          <w:trHeight w:val="590" w:hRule="exact"/>
        </w:trPr>
        <w:tc>
          <w:tcPr>
            <w:tcW w:w="2140" w:type="dxa"/>
            <w:vMerge/>
            <w:tcBorders>
              <w:left w:val="nil" w:sz="6" w:space="0" w:color="auto"/>
              <w:bottom w:val="nil" w:sz="6" w:space="0" w:color="auto"/>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Style w:val="TableParagraph"/>
              <w:spacing w:line="179" w:lineRule="exact"/>
              <w:ind w:left="22" w:right="0"/>
              <w:jc w:val="left"/>
              <w:rPr>
                <w:rFonts w:ascii="宋体" w:hAnsi="宋体" w:cs="宋体" w:eastAsia="宋体" w:hint="default"/>
                <w:sz w:val="15"/>
                <w:szCs w:val="15"/>
              </w:rPr>
            </w:pPr>
            <w:r>
              <w:rPr>
                <w:rFonts w:ascii="宋体"/>
                <w:w w:val="100"/>
                <w:sz w:val="15"/>
              </w:rPr>
              <w:t> </w:t>
            </w:r>
          </w:p>
          <w:p>
            <w:pPr>
              <w:pStyle w:val="TableParagraph"/>
              <w:spacing w:line="195" w:lineRule="exact"/>
              <w:ind w:left="22" w:right="0"/>
              <w:jc w:val="left"/>
              <w:rPr>
                <w:rFonts w:ascii="宋体" w:hAnsi="宋体" w:cs="宋体" w:eastAsia="宋体" w:hint="default"/>
                <w:sz w:val="15"/>
                <w:szCs w:val="15"/>
              </w:rPr>
            </w:pPr>
            <w:r>
              <w:rPr>
                <w:rFonts w:ascii="宋体"/>
                <w:w w:val="100"/>
                <w:sz w:val="15"/>
              </w:rPr>
              <w:t> </w:t>
            </w:r>
          </w:p>
        </w:tc>
        <w:tc>
          <w:tcPr>
            <w:tcW w:w="1235" w:type="dxa"/>
            <w:tcBorders>
              <w:top w:val="nil" w:sz="6" w:space="0" w:color="auto"/>
              <w:left w:val="nil" w:sz="6" w:space="0" w:color="auto"/>
              <w:bottom w:val="nil" w:sz="6" w:space="0" w:color="auto"/>
              <w:right w:val="nil" w:sz="6" w:space="0" w:color="auto"/>
            </w:tcBorders>
          </w:tcPr>
          <w:p>
            <w:pPr>
              <w:pStyle w:val="TableParagraph"/>
              <w:spacing w:line="179" w:lineRule="exact"/>
              <w:ind w:right="96"/>
              <w:jc w:val="right"/>
              <w:rPr>
                <w:rFonts w:ascii="宋体" w:hAnsi="宋体" w:cs="宋体" w:eastAsia="宋体" w:hint="default"/>
                <w:sz w:val="15"/>
                <w:szCs w:val="15"/>
              </w:rPr>
            </w:pPr>
            <w:r>
              <w:rPr>
                <w:rFonts w:ascii="宋体" w:hAnsi="宋体" w:cs="宋体" w:eastAsia="宋体" w:hint="default"/>
                <w:spacing w:val="-1"/>
                <w:sz w:val="15"/>
                <w:szCs w:val="15"/>
              </w:rPr>
              <w:t>2018</w:t>
            </w:r>
            <w:r>
              <w:rPr>
                <w:rFonts w:ascii="宋体" w:hAnsi="宋体" w:cs="宋体" w:eastAsia="宋体" w:hint="default"/>
                <w:spacing w:val="-1"/>
                <w:sz w:val="15"/>
                <w:szCs w:val="15"/>
              </w:rPr>
              <w:t>年末余额</w:t>
            </w:r>
          </w:p>
        </w:tc>
        <w:tc>
          <w:tcPr>
            <w:tcW w:w="2312" w:type="dxa"/>
            <w:tcBorders>
              <w:top w:val="single" w:sz="4" w:space="0" w:color="000000"/>
              <w:left w:val="nil" w:sz="6" w:space="0" w:color="auto"/>
              <w:bottom w:val="nil" w:sz="6" w:space="0" w:color="auto"/>
              <w:right w:val="nil" w:sz="6" w:space="0" w:color="auto"/>
            </w:tcBorders>
          </w:tcPr>
          <w:p>
            <w:pPr>
              <w:pStyle w:val="TableParagraph"/>
              <w:tabs>
                <w:tab w:pos="1571" w:val="left" w:leader="none"/>
              </w:tabs>
              <w:spacing w:line="175" w:lineRule="exact"/>
              <w:ind w:left="599" w:right="0"/>
              <w:jc w:val="left"/>
              <w:rPr>
                <w:rFonts w:ascii="宋体" w:hAnsi="宋体" w:cs="宋体" w:eastAsia="宋体" w:hint="default"/>
                <w:sz w:val="15"/>
                <w:szCs w:val="15"/>
              </w:rPr>
            </w:pPr>
            <w:r>
              <w:rPr>
                <w:rFonts w:ascii="宋体" w:hAnsi="宋体" w:cs="宋体" w:eastAsia="宋体" w:hint="default"/>
                <w:sz w:val="15"/>
                <w:szCs w:val="15"/>
              </w:rPr>
              <w:t>重分类</w:t>
              <w:tab/>
              <w:t>重新计量</w:t>
            </w:r>
          </w:p>
        </w:tc>
        <w:tc>
          <w:tcPr>
            <w:tcW w:w="1374" w:type="dxa"/>
            <w:tcBorders>
              <w:top w:val="nil" w:sz="6" w:space="0" w:color="auto"/>
              <w:left w:val="nil" w:sz="6" w:space="0" w:color="auto"/>
              <w:bottom w:val="nil" w:sz="6" w:space="0" w:color="auto"/>
              <w:right w:val="nil" w:sz="6" w:space="0" w:color="auto"/>
            </w:tcBorders>
          </w:tcPr>
          <w:p>
            <w:pPr>
              <w:pStyle w:val="TableParagraph"/>
              <w:spacing w:line="179" w:lineRule="exact"/>
              <w:ind w:right="71"/>
              <w:jc w:val="right"/>
              <w:rPr>
                <w:rFonts w:ascii="宋体" w:hAnsi="宋体" w:cs="宋体" w:eastAsia="宋体" w:hint="default"/>
                <w:sz w:val="15"/>
                <w:szCs w:val="15"/>
              </w:rPr>
            </w:pPr>
            <w:r>
              <w:rPr>
                <w:rFonts w:ascii="宋体" w:hAnsi="宋体" w:cs="宋体" w:eastAsia="宋体" w:hint="default"/>
                <w:spacing w:val="-2"/>
                <w:sz w:val="15"/>
                <w:szCs w:val="15"/>
              </w:rPr>
              <w:t>列报方式变更影响</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right"/>
              <w:rPr>
                <w:rFonts w:ascii="宋体" w:hAnsi="宋体" w:cs="宋体" w:eastAsia="宋体" w:hint="default"/>
                <w:sz w:val="15"/>
                <w:szCs w:val="15"/>
              </w:rPr>
            </w:pPr>
            <w:r>
              <w:rPr>
                <w:rFonts w:ascii="宋体"/>
                <w:w w:val="100"/>
                <w:sz w:val="15"/>
              </w:rPr>
              <w:t>)</w:t>
            </w:r>
          </w:p>
        </w:tc>
        <w:tc>
          <w:tcPr>
            <w:tcW w:w="1211" w:type="dxa"/>
            <w:tcBorders>
              <w:top w:val="nil" w:sz="6" w:space="0" w:color="auto"/>
              <w:left w:val="nil" w:sz="6" w:space="0" w:color="auto"/>
              <w:bottom w:val="nil" w:sz="6" w:space="0" w:color="auto"/>
              <w:right w:val="nil" w:sz="6" w:space="0" w:color="auto"/>
            </w:tcBorders>
          </w:tcPr>
          <w:p>
            <w:pPr>
              <w:pStyle w:val="TableParagraph"/>
              <w:spacing w:line="179" w:lineRule="exact"/>
              <w:ind w:right="0"/>
              <w:jc w:val="right"/>
              <w:rPr>
                <w:rFonts w:ascii="宋体" w:hAnsi="宋体" w:cs="宋体" w:eastAsia="宋体" w:hint="default"/>
                <w:sz w:val="15"/>
                <w:szCs w:val="15"/>
              </w:rPr>
            </w:pPr>
            <w:r>
              <w:rPr>
                <w:rFonts w:ascii="宋体" w:hAnsi="宋体" w:cs="宋体" w:eastAsia="宋体" w:hint="default"/>
                <w:spacing w:val="-1"/>
                <w:sz w:val="15"/>
                <w:szCs w:val="15"/>
              </w:rPr>
              <w:t>2019</w:t>
            </w:r>
            <w:r>
              <w:rPr>
                <w:rFonts w:ascii="宋体" w:hAnsi="宋体" w:cs="宋体" w:eastAsia="宋体" w:hint="default"/>
                <w:spacing w:val="-1"/>
                <w:sz w:val="15"/>
                <w:szCs w:val="15"/>
              </w:rPr>
              <w:t>年初余额</w:t>
            </w:r>
          </w:p>
        </w:tc>
      </w:tr>
      <w:tr>
        <w:trPr>
          <w:trHeight w:val="195"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应收票据及应收账款</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06"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173" w:lineRule="exact"/>
              <w:ind w:right="98"/>
              <w:jc w:val="right"/>
              <w:rPr>
                <w:rFonts w:ascii="宋体" w:hAnsi="宋体" w:cs="宋体" w:eastAsia="宋体" w:hint="default"/>
                <w:sz w:val="15"/>
                <w:szCs w:val="15"/>
              </w:rPr>
            </w:pPr>
            <w:r>
              <w:rPr>
                <w:rFonts w:ascii="宋体"/>
                <w:spacing w:val="1"/>
                <w:w w:val="100"/>
                <w:sz w:val="15"/>
              </w:rPr>
              <w:t> </w:t>
            </w:r>
            <w:r>
              <w:rPr>
                <w:rFonts w:ascii="宋体"/>
                <w:spacing w:val="-2"/>
                <w:sz w:val="15"/>
              </w:rPr>
              <w:t>696,197,917</w:t>
            </w:r>
          </w:p>
        </w:tc>
        <w:tc>
          <w:tcPr>
            <w:tcW w:w="2312" w:type="dxa"/>
            <w:tcBorders>
              <w:top w:val="nil" w:sz="6" w:space="0" w:color="auto"/>
              <w:left w:val="nil" w:sz="6" w:space="0" w:color="auto"/>
              <w:bottom w:val="nil" w:sz="6" w:space="0" w:color="auto"/>
              <w:right w:val="nil" w:sz="6" w:space="0" w:color="auto"/>
            </w:tcBorders>
          </w:tcPr>
          <w:p>
            <w:pPr>
              <w:pStyle w:val="TableParagraph"/>
              <w:tabs>
                <w:tab w:pos="2021" w:val="left" w:leader="none"/>
              </w:tabs>
              <w:spacing w:line="173" w:lineRule="exact"/>
              <w:ind w:left="899" w:right="0"/>
              <w:jc w:val="left"/>
              <w:rPr>
                <w:rFonts w:ascii="宋体" w:hAnsi="宋体" w:cs="宋体" w:eastAsia="宋体" w:hint="default"/>
                <w:sz w:val="15"/>
                <w:szCs w:val="15"/>
              </w:rPr>
            </w:pPr>
            <w:r>
              <w:rPr>
                <w:rFonts w:ascii="宋体"/>
                <w:spacing w:val="1"/>
                <w:w w:val="100"/>
                <w:sz w:val="15"/>
              </w:rPr>
              <w:t> </w:t>
            </w:r>
            <w:r>
              <w:rPr>
                <w:rFonts w:ascii="宋体"/>
                <w:sz w:val="15"/>
              </w:rPr>
              <w:t>-</w:t>
              <w:tab/>
              <w:t>-</w:t>
            </w:r>
          </w:p>
        </w:tc>
        <w:tc>
          <w:tcPr>
            <w:tcW w:w="1374"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(696,197,917</w:t>
            </w:r>
            <w:r>
              <w:rPr>
                <w:rFonts w:ascii="宋体"/>
                <w:sz w:val="15"/>
              </w:rPr>
              <w:t> </w:t>
            </w:r>
          </w:p>
        </w:tc>
        <w:tc>
          <w:tcPr>
            <w:tcW w:w="121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r>
      <w:tr>
        <w:trPr>
          <w:trHeight w:val="584"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173" w:lineRule="exact"/>
              <w:ind w:left="90" w:right="0"/>
              <w:jc w:val="left"/>
              <w:rPr>
                <w:rFonts w:ascii="宋体" w:hAnsi="宋体" w:cs="宋体" w:eastAsia="宋体" w:hint="default"/>
                <w:sz w:val="15"/>
                <w:szCs w:val="15"/>
              </w:rPr>
            </w:pPr>
            <w:r>
              <w:rPr>
                <w:rFonts w:ascii="宋体" w:hAnsi="宋体" w:cs="宋体" w:eastAsia="宋体" w:hint="default"/>
                <w:sz w:val="15"/>
                <w:szCs w:val="15"/>
              </w:rPr>
              <w:t>应收票据</w:t>
            </w:r>
            <w:r>
              <w:rPr>
                <w:rFonts w:ascii="宋体" w:hAnsi="宋体" w:cs="宋体" w:eastAsia="宋体" w:hint="default"/>
                <w:sz w:val="15"/>
                <w:szCs w:val="15"/>
              </w:rPr>
              <w:t> </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应收账款</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06"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173" w:lineRule="exact"/>
              <w:ind w:right="97"/>
              <w:jc w:val="right"/>
              <w:rPr>
                <w:rFonts w:ascii="宋体" w:hAnsi="宋体" w:cs="宋体" w:eastAsia="宋体" w:hint="default"/>
                <w:sz w:val="15"/>
                <w:szCs w:val="15"/>
              </w:rPr>
            </w:pPr>
            <w:r>
              <w:rPr>
                <w:rFonts w:ascii="宋体"/>
                <w:w w:val="100"/>
                <w:sz w:val="15"/>
              </w:rPr>
              <w:t>-</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7"/>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2312" w:type="dxa"/>
            <w:tcBorders>
              <w:top w:val="nil" w:sz="6" w:space="0" w:color="auto"/>
              <w:left w:val="nil" w:sz="6" w:space="0" w:color="auto"/>
              <w:bottom w:val="nil" w:sz="6" w:space="0" w:color="auto"/>
              <w:right w:val="nil" w:sz="6" w:space="0" w:color="auto"/>
            </w:tcBorders>
          </w:tcPr>
          <w:p>
            <w:pPr>
              <w:pStyle w:val="TableParagraph"/>
              <w:tabs>
                <w:tab w:pos="1121" w:val="left" w:leader="none"/>
              </w:tabs>
              <w:spacing w:line="172" w:lineRule="exact"/>
              <w:ind w:right="137"/>
              <w:jc w:val="right"/>
              <w:rPr>
                <w:rFonts w:ascii="宋体" w:hAnsi="宋体" w:cs="宋体" w:eastAsia="宋体" w:hint="default"/>
                <w:sz w:val="15"/>
                <w:szCs w:val="15"/>
              </w:rPr>
            </w:pPr>
            <w:r>
              <w:rPr>
                <w:rFonts w:ascii="宋体"/>
                <w:sz w:val="15"/>
              </w:rPr>
              <w:t>-</w:t>
              <w:tab/>
              <w:t>-</w:t>
            </w:r>
          </w:p>
          <w:p>
            <w:pPr>
              <w:pStyle w:val="TableParagraph"/>
              <w:spacing w:line="194" w:lineRule="exact"/>
              <w:ind w:right="137"/>
              <w:jc w:val="right"/>
              <w:rPr>
                <w:rFonts w:ascii="宋体" w:hAnsi="宋体" w:cs="宋体" w:eastAsia="宋体" w:hint="default"/>
                <w:sz w:val="15"/>
                <w:szCs w:val="15"/>
              </w:rPr>
            </w:pPr>
            <w:r>
              <w:rPr>
                <w:rFonts w:ascii="宋体"/>
                <w:spacing w:val="1"/>
                <w:w w:val="100"/>
                <w:sz w:val="15"/>
              </w:rPr>
              <w:t> </w:t>
            </w:r>
            <w:r>
              <w:rPr>
                <w:rFonts w:ascii="宋体"/>
                <w:spacing w:val="-2"/>
                <w:sz w:val="15"/>
              </w:rPr>
              <w:t>(</w:t>
            </w:r>
            <w:r>
              <w:rPr>
                <w:rFonts w:ascii="宋体"/>
                <w:sz w:val="15"/>
              </w:rPr>
            </w:r>
          </w:p>
          <w:p>
            <w:pPr>
              <w:pStyle w:val="TableParagraph"/>
              <w:tabs>
                <w:tab w:pos="520" w:val="left" w:leader="none"/>
              </w:tabs>
              <w:spacing w:line="195" w:lineRule="exact"/>
              <w:ind w:right="61"/>
              <w:jc w:val="right"/>
              <w:rPr>
                <w:rFonts w:ascii="宋体" w:hAnsi="宋体" w:cs="宋体" w:eastAsia="宋体" w:hint="default"/>
                <w:sz w:val="15"/>
                <w:szCs w:val="15"/>
              </w:rPr>
            </w:pPr>
            <w:r>
              <w:rPr>
                <w:rFonts w:ascii="宋体"/>
                <w:spacing w:val="1"/>
                <w:w w:val="100"/>
                <w:sz w:val="15"/>
              </w:rPr>
              <w:t> </w:t>
            </w:r>
            <w:r>
              <w:rPr>
                <w:rFonts w:ascii="宋体"/>
                <w:sz w:val="15"/>
              </w:rPr>
              <w:t>-</w:t>
              <w:tab/>
            </w:r>
            <w:r>
              <w:rPr>
                <w:rFonts w:ascii="宋体"/>
                <w:spacing w:val="-1"/>
                <w:sz w:val="15"/>
              </w:rPr>
              <w:t>49,170,735)</w:t>
            </w:r>
          </w:p>
        </w:tc>
        <w:tc>
          <w:tcPr>
            <w:tcW w:w="1374" w:type="dxa"/>
            <w:tcBorders>
              <w:top w:val="nil" w:sz="6" w:space="0" w:color="auto"/>
              <w:left w:val="nil" w:sz="6" w:space="0" w:color="auto"/>
              <w:bottom w:val="nil" w:sz="6" w:space="0" w:color="auto"/>
              <w:right w:val="nil" w:sz="6" w:space="0" w:color="auto"/>
            </w:tcBorders>
          </w:tcPr>
          <w:p>
            <w:pPr>
              <w:pStyle w:val="TableParagraph"/>
              <w:spacing w:line="173" w:lineRule="exact"/>
              <w:ind w:left="547" w:right="0"/>
              <w:jc w:val="left"/>
              <w:rPr>
                <w:rFonts w:ascii="宋体" w:hAnsi="宋体" w:cs="宋体" w:eastAsia="宋体" w:hint="default"/>
                <w:sz w:val="15"/>
                <w:szCs w:val="15"/>
              </w:rPr>
            </w:pPr>
            <w:r>
              <w:rPr>
                <w:rFonts w:ascii="宋体"/>
                <w:sz w:val="15"/>
              </w:rPr>
              <w:t>89,998,500 </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98" w:right="0"/>
              <w:jc w:val="left"/>
              <w:rPr>
                <w:rFonts w:ascii="宋体" w:hAnsi="宋体" w:cs="宋体" w:eastAsia="宋体" w:hint="default"/>
                <w:sz w:val="15"/>
                <w:szCs w:val="15"/>
              </w:rPr>
            </w:pPr>
            <w:r>
              <w:rPr>
                <w:rFonts w:ascii="宋体"/>
                <w:spacing w:val="1"/>
                <w:w w:val="100"/>
                <w:sz w:val="15"/>
              </w:rPr>
              <w:t> </w:t>
            </w:r>
            <w:r>
              <w:rPr>
                <w:rFonts w:ascii="宋体"/>
                <w:sz w:val="15"/>
              </w:rPr>
              <w:t>606,199,417</w:t>
            </w:r>
          </w:p>
        </w:tc>
        <w:tc>
          <w:tcPr>
            <w:tcW w:w="1211" w:type="dxa"/>
            <w:tcBorders>
              <w:top w:val="nil" w:sz="6" w:space="0" w:color="auto"/>
              <w:left w:val="nil" w:sz="6" w:space="0" w:color="auto"/>
              <w:bottom w:val="nil" w:sz="6" w:space="0" w:color="auto"/>
              <w:right w:val="nil" w:sz="6" w:space="0" w:color="auto"/>
            </w:tcBorders>
          </w:tcPr>
          <w:p>
            <w:pPr>
              <w:pStyle w:val="TableParagraph"/>
              <w:spacing w:line="173" w:lineRule="exact"/>
              <w:ind w:left="455" w:right="0"/>
              <w:jc w:val="center"/>
              <w:rPr>
                <w:rFonts w:ascii="宋体" w:hAnsi="宋体" w:cs="宋体" w:eastAsia="宋体" w:hint="default"/>
                <w:sz w:val="15"/>
                <w:szCs w:val="15"/>
              </w:rPr>
            </w:pPr>
            <w:r>
              <w:rPr>
                <w:rFonts w:ascii="宋体"/>
                <w:spacing w:val="-1"/>
                <w:sz w:val="15"/>
              </w:rPr>
              <w:t>89,998,500</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06" w:right="0"/>
              <w:jc w:val="center"/>
              <w:rPr>
                <w:rFonts w:ascii="宋体" w:hAnsi="宋体" w:cs="宋体" w:eastAsia="宋体" w:hint="default"/>
                <w:sz w:val="15"/>
                <w:szCs w:val="15"/>
              </w:rPr>
            </w:pPr>
            <w:r>
              <w:rPr>
                <w:rFonts w:ascii="宋体"/>
                <w:spacing w:val="1"/>
                <w:w w:val="100"/>
                <w:sz w:val="15"/>
              </w:rPr>
              <w:t> </w:t>
            </w:r>
            <w:r>
              <w:rPr>
                <w:rFonts w:ascii="宋体"/>
                <w:spacing w:val="-2"/>
                <w:sz w:val="15"/>
              </w:rPr>
              <w:t>557,028,682</w:t>
            </w:r>
          </w:p>
        </w:tc>
      </w:tr>
      <w:tr>
        <w:trPr>
          <w:trHeight w:val="389"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其他应收款</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06"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98"/>
              <w:jc w:val="right"/>
              <w:rPr>
                <w:rFonts w:ascii="宋体" w:hAnsi="宋体" w:cs="宋体" w:eastAsia="宋体" w:hint="default"/>
                <w:sz w:val="15"/>
                <w:szCs w:val="15"/>
              </w:rPr>
            </w:pPr>
            <w:r>
              <w:rPr>
                <w:rFonts w:ascii="宋体"/>
                <w:spacing w:val="1"/>
                <w:w w:val="100"/>
                <w:sz w:val="15"/>
              </w:rPr>
              <w:t> </w:t>
            </w:r>
            <w:r>
              <w:rPr>
                <w:rFonts w:ascii="宋体"/>
                <w:spacing w:val="-2"/>
                <w:sz w:val="15"/>
              </w:rPr>
              <w:t>922,376,813</w:t>
            </w:r>
          </w:p>
        </w:tc>
        <w:tc>
          <w:tcPr>
            <w:tcW w:w="2312" w:type="dxa"/>
            <w:tcBorders>
              <w:top w:val="nil" w:sz="6" w:space="0" w:color="auto"/>
              <w:left w:val="nil" w:sz="6" w:space="0" w:color="auto"/>
              <w:bottom w:val="nil" w:sz="6" w:space="0" w:color="auto"/>
              <w:right w:val="nil" w:sz="6" w:space="0" w:color="auto"/>
            </w:tcBorders>
          </w:tcPr>
          <w:p>
            <w:pPr>
              <w:pStyle w:val="TableParagraph"/>
              <w:spacing w:line="172" w:lineRule="exact"/>
              <w:ind w:right="137"/>
              <w:jc w:val="right"/>
              <w:rPr>
                <w:rFonts w:ascii="宋体" w:hAnsi="宋体" w:cs="宋体" w:eastAsia="宋体" w:hint="default"/>
                <w:sz w:val="15"/>
                <w:szCs w:val="15"/>
              </w:rPr>
            </w:pPr>
            <w:r>
              <w:rPr>
                <w:rFonts w:ascii="宋体"/>
                <w:spacing w:val="1"/>
                <w:w w:val="100"/>
                <w:sz w:val="15"/>
              </w:rPr>
              <w:t> </w:t>
            </w:r>
            <w:r>
              <w:rPr>
                <w:rFonts w:ascii="宋体"/>
                <w:sz w:val="15"/>
              </w:rPr>
              <w:t>(</w:t>
            </w:r>
          </w:p>
          <w:p>
            <w:pPr>
              <w:pStyle w:val="TableParagraph"/>
              <w:tabs>
                <w:tab w:pos="595" w:val="left" w:leader="none"/>
              </w:tabs>
              <w:spacing w:line="195" w:lineRule="exact"/>
              <w:ind w:right="61"/>
              <w:jc w:val="right"/>
              <w:rPr>
                <w:rFonts w:ascii="宋体" w:hAnsi="宋体" w:cs="宋体" w:eastAsia="宋体" w:hint="default"/>
                <w:sz w:val="15"/>
                <w:szCs w:val="15"/>
              </w:rPr>
            </w:pPr>
            <w:r>
              <w:rPr>
                <w:rFonts w:ascii="宋体"/>
                <w:spacing w:val="1"/>
                <w:w w:val="100"/>
                <w:sz w:val="15"/>
              </w:rPr>
              <w:t> </w:t>
            </w:r>
            <w:r>
              <w:rPr>
                <w:rFonts w:ascii="宋体"/>
                <w:sz w:val="15"/>
              </w:rPr>
              <w:t>-</w:t>
              <w:tab/>
            </w:r>
            <w:r>
              <w:rPr>
                <w:rFonts w:ascii="宋体"/>
                <w:spacing w:val="-1"/>
                <w:sz w:val="15"/>
              </w:rPr>
              <w:t>2,338,251)</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right"/>
              <w:rPr>
                <w:rFonts w:ascii="宋体" w:hAnsi="宋体" w:cs="宋体" w:eastAsia="宋体" w:hint="default"/>
                <w:sz w:val="15"/>
                <w:szCs w:val="15"/>
              </w:rPr>
            </w:pPr>
            <w:r>
              <w:rPr>
                <w:rFonts w:ascii="宋体"/>
                <w:spacing w:val="1"/>
                <w:w w:val="100"/>
                <w:sz w:val="15"/>
              </w:rPr>
              <w:t> </w:t>
            </w:r>
            <w:r>
              <w:rPr>
                <w:rFonts w:ascii="宋体"/>
                <w:spacing w:val="-2"/>
                <w:sz w:val="15"/>
              </w:rPr>
              <w:t>-</w:t>
            </w:r>
            <w:r>
              <w:rPr>
                <w:rFonts w:ascii="宋体"/>
                <w:sz w:val="15"/>
              </w:rPr>
              <w:t> </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920,038,562</w:t>
            </w:r>
          </w:p>
        </w:tc>
      </w:tr>
      <w:tr>
        <w:trPr>
          <w:trHeight w:val="194"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可供出售金融资产</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06"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173" w:lineRule="exact"/>
              <w:ind w:right="98"/>
              <w:jc w:val="right"/>
              <w:rPr>
                <w:rFonts w:ascii="宋体" w:hAnsi="宋体" w:cs="宋体" w:eastAsia="宋体" w:hint="default"/>
                <w:sz w:val="15"/>
                <w:szCs w:val="15"/>
              </w:rPr>
            </w:pPr>
            <w:r>
              <w:rPr>
                <w:rFonts w:ascii="宋体"/>
                <w:spacing w:val="1"/>
                <w:w w:val="100"/>
                <w:sz w:val="15"/>
              </w:rPr>
              <w:t> </w:t>
            </w:r>
            <w:r>
              <w:rPr>
                <w:rFonts w:ascii="宋体"/>
                <w:spacing w:val="-2"/>
                <w:sz w:val="15"/>
              </w:rPr>
              <w:t>585,401,962</w:t>
            </w:r>
          </w:p>
        </w:tc>
        <w:tc>
          <w:tcPr>
            <w:tcW w:w="2312" w:type="dxa"/>
            <w:tcBorders>
              <w:top w:val="nil" w:sz="6" w:space="0" w:color="auto"/>
              <w:left w:val="nil" w:sz="6" w:space="0" w:color="auto"/>
              <w:bottom w:val="nil" w:sz="6" w:space="0" w:color="auto"/>
              <w:right w:val="nil" w:sz="6" w:space="0" w:color="auto"/>
            </w:tcBorders>
          </w:tcPr>
          <w:p>
            <w:pPr>
              <w:pStyle w:val="TableParagraph"/>
              <w:tabs>
                <w:tab w:pos="2021" w:val="left" w:leader="none"/>
              </w:tabs>
              <w:spacing w:line="173" w:lineRule="exact"/>
              <w:ind w:left="74" w:right="0"/>
              <w:jc w:val="left"/>
              <w:rPr>
                <w:rFonts w:ascii="宋体" w:hAnsi="宋体" w:cs="宋体" w:eastAsia="宋体" w:hint="default"/>
                <w:sz w:val="15"/>
                <w:szCs w:val="15"/>
              </w:rPr>
            </w:pPr>
            <w:r>
              <w:rPr>
                <w:rFonts w:ascii="宋体"/>
                <w:spacing w:val="1"/>
                <w:w w:val="100"/>
                <w:sz w:val="15"/>
              </w:rPr>
              <w:t> </w:t>
            </w:r>
            <w:r>
              <w:rPr>
                <w:rFonts w:ascii="宋体"/>
                <w:spacing w:val="-2"/>
                <w:sz w:val="15"/>
              </w:rPr>
              <w:t>(585,401,962)</w:t>
              <w:tab/>
            </w:r>
            <w:r>
              <w:rPr>
                <w:rFonts w:ascii="宋体"/>
                <w:sz w:val="15"/>
              </w:rPr>
              <w:t>-</w:t>
            </w:r>
          </w:p>
        </w:tc>
        <w:tc>
          <w:tcPr>
            <w:tcW w:w="1374" w:type="dxa"/>
            <w:tcBorders>
              <w:top w:val="nil" w:sz="6" w:space="0" w:color="auto"/>
              <w:left w:val="nil" w:sz="6" w:space="0" w:color="auto"/>
              <w:bottom w:val="nil" w:sz="6" w:space="0" w:color="auto"/>
              <w:right w:val="nil" w:sz="6" w:space="0" w:color="auto"/>
            </w:tcBorders>
          </w:tcPr>
          <w:p>
            <w:pPr>
              <w:pStyle w:val="TableParagraph"/>
              <w:spacing w:line="173" w:lineRule="exact"/>
              <w:ind w:right="72"/>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211"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pacing w:val="1"/>
                <w:w w:val="100"/>
                <w:sz w:val="15"/>
              </w:rPr>
              <w:t> </w:t>
            </w:r>
            <w:r>
              <w:rPr>
                <w:rFonts w:ascii="宋体"/>
                <w:sz w:val="15"/>
              </w:rPr>
              <w:t>-</w:t>
            </w:r>
          </w:p>
        </w:tc>
      </w:tr>
      <w:tr>
        <w:trPr>
          <w:trHeight w:val="680"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173" w:lineRule="exact"/>
              <w:ind w:left="90" w:right="0"/>
              <w:jc w:val="left"/>
              <w:rPr>
                <w:rFonts w:ascii="宋体" w:hAnsi="宋体" w:cs="宋体" w:eastAsia="宋体" w:hint="default"/>
                <w:sz w:val="15"/>
                <w:szCs w:val="15"/>
              </w:rPr>
            </w:pPr>
            <w:r>
              <w:rPr>
                <w:rFonts w:ascii="宋体" w:hAnsi="宋体" w:cs="宋体" w:eastAsia="宋体" w:hint="default"/>
                <w:sz w:val="15"/>
                <w:szCs w:val="15"/>
              </w:rPr>
              <w:t>其他非流动金融资产</w:t>
            </w:r>
            <w:r>
              <w:rPr>
                <w:rFonts w:ascii="宋体" w:hAnsi="宋体" w:cs="宋体" w:eastAsia="宋体" w:hint="default"/>
                <w:sz w:val="15"/>
                <w:szCs w:val="15"/>
              </w:rPr>
              <w:t> </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其他流动资产</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106"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173" w:lineRule="exact"/>
              <w:ind w:left="307" w:right="0" w:firstLine="751"/>
              <w:jc w:val="left"/>
              <w:rPr>
                <w:rFonts w:ascii="宋体" w:hAnsi="宋体" w:cs="宋体" w:eastAsia="宋体" w:hint="default"/>
                <w:sz w:val="15"/>
                <w:szCs w:val="15"/>
              </w:rPr>
            </w:pPr>
            <w:r>
              <w:rPr>
                <w:rFonts w:ascii="宋体"/>
                <w:w w:val="100"/>
                <w:sz w:val="15"/>
              </w:rPr>
              <w:t>-</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07" w:right="0"/>
              <w:jc w:val="left"/>
              <w:rPr>
                <w:rFonts w:ascii="宋体" w:hAnsi="宋体" w:cs="宋体" w:eastAsia="宋体" w:hint="default"/>
                <w:sz w:val="15"/>
                <w:szCs w:val="15"/>
              </w:rPr>
            </w:pPr>
            <w:r>
              <w:rPr>
                <w:rFonts w:ascii="宋体"/>
                <w:sz w:val="15"/>
              </w:rPr>
              <w:t>250,536,934</w:t>
            </w:r>
          </w:p>
        </w:tc>
        <w:tc>
          <w:tcPr>
            <w:tcW w:w="2312" w:type="dxa"/>
            <w:tcBorders>
              <w:top w:val="nil" w:sz="6" w:space="0" w:color="auto"/>
              <w:left w:val="nil" w:sz="6" w:space="0" w:color="auto"/>
              <w:bottom w:val="nil" w:sz="6" w:space="0" w:color="auto"/>
              <w:right w:val="nil" w:sz="6" w:space="0" w:color="auto"/>
            </w:tcBorders>
          </w:tcPr>
          <w:p>
            <w:pPr>
              <w:pStyle w:val="TableParagraph"/>
              <w:tabs>
                <w:tab w:pos="1207" w:val="left" w:leader="none"/>
              </w:tabs>
              <w:spacing w:line="172" w:lineRule="exact"/>
              <w:ind w:left="86" w:right="0"/>
              <w:jc w:val="center"/>
              <w:rPr>
                <w:rFonts w:ascii="宋体" w:hAnsi="宋体" w:cs="宋体" w:eastAsia="宋体" w:hint="default"/>
                <w:sz w:val="15"/>
                <w:szCs w:val="15"/>
              </w:rPr>
            </w:pPr>
            <w:r>
              <w:rPr>
                <w:rFonts w:ascii="宋体"/>
                <w:spacing w:val="-1"/>
                <w:sz w:val="15"/>
              </w:rPr>
              <w:t>585,401,962</w:t>
              <w:tab/>
              <w:t>150,597,695</w:t>
            </w:r>
          </w:p>
          <w:p>
            <w:pPr>
              <w:pStyle w:val="TableParagraph"/>
              <w:spacing w:line="194" w:lineRule="exact"/>
              <w:ind w:right="357"/>
              <w:jc w:val="center"/>
              <w:rPr>
                <w:rFonts w:ascii="宋体" w:hAnsi="宋体" w:cs="宋体" w:eastAsia="宋体" w:hint="default"/>
                <w:sz w:val="15"/>
                <w:szCs w:val="15"/>
              </w:rPr>
            </w:pPr>
            <w:r>
              <w:rPr>
                <w:rFonts w:ascii="宋体"/>
                <w:spacing w:val="1"/>
                <w:w w:val="100"/>
                <w:sz w:val="15"/>
              </w:rPr>
              <w:t> </w:t>
            </w:r>
            <w:r>
              <w:rPr>
                <w:rFonts w:ascii="宋体"/>
                <w:sz w:val="15"/>
              </w:rPr>
              <w:t>(</w:t>
            </w:r>
          </w:p>
          <w:p>
            <w:pPr>
              <w:pStyle w:val="TableParagraph"/>
              <w:tabs>
                <w:tab w:pos="1883" w:val="left" w:leader="none"/>
              </w:tabs>
              <w:spacing w:line="195" w:lineRule="exact"/>
              <w:ind w:left="236" w:right="0"/>
              <w:jc w:val="center"/>
              <w:rPr>
                <w:rFonts w:ascii="宋体" w:hAnsi="宋体" w:cs="宋体" w:eastAsia="宋体" w:hint="default"/>
                <w:sz w:val="15"/>
                <w:szCs w:val="15"/>
              </w:rPr>
            </w:pPr>
            <w:r>
              <w:rPr>
                <w:rFonts w:ascii="宋体"/>
                <w:spacing w:val="-2"/>
                <w:sz w:val="15"/>
              </w:rPr>
              <w:t>7,950,000)</w:t>
              <w:tab/>
            </w:r>
            <w:r>
              <w:rPr>
                <w:rFonts w:ascii="宋体"/>
                <w:sz w:val="15"/>
              </w:rPr>
              <w:t>-</w:t>
            </w:r>
          </w:p>
        </w:tc>
        <w:tc>
          <w:tcPr>
            <w:tcW w:w="1374" w:type="dxa"/>
            <w:tcBorders>
              <w:top w:val="nil" w:sz="6" w:space="0" w:color="auto"/>
              <w:left w:val="nil" w:sz="6" w:space="0" w:color="auto"/>
              <w:bottom w:val="nil" w:sz="6" w:space="0" w:color="auto"/>
              <w:right w:val="nil" w:sz="6" w:space="0" w:color="auto"/>
            </w:tcBorders>
          </w:tcPr>
          <w:p>
            <w:pPr>
              <w:pStyle w:val="TableParagraph"/>
              <w:spacing w:line="173" w:lineRule="exact"/>
              <w:ind w:right="72"/>
              <w:jc w:val="right"/>
              <w:rPr>
                <w:rFonts w:ascii="宋体" w:hAnsi="宋体" w:cs="宋体" w:eastAsia="宋体" w:hint="default"/>
                <w:sz w:val="15"/>
                <w:szCs w:val="15"/>
              </w:rPr>
            </w:pPr>
            <w:r>
              <w:rPr>
                <w:rFonts w:ascii="宋体"/>
                <w:w w:val="100"/>
                <w:sz w:val="15"/>
              </w:rPr>
              <w:t>-</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72"/>
              <w:jc w:val="right"/>
              <w:rPr>
                <w:rFonts w:ascii="宋体" w:hAnsi="宋体" w:cs="宋体" w:eastAsia="宋体" w:hint="default"/>
                <w:sz w:val="15"/>
                <w:szCs w:val="15"/>
              </w:rPr>
            </w:pPr>
            <w:r>
              <w:rPr>
                <w:rFonts w:ascii="宋体"/>
                <w:spacing w:val="1"/>
                <w:w w:val="100"/>
                <w:sz w:val="15"/>
              </w:rPr>
              <w:t> </w:t>
            </w:r>
            <w:r>
              <w:rPr>
                <w:rFonts w:ascii="宋体"/>
                <w:sz w:val="15"/>
              </w:rPr>
              <w:t>-</w:t>
            </w:r>
          </w:p>
        </w:tc>
        <w:tc>
          <w:tcPr>
            <w:tcW w:w="1211" w:type="dxa"/>
            <w:tcBorders>
              <w:top w:val="nil" w:sz="6" w:space="0" w:color="auto"/>
              <w:left w:val="nil" w:sz="6" w:space="0" w:color="auto"/>
              <w:bottom w:val="nil" w:sz="6" w:space="0" w:color="auto"/>
              <w:right w:val="nil" w:sz="6" w:space="0" w:color="auto"/>
            </w:tcBorders>
          </w:tcPr>
          <w:p>
            <w:pPr>
              <w:pStyle w:val="TableParagraph"/>
              <w:spacing w:line="173" w:lineRule="exact"/>
              <w:ind w:left="382" w:right="0"/>
              <w:jc w:val="left"/>
              <w:rPr>
                <w:rFonts w:ascii="宋体" w:hAnsi="宋体" w:cs="宋体" w:eastAsia="宋体" w:hint="default"/>
                <w:sz w:val="15"/>
                <w:szCs w:val="15"/>
              </w:rPr>
            </w:pPr>
            <w:r>
              <w:rPr>
                <w:rFonts w:ascii="宋体"/>
                <w:spacing w:val="-1"/>
                <w:sz w:val="15"/>
              </w:rPr>
              <w:t>735,999,657</w:t>
            </w: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82" w:right="0"/>
              <w:jc w:val="left"/>
              <w:rPr>
                <w:rFonts w:ascii="宋体" w:hAnsi="宋体" w:cs="宋体" w:eastAsia="宋体" w:hint="default"/>
                <w:sz w:val="15"/>
                <w:szCs w:val="15"/>
              </w:rPr>
            </w:pPr>
            <w:r>
              <w:rPr>
                <w:rFonts w:ascii="宋体"/>
                <w:spacing w:val="-1"/>
                <w:sz w:val="15"/>
              </w:rPr>
              <w:t>242,586,934</w:t>
            </w:r>
          </w:p>
        </w:tc>
      </w:tr>
      <w:tr>
        <w:trPr>
          <w:trHeight w:val="292"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90" w:right="0"/>
              <w:jc w:val="left"/>
              <w:rPr>
                <w:rFonts w:ascii="宋体" w:hAnsi="宋体" w:cs="宋体" w:eastAsia="宋体" w:hint="default"/>
                <w:sz w:val="15"/>
                <w:szCs w:val="15"/>
              </w:rPr>
            </w:pPr>
            <w:r>
              <w:rPr>
                <w:rFonts w:ascii="宋体" w:hAnsi="宋体" w:cs="宋体" w:eastAsia="宋体" w:hint="default"/>
                <w:sz w:val="15"/>
                <w:szCs w:val="15"/>
              </w:rPr>
              <w:t>交易性金融资产</w:t>
            </w:r>
            <w:r>
              <w:rPr>
                <w:rFonts w:ascii="宋体" w:hAnsi="宋体" w:cs="宋体" w:eastAsia="宋体" w:hint="default"/>
                <w:sz w:val="15"/>
                <w:szCs w:val="15"/>
              </w:rPr>
              <w:t> </w:t>
            </w:r>
          </w:p>
        </w:tc>
        <w:tc>
          <w:tcPr>
            <w:tcW w:w="106"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1"/>
              <w:jc w:val="right"/>
              <w:rPr>
                <w:rFonts w:ascii="宋体" w:hAnsi="宋体" w:cs="宋体" w:eastAsia="宋体" w:hint="default"/>
                <w:sz w:val="15"/>
                <w:szCs w:val="15"/>
              </w:rPr>
            </w:pPr>
            <w:r>
              <w:rPr>
                <w:rFonts w:ascii="宋体"/>
                <w:w w:val="100"/>
                <w:sz w:val="15"/>
              </w:rPr>
              <w:t>-</w:t>
            </w:r>
          </w:p>
        </w:tc>
        <w:tc>
          <w:tcPr>
            <w:tcW w:w="2312" w:type="dxa"/>
            <w:tcBorders>
              <w:top w:val="nil" w:sz="6" w:space="0" w:color="auto"/>
              <w:left w:val="nil" w:sz="6" w:space="0" w:color="auto"/>
              <w:bottom w:val="nil" w:sz="6" w:space="0" w:color="auto"/>
              <w:right w:val="nil" w:sz="6" w:space="0" w:color="auto"/>
            </w:tcBorders>
          </w:tcPr>
          <w:p>
            <w:pPr>
              <w:pStyle w:val="TableParagraph"/>
              <w:tabs>
                <w:tab w:pos="1720" w:val="left" w:leader="none"/>
              </w:tabs>
              <w:spacing w:line="240" w:lineRule="auto" w:before="73"/>
              <w:ind w:left="374" w:right="0"/>
              <w:jc w:val="left"/>
              <w:rPr>
                <w:rFonts w:ascii="宋体" w:hAnsi="宋体" w:cs="宋体" w:eastAsia="宋体" w:hint="default"/>
                <w:sz w:val="15"/>
                <w:szCs w:val="15"/>
              </w:rPr>
            </w:pPr>
            <w:r>
              <w:rPr>
                <w:rFonts w:ascii="宋体"/>
                <w:spacing w:val="-2"/>
                <w:sz w:val="15"/>
              </w:rPr>
              <w:t>7,950,000</w:t>
              <w:tab/>
            </w:r>
            <w:r>
              <w:rPr>
                <w:rFonts w:ascii="宋体"/>
                <w:spacing w:val="-1"/>
                <w:sz w:val="15"/>
              </w:rPr>
              <w:t>11,642</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74"/>
              <w:jc w:val="right"/>
              <w:rPr>
                <w:rFonts w:ascii="宋体" w:hAnsi="宋体" w:cs="宋体" w:eastAsia="宋体" w:hint="default"/>
                <w:sz w:val="15"/>
                <w:szCs w:val="15"/>
              </w:rPr>
            </w:pPr>
            <w:r>
              <w:rPr>
                <w:rFonts w:ascii="宋体"/>
                <w:w w:val="100"/>
                <w:sz w:val="15"/>
              </w:rPr>
              <w:t>-</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
              <w:jc w:val="right"/>
              <w:rPr>
                <w:rFonts w:ascii="宋体" w:hAnsi="宋体" w:cs="宋体" w:eastAsia="宋体" w:hint="default"/>
                <w:sz w:val="15"/>
                <w:szCs w:val="15"/>
              </w:rPr>
            </w:pPr>
            <w:r>
              <w:rPr>
                <w:rFonts w:ascii="宋体"/>
                <w:spacing w:val="-2"/>
                <w:sz w:val="15"/>
              </w:rPr>
              <w:t>7,961,642</w:t>
            </w:r>
          </w:p>
        </w:tc>
      </w:tr>
      <w:tr>
        <w:trPr>
          <w:trHeight w:val="293"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173" w:lineRule="exact"/>
              <w:ind w:left="90" w:right="0"/>
              <w:jc w:val="left"/>
              <w:rPr>
                <w:rFonts w:ascii="宋体" w:hAnsi="宋体" w:cs="宋体" w:eastAsia="宋体" w:hint="default"/>
                <w:sz w:val="15"/>
                <w:szCs w:val="15"/>
              </w:rPr>
            </w:pPr>
            <w:r>
              <w:rPr>
                <w:rFonts w:ascii="宋体" w:hAnsi="宋体" w:cs="宋体" w:eastAsia="宋体" w:hint="default"/>
                <w:sz w:val="15"/>
                <w:szCs w:val="15"/>
              </w:rPr>
              <w:t>一年内到期的其他非流动负债</w:t>
            </w:r>
            <w:r>
              <w:rPr>
                <w:rFonts w:ascii="宋体" w:hAnsi="宋体" w:cs="宋体" w:eastAsia="宋体" w:hint="default"/>
                <w:sz w:val="15"/>
                <w:szCs w:val="15"/>
              </w:rPr>
              <w:t> </w:t>
            </w:r>
          </w:p>
        </w:tc>
        <w:tc>
          <w:tcPr>
            <w:tcW w:w="106"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173" w:lineRule="exact"/>
              <w:ind w:right="98"/>
              <w:jc w:val="right"/>
              <w:rPr>
                <w:rFonts w:ascii="宋体" w:hAnsi="宋体" w:cs="宋体" w:eastAsia="宋体" w:hint="default"/>
                <w:sz w:val="15"/>
                <w:szCs w:val="15"/>
              </w:rPr>
            </w:pPr>
            <w:r>
              <w:rPr>
                <w:rFonts w:ascii="宋体"/>
                <w:spacing w:val="-1"/>
                <w:sz w:val="15"/>
              </w:rPr>
              <w:t>81,621,227</w:t>
            </w:r>
          </w:p>
        </w:tc>
        <w:tc>
          <w:tcPr>
            <w:tcW w:w="2312" w:type="dxa"/>
            <w:tcBorders>
              <w:top w:val="nil" w:sz="6" w:space="0" w:color="auto"/>
              <w:left w:val="nil" w:sz="6" w:space="0" w:color="auto"/>
              <w:bottom w:val="nil" w:sz="6" w:space="0" w:color="auto"/>
              <w:right w:val="nil" w:sz="6" w:space="0" w:color="auto"/>
            </w:tcBorders>
          </w:tcPr>
          <w:p>
            <w:pPr>
              <w:pStyle w:val="TableParagraph"/>
              <w:tabs>
                <w:tab w:pos="2097" w:val="left" w:leader="none"/>
              </w:tabs>
              <w:spacing w:line="173" w:lineRule="exact"/>
              <w:ind w:left="976" w:right="0"/>
              <w:jc w:val="left"/>
              <w:rPr>
                <w:rFonts w:ascii="宋体" w:hAnsi="宋体" w:cs="宋体" w:eastAsia="宋体" w:hint="default"/>
                <w:sz w:val="15"/>
                <w:szCs w:val="15"/>
              </w:rPr>
            </w:pPr>
            <w:r>
              <w:rPr>
                <w:rFonts w:ascii="宋体"/>
                <w:sz w:val="15"/>
              </w:rPr>
              <w:t>-</w:t>
              <w:tab/>
              <w:t>-</w:t>
            </w:r>
          </w:p>
        </w:tc>
        <w:tc>
          <w:tcPr>
            <w:tcW w:w="1374"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sz w:val="15"/>
              </w:rPr>
              <w:t>(</w:t>
            </w:r>
            <w:r>
              <w:rPr>
                <w:rFonts w:ascii="宋体"/>
                <w:spacing w:val="-7"/>
                <w:sz w:val="15"/>
              </w:rPr>
              <w:t> </w:t>
            </w:r>
            <w:r>
              <w:rPr>
                <w:rFonts w:ascii="宋体"/>
                <w:sz w:val="15"/>
              </w:rPr>
              <w:t>23,150,000)</w:t>
            </w:r>
          </w:p>
        </w:tc>
        <w:tc>
          <w:tcPr>
            <w:tcW w:w="1211"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spacing w:val="-1"/>
                <w:sz w:val="15"/>
              </w:rPr>
              <w:t>58,471,227</w:t>
            </w:r>
          </w:p>
        </w:tc>
      </w:tr>
      <w:tr>
        <w:trPr>
          <w:trHeight w:val="390"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90" w:right="0"/>
              <w:jc w:val="left"/>
              <w:rPr>
                <w:rFonts w:ascii="宋体" w:hAnsi="宋体" w:cs="宋体" w:eastAsia="宋体" w:hint="default"/>
                <w:sz w:val="15"/>
                <w:szCs w:val="15"/>
              </w:rPr>
            </w:pPr>
            <w:r>
              <w:rPr>
                <w:rFonts w:ascii="宋体" w:hAnsi="宋体" w:cs="宋体" w:eastAsia="宋体" w:hint="default"/>
                <w:sz w:val="15"/>
                <w:szCs w:val="15"/>
              </w:rPr>
              <w:t>递延收益</w:t>
            </w:r>
            <w:r>
              <w:rPr>
                <w:rFonts w:ascii="宋体" w:hAnsi="宋体" w:cs="宋体" w:eastAsia="宋体" w:hint="default"/>
                <w:sz w:val="15"/>
                <w:szCs w:val="15"/>
              </w:rPr>
              <w:t> </w:t>
            </w:r>
          </w:p>
        </w:tc>
        <w:tc>
          <w:tcPr>
            <w:tcW w:w="106"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98"/>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2"/>
                <w:sz w:val="15"/>
              </w:rPr>
              <w:t>25,000,000</w:t>
            </w:r>
          </w:p>
        </w:tc>
        <w:tc>
          <w:tcPr>
            <w:tcW w:w="2312" w:type="dxa"/>
            <w:tcBorders>
              <w:top w:val="nil" w:sz="6" w:space="0" w:color="auto"/>
              <w:left w:val="nil" w:sz="6" w:space="0" w:color="auto"/>
              <w:bottom w:val="nil" w:sz="6" w:space="0" w:color="auto"/>
              <w:right w:val="nil" w:sz="6" w:space="0" w:color="auto"/>
            </w:tcBorders>
          </w:tcPr>
          <w:p>
            <w:pPr>
              <w:pStyle w:val="TableParagraph"/>
              <w:tabs>
                <w:tab w:pos="2097" w:val="left" w:leader="none"/>
              </w:tabs>
              <w:spacing w:line="240" w:lineRule="auto" w:before="74"/>
              <w:ind w:left="976" w:right="0"/>
              <w:jc w:val="left"/>
              <w:rPr>
                <w:rFonts w:ascii="宋体" w:hAnsi="宋体" w:cs="宋体" w:eastAsia="宋体" w:hint="default"/>
                <w:sz w:val="15"/>
                <w:szCs w:val="15"/>
              </w:rPr>
            </w:pPr>
            <w:r>
              <w:rPr>
                <w:rFonts w:ascii="宋体"/>
                <w:sz w:val="15"/>
              </w:rPr>
              <w:t>-</w:t>
              <w:tab/>
              <w:t>-</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72"/>
              <w:jc w:val="right"/>
              <w:rPr>
                <w:rFonts w:ascii="宋体" w:hAnsi="宋体" w:cs="宋体" w:eastAsia="宋体" w:hint="default"/>
                <w:sz w:val="15"/>
                <w:szCs w:val="15"/>
              </w:rPr>
            </w:pPr>
            <w:r>
              <w:rPr>
                <w:rFonts w:ascii="宋体"/>
                <w:spacing w:val="1"/>
                <w:w w:val="100"/>
                <w:sz w:val="15"/>
              </w:rPr>
              <w:t> </w:t>
            </w:r>
            <w:r>
              <w:rPr>
                <w:rFonts w:ascii="宋体"/>
                <w:spacing w:val="-2"/>
                <w:sz w:val="15"/>
              </w:rPr>
              <w:t>23,150,000</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
              <w:jc w:val="right"/>
              <w:rPr>
                <w:rFonts w:ascii="宋体" w:hAnsi="宋体" w:cs="宋体" w:eastAsia="宋体" w:hint="default"/>
                <w:sz w:val="15"/>
                <w:szCs w:val="15"/>
              </w:rPr>
            </w:pPr>
            <w:r>
              <w:rPr>
                <w:rFonts w:ascii="宋体"/>
                <w:spacing w:val="1"/>
                <w:w w:val="100"/>
                <w:sz w:val="15"/>
              </w:rPr>
              <w:t> </w:t>
            </w:r>
            <w:r>
              <w:rPr>
                <w:rFonts w:ascii="宋体"/>
                <w:spacing w:val="-2"/>
                <w:w w:val="100"/>
                <w:sz w:val="15"/>
              </w:rPr>
              <w:t>   </w:t>
            </w:r>
            <w:r>
              <w:rPr>
                <w:rFonts w:ascii="宋体"/>
                <w:spacing w:val="1"/>
                <w:w w:val="100"/>
                <w:sz w:val="15"/>
              </w:rPr>
              <w:t> </w:t>
            </w:r>
            <w:r>
              <w:rPr>
                <w:rFonts w:ascii="宋体"/>
                <w:spacing w:val="-2"/>
                <w:sz w:val="15"/>
              </w:rPr>
              <w:t>48,150,000</w:t>
            </w:r>
          </w:p>
        </w:tc>
      </w:tr>
      <w:tr>
        <w:trPr>
          <w:trHeight w:val="276"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73"/>
              <w:ind w:left="90" w:right="0"/>
              <w:jc w:val="left"/>
              <w:rPr>
                <w:rFonts w:ascii="宋体" w:hAnsi="宋体" w:cs="宋体" w:eastAsia="宋体" w:hint="default"/>
                <w:sz w:val="15"/>
                <w:szCs w:val="15"/>
              </w:rPr>
            </w:pPr>
            <w:r>
              <w:rPr>
                <w:rFonts w:ascii="宋体" w:hAnsi="宋体" w:cs="宋体" w:eastAsia="宋体" w:hint="default"/>
                <w:sz w:val="15"/>
                <w:szCs w:val="15"/>
              </w:rPr>
              <w:t>其他综合收益</w:t>
            </w:r>
            <w:r>
              <w:rPr>
                <w:rFonts w:ascii="宋体" w:hAnsi="宋体" w:cs="宋体" w:eastAsia="宋体" w:hint="default"/>
                <w:sz w:val="15"/>
                <w:szCs w:val="15"/>
              </w:rPr>
              <w:t> </w:t>
            </w:r>
          </w:p>
        </w:tc>
        <w:tc>
          <w:tcPr>
            <w:tcW w:w="106" w:type="dxa"/>
            <w:tcBorders>
              <w:top w:val="nil" w:sz="6" w:space="0" w:color="auto"/>
              <w:left w:val="nil" w:sz="6" w:space="0" w:color="auto"/>
              <w:bottom w:val="nil" w:sz="6" w:space="0" w:color="auto"/>
              <w:right w:val="nil" w:sz="6" w:space="0" w:color="auto"/>
            </w:tcBorders>
          </w:tcPr>
          <w:p>
            <w:pP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8"/>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sz w:val="15"/>
                <w:u w:val="single" w:color="000000"/>
              </w:rPr>
              <w:t>49,462,234</w:t>
            </w:r>
            <w:r>
              <w:rPr>
                <w:rFonts w:ascii="宋体"/>
                <w:spacing w:val="-2"/>
                <w:sz w:val="15"/>
              </w:rPr>
            </w:r>
          </w:p>
        </w:tc>
        <w:tc>
          <w:tcPr>
            <w:tcW w:w="2312" w:type="dxa"/>
            <w:tcBorders>
              <w:top w:val="nil" w:sz="6" w:space="0" w:color="auto"/>
              <w:left w:val="nil" w:sz="6" w:space="0" w:color="auto"/>
              <w:bottom w:val="single" w:sz="3" w:space="0" w:color="000000"/>
              <w:right w:val="nil" w:sz="6" w:space="0" w:color="auto"/>
            </w:tcBorders>
          </w:tcPr>
          <w:p>
            <w:pPr>
              <w:pStyle w:val="TableParagraph"/>
              <w:tabs>
                <w:tab w:pos="2097" w:val="left" w:leader="none"/>
              </w:tabs>
              <w:spacing w:line="240" w:lineRule="auto" w:before="73"/>
              <w:ind w:left="76" w:right="0"/>
              <w:jc w:val="left"/>
              <w:rPr>
                <w:rFonts w:ascii="宋体" w:hAnsi="宋体" w:cs="宋体" w:eastAsia="宋体" w:hint="default"/>
                <w:sz w:val="15"/>
                <w:szCs w:val="15"/>
              </w:rPr>
            </w:pPr>
            <w:r>
              <w:rPr>
                <w:rFonts w:ascii="宋体"/>
                <w:sz w:val="15"/>
              </w:rPr>
              <w:t>(</w:t>
            </w:r>
            <w:r>
              <w:rPr>
                <w:rFonts w:ascii="宋体"/>
                <w:spacing w:val="64"/>
                <w:sz w:val="15"/>
              </w:rPr>
              <w:t> </w:t>
            </w:r>
            <w:r>
              <w:rPr>
                <w:rFonts w:ascii="宋体"/>
                <w:spacing w:val="64"/>
                <w:sz w:val="15"/>
                <w:u w:val="single" w:color="000000"/>
              </w:rPr>
              <w:t> </w:t>
            </w:r>
            <w:r>
              <w:rPr>
                <w:rFonts w:ascii="宋体"/>
                <w:sz w:val="15"/>
                <w:u w:val="single" w:color="000000"/>
              </w:rPr>
              <w:t>49,462,234</w:t>
            </w:r>
            <w:r>
              <w:rPr>
                <w:rFonts w:ascii="宋体"/>
                <w:sz w:val="15"/>
              </w:rPr>
              <w:t>)</w:t>
              <w:tab/>
              <w:t>-</w:t>
            </w:r>
          </w:p>
        </w:tc>
        <w:tc>
          <w:tcPr>
            <w:tcW w:w="1374" w:type="dxa"/>
            <w:tcBorders>
              <w:top w:val="nil" w:sz="6" w:space="0" w:color="auto"/>
              <w:left w:val="nil" w:sz="6" w:space="0" w:color="auto"/>
              <w:bottom w:val="single" w:sz="3" w:space="0" w:color="000000"/>
              <w:right w:val="nil" w:sz="6" w:space="0" w:color="auto"/>
            </w:tcBorders>
          </w:tcPr>
          <w:p>
            <w:pPr>
              <w:pStyle w:val="TableParagraph"/>
              <w:spacing w:line="240" w:lineRule="auto" w:before="73"/>
              <w:ind w:right="72"/>
              <w:jc w:val="right"/>
              <w:rPr>
                <w:rFonts w:ascii="宋体" w:hAnsi="宋体" w:cs="宋体" w:eastAsia="宋体" w:hint="default"/>
                <w:sz w:val="15"/>
                <w:szCs w:val="15"/>
              </w:rPr>
            </w:pPr>
            <w:r>
              <w:rPr>
                <w:rFonts w:ascii="宋体"/>
                <w:w w:val="100"/>
                <w:sz w:val="15"/>
              </w:rPr>
              <w:t>-</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0"/>
              <w:jc w:val="right"/>
              <w:rPr>
                <w:rFonts w:ascii="宋体" w:hAnsi="宋体" w:cs="宋体" w:eastAsia="宋体" w:hint="default"/>
                <w:sz w:val="15"/>
                <w:szCs w:val="15"/>
              </w:rPr>
            </w:pPr>
            <w:r>
              <w:rPr>
                <w:rFonts w:ascii="宋体"/>
                <w:w w:val="100"/>
                <w:sz w:val="15"/>
              </w:rPr>
              <w:t>-</w:t>
            </w:r>
          </w:p>
        </w:tc>
      </w:tr>
    </w:tbl>
    <w:p>
      <w:pPr>
        <w:spacing w:after="0" w:line="240" w:lineRule="auto"/>
        <w:jc w:val="right"/>
        <w:rPr>
          <w:rFonts w:ascii="宋体" w:hAnsi="宋体" w:cs="宋体" w:eastAsia="宋体" w:hint="default"/>
          <w:sz w:val="15"/>
          <w:szCs w:val="15"/>
        </w:rPr>
        <w:sectPr>
          <w:pgSz w:w="11910" w:h="16840"/>
          <w:pgMar w:header="882" w:footer="1195" w:top="1080" w:bottom="1380" w:left="960" w:right="1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tabs>
          <w:tab w:pos="2683" w:val="left" w:leader="none"/>
          <w:tab w:pos="5108" w:val="left" w:leader="none"/>
          <w:tab w:pos="7294" w:val="left" w:leader="none"/>
          <w:tab w:pos="7678" w:val="left" w:leader="none"/>
        </w:tabs>
        <w:spacing w:before="0"/>
        <w:ind w:left="316" w:right="0" w:firstLine="0"/>
        <w:jc w:val="left"/>
        <w:rPr>
          <w:rFonts w:ascii="宋体" w:hAnsi="宋体" w:cs="宋体" w:eastAsia="宋体" w:hint="default"/>
          <w:sz w:val="15"/>
          <w:szCs w:val="15"/>
        </w:rPr>
      </w:pPr>
      <w:r>
        <w:rPr>
          <w:rFonts w:ascii="宋体"/>
          <w:w w:val="100"/>
          <w:sz w:val="15"/>
        </w:rPr>
        <w:t> </w:t>
      </w:r>
      <w:r>
        <w:rPr>
          <w:rFonts w:ascii="宋体"/>
          <w:sz w:val="15"/>
        </w:rPr>
        <w:tab/>
      </w:r>
      <w:r>
        <w:rPr>
          <w:rFonts w:ascii="宋体"/>
          <w:w w:val="100"/>
          <w:sz w:val="15"/>
        </w:rPr>
      </w:r>
      <w:r>
        <w:rPr>
          <w:rFonts w:ascii="宋体"/>
          <w:spacing w:val="-2"/>
          <w:sz w:val="15"/>
          <w:u w:val="single" w:color="000000"/>
        </w:rPr>
        <w:t>2,610,597,087</w:t>
      </w:r>
      <w:r>
        <w:rPr>
          <w:rFonts w:ascii="宋体"/>
          <w:sz w:val="15"/>
          <w:u w:val="single" w:color="000000"/>
        </w:rPr>
        <w:t>   </w:t>
      </w:r>
      <w:r>
        <w:rPr>
          <w:rFonts w:ascii="宋体"/>
          <w:sz w:val="15"/>
        </w:rPr>
      </w:r>
      <w:r>
        <w:rPr>
          <w:rFonts w:ascii="宋体"/>
          <w:spacing w:val="1"/>
          <w:sz w:val="15"/>
        </w:rPr>
        <w:t>(</w:t>
      </w:r>
      <w:r>
        <w:rPr>
          <w:rFonts w:ascii="宋体"/>
          <w:spacing w:val="58"/>
          <w:sz w:val="15"/>
        </w:rPr>
        <w:t> </w:t>
      </w:r>
      <w:r>
        <w:rPr>
          <w:rFonts w:ascii="宋体"/>
          <w:spacing w:val="58"/>
          <w:sz w:val="15"/>
          <w:u w:val="single" w:color="000000"/>
        </w:rPr>
        <w:t> </w:t>
      </w:r>
      <w:r>
        <w:rPr>
          <w:rFonts w:ascii="宋体"/>
          <w:spacing w:val="-2"/>
          <w:sz w:val="15"/>
          <w:u w:val="single" w:color="000000"/>
        </w:rPr>
        <w:t>49,462,234</w:t>
      </w:r>
      <w:r>
        <w:rPr>
          <w:rFonts w:ascii="宋体"/>
          <w:spacing w:val="-2"/>
          <w:sz w:val="15"/>
        </w:rPr>
        <w:t>)</w:t>
        <w:tab/>
      </w:r>
      <w:r>
        <w:rPr>
          <w:rFonts w:ascii="宋体"/>
          <w:spacing w:val="-2"/>
          <w:sz w:val="15"/>
          <w:u w:val="single" w:color="000000"/>
        </w:rPr>
        <w:t> 99,100,351</w:t>
      </w:r>
      <w:r>
        <w:rPr>
          <w:rFonts w:ascii="宋体"/>
          <w:spacing w:val="-2"/>
          <w:sz w:val="15"/>
        </w:rPr>
        <w:tab/>
      </w:r>
      <w:r>
        <w:rPr>
          <w:rFonts w:ascii="宋体"/>
          <w:sz w:val="15"/>
        </w:rPr>
        <w:t>-</w:t>
        <w:tab/>
      </w:r>
      <w:r>
        <w:rPr>
          <w:rFonts w:ascii="宋体"/>
          <w:spacing w:val="-2"/>
          <w:sz w:val="15"/>
          <w:u w:val="single" w:color="000000"/>
        </w:rPr>
        <w:t>2,660,235,204</w:t>
      </w:r>
      <w:r>
        <w:rPr>
          <w:rFonts w:ascii="宋体"/>
          <w:spacing w:val="-2"/>
          <w:sz w:val="15"/>
        </w:rPr>
      </w:r>
    </w:p>
    <w:p>
      <w:pPr>
        <w:spacing w:line="20" w:lineRule="exact"/>
        <w:ind w:left="7291" w:right="0" w:firstLine="0"/>
        <w:rPr>
          <w:rFonts w:ascii="宋体" w:hAnsi="宋体" w:cs="宋体" w:eastAsia="宋体" w:hint="default"/>
          <w:sz w:val="2"/>
          <w:szCs w:val="2"/>
        </w:rPr>
      </w:pPr>
      <w:r>
        <w:rPr>
          <w:rFonts w:ascii="宋体" w:hAnsi="宋体" w:cs="宋体" w:eastAsia="宋体" w:hint="default"/>
          <w:sz w:val="2"/>
          <w:szCs w:val="2"/>
        </w:rPr>
        <w:pict>
          <v:group style="width:4.2pt;height:1pt;mso-position-horizontal-relative:char;mso-position-vertical-relative:line" coordorigin="0,0" coordsize="84,20">
            <v:group style="position:absolute;left:4;top:4;width:77;height:2" coordorigin="4,4" coordsize="77,2">
              <v:shape style="position:absolute;left:4;top:4;width:77;height:2" coordorigin="4,4" coordsize="77,0" path="m4,4l80,4e" filled="false" stroked="true" strokeweight=".36pt" strokecolor="#000000">
                <v:path arrowok="t"/>
              </v:shape>
            </v:group>
            <v:group style="position:absolute;left:4;top:18;width:77;height:2" coordorigin="4,18" coordsize="77,2">
              <v:shape style="position:absolute;left:4;top:18;width:77;height:2" coordorigin="4,18" coordsize="77,0" path="m4,18l80,18e" filled="false" stroked="true" strokeweight=".12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12"/>
          <w:szCs w:val="12"/>
        </w:rPr>
      </w:pPr>
    </w:p>
    <w:p>
      <w:pPr>
        <w:pStyle w:val="BodyText"/>
        <w:spacing w:line="240" w:lineRule="auto" w:before="26"/>
        <w:ind w:left="316" w:right="0"/>
        <w:jc w:val="left"/>
        <w:rPr>
          <w:rFonts w:ascii="宋体" w:hAnsi="宋体" w:cs="宋体" w:eastAsia="宋体" w:hint="default"/>
        </w:rPr>
      </w:pPr>
      <w:r>
        <w:rPr>
          <w:rFonts w:ascii="宋体" w:hAnsi="宋体" w:cs="宋体" w:eastAsia="宋体" w:hint="default"/>
        </w:rPr>
        <w:t>2018</w:t>
      </w:r>
      <w:r>
        <w:rPr/>
        <w:t>年</w:t>
      </w:r>
      <w:r>
        <w:rPr>
          <w:rFonts w:ascii="宋体" w:hAnsi="宋体" w:cs="宋体" w:eastAsia="宋体" w:hint="default"/>
        </w:rPr>
        <w:t> </w:t>
      </w:r>
    </w:p>
    <w:p>
      <w:pPr>
        <w:spacing w:line="240" w:lineRule="auto" w:before="2"/>
        <w:rPr>
          <w:rFonts w:ascii="宋体" w:hAnsi="宋体" w:cs="宋体" w:eastAsia="宋体" w:hint="default"/>
          <w:sz w:val="22"/>
          <w:szCs w:val="22"/>
        </w:rPr>
      </w:pPr>
    </w:p>
    <w:tbl>
      <w:tblPr>
        <w:tblW w:w="0" w:type="auto"/>
        <w:jc w:val="left"/>
        <w:tblInd w:w="116" w:type="dxa"/>
        <w:tblLayout w:type="fixed"/>
        <w:tblCellMar>
          <w:top w:w="0" w:type="dxa"/>
          <w:left w:w="0" w:type="dxa"/>
          <w:bottom w:w="0" w:type="dxa"/>
          <w:right w:w="0" w:type="dxa"/>
        </w:tblCellMar>
        <w:tblLook w:val="01E0"/>
      </w:tblPr>
      <w:tblGrid>
        <w:gridCol w:w="2048"/>
        <w:gridCol w:w="2349"/>
        <w:gridCol w:w="854"/>
        <w:gridCol w:w="1406"/>
        <w:gridCol w:w="490"/>
        <w:gridCol w:w="1599"/>
      </w:tblGrid>
      <w:tr>
        <w:trPr>
          <w:trHeight w:val="173" w:hRule="exact"/>
        </w:trPr>
        <w:tc>
          <w:tcPr>
            <w:tcW w:w="2048" w:type="dxa"/>
            <w:vMerge w:val="restart"/>
            <w:tcBorders>
              <w:top w:val="nil" w:sz="6" w:space="0" w:color="auto"/>
              <w:left w:val="nil" w:sz="6" w:space="0" w:color="auto"/>
              <w:right w:val="nil" w:sz="6" w:space="0" w:color="auto"/>
            </w:tcBorders>
          </w:tcPr>
          <w:p>
            <w:pPr>
              <w:pStyle w:val="TableParagraph"/>
              <w:spacing w:line="240" w:lineRule="auto" w:before="50"/>
              <w:ind w:left="200" w:right="0"/>
              <w:jc w:val="left"/>
              <w:rPr>
                <w:rFonts w:ascii="宋体" w:hAnsi="宋体" w:cs="宋体" w:eastAsia="宋体" w:hint="default"/>
                <w:sz w:val="15"/>
                <w:szCs w:val="15"/>
              </w:rPr>
            </w:pPr>
            <w:r>
              <w:rPr>
                <w:rFonts w:ascii="宋体"/>
                <w:w w:val="100"/>
                <w:sz w:val="15"/>
              </w:rPr>
              <w:t> </w:t>
            </w:r>
          </w:p>
        </w:tc>
        <w:tc>
          <w:tcPr>
            <w:tcW w:w="2349" w:type="dxa"/>
            <w:tcBorders>
              <w:top w:val="nil" w:sz="6" w:space="0" w:color="auto"/>
              <w:left w:val="nil" w:sz="6" w:space="0" w:color="auto"/>
              <w:bottom w:val="nil" w:sz="6" w:space="0" w:color="auto"/>
              <w:right w:val="nil" w:sz="6" w:space="0" w:color="auto"/>
            </w:tcBorders>
          </w:tcPr>
          <w:p>
            <w:pPr>
              <w:pStyle w:val="TableParagraph"/>
              <w:spacing w:line="151" w:lineRule="exact"/>
              <w:ind w:right="272"/>
              <w:jc w:val="right"/>
              <w:rPr>
                <w:rFonts w:ascii="宋体" w:hAnsi="宋体" w:cs="宋体" w:eastAsia="宋体" w:hint="default"/>
                <w:sz w:val="15"/>
                <w:szCs w:val="15"/>
              </w:rPr>
            </w:pPr>
            <w:r>
              <w:rPr>
                <w:rFonts w:ascii="宋体" w:hAnsi="宋体" w:cs="宋体" w:eastAsia="宋体" w:hint="default"/>
                <w:spacing w:val="-1"/>
                <w:sz w:val="15"/>
                <w:szCs w:val="15"/>
              </w:rPr>
              <w:t>会计政策变更前</w:t>
            </w:r>
          </w:p>
        </w:tc>
        <w:tc>
          <w:tcPr>
            <w:tcW w:w="854" w:type="dxa"/>
            <w:tcBorders>
              <w:top w:val="nil" w:sz="6" w:space="0" w:color="auto"/>
              <w:left w:val="nil" w:sz="6" w:space="0" w:color="auto"/>
              <w:bottom w:val="nil" w:sz="6" w:space="0" w:color="auto"/>
              <w:right w:val="nil" w:sz="6" w:space="0" w:color="auto"/>
            </w:tcBorders>
          </w:tcPr>
          <w:p>
            <w:pPr>
              <w:pStyle w:val="TableParagraph"/>
              <w:spacing w:line="151" w:lineRule="exact"/>
              <w:ind w:left="274" w:right="0"/>
              <w:jc w:val="left"/>
              <w:rPr>
                <w:rFonts w:ascii="宋体" w:hAnsi="宋体" w:cs="宋体" w:eastAsia="宋体" w:hint="default"/>
                <w:sz w:val="15"/>
                <w:szCs w:val="15"/>
              </w:rPr>
            </w:pPr>
            <w:r>
              <w:rPr>
                <w:rFonts w:ascii="宋体"/>
                <w:w w:val="100"/>
                <w:sz w:val="15"/>
              </w:rPr>
              <w:t> </w:t>
            </w:r>
          </w:p>
        </w:tc>
        <w:tc>
          <w:tcPr>
            <w:tcW w:w="1406" w:type="dxa"/>
            <w:tcBorders>
              <w:top w:val="nil" w:sz="6" w:space="0" w:color="auto"/>
              <w:left w:val="nil" w:sz="6" w:space="0" w:color="auto"/>
              <w:bottom w:val="nil" w:sz="6" w:space="0" w:color="auto"/>
              <w:right w:val="nil" w:sz="6" w:space="0" w:color="auto"/>
            </w:tcBorders>
          </w:tcPr>
          <w:p>
            <w:pPr>
              <w:pStyle w:val="TableParagraph"/>
              <w:spacing w:line="151" w:lineRule="exact"/>
              <w:ind w:right="0"/>
              <w:jc w:val="right"/>
              <w:rPr>
                <w:rFonts w:ascii="宋体" w:hAnsi="宋体" w:cs="宋体" w:eastAsia="宋体" w:hint="default"/>
                <w:sz w:val="15"/>
                <w:szCs w:val="15"/>
              </w:rPr>
            </w:pPr>
            <w:r>
              <w:rPr>
                <w:rFonts w:ascii="宋体" w:hAnsi="宋体" w:cs="宋体" w:eastAsia="宋体" w:hint="default"/>
                <w:spacing w:val="-1"/>
                <w:sz w:val="15"/>
                <w:szCs w:val="15"/>
              </w:rPr>
              <w:t>其他财务报表</w:t>
            </w:r>
          </w:p>
        </w:tc>
        <w:tc>
          <w:tcPr>
            <w:tcW w:w="490" w:type="dxa"/>
            <w:tcBorders>
              <w:top w:val="nil" w:sz="6" w:space="0" w:color="auto"/>
              <w:left w:val="nil" w:sz="6" w:space="0" w:color="auto"/>
              <w:bottom w:val="nil" w:sz="6" w:space="0" w:color="auto"/>
              <w:right w:val="nil" w:sz="6" w:space="0" w:color="auto"/>
            </w:tcBorders>
          </w:tcPr>
          <w:p>
            <w:pPr>
              <w:pStyle w:val="TableParagraph"/>
              <w:spacing w:line="151" w:lineRule="exact"/>
              <w:ind w:left="50" w:right="0"/>
              <w:jc w:val="left"/>
              <w:rPr>
                <w:rFonts w:ascii="宋体" w:hAnsi="宋体" w:cs="宋体" w:eastAsia="宋体" w:hint="default"/>
                <w:sz w:val="15"/>
                <w:szCs w:val="15"/>
              </w:rPr>
            </w:pPr>
            <w:r>
              <w:rPr>
                <w:rFonts w:ascii="宋体"/>
                <w:w w:val="100"/>
                <w:sz w:val="15"/>
              </w:rPr>
              <w:t> </w:t>
            </w:r>
          </w:p>
        </w:tc>
        <w:tc>
          <w:tcPr>
            <w:tcW w:w="1599" w:type="dxa"/>
            <w:tcBorders>
              <w:top w:val="nil" w:sz="6" w:space="0" w:color="auto"/>
              <w:left w:val="nil" w:sz="6" w:space="0" w:color="auto"/>
              <w:bottom w:val="nil" w:sz="6" w:space="0" w:color="auto"/>
              <w:right w:val="nil" w:sz="6" w:space="0" w:color="auto"/>
            </w:tcBorders>
          </w:tcPr>
          <w:p>
            <w:pPr>
              <w:pStyle w:val="TableParagraph"/>
              <w:spacing w:line="151" w:lineRule="exact"/>
              <w:ind w:right="198"/>
              <w:jc w:val="right"/>
              <w:rPr>
                <w:rFonts w:ascii="宋体" w:hAnsi="宋体" w:cs="宋体" w:eastAsia="宋体" w:hint="default"/>
                <w:sz w:val="15"/>
                <w:szCs w:val="15"/>
              </w:rPr>
            </w:pPr>
            <w:r>
              <w:rPr>
                <w:rFonts w:ascii="宋体" w:hAnsi="宋体" w:cs="宋体" w:eastAsia="宋体" w:hint="default"/>
                <w:spacing w:val="-1"/>
                <w:sz w:val="15"/>
                <w:szCs w:val="15"/>
              </w:rPr>
              <w:t>会计政策变更后</w:t>
            </w:r>
          </w:p>
        </w:tc>
      </w:tr>
      <w:tr>
        <w:trPr>
          <w:trHeight w:val="292" w:hRule="exact"/>
        </w:trPr>
        <w:tc>
          <w:tcPr>
            <w:tcW w:w="2048" w:type="dxa"/>
            <w:vMerge/>
            <w:tcBorders>
              <w:left w:val="nil" w:sz="6" w:space="0" w:color="auto"/>
              <w:bottom w:val="nil" w:sz="6" w:space="0" w:color="auto"/>
              <w:right w:val="nil" w:sz="6" w:space="0" w:color="auto"/>
            </w:tcBorders>
          </w:tcPr>
          <w:p>
            <w:pPr/>
          </w:p>
        </w:tc>
        <w:tc>
          <w:tcPr>
            <w:tcW w:w="2349" w:type="dxa"/>
            <w:tcBorders>
              <w:top w:val="nil" w:sz="6" w:space="0" w:color="auto"/>
              <w:left w:val="nil" w:sz="6" w:space="0" w:color="auto"/>
              <w:bottom w:val="nil" w:sz="6" w:space="0" w:color="auto"/>
              <w:right w:val="nil" w:sz="6" w:space="0" w:color="auto"/>
            </w:tcBorders>
          </w:tcPr>
          <w:p>
            <w:pPr>
              <w:pStyle w:val="TableParagraph"/>
              <w:spacing w:line="173" w:lineRule="exact"/>
              <w:ind w:right="272"/>
              <w:jc w:val="right"/>
              <w:rPr>
                <w:rFonts w:ascii="宋体" w:hAnsi="宋体" w:cs="宋体" w:eastAsia="宋体" w:hint="default"/>
                <w:sz w:val="15"/>
                <w:szCs w:val="15"/>
              </w:rPr>
            </w:pPr>
            <w:r>
              <w:rPr>
                <w:rFonts w:ascii="宋体" w:hAnsi="宋体" w:cs="宋体" w:eastAsia="宋体" w:hint="default"/>
                <w:spacing w:val="-1"/>
                <w:sz w:val="15"/>
                <w:szCs w:val="15"/>
              </w:rPr>
              <w:t>本年发生额</w:t>
            </w:r>
          </w:p>
        </w:tc>
        <w:tc>
          <w:tcPr>
            <w:tcW w:w="854"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173" w:lineRule="exact"/>
              <w:ind w:right="0"/>
              <w:jc w:val="right"/>
              <w:rPr>
                <w:rFonts w:ascii="宋体" w:hAnsi="宋体" w:cs="宋体" w:eastAsia="宋体" w:hint="default"/>
                <w:sz w:val="15"/>
                <w:szCs w:val="15"/>
              </w:rPr>
            </w:pPr>
            <w:r>
              <w:rPr>
                <w:rFonts w:ascii="宋体" w:hAnsi="宋体" w:cs="宋体" w:eastAsia="宋体" w:hint="default"/>
                <w:spacing w:val="-2"/>
                <w:sz w:val="15"/>
                <w:szCs w:val="15"/>
              </w:rPr>
              <w:t>列报方式变更影响</w:t>
            </w:r>
          </w:p>
        </w:tc>
        <w:tc>
          <w:tcPr>
            <w:tcW w:w="490"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Style w:val="TableParagraph"/>
              <w:spacing w:line="173" w:lineRule="exact"/>
              <w:ind w:right="198"/>
              <w:jc w:val="right"/>
              <w:rPr>
                <w:rFonts w:ascii="宋体" w:hAnsi="宋体" w:cs="宋体" w:eastAsia="宋体" w:hint="default"/>
                <w:sz w:val="15"/>
                <w:szCs w:val="15"/>
              </w:rPr>
            </w:pPr>
            <w:r>
              <w:rPr>
                <w:rFonts w:ascii="宋体" w:hAnsi="宋体" w:cs="宋体" w:eastAsia="宋体" w:hint="default"/>
                <w:spacing w:val="-1"/>
                <w:sz w:val="15"/>
                <w:szCs w:val="15"/>
              </w:rPr>
              <w:t>2019</w:t>
            </w:r>
            <w:r>
              <w:rPr>
                <w:rFonts w:ascii="宋体" w:hAnsi="宋体" w:cs="宋体" w:eastAsia="宋体" w:hint="default"/>
                <w:spacing w:val="-1"/>
                <w:sz w:val="15"/>
                <w:szCs w:val="15"/>
              </w:rPr>
              <w:t>年初余额</w:t>
            </w:r>
          </w:p>
        </w:tc>
      </w:tr>
      <w:tr>
        <w:trPr>
          <w:trHeight w:val="486" w:hRule="exact"/>
        </w:trPr>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管理费用</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23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74"/>
              <w:jc w:val="right"/>
              <w:rPr>
                <w:rFonts w:ascii="宋体" w:hAnsi="宋体" w:cs="宋体" w:eastAsia="宋体" w:hint="default"/>
                <w:sz w:val="15"/>
                <w:szCs w:val="15"/>
              </w:rPr>
            </w:pPr>
            <w:r>
              <w:rPr>
                <w:rFonts w:ascii="宋体"/>
                <w:spacing w:val="1"/>
                <w:w w:val="100"/>
                <w:sz w:val="15"/>
              </w:rPr>
              <w:t> </w:t>
            </w:r>
            <w:r>
              <w:rPr>
                <w:rFonts w:ascii="宋体"/>
                <w:spacing w:val="-2"/>
                <w:sz w:val="15"/>
              </w:rPr>
              <w:t>721,206,837</w:t>
            </w:r>
          </w:p>
        </w:tc>
        <w:tc>
          <w:tcPr>
            <w:tcW w:w="854"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
              <w:jc w:val="right"/>
              <w:rPr>
                <w:rFonts w:ascii="宋体" w:hAnsi="宋体" w:cs="宋体" w:eastAsia="宋体" w:hint="default"/>
                <w:sz w:val="15"/>
                <w:szCs w:val="15"/>
              </w:rPr>
            </w:pPr>
            <w:r>
              <w:rPr>
                <w:rFonts w:ascii="宋体"/>
                <w:spacing w:val="1"/>
                <w:w w:val="100"/>
                <w:sz w:val="15"/>
              </w:rPr>
              <w:t> </w:t>
            </w:r>
            <w:r>
              <w:rPr>
                <w:rFonts w:ascii="宋体"/>
                <w:spacing w:val="-2"/>
                <w:sz w:val="15"/>
              </w:rPr>
              <w:t>(47,315,630</w:t>
            </w:r>
          </w:p>
        </w:tc>
        <w:tc>
          <w:tcPr>
            <w:tcW w:w="490" w:type="dxa"/>
            <w:tcBorders>
              <w:top w:val="nil" w:sz="6" w:space="0" w:color="auto"/>
              <w:left w:val="nil" w:sz="6" w:space="0" w:color="auto"/>
              <w:bottom w:val="nil" w:sz="6" w:space="0" w:color="auto"/>
              <w:right w:val="nil" w:sz="6" w:space="0" w:color="auto"/>
            </w:tcBorders>
          </w:tcPr>
          <w:p>
            <w:pPr>
              <w:pStyle w:val="TableParagraph"/>
              <w:spacing w:line="195" w:lineRule="exact" w:before="73"/>
              <w:ind w:left="-5" w:right="0"/>
              <w:jc w:val="left"/>
              <w:rPr>
                <w:rFonts w:ascii="宋体" w:hAnsi="宋体" w:cs="宋体" w:eastAsia="宋体" w:hint="default"/>
                <w:sz w:val="15"/>
                <w:szCs w:val="15"/>
              </w:rPr>
            </w:pPr>
            <w:r>
              <w:rPr>
                <w:rFonts w:ascii="宋体"/>
                <w:w w:val="100"/>
                <w:sz w:val="15"/>
              </w:rPr>
              <w:t>)</w:t>
            </w:r>
          </w:p>
          <w:p>
            <w:pPr>
              <w:pStyle w:val="TableParagraph"/>
              <w:spacing w:line="195" w:lineRule="exact"/>
              <w:ind w:left="-5" w:right="0"/>
              <w:jc w:val="left"/>
              <w:rPr>
                <w:rFonts w:ascii="宋体" w:hAnsi="宋体" w:cs="宋体" w:eastAsia="宋体" w:hint="default"/>
                <w:sz w:val="15"/>
                <w:szCs w:val="15"/>
              </w:rPr>
            </w:pPr>
            <w:r>
              <w:rPr>
                <w:rFonts w:ascii="宋体"/>
                <w:spacing w:val="-2"/>
                <w:w w:val="100"/>
                <w:sz w:val="15"/>
              </w:rPr>
              <w:t> </w:t>
            </w:r>
            <w:r>
              <w:rPr>
                <w:rFonts w:ascii="宋体"/>
                <w:w w:val="100"/>
                <w:sz w:val="15"/>
              </w:rPr>
              <w:t> </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99"/>
              <w:jc w:val="right"/>
              <w:rPr>
                <w:rFonts w:ascii="宋体" w:hAnsi="宋体" w:cs="宋体" w:eastAsia="宋体" w:hint="default"/>
                <w:sz w:val="15"/>
                <w:szCs w:val="15"/>
              </w:rPr>
            </w:pPr>
            <w:r>
              <w:rPr>
                <w:rFonts w:ascii="宋体"/>
                <w:spacing w:val="1"/>
                <w:w w:val="100"/>
                <w:sz w:val="15"/>
              </w:rPr>
              <w:t> </w:t>
            </w:r>
            <w:r>
              <w:rPr>
                <w:rFonts w:ascii="宋体"/>
                <w:spacing w:val="-2"/>
                <w:sz w:val="15"/>
              </w:rPr>
              <w:t>673,891,207</w:t>
            </w:r>
          </w:p>
        </w:tc>
      </w:tr>
      <w:tr>
        <w:trPr>
          <w:trHeight w:val="194" w:hRule="exact"/>
        </w:trPr>
        <w:tc>
          <w:tcPr>
            <w:tcW w:w="2048"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研发费用</w:t>
            </w:r>
            <w:r>
              <w:rPr>
                <w:rFonts w:ascii="宋体" w:hAnsi="宋体" w:cs="宋体" w:eastAsia="宋体" w:hint="default"/>
                <w:spacing w:val="-2"/>
                <w:sz w:val="15"/>
                <w:szCs w:val="15"/>
              </w:rPr>
              <w:t> </w:t>
            </w:r>
            <w:r>
              <w:rPr>
                <w:rFonts w:ascii="宋体" w:hAnsi="宋体" w:cs="宋体" w:eastAsia="宋体" w:hint="default"/>
                <w:sz w:val="15"/>
                <w:szCs w:val="15"/>
              </w:rPr>
              <w:t> </w:t>
            </w:r>
          </w:p>
        </w:tc>
        <w:tc>
          <w:tcPr>
            <w:tcW w:w="2349" w:type="dxa"/>
            <w:tcBorders>
              <w:top w:val="nil" w:sz="6" w:space="0" w:color="auto"/>
              <w:left w:val="nil" w:sz="6" w:space="0" w:color="auto"/>
              <w:bottom w:val="nil" w:sz="6" w:space="0" w:color="auto"/>
              <w:right w:val="nil" w:sz="6" w:space="0" w:color="auto"/>
            </w:tcBorders>
          </w:tcPr>
          <w:p>
            <w:pPr>
              <w:pStyle w:val="TableParagraph"/>
              <w:spacing w:line="173" w:lineRule="exact"/>
              <w:ind w:right="274"/>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561,189,427</w:t>
            </w:r>
            <w:r>
              <w:rPr>
                <w:rFonts w:ascii="宋体"/>
                <w:spacing w:val="-1"/>
                <w:sz w:val="15"/>
              </w:rPr>
            </w:r>
          </w:p>
        </w:tc>
        <w:tc>
          <w:tcPr>
            <w:tcW w:w="854"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sz w:val="15"/>
                <w:u w:val="single" w:color="000000"/>
              </w:rPr>
              <w:t>47,315,630</w:t>
            </w:r>
            <w:r>
              <w:rPr>
                <w:rFonts w:ascii="宋体"/>
                <w:spacing w:val="-1"/>
                <w:sz w:val="15"/>
              </w:rPr>
            </w:r>
          </w:p>
        </w:tc>
        <w:tc>
          <w:tcPr>
            <w:tcW w:w="490"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Style w:val="TableParagraph"/>
              <w:spacing w:line="173" w:lineRule="exact"/>
              <w:ind w:right="199"/>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sz w:val="15"/>
                <w:u w:val="single" w:color="000000"/>
              </w:rPr>
              <w:t>608,505,057</w:t>
            </w:r>
            <w:r>
              <w:rPr>
                <w:rFonts w:ascii="宋体"/>
                <w:spacing w:val="-1"/>
                <w:sz w:val="15"/>
              </w:rPr>
            </w:r>
          </w:p>
        </w:tc>
      </w:tr>
      <w:tr>
        <w:trPr>
          <w:trHeight w:val="194" w:hRule="exact"/>
        </w:trPr>
        <w:tc>
          <w:tcPr>
            <w:tcW w:w="2048"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2349"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
        </w:tc>
        <w:tc>
          <w:tcPr>
            <w:tcW w:w="490"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
        </w:tc>
      </w:tr>
      <w:tr>
        <w:trPr>
          <w:trHeight w:val="173" w:hRule="exact"/>
        </w:trPr>
        <w:tc>
          <w:tcPr>
            <w:tcW w:w="2048" w:type="dxa"/>
            <w:tcBorders>
              <w:top w:val="nil" w:sz="6" w:space="0" w:color="auto"/>
              <w:left w:val="nil" w:sz="6" w:space="0" w:color="auto"/>
              <w:bottom w:val="nil" w:sz="6" w:space="0" w:color="auto"/>
              <w:right w:val="nil" w:sz="6" w:space="0" w:color="auto"/>
            </w:tcBorders>
          </w:tcPr>
          <w:p>
            <w:pPr>
              <w:pStyle w:val="TableParagraph"/>
              <w:spacing w:line="173" w:lineRule="exact"/>
              <w:ind w:left="200" w:right="0"/>
              <w:jc w:val="left"/>
              <w:rPr>
                <w:rFonts w:ascii="宋体" w:hAnsi="宋体" w:cs="宋体" w:eastAsia="宋体" w:hint="default"/>
                <w:sz w:val="15"/>
                <w:szCs w:val="15"/>
              </w:rPr>
            </w:pPr>
            <w:r>
              <w:rPr>
                <w:rFonts w:ascii="宋体"/>
                <w:w w:val="100"/>
                <w:sz w:val="15"/>
              </w:rPr>
              <w:t> </w:t>
            </w:r>
          </w:p>
        </w:tc>
        <w:tc>
          <w:tcPr>
            <w:tcW w:w="2349" w:type="dxa"/>
            <w:tcBorders>
              <w:top w:val="nil" w:sz="6" w:space="0" w:color="auto"/>
              <w:left w:val="nil" w:sz="6" w:space="0" w:color="auto"/>
              <w:bottom w:val="nil" w:sz="6" w:space="0" w:color="auto"/>
              <w:right w:val="nil" w:sz="6" w:space="0" w:color="auto"/>
            </w:tcBorders>
          </w:tcPr>
          <w:p>
            <w:pPr>
              <w:pStyle w:val="TableParagraph"/>
              <w:spacing w:line="173" w:lineRule="exact"/>
              <w:ind w:right="276"/>
              <w:jc w:val="right"/>
              <w:rPr>
                <w:rFonts w:ascii="宋体" w:hAnsi="宋体" w:cs="宋体" w:eastAsia="宋体" w:hint="default"/>
                <w:sz w:val="15"/>
                <w:szCs w:val="15"/>
              </w:rPr>
            </w:pPr>
            <w:r>
              <w:rPr>
                <w:rFonts w:ascii="宋体"/>
                <w:w w:val="100"/>
                <w:sz w:val="15"/>
              </w:rPr>
            </w:r>
            <w:r>
              <w:rPr>
                <w:rFonts w:ascii="宋体"/>
                <w:spacing w:val="-2"/>
                <w:sz w:val="15"/>
                <w:u w:val="single" w:color="000000"/>
              </w:rPr>
              <w:t>1,282,396,264</w:t>
            </w:r>
            <w:r>
              <w:rPr>
                <w:rFonts w:ascii="宋体"/>
                <w:spacing w:val="-2"/>
                <w:sz w:val="15"/>
              </w:rPr>
            </w:r>
          </w:p>
        </w:tc>
        <w:tc>
          <w:tcPr>
            <w:tcW w:w="854"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Style w:val="TableParagraph"/>
              <w:spacing w:line="173" w:lineRule="exact"/>
              <w:ind w:right="1"/>
              <w:jc w:val="right"/>
              <w:rPr>
                <w:rFonts w:ascii="宋体" w:hAnsi="宋体" w:cs="宋体" w:eastAsia="宋体" w:hint="default"/>
                <w:sz w:val="15"/>
                <w:szCs w:val="15"/>
              </w:rPr>
            </w:pPr>
            <w:r>
              <w:rPr>
                <w:rFonts w:ascii="宋体"/>
                <w:w w:val="100"/>
                <w:sz w:val="15"/>
              </w:rPr>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pacing w:val="-2"/>
                <w:w w:val="100"/>
                <w:sz w:val="15"/>
                <w:u w:val="single" w:color="000000"/>
              </w:rPr>
              <w:t>  </w:t>
            </w:r>
            <w:r>
              <w:rPr>
                <w:rFonts w:ascii="宋体"/>
                <w:spacing w:val="-1"/>
                <w:w w:val="100"/>
                <w:sz w:val="15"/>
                <w:u w:val="single" w:color="000000"/>
              </w:rPr>
              <w:t> </w:t>
            </w:r>
            <w:r>
              <w:rPr>
                <w:rFonts w:ascii="宋体"/>
                <w:sz w:val="15"/>
                <w:u w:val="single" w:color="000000"/>
              </w:rPr>
              <w:t>-</w:t>
            </w:r>
            <w:r>
              <w:rPr>
                <w:rFonts w:ascii="宋体"/>
                <w:sz w:val="15"/>
              </w:rPr>
            </w:r>
          </w:p>
        </w:tc>
        <w:tc>
          <w:tcPr>
            <w:tcW w:w="490" w:type="dxa"/>
            <w:tcBorders>
              <w:top w:val="nil" w:sz="6" w:space="0" w:color="auto"/>
              <w:left w:val="nil" w:sz="6" w:space="0" w:color="auto"/>
              <w:bottom w:val="nil" w:sz="6" w:space="0" w:color="auto"/>
              <w:right w:val="nil" w:sz="6" w:space="0" w:color="auto"/>
            </w:tcBorders>
          </w:tcPr>
          <w:p>
            <w:pPr/>
          </w:p>
        </w:tc>
        <w:tc>
          <w:tcPr>
            <w:tcW w:w="1599" w:type="dxa"/>
            <w:tcBorders>
              <w:top w:val="nil" w:sz="6" w:space="0" w:color="auto"/>
              <w:left w:val="nil" w:sz="6" w:space="0" w:color="auto"/>
              <w:bottom w:val="nil" w:sz="6" w:space="0" w:color="auto"/>
              <w:right w:val="nil" w:sz="6" w:space="0" w:color="auto"/>
            </w:tcBorders>
          </w:tcPr>
          <w:p>
            <w:pPr>
              <w:pStyle w:val="TableParagraph"/>
              <w:spacing w:line="173" w:lineRule="exact"/>
              <w:ind w:right="202"/>
              <w:jc w:val="right"/>
              <w:rPr>
                <w:rFonts w:ascii="宋体" w:hAnsi="宋体" w:cs="宋体" w:eastAsia="宋体" w:hint="default"/>
                <w:sz w:val="15"/>
                <w:szCs w:val="15"/>
              </w:rPr>
            </w:pPr>
            <w:r>
              <w:rPr>
                <w:rFonts w:ascii="宋体"/>
                <w:w w:val="100"/>
                <w:sz w:val="15"/>
              </w:rPr>
            </w:r>
            <w:r>
              <w:rPr>
                <w:rFonts w:ascii="宋体"/>
                <w:spacing w:val="-2"/>
                <w:sz w:val="15"/>
                <w:u w:val="single" w:color="000000"/>
              </w:rPr>
              <w:t>1,282,396,264</w:t>
            </w:r>
            <w:r>
              <w:rPr>
                <w:rFonts w:ascii="宋体"/>
                <w:spacing w:val="-2"/>
                <w:sz w:val="15"/>
              </w:rPr>
            </w:r>
          </w:p>
        </w:tc>
      </w:tr>
    </w:tbl>
    <w:p>
      <w:pPr>
        <w:spacing w:line="240" w:lineRule="auto" w:before="4"/>
        <w:rPr>
          <w:rFonts w:ascii="宋体" w:hAnsi="宋体" w:cs="宋体" w:eastAsia="宋体" w:hint="default"/>
          <w:sz w:val="22"/>
          <w:szCs w:val="22"/>
        </w:rPr>
      </w:pPr>
    </w:p>
    <w:p>
      <w:pPr>
        <w:pStyle w:val="Heading2"/>
        <w:spacing w:line="240" w:lineRule="auto" w:before="26"/>
        <w:ind w:left="316" w:right="0"/>
        <w:jc w:val="left"/>
        <w:rPr>
          <w:b w:val="0"/>
          <w:bCs w:val="0"/>
        </w:rPr>
      </w:pPr>
      <w:r>
        <w:rPr>
          <w:rFonts w:ascii="宋体" w:hAnsi="宋体" w:cs="宋体" w:eastAsia="宋体" w:hint="default"/>
        </w:rPr>
        <w:t>42.</w:t>
      </w:r>
      <w:r>
        <w:rPr>
          <w:rFonts w:ascii="宋体" w:hAnsi="宋体" w:cs="宋体" w:eastAsia="宋体" w:hint="default"/>
          <w:spacing w:val="-57"/>
        </w:rPr>
        <w:t> </w:t>
      </w:r>
      <w:r>
        <w:rPr/>
        <w:t>其他</w:t>
      </w:r>
      <w:r>
        <w:rPr>
          <w:b w:val="0"/>
          <w:bCs w:val="0"/>
        </w:rPr>
      </w:r>
    </w:p>
    <w:p>
      <w:pPr>
        <w:pStyle w:val="BodyText"/>
        <w:tabs>
          <w:tab w:pos="1277" w:val="left" w:leader="none"/>
        </w:tabs>
        <w:spacing w:line="240" w:lineRule="auto" w:before="58"/>
        <w:ind w:left="316" w:right="0"/>
        <w:jc w:val="left"/>
      </w:pPr>
      <w:r>
        <w:rPr/>
        <w:t>□适用</w:t>
        <w:tab/>
        <w:t>√不适用</w:t>
      </w:r>
    </w:p>
    <w:p>
      <w:pPr>
        <w:spacing w:line="240" w:lineRule="auto" w:before="4"/>
        <w:rPr>
          <w:rFonts w:ascii="宋体" w:hAnsi="宋体" w:cs="宋体" w:eastAsia="宋体" w:hint="default"/>
          <w:sz w:val="25"/>
          <w:szCs w:val="25"/>
        </w:rPr>
      </w:pPr>
    </w:p>
    <w:p>
      <w:pPr>
        <w:pStyle w:val="Heading2"/>
        <w:tabs>
          <w:tab w:pos="1157" w:val="left" w:leader="none"/>
        </w:tabs>
        <w:spacing w:line="240" w:lineRule="auto"/>
        <w:ind w:left="316" w:right="0"/>
        <w:jc w:val="left"/>
        <w:rPr>
          <w:rFonts w:ascii="宋体" w:hAnsi="宋体" w:cs="宋体" w:eastAsia="宋体" w:hint="default"/>
          <w:b w:val="0"/>
          <w:bCs w:val="0"/>
        </w:rPr>
      </w:pPr>
      <w:r>
        <w:rPr/>
        <w:t>六、</w:t>
      </w:r>
      <w:r>
        <w:rPr>
          <w:rFonts w:ascii="宋体" w:hAnsi="宋体" w:cs="宋体" w:eastAsia="宋体" w:hint="default"/>
        </w:rPr>
        <w:tab/>
      </w:r>
      <w:r>
        <w:rPr/>
        <w:t>税项</w:t>
      </w:r>
      <w:r>
        <w:rPr>
          <w:rFonts w:ascii="宋体" w:hAnsi="宋体" w:cs="宋体" w:eastAsia="宋体" w:hint="default"/>
          <w:w w:val="99"/>
        </w:rPr>
        <w:t> </w:t>
      </w:r>
      <w:r>
        <w:rPr>
          <w:rFonts w:ascii="宋体" w:hAnsi="宋体" w:cs="宋体" w:eastAsia="宋体" w:hint="default"/>
          <w:b w:val="0"/>
          <w:bCs w:val="0"/>
        </w:rPr>
      </w:r>
    </w:p>
    <w:p>
      <w:pPr>
        <w:spacing w:line="283" w:lineRule="auto" w:before="58"/>
        <w:ind w:left="316" w:right="6890" w:firstLine="0"/>
        <w:jc w:val="left"/>
        <w:rPr>
          <w:rFonts w:ascii="宋体" w:hAnsi="宋体" w:cs="宋体" w:eastAsia="宋体" w:hint="default"/>
          <w:sz w:val="24"/>
          <w:szCs w:val="24"/>
        </w:rPr>
      </w:pPr>
      <w:r>
        <w:rPr>
          <w:rFonts w:ascii="宋体" w:hAnsi="宋体" w:cs="宋体" w:eastAsia="宋体" w:hint="default"/>
          <w:b/>
          <w:bCs/>
          <w:sz w:val="24"/>
          <w:szCs w:val="24"/>
        </w:rPr>
        <w:t>1.</w:t>
      </w:r>
      <w:r>
        <w:rPr>
          <w:rFonts w:ascii="宋体" w:hAnsi="宋体" w:cs="宋体" w:eastAsia="宋体" w:hint="default"/>
          <w:b/>
          <w:bCs/>
          <w:spacing w:val="61"/>
          <w:sz w:val="24"/>
          <w:szCs w:val="24"/>
        </w:rPr>
        <w:t> </w:t>
      </w:r>
      <w:r>
        <w:rPr>
          <w:rFonts w:ascii="宋体" w:hAnsi="宋体" w:cs="宋体" w:eastAsia="宋体" w:hint="default"/>
          <w:b/>
          <w:bCs/>
          <w:sz w:val="24"/>
          <w:szCs w:val="24"/>
        </w:rPr>
        <w:t>主要税种及税率</w:t>
      </w:r>
      <w:r>
        <w:rPr>
          <w:rFonts w:ascii="宋体" w:hAnsi="宋体" w:cs="宋体" w:eastAsia="宋体" w:hint="default"/>
          <w:b/>
          <w:bCs/>
          <w:w w:val="99"/>
          <w:sz w:val="24"/>
          <w:szCs w:val="24"/>
        </w:rPr>
        <w:t> </w:t>
      </w:r>
      <w:r>
        <w:rPr>
          <w:rFonts w:ascii="宋体" w:hAnsi="宋体" w:cs="宋体" w:eastAsia="宋体" w:hint="default"/>
          <w:sz w:val="24"/>
          <w:szCs w:val="24"/>
        </w:rPr>
        <w:t>主要税种及税率情况</w:t>
      </w:r>
    </w:p>
    <w:p>
      <w:pPr>
        <w:pStyle w:val="BodyText"/>
        <w:spacing w:line="285" w:lineRule="exact"/>
        <w:ind w:left="316" w:right="0"/>
        <w:jc w:val="left"/>
      </w:pPr>
      <w:r>
        <w:rPr/>
        <w:t>√适用</w:t>
      </w:r>
      <w:r>
        <w:rPr>
          <w:spacing w:val="-1"/>
        </w:rPr>
        <w:t> </w:t>
      </w:r>
      <w:r>
        <w:rPr>
          <w:rFonts w:ascii="Times New Roman" w:hAnsi="Times New Roman" w:cs="Times New Roman" w:eastAsia="Times New Roman" w:hint="default"/>
        </w:rPr>
        <w:t>□</w:t>
      </w:r>
      <w:r>
        <w:rPr/>
        <w:t>不适用</w:t>
      </w:r>
    </w:p>
    <w:tbl>
      <w:tblPr>
        <w:tblW w:w="0" w:type="auto"/>
        <w:jc w:val="left"/>
        <w:tblInd w:w="203" w:type="dxa"/>
        <w:tblLayout w:type="fixed"/>
        <w:tblCellMar>
          <w:top w:w="0" w:type="dxa"/>
          <w:left w:w="0" w:type="dxa"/>
          <w:bottom w:w="0" w:type="dxa"/>
          <w:right w:w="0" w:type="dxa"/>
        </w:tblCellMar>
        <w:tblLook w:val="01E0"/>
      </w:tblPr>
      <w:tblGrid>
        <w:gridCol w:w="1160"/>
        <w:gridCol w:w="6687"/>
        <w:gridCol w:w="1203"/>
      </w:tblGrid>
      <w:tr>
        <w:trPr>
          <w:trHeight w:val="322" w:hRule="exact"/>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33"/>
              <w:jc w:val="right"/>
              <w:rPr>
                <w:rFonts w:ascii="宋体" w:hAnsi="宋体" w:cs="宋体" w:eastAsia="宋体" w:hint="default"/>
                <w:sz w:val="24"/>
                <w:szCs w:val="24"/>
              </w:rPr>
            </w:pPr>
            <w:r>
              <w:rPr>
                <w:rFonts w:ascii="宋体" w:hAnsi="宋体" w:cs="宋体" w:eastAsia="宋体" w:hint="default"/>
                <w:sz w:val="24"/>
                <w:szCs w:val="24"/>
              </w:rPr>
              <w:t>税种</w:t>
            </w:r>
          </w:p>
        </w:tc>
        <w:tc>
          <w:tcPr>
            <w:tcW w:w="66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计税依据</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5" w:right="0"/>
              <w:jc w:val="left"/>
              <w:rPr>
                <w:rFonts w:ascii="宋体" w:hAnsi="宋体" w:cs="宋体" w:eastAsia="宋体" w:hint="default"/>
                <w:sz w:val="24"/>
                <w:szCs w:val="24"/>
              </w:rPr>
            </w:pPr>
            <w:r>
              <w:rPr>
                <w:rFonts w:ascii="宋体" w:hAnsi="宋体" w:cs="宋体" w:eastAsia="宋体" w:hint="default"/>
                <w:sz w:val="24"/>
                <w:szCs w:val="24"/>
              </w:rPr>
              <w:t>税率</w:t>
            </w:r>
          </w:p>
        </w:tc>
      </w:tr>
      <w:tr>
        <w:trPr>
          <w:trHeight w:val="7686" w:hRule="exact"/>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24"/>
              <w:jc w:val="right"/>
              <w:rPr>
                <w:rFonts w:ascii="宋体" w:hAnsi="宋体" w:cs="宋体" w:eastAsia="宋体" w:hint="default"/>
                <w:sz w:val="24"/>
                <w:szCs w:val="24"/>
              </w:rPr>
            </w:pPr>
            <w:r>
              <w:rPr>
                <w:rFonts w:ascii="宋体" w:hAnsi="宋体" w:cs="宋体" w:eastAsia="宋体" w:hint="default"/>
                <w:sz w:val="24"/>
                <w:szCs w:val="24"/>
              </w:rPr>
              <w:t>增值税</w:t>
            </w:r>
          </w:p>
        </w:tc>
        <w:tc>
          <w:tcPr>
            <w:tcW w:w="66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z w:val="24"/>
                <w:szCs w:val="24"/>
              </w:rPr>
              <w:t>根据国家税务法规，本集团产品销售收入为计征增值税收入。</w:t>
            </w:r>
          </w:p>
          <w:p>
            <w:pPr>
              <w:pStyle w:val="TableParagraph"/>
              <w:spacing w:line="237" w:lineRule="auto" w:before="1"/>
              <w:ind w:left="100" w:right="103"/>
              <w:jc w:val="left"/>
              <w:rPr>
                <w:rFonts w:ascii="宋体" w:hAnsi="宋体" w:cs="宋体" w:eastAsia="宋体" w:hint="default"/>
                <w:sz w:val="24"/>
                <w:szCs w:val="24"/>
              </w:rPr>
            </w:pPr>
            <w:r>
              <w:rPr>
                <w:rFonts w:ascii="宋体" w:hAnsi="宋体" w:cs="宋体" w:eastAsia="宋体" w:hint="default"/>
                <w:spacing w:val="-1"/>
                <w:sz w:val="24"/>
                <w:szCs w:val="24"/>
              </w:rPr>
              <w:t>因集团内各分公司及子公司的个别情况，增值税征收方法有所</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1"/>
                <w:sz w:val="24"/>
                <w:szCs w:val="24"/>
              </w:rPr>
              <w:t>不同。分公司或子公司为增值税一般纳税人的，增值税由买方</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按销售额乘以适用税率计算连同销售金额一并支付分公司或 </w:t>
            </w:r>
            <w:r>
              <w:rPr>
                <w:rFonts w:ascii="宋体" w:hAnsi="宋体" w:cs="宋体" w:eastAsia="宋体" w:hint="default"/>
                <w:spacing w:val="-1"/>
                <w:sz w:val="24"/>
                <w:szCs w:val="24"/>
              </w:rPr>
              <w:t>子公司，分公司及子公司在扣除那些因购进货物所支付而允许</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抵扣的增值税之后上缴税务机关。</w:t>
            </w:r>
          </w:p>
          <w:p>
            <w:pPr>
              <w:pStyle w:val="TableParagraph"/>
              <w:spacing w:line="240" w:lineRule="auto" w:before="11"/>
              <w:ind w:right="0"/>
              <w:jc w:val="left"/>
              <w:rPr>
                <w:rFonts w:ascii="宋体" w:hAnsi="宋体" w:cs="宋体" w:eastAsia="宋体" w:hint="default"/>
                <w:sz w:val="21"/>
                <w:szCs w:val="21"/>
              </w:rPr>
            </w:pPr>
          </w:p>
          <w:p>
            <w:pPr>
              <w:pStyle w:val="TableParagraph"/>
              <w:spacing w:line="228" w:lineRule="auto"/>
              <w:ind w:left="100" w:right="101"/>
              <w:jc w:val="both"/>
              <w:rPr>
                <w:rFonts w:ascii="宋体" w:hAnsi="宋体" w:cs="宋体" w:eastAsia="宋体" w:hint="default"/>
                <w:sz w:val="24"/>
                <w:szCs w:val="24"/>
              </w:rPr>
            </w:pPr>
            <w:r>
              <w:rPr>
                <w:rFonts w:ascii="宋体" w:hAnsi="宋体" w:cs="宋体" w:eastAsia="宋体" w:hint="default"/>
                <w:sz w:val="24"/>
                <w:szCs w:val="24"/>
              </w:rPr>
              <w:t>财政部、国家税务总局、海关总署于</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2019</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年</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3</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月</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21</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日联合发 布《关于深化增值税改革有关政策的公告》（即增值税改革细 则），自</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2019</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4</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日起，</w:t>
            </w:r>
            <w:r>
              <w:rPr>
                <w:rFonts w:ascii="宋体" w:hAnsi="宋体" w:cs="宋体" w:eastAsia="宋体" w:hint="default"/>
                <w:spacing w:val="-5"/>
                <w:sz w:val="24"/>
                <w:szCs w:val="24"/>
              </w:rPr>
              <w:t> </w:t>
            </w:r>
            <w:r>
              <w:rPr>
                <w:rFonts w:ascii="宋体" w:hAnsi="宋体" w:cs="宋体" w:eastAsia="宋体" w:hint="default"/>
                <w:sz w:val="24"/>
                <w:szCs w:val="24"/>
              </w:rPr>
              <w:t>纳税人发生增值税应税销售行</w:t>
            </w:r>
            <w:r>
              <w:rPr>
                <w:rFonts w:ascii="宋体" w:hAnsi="宋体" w:cs="宋体" w:eastAsia="宋体" w:hint="default"/>
                <w:sz w:val="24"/>
                <w:szCs w:val="24"/>
              </w:rPr>
              <w:t> </w:t>
            </w:r>
            <w:r>
              <w:rPr>
                <w:rFonts w:ascii="宋体" w:hAnsi="宋体" w:cs="宋体" w:eastAsia="宋体" w:hint="default"/>
                <w:spacing w:val="-3"/>
                <w:sz w:val="24"/>
                <w:szCs w:val="24"/>
              </w:rPr>
              <w:t>为或者进口货物，原适用</w:t>
            </w:r>
            <w:r>
              <w:rPr>
                <w:rFonts w:ascii="宋体" w:hAnsi="宋体" w:cs="宋体" w:eastAsia="宋体" w:hint="default"/>
                <w:spacing w:val="-67"/>
                <w:sz w:val="24"/>
                <w:szCs w:val="24"/>
              </w:rPr>
              <w:t> </w:t>
            </w:r>
            <w:r>
              <w:rPr>
                <w:rFonts w:ascii="Times New Roman" w:hAnsi="Times New Roman" w:cs="Times New Roman" w:eastAsia="Times New Roman" w:hint="default"/>
                <w:sz w:val="24"/>
                <w:szCs w:val="24"/>
              </w:rPr>
              <w:t>16%</w:t>
            </w:r>
            <w:r>
              <w:rPr>
                <w:rFonts w:ascii="宋体" w:hAnsi="宋体" w:cs="宋体" w:eastAsia="宋体" w:hint="default"/>
                <w:sz w:val="24"/>
                <w:szCs w:val="24"/>
              </w:rPr>
              <w:t>和</w:t>
            </w:r>
            <w:r>
              <w:rPr>
                <w:rFonts w:ascii="宋体" w:hAnsi="宋体" w:cs="宋体" w:eastAsia="宋体" w:hint="default"/>
                <w:spacing w:val="-67"/>
                <w:sz w:val="24"/>
                <w:szCs w:val="24"/>
              </w:rPr>
              <w:t> </w:t>
            </w:r>
            <w:r>
              <w:rPr>
                <w:rFonts w:ascii="Times New Roman" w:hAnsi="Times New Roman" w:cs="Times New Roman" w:eastAsia="Times New Roman" w:hint="default"/>
                <w:sz w:val="24"/>
                <w:szCs w:val="24"/>
              </w:rPr>
              <w:t>10%</w:t>
            </w:r>
            <w:r>
              <w:rPr>
                <w:rFonts w:ascii="宋体" w:hAnsi="宋体" w:cs="宋体" w:eastAsia="宋体" w:hint="default"/>
                <w:sz w:val="24"/>
                <w:szCs w:val="24"/>
              </w:rPr>
              <w:t>税率的，税率分别调整为 </w:t>
            </w:r>
            <w:r>
              <w:rPr>
                <w:rFonts w:ascii="Times New Roman" w:hAnsi="Times New Roman" w:cs="Times New Roman" w:eastAsia="Times New Roman" w:hint="default"/>
                <w:sz w:val="24"/>
                <w:szCs w:val="24"/>
              </w:rPr>
              <w:t>13%</w:t>
            </w:r>
            <w:r>
              <w:rPr>
                <w:rFonts w:ascii="宋体" w:hAnsi="宋体" w:cs="宋体" w:eastAsia="宋体" w:hint="default"/>
                <w:sz w:val="24"/>
                <w:szCs w:val="24"/>
              </w:rPr>
              <w:t>、</w:t>
            </w:r>
            <w:r>
              <w:rPr>
                <w:rFonts w:ascii="Times New Roman" w:hAnsi="Times New Roman" w:cs="Times New Roman" w:eastAsia="Times New Roman" w:hint="default"/>
                <w:sz w:val="24"/>
                <w:szCs w:val="24"/>
              </w:rPr>
              <w:t>9%</w:t>
            </w:r>
            <w:r>
              <w:rPr>
                <w:rFonts w:ascii="宋体" w:hAnsi="宋体" w:cs="宋体" w:eastAsia="宋体" w:hint="default"/>
                <w:sz w:val="24"/>
                <w:szCs w:val="24"/>
              </w:rPr>
              <w:t>。</w:t>
            </w:r>
          </w:p>
          <w:p>
            <w:pPr>
              <w:pStyle w:val="TableParagraph"/>
              <w:spacing w:line="240" w:lineRule="auto" w:before="8"/>
              <w:ind w:right="0"/>
              <w:jc w:val="left"/>
              <w:rPr>
                <w:rFonts w:ascii="宋体" w:hAnsi="宋体" w:cs="宋体" w:eastAsia="宋体" w:hint="default"/>
                <w:sz w:val="20"/>
                <w:szCs w:val="20"/>
              </w:rPr>
            </w:pPr>
          </w:p>
          <w:p>
            <w:pPr>
              <w:pStyle w:val="TableParagraph"/>
              <w:spacing w:line="230" w:lineRule="auto"/>
              <w:ind w:left="100" w:right="101"/>
              <w:jc w:val="both"/>
              <w:rPr>
                <w:rFonts w:ascii="Times New Roman" w:hAnsi="Times New Roman" w:cs="Times New Roman" w:eastAsia="Times New Roman" w:hint="default"/>
                <w:sz w:val="24"/>
                <w:szCs w:val="24"/>
              </w:rPr>
            </w:pPr>
            <w:r>
              <w:rPr>
                <w:rFonts w:ascii="宋体" w:hAnsi="宋体" w:cs="宋体" w:eastAsia="宋体" w:hint="default"/>
                <w:sz w:val="24"/>
                <w:szCs w:val="24"/>
              </w:rPr>
              <w:t>财政部和国家税务总局</w:t>
            </w:r>
            <w:r>
              <w:rPr>
                <w:rFonts w:ascii="宋体" w:hAnsi="宋体" w:cs="宋体" w:eastAsia="宋体" w:hint="default"/>
                <w:spacing w:val="-89"/>
                <w:sz w:val="24"/>
                <w:szCs w:val="24"/>
              </w:rPr>
              <w:t> </w:t>
            </w:r>
            <w:r>
              <w:rPr>
                <w:rFonts w:ascii="Times New Roman" w:hAnsi="Times New Roman" w:cs="Times New Roman" w:eastAsia="Times New Roman" w:hint="default"/>
                <w:sz w:val="24"/>
                <w:szCs w:val="24"/>
              </w:rPr>
              <w:t>2013</w:t>
            </w:r>
            <w:r>
              <w:rPr>
                <w:rFonts w:ascii="Times New Roman" w:hAnsi="Times New Roman" w:cs="Times New Roman" w:eastAsia="Times New Roman" w:hint="default"/>
                <w:spacing w:val="-29"/>
                <w:sz w:val="24"/>
                <w:szCs w:val="24"/>
              </w:rPr>
              <w:t> </w:t>
            </w:r>
            <w:r>
              <w:rPr>
                <w:rFonts w:ascii="宋体" w:hAnsi="宋体" w:cs="宋体" w:eastAsia="宋体" w:hint="default"/>
                <w:sz w:val="24"/>
                <w:szCs w:val="24"/>
              </w:rPr>
              <w:t>年</w:t>
            </w:r>
            <w:r>
              <w:rPr>
                <w:rFonts w:ascii="宋体" w:hAnsi="宋体" w:cs="宋体" w:eastAsia="宋体" w:hint="default"/>
                <w:spacing w:val="-89"/>
                <w:sz w:val="24"/>
                <w:szCs w:val="24"/>
              </w:rPr>
              <w:t> </w:t>
            </w:r>
            <w:r>
              <w:rPr>
                <w:rFonts w:ascii="Times New Roman" w:hAnsi="Times New Roman" w:cs="Times New Roman" w:eastAsia="Times New Roman" w:hint="default"/>
                <w:sz w:val="24"/>
                <w:szCs w:val="24"/>
              </w:rPr>
              <w:t>5</w:t>
            </w:r>
            <w:r>
              <w:rPr>
                <w:rFonts w:ascii="Times New Roman" w:hAnsi="Times New Roman" w:cs="Times New Roman" w:eastAsia="Times New Roman" w:hint="default"/>
                <w:spacing w:val="-29"/>
                <w:sz w:val="24"/>
                <w:szCs w:val="24"/>
              </w:rPr>
              <w:t> </w:t>
            </w:r>
            <w:r>
              <w:rPr>
                <w:rFonts w:ascii="宋体" w:hAnsi="宋体" w:cs="宋体" w:eastAsia="宋体" w:hint="default"/>
                <w:sz w:val="24"/>
                <w:szCs w:val="24"/>
              </w:rPr>
              <w:t>月</w:t>
            </w:r>
            <w:r>
              <w:rPr>
                <w:rFonts w:ascii="宋体" w:hAnsi="宋体" w:cs="宋体" w:eastAsia="宋体" w:hint="default"/>
                <w:spacing w:val="-89"/>
                <w:sz w:val="24"/>
                <w:szCs w:val="24"/>
              </w:rPr>
              <w:t> </w:t>
            </w:r>
            <w:r>
              <w:rPr>
                <w:rFonts w:ascii="Times New Roman" w:hAnsi="Times New Roman" w:cs="Times New Roman" w:eastAsia="Times New Roman" w:hint="default"/>
                <w:sz w:val="24"/>
                <w:szCs w:val="24"/>
              </w:rPr>
              <w:t>24</w:t>
            </w:r>
            <w:r>
              <w:rPr>
                <w:rFonts w:ascii="Times New Roman" w:hAnsi="Times New Roman" w:cs="Times New Roman" w:eastAsia="Times New Roman" w:hint="default"/>
                <w:spacing w:val="-29"/>
                <w:sz w:val="24"/>
                <w:szCs w:val="24"/>
              </w:rPr>
              <w:t> </w:t>
            </w:r>
            <w:r>
              <w:rPr>
                <w:rFonts w:ascii="宋体" w:hAnsi="宋体" w:cs="宋体" w:eastAsia="宋体" w:hint="default"/>
                <w:sz w:val="24"/>
                <w:szCs w:val="24"/>
              </w:rPr>
              <w:t>日联合印发财税</w:t>
            </w:r>
            <w:r>
              <w:rPr>
                <w:rFonts w:ascii="Times New Roman" w:hAnsi="Times New Roman" w:cs="Times New Roman" w:eastAsia="Times New Roman" w:hint="default"/>
                <w:sz w:val="24"/>
                <w:szCs w:val="24"/>
              </w:rPr>
              <w:t>[2013]37 </w:t>
            </w:r>
            <w:r>
              <w:rPr>
                <w:rFonts w:ascii="宋体" w:hAnsi="宋体" w:cs="宋体" w:eastAsia="宋体" w:hint="default"/>
                <w:sz w:val="24"/>
                <w:szCs w:val="24"/>
              </w:rPr>
              <w:t>号《财政部、国家税务总局关于在全国开展交通运输业和部分 </w:t>
            </w:r>
            <w:r>
              <w:rPr>
                <w:rFonts w:ascii="宋体" w:hAnsi="宋体" w:cs="宋体" w:eastAsia="宋体" w:hint="default"/>
                <w:spacing w:val="-3"/>
                <w:sz w:val="24"/>
                <w:szCs w:val="24"/>
              </w:rPr>
              <w:t>现代服务业营业税改征增值税试点税收政策的通知》，从</w:t>
            </w:r>
            <w:r>
              <w:rPr>
                <w:rFonts w:ascii="宋体" w:hAnsi="宋体" w:cs="宋体" w:eastAsia="宋体" w:hint="default"/>
                <w:spacing w:val="-52"/>
                <w:sz w:val="24"/>
                <w:szCs w:val="24"/>
              </w:rPr>
              <w:t> </w:t>
            </w:r>
            <w:r>
              <w:rPr>
                <w:rFonts w:ascii="Times New Roman" w:hAnsi="Times New Roman" w:cs="Times New Roman" w:eastAsia="Times New Roman" w:hint="default"/>
                <w:sz w:val="24"/>
                <w:szCs w:val="24"/>
              </w:rPr>
              <w:t>2013</w:t>
            </w:r>
          </w:p>
          <w:p>
            <w:pPr>
              <w:pStyle w:val="TableParagraph"/>
              <w:spacing w:line="230" w:lineRule="auto"/>
              <w:ind w:left="100" w:right="104"/>
              <w:jc w:val="both"/>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8</w:t>
            </w:r>
            <w:r>
              <w:rPr>
                <w:rFonts w:ascii="Times New Roman" w:hAnsi="Times New Roman" w:cs="Times New Roman" w:eastAsia="Times New Roman" w:hint="default"/>
                <w:spacing w:val="-3"/>
                <w:sz w:val="24"/>
                <w:szCs w:val="24"/>
              </w:rPr>
              <w:t> </w:t>
            </w:r>
            <w:r>
              <w:rPr>
                <w:rFonts w:ascii="宋体" w:hAnsi="宋体" w:cs="宋体" w:eastAsia="宋体" w:hint="default"/>
                <w:sz w:val="24"/>
                <w:szCs w:val="24"/>
              </w:rPr>
              <w:t>月</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3"/>
                <w:sz w:val="24"/>
                <w:szCs w:val="24"/>
              </w:rPr>
              <w:t> </w:t>
            </w:r>
            <w:r>
              <w:rPr>
                <w:rFonts w:ascii="宋体" w:hAnsi="宋体" w:cs="宋体" w:eastAsia="宋体" w:hint="default"/>
                <w:sz w:val="24"/>
                <w:szCs w:val="24"/>
              </w:rPr>
              <w:t>日起在全国范围内开展交通运输业和部分现代服务业 </w:t>
            </w:r>
            <w:r>
              <w:rPr>
                <w:rFonts w:ascii="宋体" w:hAnsi="宋体" w:cs="宋体" w:eastAsia="宋体" w:hint="default"/>
                <w:spacing w:val="-1"/>
                <w:sz w:val="24"/>
                <w:szCs w:val="24"/>
              </w:rPr>
              <w:t>营业税改征增值税试点的相关税收政策。根据上述文件，本集</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团提供的技术服务收入适用</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6%</w:t>
            </w:r>
            <w:r>
              <w:rPr>
                <w:rFonts w:ascii="宋体" w:hAnsi="宋体" w:cs="宋体" w:eastAsia="宋体" w:hint="default"/>
                <w:sz w:val="24"/>
                <w:szCs w:val="24"/>
              </w:rPr>
              <w:t>增值税税率。</w:t>
            </w:r>
          </w:p>
          <w:p>
            <w:pPr>
              <w:pStyle w:val="TableParagraph"/>
              <w:spacing w:line="240" w:lineRule="auto" w:before="10"/>
              <w:ind w:right="0"/>
              <w:jc w:val="left"/>
              <w:rPr>
                <w:rFonts w:ascii="宋体" w:hAnsi="宋体" w:cs="宋体" w:eastAsia="宋体" w:hint="default"/>
                <w:sz w:val="20"/>
                <w:szCs w:val="20"/>
              </w:rPr>
            </w:pPr>
          </w:p>
          <w:p>
            <w:pPr>
              <w:pStyle w:val="TableParagraph"/>
              <w:spacing w:line="228" w:lineRule="auto"/>
              <w:ind w:left="100" w:right="104"/>
              <w:jc w:val="both"/>
              <w:rPr>
                <w:rFonts w:ascii="宋体" w:hAnsi="宋体" w:cs="宋体" w:eastAsia="宋体" w:hint="default"/>
                <w:sz w:val="24"/>
                <w:szCs w:val="24"/>
              </w:rPr>
            </w:pPr>
            <w:r>
              <w:rPr>
                <w:rFonts w:ascii="宋体" w:hAnsi="宋体" w:cs="宋体" w:eastAsia="宋体" w:hint="default"/>
                <w:sz w:val="24"/>
                <w:szCs w:val="24"/>
              </w:rPr>
              <w:t>依据财政部、国家税务总局于</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2011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10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13 </w:t>
            </w:r>
            <w:r>
              <w:rPr>
                <w:rFonts w:ascii="宋体" w:hAnsi="宋体" w:cs="宋体" w:eastAsia="宋体" w:hint="default"/>
                <w:sz w:val="24"/>
                <w:szCs w:val="24"/>
              </w:rPr>
              <w:t>日下发的《关 于软件产品增值税政策的通知》 </w:t>
            </w:r>
            <w:r>
              <w:rPr>
                <w:rFonts w:ascii="Times New Roman" w:hAnsi="Times New Roman" w:cs="Times New Roman" w:eastAsia="Times New Roman" w:hint="default"/>
                <w:sz w:val="24"/>
                <w:szCs w:val="24"/>
              </w:rPr>
              <w:t>(</w:t>
            </w:r>
            <w:r>
              <w:rPr>
                <w:rFonts w:ascii="宋体" w:hAnsi="宋体" w:cs="宋体" w:eastAsia="宋体" w:hint="default"/>
                <w:sz w:val="24"/>
                <w:szCs w:val="24"/>
              </w:rPr>
              <w:t>财税</w:t>
            </w:r>
            <w:r>
              <w:rPr>
                <w:rFonts w:ascii="Times New Roman" w:hAnsi="Times New Roman" w:cs="Times New Roman" w:eastAsia="Times New Roman" w:hint="default"/>
                <w:sz w:val="24"/>
                <w:szCs w:val="24"/>
              </w:rPr>
              <w:t>[2011]100 </w:t>
            </w:r>
            <w:r>
              <w:rPr>
                <w:rFonts w:ascii="宋体" w:hAnsi="宋体" w:cs="宋体" w:eastAsia="宋体" w:hint="default"/>
                <w:sz w:val="24"/>
                <w:szCs w:val="24"/>
              </w:rPr>
              <w:t>号</w:t>
            </w:r>
            <w:r>
              <w:rPr>
                <w:rFonts w:ascii="Times New Roman" w:hAnsi="Times New Roman" w:cs="Times New Roman" w:eastAsia="Times New Roman" w:hint="default"/>
                <w:sz w:val="24"/>
                <w:szCs w:val="24"/>
              </w:rPr>
              <w:t>)</w:t>
            </w:r>
            <w:r>
              <w:rPr>
                <w:rFonts w:ascii="宋体" w:hAnsi="宋体" w:cs="宋体" w:eastAsia="宋体" w:hint="default"/>
                <w:sz w:val="24"/>
                <w:szCs w:val="24"/>
              </w:rPr>
              <w:t>，自</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2011 </w:t>
            </w:r>
            <w:r>
              <w:rPr>
                <w:rFonts w:ascii="宋体" w:hAnsi="宋体" w:cs="宋体" w:eastAsia="宋体" w:hint="default"/>
                <w:sz w:val="24"/>
                <w:szCs w:val="24"/>
              </w:rPr>
              <w:t>年</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3"/>
                <w:sz w:val="24"/>
                <w:szCs w:val="24"/>
              </w:rPr>
              <w:t> </w:t>
            </w:r>
            <w:r>
              <w:rPr>
                <w:rFonts w:ascii="宋体" w:hAnsi="宋体" w:cs="宋体" w:eastAsia="宋体" w:hint="default"/>
                <w:sz w:val="24"/>
                <w:szCs w:val="24"/>
              </w:rPr>
              <w:t>月</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3"/>
                <w:sz w:val="24"/>
                <w:szCs w:val="24"/>
              </w:rPr>
              <w:t> </w:t>
            </w:r>
            <w:r>
              <w:rPr>
                <w:rFonts w:ascii="宋体" w:hAnsi="宋体" w:cs="宋体" w:eastAsia="宋体" w:hint="default"/>
                <w:sz w:val="24"/>
                <w:szCs w:val="24"/>
              </w:rPr>
              <w:t>日起，本公司及本公司北京分公司销售其自行开发生 </w:t>
            </w:r>
            <w:r>
              <w:rPr>
                <w:rFonts w:ascii="宋体" w:hAnsi="宋体" w:cs="宋体" w:eastAsia="宋体" w:hint="default"/>
                <w:spacing w:val="-1"/>
                <w:sz w:val="24"/>
                <w:szCs w:val="24"/>
              </w:rPr>
              <w:t>产的计算机软件产品，可按法定税率征收增值税后，对其增值</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税实际税负超过</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3%</w:t>
            </w:r>
            <w:r>
              <w:rPr>
                <w:rFonts w:ascii="宋体" w:hAnsi="宋体" w:cs="宋体" w:eastAsia="宋体" w:hint="default"/>
                <w:sz w:val="24"/>
                <w:szCs w:val="24"/>
              </w:rPr>
              <w:t>的部分实行即征即退政策。本集团的子公</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13%</w:t>
            </w:r>
            <w:r>
              <w:rPr>
                <w:rFonts w:ascii="宋体" w:hAnsi="宋体" w:cs="宋体" w:eastAsia="宋体" w:hint="default"/>
                <w:sz w:val="24"/>
                <w:szCs w:val="24"/>
              </w:rPr>
              <w:t>、</w:t>
            </w:r>
          </w:p>
          <w:p>
            <w:pPr>
              <w:pStyle w:val="TableParagraph"/>
              <w:spacing w:line="311" w:lineRule="exact"/>
              <w:ind w:left="10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9%</w:t>
            </w:r>
            <w:r>
              <w:rPr>
                <w:rFonts w:ascii="宋体" w:hAnsi="宋体" w:cs="宋体" w:eastAsia="宋体" w:hint="default"/>
                <w:sz w:val="24"/>
                <w:szCs w:val="24"/>
              </w:rPr>
              <w:t>、</w:t>
            </w:r>
          </w:p>
          <w:p>
            <w:pPr>
              <w:pStyle w:val="TableParagraph"/>
              <w:spacing w:line="321" w:lineRule="exact"/>
              <w:ind w:left="10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6%</w:t>
            </w:r>
            <w:r>
              <w:rPr>
                <w:rFonts w:ascii="宋体" w:hAnsi="宋体" w:cs="宋体" w:eastAsia="宋体" w:hint="default"/>
                <w:sz w:val="24"/>
                <w:szCs w:val="24"/>
              </w:rPr>
              <w:t>、</w:t>
            </w:r>
          </w:p>
          <w:p>
            <w:pPr>
              <w:pStyle w:val="TableParagraph"/>
              <w:spacing w:line="240" w:lineRule="auto" w:before="12"/>
              <w:ind w:left="101" w:right="0"/>
              <w:jc w:val="left"/>
              <w:rPr>
                <w:rFonts w:ascii="Times New Roman" w:hAnsi="Times New Roman" w:cs="Times New Roman" w:eastAsia="Times New Roman" w:hint="default"/>
                <w:sz w:val="24"/>
                <w:szCs w:val="24"/>
              </w:rPr>
            </w:pPr>
            <w:r>
              <w:rPr>
                <w:rFonts w:ascii="Times New Roman"/>
                <w:sz w:val="24"/>
              </w:rPr>
              <w:t>3%</w:t>
            </w:r>
          </w:p>
        </w:tc>
      </w:tr>
    </w:tbl>
    <w:p>
      <w:pPr>
        <w:spacing w:after="0" w:line="240" w:lineRule="auto"/>
        <w:jc w:val="left"/>
        <w:rPr>
          <w:rFonts w:ascii="Times New Roman" w:hAnsi="Times New Roman" w:cs="Times New Roman" w:eastAsia="Times New Roman" w:hint="default"/>
          <w:sz w:val="24"/>
          <w:szCs w:val="24"/>
        </w:rPr>
        <w:sectPr>
          <w:footerReference w:type="default" r:id="rId60"/>
          <w:pgSz w:w="11910" w:h="16840"/>
          <w:pgMar w:footer="1195" w:header="882" w:top="1080" w:bottom="1380" w:left="960" w:right="15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1160"/>
        <w:gridCol w:w="6687"/>
        <w:gridCol w:w="1203"/>
      </w:tblGrid>
      <w:tr>
        <w:trPr>
          <w:trHeight w:val="6200" w:hRule="exact"/>
        </w:trPr>
        <w:tc>
          <w:tcPr>
            <w:tcW w:w="1160" w:type="dxa"/>
            <w:tcBorders>
              <w:top w:val="single" w:sz="4" w:space="0" w:color="000000"/>
              <w:left w:val="single" w:sz="4" w:space="0" w:color="000000"/>
              <w:bottom w:val="single" w:sz="4" w:space="0" w:color="000000"/>
              <w:right w:val="single" w:sz="4" w:space="0" w:color="000000"/>
            </w:tcBorders>
          </w:tcPr>
          <w:p>
            <w:pPr/>
          </w:p>
        </w:tc>
        <w:tc>
          <w:tcPr>
            <w:tcW w:w="66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司用友政务、上海用友政务软件有限公司、厦门用友烟草软件</w:t>
            </w:r>
          </w:p>
          <w:p>
            <w:pPr>
              <w:pStyle w:val="TableParagraph"/>
              <w:spacing w:line="225" w:lineRule="auto" w:before="16"/>
              <w:ind w:left="100" w:right="-14"/>
              <w:jc w:val="both"/>
              <w:rPr>
                <w:rFonts w:ascii="宋体" w:hAnsi="宋体" w:cs="宋体" w:eastAsia="宋体" w:hint="default"/>
                <w:sz w:val="24"/>
                <w:szCs w:val="24"/>
              </w:rPr>
            </w:pPr>
            <w:r>
              <w:rPr>
                <w:rFonts w:ascii="宋体" w:hAnsi="宋体" w:cs="宋体" w:eastAsia="宋体" w:hint="default"/>
                <w:sz w:val="24"/>
                <w:szCs w:val="24"/>
              </w:rPr>
              <w:t>有限责任公司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以下简称“厦门烟草”</w:t>
            </w:r>
            <w:r>
              <w:rPr>
                <w:rFonts w:ascii="Times New Roman" w:hAnsi="Times New Roman" w:cs="Times New Roman" w:eastAsia="Times New Roman" w:hint="default"/>
                <w:sz w:val="24"/>
                <w:szCs w:val="24"/>
              </w:rPr>
              <w:t>)</w:t>
            </w:r>
            <w:r>
              <w:rPr>
                <w:rFonts w:ascii="宋体" w:hAnsi="宋体" w:cs="宋体" w:eastAsia="宋体" w:hint="default"/>
                <w:sz w:val="24"/>
                <w:szCs w:val="24"/>
              </w:rPr>
              <w:t>、用友医疗卫生信息系 统有限公司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以下简称“用友医疗”</w:t>
            </w:r>
            <w:r>
              <w:rPr>
                <w:rFonts w:ascii="Times New Roman" w:hAnsi="Times New Roman" w:cs="Times New Roman" w:eastAsia="Times New Roman" w:hint="default"/>
                <w:sz w:val="24"/>
                <w:szCs w:val="24"/>
              </w:rPr>
              <w:t>)</w:t>
            </w:r>
            <w:r>
              <w:rPr>
                <w:rFonts w:ascii="宋体" w:hAnsi="宋体" w:cs="宋体" w:eastAsia="宋体" w:hint="default"/>
                <w:sz w:val="24"/>
                <w:szCs w:val="24"/>
              </w:rPr>
              <w:t>、畅捷通、用友金融信息 技术股份有限公司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以下简称“用友金融”</w:t>
            </w:r>
            <w:r>
              <w:rPr>
                <w:rFonts w:ascii="Times New Roman" w:hAnsi="Times New Roman" w:cs="Times New Roman" w:eastAsia="Times New Roman" w:hint="default"/>
                <w:sz w:val="24"/>
                <w:szCs w:val="24"/>
              </w:rPr>
              <w:t>)</w:t>
            </w:r>
            <w:r>
              <w:rPr>
                <w:rFonts w:ascii="宋体" w:hAnsi="宋体" w:cs="宋体" w:eastAsia="宋体" w:hint="default"/>
                <w:sz w:val="24"/>
                <w:szCs w:val="24"/>
              </w:rPr>
              <w:t>、用友审计软件有 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以下简称“用友审计”</w:t>
            </w:r>
            <w:r>
              <w:rPr>
                <w:rFonts w:ascii="Times New Roman" w:hAnsi="Times New Roman" w:cs="Times New Roman" w:eastAsia="Times New Roman" w:hint="default"/>
                <w:sz w:val="24"/>
                <w:szCs w:val="24"/>
              </w:rPr>
              <w:t>)[2019</w:t>
            </w:r>
            <w:r>
              <w:rPr>
                <w:rFonts w:ascii="Times New Roman" w:hAnsi="Times New Roman" w:cs="Times New Roman" w:eastAsia="Times New Roman" w:hint="default"/>
                <w:spacing w:val="-6"/>
                <w:sz w:val="24"/>
                <w:szCs w:val="24"/>
              </w:rPr>
              <w:t> </w:t>
            </w:r>
            <w:r>
              <w:rPr>
                <w:rFonts w:ascii="宋体" w:hAnsi="宋体" w:cs="宋体" w:eastAsia="宋体" w:hint="default"/>
                <w:sz w:val="24"/>
                <w:szCs w:val="24"/>
              </w:rPr>
              <w:t>年</w:t>
            </w:r>
            <w:r>
              <w:rPr>
                <w:rFonts w:ascii="宋体" w:hAnsi="宋体" w:cs="宋体" w:eastAsia="宋体" w:hint="default"/>
                <w:spacing w:val="-66"/>
                <w:sz w:val="24"/>
                <w:szCs w:val="24"/>
              </w:rPr>
              <w:t> </w:t>
            </w:r>
            <w:r>
              <w:rPr>
                <w:rFonts w:ascii="Times New Roman" w:hAnsi="Times New Roman" w:cs="Times New Roman" w:eastAsia="Times New Roman" w:hint="default"/>
                <w:sz w:val="24"/>
                <w:szCs w:val="24"/>
              </w:rPr>
              <w:t>10</w:t>
            </w:r>
            <w:r>
              <w:rPr>
                <w:rFonts w:ascii="Times New Roman" w:hAnsi="Times New Roman" w:cs="Times New Roman" w:eastAsia="Times New Roman" w:hint="default"/>
                <w:spacing w:val="-6"/>
                <w:sz w:val="24"/>
                <w:szCs w:val="24"/>
              </w:rPr>
              <w:t> </w:t>
            </w:r>
            <w:r>
              <w:rPr>
                <w:rFonts w:ascii="宋体" w:hAnsi="宋体" w:cs="宋体" w:eastAsia="宋体" w:hint="default"/>
                <w:sz w:val="24"/>
                <w:szCs w:val="24"/>
              </w:rPr>
              <w:t>月处置</w:t>
            </w:r>
            <w:r>
              <w:rPr>
                <w:rFonts w:ascii="Times New Roman" w:hAnsi="Times New Roman" w:cs="Times New Roman" w:eastAsia="Times New Roman" w:hint="default"/>
                <w:sz w:val="24"/>
                <w:szCs w:val="24"/>
              </w:rPr>
              <w:t>]</w:t>
            </w:r>
            <w:r>
              <w:rPr>
                <w:rFonts w:ascii="宋体" w:hAnsi="宋体" w:cs="宋体" w:eastAsia="宋体" w:hint="default"/>
                <w:sz w:val="24"/>
                <w:szCs w:val="24"/>
              </w:rPr>
              <w:t>、新道科技 股份有限公司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以下简称“新道科技”</w:t>
            </w:r>
            <w:r>
              <w:rPr>
                <w:rFonts w:ascii="Times New Roman" w:hAnsi="Times New Roman" w:cs="Times New Roman" w:eastAsia="Times New Roman" w:hint="default"/>
                <w:sz w:val="24"/>
                <w:szCs w:val="24"/>
              </w:rPr>
              <w:t>)</w:t>
            </w:r>
            <w:r>
              <w:rPr>
                <w:rFonts w:ascii="宋体" w:hAnsi="宋体" w:cs="宋体" w:eastAsia="宋体" w:hint="default"/>
                <w:sz w:val="24"/>
                <w:szCs w:val="24"/>
              </w:rPr>
              <w:t>、用友汽车、用友优普 信息技术有限公司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以下简称“用友优普”</w:t>
            </w:r>
            <w:r>
              <w:rPr>
                <w:rFonts w:ascii="Times New Roman" w:hAnsi="Times New Roman" w:cs="Times New Roman" w:eastAsia="Times New Roman" w:hint="default"/>
                <w:sz w:val="24"/>
                <w:szCs w:val="24"/>
              </w:rPr>
              <w:t>)</w:t>
            </w:r>
            <w:r>
              <w:rPr>
                <w:rFonts w:ascii="宋体" w:hAnsi="宋体" w:cs="宋体" w:eastAsia="宋体" w:hint="default"/>
                <w:sz w:val="24"/>
                <w:szCs w:val="24"/>
              </w:rPr>
              <w:t>、用友能源科技有 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以下简称“用友能源”</w:t>
            </w:r>
            <w:r>
              <w:rPr>
                <w:rFonts w:ascii="Times New Roman" w:hAnsi="Times New Roman" w:cs="Times New Roman" w:eastAsia="Times New Roman" w:hint="default"/>
                <w:sz w:val="24"/>
                <w:szCs w:val="24"/>
              </w:rPr>
              <w:t>)</w:t>
            </w:r>
            <w:r>
              <w:rPr>
                <w:rFonts w:ascii="宋体" w:hAnsi="宋体" w:cs="宋体" w:eastAsia="宋体" w:hint="default"/>
                <w:sz w:val="24"/>
                <w:szCs w:val="24"/>
              </w:rPr>
              <w:t>、用友广信网络科技有限公司 </w:t>
            </w:r>
            <w:r>
              <w:rPr>
                <w:rFonts w:ascii="Times New Roman" w:hAnsi="Times New Roman" w:cs="Times New Roman" w:eastAsia="Times New Roman" w:hint="default"/>
                <w:sz w:val="24"/>
                <w:szCs w:val="24"/>
              </w:rPr>
              <w:t>(</w:t>
            </w:r>
            <w:r>
              <w:rPr>
                <w:rFonts w:ascii="宋体" w:hAnsi="宋体" w:cs="宋体" w:eastAsia="宋体" w:hint="default"/>
                <w:sz w:val="24"/>
                <w:szCs w:val="24"/>
              </w:rPr>
              <w:t>“用友广信”</w:t>
            </w:r>
            <w:r>
              <w:rPr>
                <w:rFonts w:ascii="Times New Roman" w:hAnsi="Times New Roman" w:cs="Times New Roman" w:eastAsia="Times New Roman" w:hint="default"/>
                <w:sz w:val="24"/>
                <w:szCs w:val="24"/>
              </w:rPr>
              <w:t>)</w:t>
            </w:r>
            <w:r>
              <w:rPr>
                <w:rFonts w:ascii="宋体" w:hAnsi="宋体" w:cs="宋体" w:eastAsia="宋体" w:hint="default"/>
                <w:sz w:val="24"/>
                <w:szCs w:val="24"/>
              </w:rPr>
              <w:t>和北京用友艾福斯软件系统有限公司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 </w:t>
            </w:r>
            <w:r>
              <w:rPr>
                <w:rFonts w:ascii="宋体" w:hAnsi="宋体" w:cs="宋体" w:eastAsia="宋体" w:hint="default"/>
                <w:spacing w:val="-4"/>
                <w:sz w:val="24"/>
                <w:szCs w:val="24"/>
              </w:rPr>
              <w:t>“用友艾福斯”</w:t>
            </w:r>
            <w:r>
              <w:rPr>
                <w:rFonts w:ascii="Times New Roman" w:hAnsi="Times New Roman" w:cs="Times New Roman" w:eastAsia="Times New Roman" w:hint="default"/>
                <w:spacing w:val="-4"/>
                <w:sz w:val="24"/>
                <w:szCs w:val="24"/>
              </w:rPr>
              <w:t>)</w:t>
            </w:r>
            <w:r>
              <w:rPr>
                <w:rFonts w:ascii="宋体" w:hAnsi="宋体" w:cs="宋体" w:eastAsia="宋体" w:hint="default"/>
                <w:spacing w:val="-4"/>
                <w:sz w:val="24"/>
                <w:szCs w:val="24"/>
              </w:rPr>
              <w:t>亦已经获得税务局的批准可实施与本公司同一</w:t>
            </w:r>
            <w:r>
              <w:rPr>
                <w:rFonts w:ascii="宋体" w:hAnsi="宋体" w:cs="宋体" w:eastAsia="宋体" w:hint="default"/>
                <w:spacing w:val="-98"/>
                <w:sz w:val="24"/>
                <w:szCs w:val="24"/>
              </w:rPr>
              <w:t> </w:t>
            </w:r>
            <w:r>
              <w:rPr>
                <w:rFonts w:ascii="宋体" w:hAnsi="宋体" w:cs="宋体" w:eastAsia="宋体" w:hint="default"/>
                <w:spacing w:val="-5"/>
                <w:sz w:val="24"/>
                <w:szCs w:val="24"/>
              </w:rPr>
              <w:t>政策；其他分公司及子公司按法定税率征收增值税，不作退还。</w:t>
            </w:r>
          </w:p>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35" w:lineRule="auto"/>
              <w:ind w:left="100" w:right="96"/>
              <w:jc w:val="left"/>
              <w:rPr>
                <w:rFonts w:ascii="宋体" w:hAnsi="宋体" w:cs="宋体" w:eastAsia="宋体" w:hint="default"/>
                <w:sz w:val="24"/>
                <w:szCs w:val="24"/>
              </w:rPr>
            </w:pPr>
            <w:r>
              <w:rPr>
                <w:rFonts w:ascii="宋体" w:hAnsi="宋体" w:cs="宋体" w:eastAsia="宋体" w:hint="default"/>
                <w:sz w:val="24"/>
                <w:szCs w:val="24"/>
              </w:rPr>
              <w:t>另有个别分公司或子公司由增值税一般纳税人转为商业企业 小规模纳税人或由商业企业小规模纳税人转为一般纳税人。当 其为增值税一般纳税人时，依照以上方法计征增值税。而在被 认定为商业企业小规模纳税人期间，在小规模纳税人制度下， 其增值税由买方按销售额</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3%</w:t>
            </w:r>
            <w:r>
              <w:rPr>
                <w:rFonts w:ascii="宋体" w:hAnsi="宋体" w:cs="宋体" w:eastAsia="宋体" w:hint="default"/>
                <w:sz w:val="24"/>
                <w:szCs w:val="24"/>
              </w:rPr>
              <w:t>计算连同销售金额一并支付有关 的分公司或子公司，在此简易方法下，那些因购进货物所支付 的增值税不能作销项抵扣，分公司及子公司直接上缴销项所获 取的增值税予税务机关。</w:t>
            </w:r>
          </w:p>
        </w:tc>
        <w:tc>
          <w:tcPr>
            <w:tcW w:w="120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消费税</w:t>
            </w:r>
          </w:p>
        </w:tc>
        <w:tc>
          <w:tcPr>
            <w:tcW w:w="6687" w:type="dxa"/>
            <w:tcBorders>
              <w:top w:val="single" w:sz="4" w:space="0" w:color="000000"/>
              <w:left w:val="single" w:sz="4" w:space="0" w:color="000000"/>
              <w:bottom w:val="single" w:sz="4" w:space="0" w:color="000000"/>
              <w:right w:val="single" w:sz="4" w:space="0" w:color="000000"/>
            </w:tcBorders>
          </w:tcPr>
          <w:p>
            <w:pPr/>
          </w:p>
        </w:tc>
        <w:tc>
          <w:tcPr>
            <w:tcW w:w="120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营业税</w:t>
            </w:r>
          </w:p>
        </w:tc>
        <w:tc>
          <w:tcPr>
            <w:tcW w:w="6687" w:type="dxa"/>
            <w:tcBorders>
              <w:top w:val="single" w:sz="4" w:space="0" w:color="000000"/>
              <w:left w:val="single" w:sz="4" w:space="0" w:color="000000"/>
              <w:bottom w:val="single" w:sz="4" w:space="0" w:color="000000"/>
              <w:right w:val="single" w:sz="4" w:space="0" w:color="000000"/>
            </w:tcBorders>
          </w:tcPr>
          <w:p>
            <w:pPr/>
          </w:p>
        </w:tc>
        <w:tc>
          <w:tcPr>
            <w:tcW w:w="1203" w:type="dxa"/>
            <w:tcBorders>
              <w:top w:val="single" w:sz="4" w:space="0" w:color="000000"/>
              <w:left w:val="single" w:sz="4" w:space="0" w:color="000000"/>
              <w:bottom w:val="single" w:sz="4" w:space="0" w:color="000000"/>
              <w:right w:val="single" w:sz="4" w:space="0" w:color="000000"/>
            </w:tcBorders>
          </w:tcPr>
          <w:p>
            <w:pPr/>
          </w:p>
        </w:tc>
      </w:tr>
      <w:tr>
        <w:trPr>
          <w:trHeight w:val="2501" w:hRule="exact"/>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城市维</w:t>
            </w:r>
          </w:p>
          <w:p>
            <w:pPr>
              <w:pStyle w:val="TableParagraph"/>
              <w:spacing w:line="310" w:lineRule="exact" w:before="31"/>
              <w:ind w:left="103" w:right="324"/>
              <w:jc w:val="left"/>
              <w:rPr>
                <w:rFonts w:ascii="宋体" w:hAnsi="宋体" w:cs="宋体" w:eastAsia="宋体" w:hint="default"/>
                <w:sz w:val="24"/>
                <w:szCs w:val="24"/>
              </w:rPr>
            </w:pPr>
            <w:r>
              <w:rPr>
                <w:rFonts w:ascii="宋体" w:hAnsi="宋体" w:cs="宋体" w:eastAsia="宋体" w:hint="default"/>
                <w:sz w:val="24"/>
                <w:szCs w:val="24"/>
              </w:rPr>
              <w:t>护建设 税</w:t>
            </w:r>
          </w:p>
        </w:tc>
        <w:tc>
          <w:tcPr>
            <w:tcW w:w="66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根据国家有关税务法规，除注册地在北京的本公司、注册地在</w:t>
            </w:r>
          </w:p>
          <w:p>
            <w:pPr>
              <w:pStyle w:val="TableParagraph"/>
              <w:spacing w:line="232" w:lineRule="auto" w:before="7"/>
              <w:ind w:left="100" w:right="-15"/>
              <w:jc w:val="left"/>
              <w:rPr>
                <w:rFonts w:ascii="宋体" w:hAnsi="宋体" w:cs="宋体" w:eastAsia="宋体" w:hint="default"/>
                <w:sz w:val="24"/>
                <w:szCs w:val="24"/>
              </w:rPr>
            </w:pPr>
            <w:r>
              <w:rPr>
                <w:rFonts w:ascii="宋体" w:hAnsi="宋体" w:cs="宋体" w:eastAsia="宋体" w:hint="default"/>
                <w:sz w:val="24"/>
                <w:szCs w:val="24"/>
              </w:rPr>
              <w:t>上海的用友汽车、注册地在北京的用友优普、用友移动通信技 </w:t>
            </w:r>
            <w:r>
              <w:rPr>
                <w:rFonts w:ascii="宋体" w:hAnsi="宋体" w:cs="宋体" w:eastAsia="宋体" w:hint="default"/>
                <w:spacing w:val="-2"/>
                <w:sz w:val="24"/>
                <w:szCs w:val="24"/>
              </w:rPr>
              <w:t>术服务有限公司</w:t>
            </w:r>
            <w:r>
              <w:rPr>
                <w:rFonts w:ascii="Times New Roman" w:hAnsi="Times New Roman" w:cs="Times New Roman" w:eastAsia="Times New Roman" w:hint="default"/>
                <w:spacing w:val="-2"/>
                <w:sz w:val="24"/>
                <w:szCs w:val="24"/>
              </w:rPr>
              <w:t>(</w:t>
            </w:r>
            <w:r>
              <w:rPr>
                <w:rFonts w:ascii="宋体" w:hAnsi="宋体" w:cs="宋体" w:eastAsia="宋体" w:hint="default"/>
                <w:spacing w:val="-2"/>
                <w:sz w:val="24"/>
                <w:szCs w:val="24"/>
              </w:rPr>
              <w:t>以下简称“用友移动”</w:t>
            </w:r>
            <w:r>
              <w:rPr>
                <w:rFonts w:ascii="Times New Roman" w:hAnsi="Times New Roman" w:cs="Times New Roman" w:eastAsia="Times New Roman" w:hint="default"/>
                <w:spacing w:val="-2"/>
                <w:sz w:val="24"/>
                <w:szCs w:val="24"/>
              </w:rPr>
              <w:t>)</w:t>
            </w:r>
            <w:r>
              <w:rPr>
                <w:rFonts w:ascii="宋体" w:hAnsi="宋体" w:cs="宋体" w:eastAsia="宋体" w:hint="default"/>
                <w:spacing w:val="-2"/>
                <w:sz w:val="24"/>
                <w:szCs w:val="24"/>
              </w:rPr>
              <w:t>、畅捷通、用友能源、</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z w:val="24"/>
                <w:szCs w:val="24"/>
              </w:rPr>
              <w:t>用友艾福斯、用友金融、新道科技、用友政务因另有当地规定</w:t>
            </w:r>
            <w:r>
              <w:rPr>
                <w:rFonts w:ascii="宋体" w:hAnsi="宋体" w:cs="宋体" w:eastAsia="宋体" w:hint="default"/>
                <w:sz w:val="24"/>
                <w:szCs w:val="24"/>
              </w:rPr>
              <w:t> 而减征外，本集团按实际缴纳的流转税的</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7%</w:t>
            </w:r>
            <w:r>
              <w:rPr>
                <w:rFonts w:ascii="宋体" w:hAnsi="宋体" w:cs="宋体" w:eastAsia="宋体" w:hint="default"/>
                <w:sz w:val="24"/>
                <w:szCs w:val="24"/>
              </w:rPr>
              <w:t>计缴城巿维护建 设税。本公司、用友汽车、用友优普、用友移动、畅捷通、用 友能源、用友艾福斯、用友金融、新道科技、用友政务根据当 地税务局认定分别按增值税净额的</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5%</w:t>
            </w:r>
            <w:r>
              <w:rPr>
                <w:rFonts w:ascii="宋体" w:hAnsi="宋体" w:cs="宋体" w:eastAsia="宋体" w:hint="default"/>
                <w:sz w:val="24"/>
                <w:szCs w:val="24"/>
              </w:rPr>
              <w:t>计缴此税。</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7%</w:t>
            </w:r>
            <w:r>
              <w:rPr>
                <w:rFonts w:ascii="宋体" w:hAnsi="宋体" w:cs="宋体" w:eastAsia="宋体" w:hint="default"/>
                <w:sz w:val="24"/>
                <w:szCs w:val="24"/>
              </w:rPr>
              <w:t>、</w:t>
            </w:r>
          </w:p>
          <w:p>
            <w:pPr>
              <w:pStyle w:val="TableParagraph"/>
              <w:spacing w:line="240" w:lineRule="auto" w:before="12"/>
              <w:ind w:left="101" w:right="0"/>
              <w:jc w:val="left"/>
              <w:rPr>
                <w:rFonts w:ascii="Times New Roman" w:hAnsi="Times New Roman" w:cs="Times New Roman" w:eastAsia="Times New Roman" w:hint="default"/>
                <w:sz w:val="24"/>
                <w:szCs w:val="24"/>
              </w:rPr>
            </w:pPr>
            <w:r>
              <w:rPr>
                <w:rFonts w:ascii="Times New Roman"/>
                <w:sz w:val="24"/>
              </w:rPr>
              <w:t>5%</w:t>
            </w:r>
          </w:p>
        </w:tc>
      </w:tr>
      <w:tr>
        <w:trPr>
          <w:trHeight w:val="4297" w:hRule="exact"/>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企业所</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得税</w:t>
            </w:r>
          </w:p>
        </w:tc>
        <w:tc>
          <w:tcPr>
            <w:tcW w:w="6687"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00" w:right="0"/>
              <w:jc w:val="left"/>
              <w:rPr>
                <w:rFonts w:ascii="宋体" w:hAnsi="宋体" w:cs="宋体" w:eastAsia="宋体" w:hint="default"/>
                <w:sz w:val="24"/>
                <w:szCs w:val="24"/>
              </w:rPr>
            </w:pPr>
            <w:r>
              <w:rPr>
                <w:rFonts w:ascii="宋体" w:hAnsi="宋体" w:cs="宋体" w:eastAsia="宋体" w:hint="default"/>
                <w:sz w:val="24"/>
                <w:szCs w:val="24"/>
              </w:rPr>
              <w:t>本集团依照</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2008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 </w:t>
            </w:r>
            <w:r>
              <w:rPr>
                <w:rFonts w:ascii="宋体" w:hAnsi="宋体" w:cs="宋体" w:eastAsia="宋体" w:hint="default"/>
                <w:sz w:val="24"/>
                <w:szCs w:val="24"/>
              </w:rPr>
              <w:t>日起施行的《中华人民共和国企业</w:t>
            </w:r>
          </w:p>
          <w:p>
            <w:pPr>
              <w:pStyle w:val="TableParagraph"/>
              <w:spacing w:line="303" w:lineRule="exact"/>
              <w:ind w:left="100" w:right="0"/>
              <w:jc w:val="left"/>
              <w:rPr>
                <w:rFonts w:ascii="宋体" w:hAnsi="宋体" w:cs="宋体" w:eastAsia="宋体" w:hint="default"/>
                <w:sz w:val="24"/>
                <w:szCs w:val="24"/>
              </w:rPr>
            </w:pPr>
            <w:r>
              <w:rPr>
                <w:rFonts w:ascii="宋体" w:hAnsi="宋体" w:cs="宋体" w:eastAsia="宋体" w:hint="default"/>
                <w:sz w:val="24"/>
                <w:szCs w:val="24"/>
              </w:rPr>
              <w:t>所得税法》，按应纳税所得额计算企业所得税。</w:t>
            </w:r>
          </w:p>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32" w:lineRule="auto"/>
              <w:ind w:left="100" w:right="96"/>
              <w:jc w:val="left"/>
              <w:rPr>
                <w:rFonts w:ascii="宋体" w:hAnsi="宋体" w:cs="宋体" w:eastAsia="宋体" w:hint="default"/>
                <w:sz w:val="24"/>
                <w:szCs w:val="24"/>
              </w:rPr>
            </w:pPr>
            <w:r>
              <w:rPr>
                <w:rFonts w:ascii="宋体" w:hAnsi="宋体" w:cs="宋体" w:eastAsia="宋体" w:hint="default"/>
                <w:sz w:val="24"/>
                <w:szCs w:val="24"/>
              </w:rPr>
              <w:t>根据《中华人民共和国企业所得税法》和国税发</w:t>
            </w:r>
            <w:r>
              <w:rPr>
                <w:rFonts w:ascii="宋体" w:hAnsi="宋体" w:cs="宋体" w:eastAsia="宋体" w:hint="default"/>
                <w:spacing w:val="-58"/>
                <w:sz w:val="24"/>
                <w:szCs w:val="24"/>
              </w:rPr>
              <w:t> </w:t>
            </w:r>
            <w:r>
              <w:rPr>
                <w:rFonts w:ascii="Times New Roman" w:hAnsi="Times New Roman" w:cs="Times New Roman" w:eastAsia="Times New Roman" w:hint="default"/>
                <w:sz w:val="24"/>
                <w:szCs w:val="24"/>
              </w:rPr>
              <w:t>2008[28]</w:t>
            </w:r>
            <w:r>
              <w:rPr>
                <w:rFonts w:ascii="宋体" w:hAnsi="宋体" w:cs="宋体" w:eastAsia="宋体" w:hint="default"/>
                <w:sz w:val="24"/>
                <w:szCs w:val="24"/>
              </w:rPr>
              <w:t>号文 的要求，本公司于</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2018 </w:t>
            </w:r>
            <w:r>
              <w:rPr>
                <w:rFonts w:ascii="宋体" w:hAnsi="宋体" w:cs="宋体" w:eastAsia="宋体" w:hint="default"/>
                <w:sz w:val="24"/>
                <w:szCs w:val="24"/>
              </w:rPr>
              <w:t>年对所有的分支机构合并缴纳企业所 得税。即按合并季度报表的应纳税所得额乘以</w:t>
            </w:r>
            <w:r>
              <w:rPr>
                <w:rFonts w:ascii="宋体" w:hAnsi="宋体" w:cs="宋体" w:eastAsia="宋体" w:hint="default"/>
                <w:spacing w:val="-82"/>
                <w:sz w:val="24"/>
                <w:szCs w:val="24"/>
              </w:rPr>
              <w:t> </w:t>
            </w:r>
            <w:r>
              <w:rPr>
                <w:rFonts w:ascii="Times New Roman" w:hAnsi="Times New Roman" w:cs="Times New Roman" w:eastAsia="Times New Roman" w:hint="default"/>
                <w:sz w:val="24"/>
                <w:szCs w:val="24"/>
              </w:rPr>
              <w:t>15%</w:t>
            </w:r>
            <w:r>
              <w:rPr>
                <w:rFonts w:ascii="宋体" w:hAnsi="宋体" w:cs="宋体" w:eastAsia="宋体" w:hint="default"/>
                <w:sz w:val="24"/>
                <w:szCs w:val="24"/>
              </w:rPr>
              <w:t>的企业所得 税税率，预缴本年度应纳所得税额。待年度汇算清缴时，以年 度合并税前利润计算的应纳税所得额为基础，按照税务机构备 案的比例在总分支机构之间进行分配，然后总分支机构以分配 到的应纳税所得额乘以各自适用的税率计算得到实际应纳所 得税费用，根据其与预缴的所得税额之差额进行补缴或退税。</w:t>
            </w: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321" w:lineRule="exact"/>
              <w:ind w:left="100"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除下述税收优惠提到的公司外，本公司的其他子公司于</w:t>
            </w:r>
            <w:r>
              <w:rPr>
                <w:rFonts w:ascii="宋体" w:hAnsi="宋体" w:cs="宋体" w:eastAsia="宋体" w:hint="default"/>
                <w:spacing w:val="-59"/>
                <w:sz w:val="24"/>
                <w:szCs w:val="24"/>
              </w:rPr>
              <w:t> </w:t>
            </w:r>
            <w:r>
              <w:rPr>
                <w:rFonts w:ascii="Times New Roman" w:hAnsi="Times New Roman" w:cs="Times New Roman" w:eastAsia="Times New Roman" w:hint="default"/>
                <w:sz w:val="24"/>
                <w:szCs w:val="24"/>
              </w:rPr>
              <w:t>2018</w:t>
            </w:r>
          </w:p>
          <w:p>
            <w:pPr>
              <w:pStyle w:val="TableParagraph"/>
              <w:spacing w:line="303" w:lineRule="exact"/>
              <w:ind w:left="100" w:right="0"/>
              <w:jc w:val="left"/>
              <w:rPr>
                <w:rFonts w:ascii="宋体" w:hAnsi="宋体" w:cs="宋体" w:eastAsia="宋体" w:hint="default"/>
                <w:sz w:val="24"/>
                <w:szCs w:val="24"/>
              </w:rPr>
            </w:pPr>
            <w:r>
              <w:rPr>
                <w:rFonts w:ascii="宋体" w:hAnsi="宋体" w:cs="宋体" w:eastAsia="宋体" w:hint="default"/>
                <w:sz w:val="24"/>
                <w:szCs w:val="24"/>
              </w:rPr>
              <w:t>年执行《中华人民共和国企业所得税法》，按应纳税所得额的</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0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10%</w:t>
            </w:r>
            <w:r>
              <w:rPr>
                <w:rFonts w:ascii="宋体" w:hAnsi="宋体" w:cs="宋体" w:eastAsia="宋体" w:hint="default"/>
                <w:sz w:val="24"/>
                <w:szCs w:val="24"/>
              </w:rPr>
              <w:t>、</w:t>
            </w:r>
          </w:p>
          <w:p>
            <w:pPr>
              <w:pStyle w:val="TableParagraph"/>
              <w:spacing w:line="321" w:lineRule="exact"/>
              <w:ind w:left="10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15%</w:t>
            </w:r>
            <w:r>
              <w:rPr>
                <w:rFonts w:ascii="宋体" w:hAnsi="宋体" w:cs="宋体" w:eastAsia="宋体" w:hint="default"/>
                <w:sz w:val="24"/>
                <w:szCs w:val="24"/>
              </w:rPr>
              <w:t>、</w:t>
            </w:r>
          </w:p>
          <w:p>
            <w:pPr>
              <w:pStyle w:val="TableParagraph"/>
              <w:spacing w:line="240" w:lineRule="auto" w:before="12"/>
              <w:ind w:left="101" w:right="0"/>
              <w:jc w:val="left"/>
              <w:rPr>
                <w:rFonts w:ascii="Times New Roman" w:hAnsi="Times New Roman" w:cs="Times New Roman" w:eastAsia="Times New Roman" w:hint="default"/>
                <w:sz w:val="24"/>
                <w:szCs w:val="24"/>
              </w:rPr>
            </w:pPr>
            <w:r>
              <w:rPr>
                <w:rFonts w:ascii="Times New Roman"/>
                <w:sz w:val="24"/>
              </w:rPr>
              <w:t>25%</w:t>
            </w:r>
          </w:p>
        </w:tc>
      </w:tr>
    </w:tbl>
    <w:p>
      <w:pPr>
        <w:spacing w:after="0" w:line="240" w:lineRule="auto"/>
        <w:jc w:val="left"/>
        <w:rPr>
          <w:rFonts w:ascii="Times New Roman" w:hAnsi="Times New Roman" w:cs="Times New Roman" w:eastAsia="Times New Roman" w:hint="default"/>
          <w:sz w:val="24"/>
          <w:szCs w:val="24"/>
        </w:rPr>
        <w:sectPr>
          <w:footerReference w:type="default" r:id="rId61"/>
          <w:pgSz w:w="11910" w:h="16840"/>
          <w:pgMar w:footer="1195" w:header="882" w:top="1080" w:bottom="1380" w:left="1060" w:right="1560"/>
          <w:pgNumType w:start="71"/>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1160"/>
        <w:gridCol w:w="6687"/>
        <w:gridCol w:w="1203"/>
      </w:tblGrid>
      <w:tr>
        <w:trPr>
          <w:trHeight w:val="322" w:hRule="exact"/>
        </w:trPr>
        <w:tc>
          <w:tcPr>
            <w:tcW w:w="1160" w:type="dxa"/>
            <w:tcBorders>
              <w:top w:val="single" w:sz="4" w:space="0" w:color="000000"/>
              <w:left w:val="single" w:sz="4" w:space="0" w:color="000000"/>
              <w:bottom w:val="single" w:sz="4" w:space="0" w:color="000000"/>
              <w:right w:val="single" w:sz="4" w:space="0" w:color="000000"/>
            </w:tcBorders>
          </w:tcPr>
          <w:p>
            <w:pPr/>
          </w:p>
        </w:tc>
        <w:tc>
          <w:tcPr>
            <w:tcW w:w="668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0"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25%</w:t>
            </w:r>
            <w:r>
              <w:rPr>
                <w:rFonts w:ascii="宋体" w:hAnsi="宋体" w:cs="宋体" w:eastAsia="宋体" w:hint="default"/>
                <w:sz w:val="24"/>
                <w:szCs w:val="24"/>
              </w:rPr>
              <w:t>计缴企业所得税。</w:t>
            </w:r>
          </w:p>
        </w:tc>
        <w:tc>
          <w:tcPr>
            <w:tcW w:w="1203" w:type="dxa"/>
            <w:tcBorders>
              <w:top w:val="single" w:sz="4" w:space="0" w:color="000000"/>
              <w:left w:val="single" w:sz="4" w:space="0" w:color="000000"/>
              <w:bottom w:val="single" w:sz="4" w:space="0" w:color="000000"/>
              <w:right w:val="single" w:sz="4" w:space="0" w:color="000000"/>
            </w:tcBorders>
          </w:tcPr>
          <w:p>
            <w:pPr/>
          </w:p>
        </w:tc>
      </w:tr>
      <w:tr>
        <w:trPr>
          <w:trHeight w:val="1255" w:hRule="exact"/>
        </w:trPr>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教育费</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附加</w:t>
            </w:r>
          </w:p>
        </w:tc>
        <w:tc>
          <w:tcPr>
            <w:tcW w:w="66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15"/>
              <w:jc w:val="left"/>
              <w:rPr>
                <w:rFonts w:ascii="宋体" w:hAnsi="宋体" w:cs="宋体" w:eastAsia="宋体" w:hint="default"/>
                <w:sz w:val="24"/>
                <w:szCs w:val="24"/>
              </w:rPr>
            </w:pPr>
            <w:r>
              <w:rPr>
                <w:rFonts w:ascii="宋体" w:hAnsi="宋体" w:cs="宋体" w:eastAsia="宋体" w:hint="default"/>
                <w:sz w:val="24"/>
                <w:szCs w:val="24"/>
              </w:rPr>
              <w:t>根据国家有关税务法规及当地有关规定，本公司及本公司的各</w:t>
            </w:r>
          </w:p>
          <w:p>
            <w:pPr>
              <w:pStyle w:val="TableParagraph"/>
              <w:spacing w:line="225" w:lineRule="auto" w:before="15"/>
              <w:ind w:left="100" w:right="-15"/>
              <w:jc w:val="left"/>
              <w:rPr>
                <w:rFonts w:ascii="宋体" w:hAnsi="宋体" w:cs="宋体" w:eastAsia="宋体" w:hint="default"/>
                <w:sz w:val="24"/>
                <w:szCs w:val="24"/>
              </w:rPr>
            </w:pPr>
            <w:r>
              <w:rPr>
                <w:rFonts w:ascii="宋体" w:hAnsi="宋体" w:cs="宋体" w:eastAsia="宋体" w:hint="default"/>
                <w:sz w:val="24"/>
                <w:szCs w:val="24"/>
              </w:rPr>
              <w:t>分公司及子公司按应缴纳的增值税净额的</w:t>
            </w:r>
            <w:r>
              <w:rPr>
                <w:rFonts w:ascii="宋体" w:hAnsi="宋体" w:cs="宋体" w:eastAsia="宋体" w:hint="default"/>
                <w:spacing w:val="-89"/>
                <w:sz w:val="24"/>
                <w:szCs w:val="24"/>
              </w:rPr>
              <w:t> </w:t>
            </w:r>
            <w:r>
              <w:rPr>
                <w:rFonts w:ascii="Times New Roman" w:hAnsi="Times New Roman" w:cs="Times New Roman" w:eastAsia="Times New Roman" w:hint="default"/>
                <w:sz w:val="24"/>
                <w:szCs w:val="24"/>
              </w:rPr>
              <w:t>3%</w:t>
            </w:r>
            <w:r>
              <w:rPr>
                <w:rFonts w:ascii="宋体" w:hAnsi="宋体" w:cs="宋体" w:eastAsia="宋体" w:hint="default"/>
                <w:sz w:val="24"/>
                <w:szCs w:val="24"/>
              </w:rPr>
              <w:t>缴纳教育费附加； 部分分公司及子公司再按缴纳的增值税净额的</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w:t>
            </w:r>
            <w:r>
              <w:rPr>
                <w:rFonts w:ascii="宋体" w:hAnsi="宋体" w:cs="宋体" w:eastAsia="宋体" w:hint="default"/>
                <w:sz w:val="24"/>
                <w:szCs w:val="24"/>
              </w:rPr>
              <w:t>缴纳地方教 育费附加。</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w:t>
            </w:r>
          </w:p>
          <w:p>
            <w:pPr>
              <w:pStyle w:val="TableParagraph"/>
              <w:spacing w:line="240" w:lineRule="auto" w:before="12"/>
              <w:ind w:left="101" w:right="0"/>
              <w:jc w:val="left"/>
              <w:rPr>
                <w:rFonts w:ascii="Times New Roman" w:hAnsi="Times New Roman" w:cs="Times New Roman" w:eastAsia="Times New Roman" w:hint="default"/>
                <w:sz w:val="24"/>
                <w:szCs w:val="24"/>
              </w:rPr>
            </w:pPr>
            <w:r>
              <w:rPr>
                <w:rFonts w:ascii="Times New Roman"/>
                <w:sz w:val="24"/>
              </w:rPr>
              <w:t>2%</w:t>
            </w:r>
          </w:p>
        </w:tc>
      </w:tr>
    </w:tbl>
    <w:p>
      <w:pPr>
        <w:spacing w:line="240" w:lineRule="auto" w:before="3"/>
        <w:rPr>
          <w:rFonts w:ascii="Times New Roman" w:hAnsi="Times New Roman" w:cs="Times New Roman" w:eastAsia="Times New Roman" w:hint="default"/>
          <w:sz w:val="18"/>
          <w:szCs w:val="18"/>
        </w:rPr>
      </w:pPr>
    </w:p>
    <w:p>
      <w:pPr>
        <w:pStyle w:val="BodyText"/>
        <w:spacing w:line="313" w:lineRule="exact" w:before="26"/>
        <w:ind w:left="216" w:right="0"/>
        <w:jc w:val="left"/>
      </w:pPr>
      <w:r>
        <w:rPr/>
        <w:t>存在不同企业所得税税率纳税主体的，披露情况说明</w:t>
      </w:r>
    </w:p>
    <w:p>
      <w:pPr>
        <w:pStyle w:val="BodyText"/>
        <w:spacing w:line="331" w:lineRule="exact"/>
        <w:ind w:left="216" w:right="0"/>
        <w:jc w:val="left"/>
      </w:pPr>
      <w:r>
        <w:rPr/>
        <w:t>√适用</w:t>
      </w:r>
      <w:r>
        <w:rPr>
          <w:spacing w:val="-1"/>
        </w:rPr>
        <w:t> </w:t>
      </w:r>
      <w:r>
        <w:rPr>
          <w:rFonts w:ascii="Times New Roman" w:hAnsi="Times New Roman" w:cs="Times New Roman" w:eastAsia="Times New Roman" w:hint="default"/>
        </w:rPr>
        <w:t>□</w:t>
      </w:r>
      <w:r>
        <w:rPr/>
        <w:t>不适用</w:t>
      </w:r>
    </w:p>
    <w:tbl>
      <w:tblPr>
        <w:tblW w:w="0" w:type="auto"/>
        <w:jc w:val="left"/>
        <w:tblInd w:w="103" w:type="dxa"/>
        <w:tblLayout w:type="fixed"/>
        <w:tblCellMar>
          <w:top w:w="0" w:type="dxa"/>
          <w:left w:w="0" w:type="dxa"/>
          <w:bottom w:w="0" w:type="dxa"/>
          <w:right w:w="0" w:type="dxa"/>
        </w:tblCellMar>
        <w:tblLook w:val="01E0"/>
      </w:tblPr>
      <w:tblGrid>
        <w:gridCol w:w="4604"/>
        <w:gridCol w:w="4446"/>
      </w:tblGrid>
      <w:tr>
        <w:trPr>
          <w:trHeight w:val="324" w:hRule="exact"/>
        </w:trPr>
        <w:tc>
          <w:tcPr>
            <w:tcW w:w="4604" w:type="dxa"/>
            <w:tcBorders>
              <w:top w:val="single" w:sz="4" w:space="0" w:color="000000"/>
              <w:left w:val="single" w:sz="4" w:space="0" w:color="000000"/>
              <w:bottom w:val="single" w:sz="6" w:space="0" w:color="000000"/>
              <w:right w:val="single" w:sz="6" w:space="0" w:color="000000"/>
            </w:tcBorders>
          </w:tcPr>
          <w:p>
            <w:pPr>
              <w:pStyle w:val="TableParagraph"/>
              <w:spacing w:line="274" w:lineRule="exact"/>
              <w:ind w:left="2" w:right="0"/>
              <w:jc w:val="center"/>
              <w:rPr>
                <w:rFonts w:ascii="宋体" w:hAnsi="宋体" w:cs="宋体" w:eastAsia="宋体" w:hint="default"/>
                <w:sz w:val="24"/>
                <w:szCs w:val="24"/>
              </w:rPr>
            </w:pPr>
            <w:r>
              <w:rPr>
                <w:rFonts w:ascii="宋体" w:hAnsi="宋体" w:cs="宋体" w:eastAsia="宋体" w:hint="default"/>
                <w:sz w:val="24"/>
                <w:szCs w:val="24"/>
              </w:rPr>
              <w:t>纳税主体名称</w:t>
            </w:r>
          </w:p>
        </w:tc>
        <w:tc>
          <w:tcPr>
            <w:tcW w:w="4446" w:type="dxa"/>
            <w:tcBorders>
              <w:top w:val="single" w:sz="4" w:space="0" w:color="000000"/>
              <w:left w:val="single" w:sz="6" w:space="0" w:color="000000"/>
              <w:bottom w:val="single" w:sz="6" w:space="0" w:color="000000"/>
              <w:right w:val="single" w:sz="4" w:space="0" w:color="000000"/>
            </w:tcBorders>
          </w:tcPr>
          <w:p>
            <w:pPr>
              <w:pStyle w:val="TableParagraph"/>
              <w:spacing w:line="292" w:lineRule="exact"/>
              <w:ind w:left="1274" w:right="0"/>
              <w:jc w:val="left"/>
              <w:rPr>
                <w:rFonts w:ascii="宋体" w:hAnsi="宋体" w:cs="宋体" w:eastAsia="宋体" w:hint="default"/>
                <w:sz w:val="24"/>
                <w:szCs w:val="24"/>
              </w:rPr>
            </w:pPr>
            <w:r>
              <w:rPr>
                <w:rFonts w:ascii="宋体" w:hAnsi="宋体" w:cs="宋体" w:eastAsia="宋体" w:hint="default"/>
                <w:sz w:val="24"/>
                <w:szCs w:val="24"/>
              </w:rPr>
              <w:t>所得税税率（</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r>
      <w:tr>
        <w:trPr>
          <w:trHeight w:val="638" w:hRule="exact"/>
        </w:trPr>
        <w:tc>
          <w:tcPr>
            <w:tcW w:w="4604" w:type="dxa"/>
            <w:tcBorders>
              <w:top w:val="single" w:sz="6" w:space="0" w:color="000000"/>
              <w:left w:val="single" w:sz="4" w:space="0" w:color="000000"/>
              <w:bottom w:val="single" w:sz="6" w:space="0" w:color="000000"/>
              <w:right w:val="single" w:sz="6"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用友网络、用友金融、用友政务、用友汽</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车</w:t>
            </w:r>
          </w:p>
        </w:tc>
        <w:tc>
          <w:tcPr>
            <w:tcW w:w="4446" w:type="dxa"/>
            <w:tcBorders>
              <w:top w:val="single" w:sz="6" w:space="0" w:color="000000"/>
              <w:left w:val="single" w:sz="6" w:space="0" w:color="000000"/>
              <w:bottom w:val="single" w:sz="6"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w:t>
            </w:r>
          </w:p>
        </w:tc>
      </w:tr>
      <w:tr>
        <w:trPr>
          <w:trHeight w:val="326" w:hRule="exact"/>
        </w:trPr>
        <w:tc>
          <w:tcPr>
            <w:tcW w:w="4604"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用友能源、用友广信</w:t>
            </w:r>
          </w:p>
        </w:tc>
        <w:tc>
          <w:tcPr>
            <w:tcW w:w="4446" w:type="dxa"/>
            <w:tcBorders>
              <w:top w:val="single" w:sz="6" w:space="0" w:color="000000"/>
              <w:left w:val="single" w:sz="6" w:space="0" w:color="000000"/>
              <w:bottom w:val="single" w:sz="6"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12.5</w:t>
            </w:r>
          </w:p>
        </w:tc>
      </w:tr>
      <w:tr>
        <w:trPr>
          <w:trHeight w:val="946" w:hRule="exact"/>
        </w:trPr>
        <w:tc>
          <w:tcPr>
            <w:tcW w:w="4604" w:type="dxa"/>
            <w:tcBorders>
              <w:top w:val="single" w:sz="6" w:space="0" w:color="000000"/>
              <w:left w:val="single" w:sz="4" w:space="0" w:color="000000"/>
              <w:bottom w:val="single" w:sz="4" w:space="0" w:color="000000"/>
              <w:right w:val="single" w:sz="6"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用友医疗、厦门烟草、用友移动、</w:t>
            </w:r>
          </w:p>
          <w:p>
            <w:pPr>
              <w:pStyle w:val="TableParagraph"/>
              <w:spacing w:line="310" w:lineRule="exact" w:before="31"/>
              <w:ind w:left="103" w:right="167"/>
              <w:jc w:val="left"/>
              <w:rPr>
                <w:rFonts w:ascii="宋体" w:hAnsi="宋体" w:cs="宋体" w:eastAsia="宋体" w:hint="default"/>
                <w:sz w:val="24"/>
                <w:szCs w:val="24"/>
              </w:rPr>
            </w:pPr>
            <w:r>
              <w:rPr>
                <w:rFonts w:ascii="宋体" w:hAnsi="宋体" w:cs="宋体" w:eastAsia="宋体" w:hint="default"/>
                <w:sz w:val="24"/>
                <w:szCs w:val="24"/>
              </w:rPr>
              <w:t>新道科技、畅捷支付、畅捷通、北京薪福 社</w:t>
            </w:r>
          </w:p>
        </w:tc>
        <w:tc>
          <w:tcPr>
            <w:tcW w:w="4446" w:type="dxa"/>
            <w:tcBorders>
              <w:top w:val="single" w:sz="6" w:space="0" w:color="000000"/>
              <w:left w:val="single" w:sz="6"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15</w:t>
            </w:r>
          </w:p>
        </w:tc>
      </w:tr>
    </w:tbl>
    <w:p>
      <w:pPr>
        <w:spacing w:line="240" w:lineRule="auto" w:before="13"/>
        <w:rPr>
          <w:rFonts w:ascii="宋体" w:hAnsi="宋体" w:cs="宋体" w:eastAsia="宋体" w:hint="default"/>
          <w:sz w:val="21"/>
          <w:szCs w:val="21"/>
        </w:rPr>
      </w:pPr>
    </w:p>
    <w:p>
      <w:pPr>
        <w:pStyle w:val="Heading2"/>
        <w:spacing w:line="240" w:lineRule="auto" w:before="26"/>
        <w:ind w:right="0"/>
        <w:jc w:val="both"/>
        <w:rPr>
          <w:b w:val="0"/>
          <w:bCs w:val="0"/>
        </w:rPr>
      </w:pPr>
      <w:r>
        <w:rPr>
          <w:rFonts w:ascii="宋体" w:hAnsi="宋体" w:cs="宋体" w:eastAsia="宋体" w:hint="default"/>
        </w:rPr>
        <w:t>2.</w:t>
      </w:r>
      <w:r>
        <w:rPr>
          <w:rFonts w:ascii="宋体" w:hAnsi="宋体" w:cs="宋体" w:eastAsia="宋体" w:hint="default"/>
          <w:spacing w:val="62"/>
        </w:rPr>
        <w:t> </w:t>
      </w:r>
      <w:r>
        <w:rPr/>
        <w:t>税收优惠</w:t>
      </w:r>
      <w:r>
        <w:rPr>
          <w:b w:val="0"/>
          <w:bCs w:val="0"/>
        </w:rPr>
      </w:r>
    </w:p>
    <w:p>
      <w:pPr>
        <w:pStyle w:val="BodyText"/>
        <w:spacing w:line="313" w:lineRule="exact" w:before="58"/>
        <w:ind w:left="216" w:right="0"/>
        <w:jc w:val="both"/>
      </w:pPr>
      <w:r>
        <w:rPr/>
        <w:t>√适用  □不适用</w:t>
      </w:r>
    </w:p>
    <w:p>
      <w:pPr>
        <w:pStyle w:val="BodyText"/>
        <w:spacing w:line="320" w:lineRule="exact"/>
        <w:ind w:left="216" w:right="0"/>
        <w:jc w:val="both"/>
      </w:pPr>
      <w:r>
        <w:rPr/>
        <w:t>根据</w:t>
      </w:r>
      <w:r>
        <w:rPr>
          <w:spacing w:val="-60"/>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5 </w:t>
      </w:r>
      <w:r>
        <w:rPr/>
        <w:t>月</w:t>
      </w:r>
      <w:r>
        <w:rPr>
          <w:spacing w:val="-60"/>
        </w:rPr>
        <w:t> </w:t>
      </w:r>
      <w:r>
        <w:rPr>
          <w:rFonts w:ascii="Times New Roman" w:hAnsi="Times New Roman" w:cs="Times New Roman" w:eastAsia="Times New Roman" w:hint="default"/>
        </w:rPr>
        <w:t>4 </w:t>
      </w:r>
      <w:r>
        <w:rPr/>
        <w:t>日财政部、国家税务总局、发展改革委和工业和信息化部颁布的</w:t>
      </w:r>
    </w:p>
    <w:p>
      <w:pPr>
        <w:pStyle w:val="BodyText"/>
        <w:spacing w:line="312" w:lineRule="exact" w:before="19"/>
        <w:ind w:left="216" w:right="306"/>
        <w:jc w:val="both"/>
      </w:pPr>
      <w:r>
        <w:rPr/>
        <w:t>《关于软件和集成电路产业企业所得税优惠政策有关问题的通知》</w:t>
      </w:r>
      <w:r>
        <w:rPr>
          <w:rFonts w:ascii="Times New Roman" w:hAnsi="Times New Roman" w:cs="Times New Roman" w:eastAsia="Times New Roman" w:hint="default"/>
        </w:rPr>
        <w:t>(</w:t>
      </w:r>
      <w:r>
        <w:rPr/>
        <w:t>财税</w:t>
      </w:r>
      <w:r>
        <w:rPr>
          <w:rFonts w:ascii="Times New Roman" w:hAnsi="Times New Roman" w:cs="Times New Roman" w:eastAsia="Times New Roman" w:hint="default"/>
        </w:rPr>
        <w:t>[2016]49 </w:t>
      </w:r>
      <w:r>
        <w:rPr/>
        <w:t>号</w:t>
      </w:r>
      <w:r>
        <w:rPr>
          <w:rFonts w:ascii="Times New Roman" w:hAnsi="Times New Roman" w:cs="Times New Roman" w:eastAsia="Times New Roman" w:hint="default"/>
        </w:rPr>
        <w:t>)(49 </w:t>
      </w:r>
      <w:r>
        <w:rPr/>
        <w:t>号文</w:t>
      </w:r>
      <w:r>
        <w:rPr>
          <w:rFonts w:ascii="Times New Roman" w:hAnsi="Times New Roman" w:cs="Times New Roman" w:eastAsia="Times New Roman" w:hint="default"/>
        </w:rPr>
        <w:t>)</w:t>
      </w:r>
      <w:r>
        <w:rPr/>
        <w:t>文件，国家规划布局内重点软件企业可享受</w:t>
      </w:r>
      <w:r>
        <w:rPr>
          <w:spacing w:val="-62"/>
        </w:rPr>
        <w:t> </w:t>
      </w:r>
      <w:r>
        <w:rPr>
          <w:rFonts w:ascii="Times New Roman" w:hAnsi="Times New Roman" w:cs="Times New Roman" w:eastAsia="Times New Roman" w:hint="default"/>
        </w:rPr>
        <w:t>10%</w:t>
      </w:r>
      <w:r>
        <w:rPr/>
        <w:t>的优惠税率。</w:t>
      </w:r>
    </w:p>
    <w:p>
      <w:pPr>
        <w:spacing w:line="240" w:lineRule="auto" w:before="10"/>
        <w:rPr>
          <w:rFonts w:ascii="宋体" w:hAnsi="宋体" w:cs="宋体" w:eastAsia="宋体" w:hint="default"/>
          <w:sz w:val="18"/>
          <w:szCs w:val="18"/>
        </w:rPr>
      </w:pPr>
    </w:p>
    <w:p>
      <w:pPr>
        <w:pStyle w:val="BodyText"/>
        <w:spacing w:line="321" w:lineRule="exact"/>
        <w:ind w:left="216" w:right="0"/>
        <w:jc w:val="both"/>
      </w:pPr>
      <w:r>
        <w:rPr/>
        <w:t>本公司及子公司用友金融、用友政务、用友汽车于</w:t>
      </w:r>
      <w:r>
        <w:rPr>
          <w:spacing w:val="-59"/>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5 </w:t>
      </w:r>
      <w:r>
        <w:rPr/>
        <w:t>月在北京市海淀区国家</w:t>
      </w:r>
    </w:p>
    <w:p>
      <w:pPr>
        <w:pStyle w:val="BodyText"/>
        <w:spacing w:line="312" w:lineRule="exact" w:before="19"/>
        <w:ind w:left="216" w:right="235"/>
        <w:jc w:val="both"/>
      </w:pPr>
      <w:r>
        <w:rPr/>
        <w:t>税务局对公司</w:t>
      </w:r>
      <w:r>
        <w:rPr>
          <w:spacing w:val="-60"/>
        </w:rPr>
        <w:t> </w:t>
      </w:r>
      <w:r>
        <w:rPr>
          <w:rFonts w:ascii="Times New Roman" w:hAnsi="Times New Roman" w:cs="Times New Roman" w:eastAsia="Times New Roman" w:hint="default"/>
        </w:rPr>
        <w:t>2018 </w:t>
      </w:r>
      <w:r>
        <w:rPr/>
        <w:t>年度符合“国家规划布局内重点软件企业”的事项进行备案，并 按照</w:t>
      </w:r>
      <w:r>
        <w:rPr>
          <w:spacing w:val="-61"/>
        </w:rPr>
        <w:t> </w:t>
      </w:r>
      <w:r>
        <w:rPr>
          <w:rFonts w:ascii="Times New Roman" w:hAnsi="Times New Roman" w:cs="Times New Roman" w:eastAsia="Times New Roman" w:hint="default"/>
        </w:rPr>
        <w:t>10%</w:t>
      </w:r>
      <w:r>
        <w:rPr/>
        <w:t>的优惠税率进行</w:t>
      </w:r>
      <w:r>
        <w:rPr>
          <w:spacing w:val="-61"/>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年度汇算清缴。</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年度，以上公司仍符合</w:t>
      </w:r>
      <w:r>
        <w:rPr>
          <w:spacing w:val="-61"/>
        </w:rPr>
        <w:t> </w:t>
      </w:r>
      <w:r>
        <w:rPr>
          <w:rFonts w:ascii="Times New Roman" w:hAnsi="Times New Roman" w:cs="Times New Roman" w:eastAsia="Times New Roman" w:hint="default"/>
        </w:rPr>
        <w:t>49</w:t>
      </w:r>
      <w:r>
        <w:rPr>
          <w:rFonts w:ascii="Times New Roman" w:hAnsi="Times New Roman" w:cs="Times New Roman" w:eastAsia="Times New Roman" w:hint="default"/>
          <w:spacing w:val="-1"/>
        </w:rPr>
        <w:t> </w:t>
      </w:r>
      <w:r>
        <w:rPr/>
        <w:t>号文 规定的“国家规划布局内重点软件企业”要求，继续享受</w:t>
      </w:r>
      <w:r>
        <w:rPr>
          <w:spacing w:val="-60"/>
        </w:rPr>
        <w:t> </w:t>
      </w:r>
      <w:r>
        <w:rPr>
          <w:rFonts w:ascii="Times New Roman" w:hAnsi="Times New Roman" w:cs="Times New Roman" w:eastAsia="Times New Roman" w:hint="default"/>
        </w:rPr>
        <w:t>10%</w:t>
      </w:r>
      <w:r>
        <w:rPr/>
        <w:t>的优惠税率。</w:t>
      </w:r>
    </w:p>
    <w:p>
      <w:pPr>
        <w:spacing w:line="240" w:lineRule="auto" w:before="7"/>
        <w:rPr>
          <w:rFonts w:ascii="宋体" w:hAnsi="宋体" w:cs="宋体" w:eastAsia="宋体" w:hint="default"/>
          <w:sz w:val="18"/>
          <w:szCs w:val="18"/>
        </w:rPr>
      </w:pPr>
    </w:p>
    <w:p>
      <w:pPr>
        <w:pStyle w:val="BodyText"/>
        <w:spacing w:line="313" w:lineRule="exact"/>
        <w:ind w:left="216" w:right="0"/>
        <w:jc w:val="both"/>
      </w:pPr>
      <w:r>
        <w:rPr/>
        <w:t>本公司之子公司用友能源，符合《鼓励软件产业和集成电路产业发展的若干政策》和</w:t>
      </w:r>
    </w:p>
    <w:p>
      <w:pPr>
        <w:pStyle w:val="BodyText"/>
        <w:spacing w:line="312" w:lineRule="exact" w:before="29"/>
        <w:ind w:left="216" w:right="233"/>
        <w:jc w:val="both"/>
      </w:pPr>
      <w:r>
        <w:rPr>
          <w:spacing w:val="-2"/>
        </w:rPr>
        <w:t>《软件企业认定标准及管理办法》的有关规定，被认定为软件企业，享受两免三减半</w:t>
      </w:r>
      <w:r>
        <w:rPr>
          <w:spacing w:val="-93"/>
        </w:rPr>
        <w:t> </w:t>
      </w:r>
      <w:r>
        <w:rPr>
          <w:spacing w:val="-93"/>
        </w:rPr>
      </w:r>
      <w:r>
        <w:rPr/>
        <w:t>的优惠政策，</w:t>
      </w:r>
      <w:r>
        <w:rPr>
          <w:rFonts w:ascii="Times New Roman" w:hAnsi="Times New Roman" w:cs="Times New Roman" w:eastAsia="Times New Roman" w:hint="default"/>
        </w:rPr>
        <w:t>2019 </w:t>
      </w:r>
      <w:r>
        <w:rPr/>
        <w:t>年为减免征收的第四年，可享受</w:t>
      </w:r>
      <w:r>
        <w:rPr>
          <w:spacing w:val="-60"/>
        </w:rPr>
        <w:t> </w:t>
      </w:r>
      <w:r>
        <w:rPr>
          <w:rFonts w:ascii="Times New Roman" w:hAnsi="Times New Roman" w:cs="Times New Roman" w:eastAsia="Times New Roman" w:hint="default"/>
        </w:rPr>
        <w:t>12.5%</w:t>
      </w:r>
      <w:r>
        <w:rPr/>
        <w:t>的优惠税率。</w:t>
      </w:r>
    </w:p>
    <w:p>
      <w:pPr>
        <w:spacing w:line="240" w:lineRule="auto" w:before="7"/>
        <w:rPr>
          <w:rFonts w:ascii="宋体" w:hAnsi="宋体" w:cs="宋体" w:eastAsia="宋体" w:hint="default"/>
          <w:sz w:val="18"/>
          <w:szCs w:val="18"/>
        </w:rPr>
      </w:pPr>
    </w:p>
    <w:p>
      <w:pPr>
        <w:pStyle w:val="BodyText"/>
        <w:spacing w:line="313" w:lineRule="exact"/>
        <w:ind w:left="216" w:right="0"/>
        <w:jc w:val="both"/>
      </w:pPr>
      <w:r>
        <w:rPr/>
        <w:t>本公司之子公司用友广信，符合《鼓励软件产业和集成电路产业发展的若干政策》和</w:t>
      </w:r>
    </w:p>
    <w:p>
      <w:pPr>
        <w:pStyle w:val="BodyText"/>
        <w:spacing w:line="312" w:lineRule="exact" w:before="29"/>
        <w:ind w:left="216" w:right="233"/>
        <w:jc w:val="both"/>
      </w:pPr>
      <w:r>
        <w:rPr>
          <w:spacing w:val="-2"/>
        </w:rPr>
        <w:t>《软件企业认定标准及管理办法》的有关规定，被认定为软件企业，享受两免三减半</w:t>
      </w:r>
      <w:r>
        <w:rPr>
          <w:spacing w:val="-93"/>
        </w:rPr>
        <w:t> </w:t>
      </w:r>
      <w:r>
        <w:rPr>
          <w:spacing w:val="-93"/>
        </w:rPr>
      </w:r>
      <w:r>
        <w:rPr/>
        <w:t>的优惠政策，</w:t>
      </w:r>
      <w:r>
        <w:rPr>
          <w:rFonts w:ascii="Times New Roman" w:hAnsi="Times New Roman" w:cs="Times New Roman" w:eastAsia="Times New Roman" w:hint="default"/>
        </w:rPr>
        <w:t>2019 </w:t>
      </w:r>
      <w:r>
        <w:rPr/>
        <w:t>年为减免征收的第四年，可享受</w:t>
      </w:r>
      <w:r>
        <w:rPr>
          <w:spacing w:val="-60"/>
        </w:rPr>
        <w:t> </w:t>
      </w:r>
      <w:r>
        <w:rPr>
          <w:rFonts w:ascii="Times New Roman" w:hAnsi="Times New Roman" w:cs="Times New Roman" w:eastAsia="Times New Roman" w:hint="default"/>
        </w:rPr>
        <w:t>12.5%</w:t>
      </w:r>
      <w:r>
        <w:rPr/>
        <w:t>的优惠税率。</w:t>
      </w:r>
    </w:p>
    <w:p>
      <w:pPr>
        <w:spacing w:line="240" w:lineRule="auto" w:before="12"/>
        <w:rPr>
          <w:rFonts w:ascii="宋体" w:hAnsi="宋体" w:cs="宋体" w:eastAsia="宋体" w:hint="default"/>
          <w:sz w:val="20"/>
          <w:szCs w:val="20"/>
        </w:rPr>
      </w:pPr>
    </w:p>
    <w:p>
      <w:pPr>
        <w:pStyle w:val="BodyText"/>
        <w:spacing w:line="312" w:lineRule="exact"/>
        <w:ind w:left="216" w:right="306"/>
        <w:jc w:val="both"/>
      </w:pPr>
      <w:r>
        <w:rPr/>
        <w:t>本公司之子公司用友医疗于</w:t>
      </w:r>
      <w:r>
        <w:rPr>
          <w:spacing w:val="-59"/>
        </w:rPr>
        <w:t> </w:t>
      </w:r>
      <w:r>
        <w:rPr>
          <w:rFonts w:ascii="Times New Roman" w:hAnsi="Times New Roman" w:cs="Times New Roman" w:eastAsia="Times New Roman" w:hint="default"/>
        </w:rPr>
        <w:t>2017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25 </w:t>
      </w:r>
      <w:r>
        <w:rPr/>
        <w:t>日取得了有效期为三年的高新技术企业 证书，证书编号为</w:t>
      </w:r>
      <w:r>
        <w:rPr>
          <w:spacing w:val="-61"/>
        </w:rPr>
        <w:t> </w:t>
      </w:r>
      <w:r>
        <w:rPr>
          <w:rFonts w:ascii="Times New Roman" w:hAnsi="Times New Roman" w:cs="Times New Roman" w:eastAsia="Times New Roman" w:hint="default"/>
        </w:rPr>
        <w:t>GR201711001964</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年可享受</w:t>
      </w:r>
      <w:r>
        <w:rPr>
          <w:spacing w:val="-61"/>
        </w:rPr>
        <w:t> </w:t>
      </w:r>
      <w:r>
        <w:rPr>
          <w:rFonts w:ascii="Times New Roman" w:hAnsi="Times New Roman" w:cs="Times New Roman" w:eastAsia="Times New Roman" w:hint="default"/>
        </w:rPr>
        <w:t>15%</w:t>
      </w:r>
      <w:r>
        <w:rPr/>
        <w:t>的优惠税率。</w:t>
      </w:r>
    </w:p>
    <w:p>
      <w:pPr>
        <w:spacing w:line="240" w:lineRule="auto" w:before="1"/>
        <w:rPr>
          <w:rFonts w:ascii="宋体" w:hAnsi="宋体" w:cs="宋体" w:eastAsia="宋体" w:hint="default"/>
          <w:sz w:val="21"/>
          <w:szCs w:val="21"/>
        </w:rPr>
      </w:pPr>
    </w:p>
    <w:p>
      <w:pPr>
        <w:pStyle w:val="BodyText"/>
        <w:spacing w:line="312" w:lineRule="exact"/>
        <w:ind w:left="216" w:right="234"/>
        <w:jc w:val="both"/>
      </w:pPr>
      <w:r>
        <w:rPr/>
        <w:t>本公司之子公司厦门烟草于</w:t>
      </w:r>
      <w:r>
        <w:rPr>
          <w:spacing w:val="-59"/>
        </w:rPr>
        <w:t> </w:t>
      </w:r>
      <w:r>
        <w:rPr>
          <w:rFonts w:ascii="Times New Roman" w:hAnsi="Times New Roman" w:cs="Times New Roman" w:eastAsia="Times New Roman" w:hint="default"/>
        </w:rPr>
        <w:t>2018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12 </w:t>
      </w:r>
      <w:r>
        <w:rPr/>
        <w:t>日取得了有效期为三年的高新技术企业 证书，证书编号为</w:t>
      </w:r>
      <w:r>
        <w:rPr>
          <w:spacing w:val="-61"/>
        </w:rPr>
        <w:t> </w:t>
      </w:r>
      <w:r>
        <w:rPr>
          <w:rFonts w:ascii="Times New Roman" w:hAnsi="Times New Roman" w:cs="Times New Roman" w:eastAsia="Times New Roman" w:hint="default"/>
        </w:rPr>
        <w:t>GR201835100331</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年可享受</w:t>
      </w:r>
      <w:r>
        <w:rPr>
          <w:spacing w:val="-61"/>
        </w:rPr>
        <w:t> </w:t>
      </w:r>
      <w:r>
        <w:rPr>
          <w:rFonts w:ascii="Times New Roman" w:hAnsi="Times New Roman" w:cs="Times New Roman" w:eastAsia="Times New Roman" w:hint="default"/>
        </w:rPr>
        <w:t>15%</w:t>
      </w:r>
      <w:r>
        <w:rPr/>
        <w:t>的优惠税率。</w:t>
      </w:r>
    </w:p>
    <w:p>
      <w:pPr>
        <w:spacing w:line="240" w:lineRule="auto" w:before="12"/>
        <w:rPr>
          <w:rFonts w:ascii="宋体" w:hAnsi="宋体" w:cs="宋体" w:eastAsia="宋体" w:hint="default"/>
          <w:sz w:val="20"/>
          <w:szCs w:val="20"/>
        </w:rPr>
      </w:pPr>
    </w:p>
    <w:p>
      <w:pPr>
        <w:pStyle w:val="BodyText"/>
        <w:spacing w:line="312" w:lineRule="exact"/>
        <w:ind w:left="216" w:right="234"/>
        <w:jc w:val="both"/>
      </w:pPr>
      <w:r>
        <w:rPr/>
        <w:t>本公司之子公司用友移动于</w:t>
      </w:r>
      <w:r>
        <w:rPr>
          <w:spacing w:val="-6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9"/>
        </w:rPr>
        <w:t> </w:t>
      </w:r>
      <w:r>
        <w:rPr/>
        <w:t>年</w:t>
      </w:r>
      <w:r>
        <w:rPr>
          <w:spacing w:val="-69"/>
        </w:rPr>
        <w:t> </w:t>
      </w:r>
      <w:r>
        <w:rPr>
          <w:rFonts w:ascii="Times New Roman" w:hAnsi="Times New Roman" w:cs="Times New Roman" w:eastAsia="Times New Roman" w:hint="default"/>
        </w:rPr>
        <w:t>9</w:t>
      </w:r>
      <w:r>
        <w:rPr>
          <w:rFonts w:ascii="Times New Roman" w:hAnsi="Times New Roman" w:cs="Times New Roman" w:eastAsia="Times New Roman" w:hint="default"/>
          <w:spacing w:val="-9"/>
        </w:rPr>
        <w:t> </w:t>
      </w:r>
      <w:r>
        <w:rPr/>
        <w:t>月</w:t>
      </w:r>
      <w:r>
        <w:rPr>
          <w:spacing w:val="-69"/>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日取得了有效期为三年的高新技术企业证 书，证书编号为</w:t>
      </w:r>
      <w:r>
        <w:rPr>
          <w:spacing w:val="-61"/>
        </w:rPr>
        <w:t> </w:t>
      </w:r>
      <w:r>
        <w:rPr>
          <w:rFonts w:ascii="Times New Roman" w:hAnsi="Times New Roman" w:cs="Times New Roman" w:eastAsia="Times New Roman" w:hint="default"/>
        </w:rPr>
        <w:t>GR201811002396</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年可享受</w:t>
      </w:r>
      <w:r>
        <w:rPr>
          <w:spacing w:val="-61"/>
        </w:rPr>
        <w:t> </w:t>
      </w:r>
      <w:r>
        <w:rPr>
          <w:rFonts w:ascii="Times New Roman" w:hAnsi="Times New Roman" w:cs="Times New Roman" w:eastAsia="Times New Roman" w:hint="default"/>
        </w:rPr>
        <w:t>15%</w:t>
      </w:r>
      <w:r>
        <w:rPr/>
        <w:t>的优惠税率。</w:t>
      </w:r>
    </w:p>
    <w:p>
      <w:pPr>
        <w:spacing w:after="0" w:line="312" w:lineRule="exact"/>
        <w:jc w:val="both"/>
        <w:sectPr>
          <w:pgSz w:w="11910" w:h="16840"/>
          <w:pgMar w:header="882" w:footer="1195" w:top="1080" w:bottom="1380" w:left="1060" w:right="1560"/>
        </w:sectPr>
      </w:pPr>
    </w:p>
    <w:p>
      <w:pPr>
        <w:spacing w:line="240" w:lineRule="auto" w:before="4"/>
        <w:rPr>
          <w:rFonts w:ascii="宋体" w:hAnsi="宋体" w:cs="宋体" w:eastAsia="宋体" w:hint="default"/>
          <w:sz w:val="22"/>
          <w:szCs w:val="22"/>
        </w:rPr>
      </w:pPr>
    </w:p>
    <w:p>
      <w:pPr>
        <w:pStyle w:val="BodyText"/>
        <w:spacing w:line="312" w:lineRule="exact" w:before="56"/>
        <w:ind w:left="236" w:right="222"/>
        <w:jc w:val="left"/>
      </w:pPr>
      <w:r>
        <w:rPr/>
        <w:t>本公司之子公司新道科技，于</w:t>
      </w:r>
      <w:r>
        <w:rPr>
          <w:spacing w:val="-59"/>
        </w:rPr>
        <w:t> </w:t>
      </w:r>
      <w:r>
        <w:rPr>
          <w:rFonts w:ascii="Times New Roman" w:hAnsi="Times New Roman" w:cs="Times New Roman" w:eastAsia="Times New Roman" w:hint="default"/>
        </w:rPr>
        <w:t>2017 </w:t>
      </w:r>
      <w:r>
        <w:rPr/>
        <w:t>年</w:t>
      </w:r>
      <w:r>
        <w:rPr>
          <w:spacing w:val="-60"/>
        </w:rPr>
        <w:t> </w:t>
      </w:r>
      <w:r>
        <w:rPr>
          <w:rFonts w:ascii="Times New Roman" w:hAnsi="Times New Roman" w:cs="Times New Roman" w:eastAsia="Times New Roman" w:hint="default"/>
        </w:rPr>
        <w:t>11 </w:t>
      </w:r>
      <w:r>
        <w:rPr/>
        <w:t>月</w:t>
      </w:r>
      <w:r>
        <w:rPr>
          <w:spacing w:val="-60"/>
        </w:rPr>
        <w:t> </w:t>
      </w:r>
      <w:r>
        <w:rPr>
          <w:rFonts w:ascii="Times New Roman" w:hAnsi="Times New Roman" w:cs="Times New Roman" w:eastAsia="Times New Roman" w:hint="default"/>
        </w:rPr>
        <w:t>27 </w:t>
      </w:r>
      <w:r>
        <w:rPr/>
        <w:t>日取得了有效期为三年的高新技术企 业证书，证书编号为</w:t>
      </w:r>
      <w:r>
        <w:rPr>
          <w:spacing w:val="-62"/>
        </w:rPr>
        <w:t> </w:t>
      </w:r>
      <w:r>
        <w:rPr>
          <w:rFonts w:ascii="Times New Roman" w:hAnsi="Times New Roman" w:cs="Times New Roman" w:eastAsia="Times New Roman" w:hint="default"/>
        </w:rPr>
        <w:t>GR201746000035</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年可享受</w:t>
      </w:r>
      <w:r>
        <w:rPr>
          <w:spacing w:val="-61"/>
        </w:rPr>
        <w:t> </w:t>
      </w:r>
      <w:r>
        <w:rPr>
          <w:rFonts w:ascii="Times New Roman" w:hAnsi="Times New Roman" w:cs="Times New Roman" w:eastAsia="Times New Roman" w:hint="default"/>
        </w:rPr>
        <w:t>15%</w:t>
      </w:r>
      <w:r>
        <w:rPr/>
        <w:t>的优惠税率。</w:t>
      </w:r>
    </w:p>
    <w:p>
      <w:pPr>
        <w:spacing w:line="240" w:lineRule="auto" w:before="12"/>
        <w:rPr>
          <w:rFonts w:ascii="宋体" w:hAnsi="宋体" w:cs="宋体" w:eastAsia="宋体" w:hint="default"/>
          <w:sz w:val="20"/>
          <w:szCs w:val="20"/>
        </w:rPr>
      </w:pPr>
    </w:p>
    <w:p>
      <w:pPr>
        <w:pStyle w:val="BodyText"/>
        <w:spacing w:line="312" w:lineRule="exact"/>
        <w:ind w:left="236" w:right="222"/>
        <w:jc w:val="left"/>
      </w:pPr>
      <w:r>
        <w:rPr>
          <w:spacing w:val="-4"/>
        </w:rPr>
        <w:t>本公司之子公司畅捷支付，于</w:t>
      </w:r>
      <w:r>
        <w:rPr>
          <w:spacing w:val="-59"/>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2 </w:t>
      </w:r>
      <w:r>
        <w:rPr/>
        <w:t>日取得了有效期为三年的高新技术企业 证书，证书编号为</w:t>
      </w:r>
      <w:r>
        <w:rPr>
          <w:spacing w:val="-61"/>
        </w:rPr>
        <w:t> </w:t>
      </w:r>
      <w:r>
        <w:rPr>
          <w:rFonts w:ascii="Times New Roman" w:hAnsi="Times New Roman" w:cs="Times New Roman" w:eastAsia="Times New Roman" w:hint="default"/>
        </w:rPr>
        <w:t>GR201911008071</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年可享受</w:t>
      </w:r>
      <w:r>
        <w:rPr>
          <w:spacing w:val="-61"/>
        </w:rPr>
        <w:t> </w:t>
      </w:r>
      <w:r>
        <w:rPr>
          <w:rFonts w:ascii="Times New Roman" w:hAnsi="Times New Roman" w:cs="Times New Roman" w:eastAsia="Times New Roman" w:hint="default"/>
        </w:rPr>
        <w:t>15%</w:t>
      </w:r>
      <w:r>
        <w:rPr/>
        <w:t>的优惠税率。</w:t>
      </w:r>
    </w:p>
    <w:p>
      <w:pPr>
        <w:spacing w:line="240" w:lineRule="auto" w:before="3"/>
        <w:rPr>
          <w:rFonts w:ascii="宋体" w:hAnsi="宋体" w:cs="宋体" w:eastAsia="宋体" w:hint="default"/>
          <w:sz w:val="21"/>
          <w:szCs w:val="21"/>
        </w:rPr>
      </w:pPr>
    </w:p>
    <w:p>
      <w:pPr>
        <w:pStyle w:val="BodyText"/>
        <w:spacing w:line="310" w:lineRule="exact"/>
        <w:ind w:left="236" w:right="222"/>
        <w:jc w:val="left"/>
      </w:pPr>
      <w:r>
        <w:rPr/>
        <w:t>本公司之子公司畅捷通于</w:t>
      </w:r>
      <w:r>
        <w:rPr>
          <w:spacing w:val="-89"/>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9"/>
        </w:rPr>
        <w:t> </w:t>
      </w:r>
      <w:r>
        <w:rPr/>
        <w:t>年</w:t>
      </w:r>
      <w:r>
        <w:rPr>
          <w:spacing w:val="-87"/>
        </w:rPr>
        <w:t> </w:t>
      </w:r>
      <w:r>
        <w:rPr>
          <w:rFonts w:ascii="Times New Roman" w:hAnsi="Times New Roman" w:cs="Times New Roman" w:eastAsia="Times New Roman" w:hint="default"/>
        </w:rPr>
        <w:t>9</w:t>
      </w:r>
      <w:r>
        <w:rPr>
          <w:rFonts w:ascii="Times New Roman" w:hAnsi="Times New Roman" w:cs="Times New Roman" w:eastAsia="Times New Roman" w:hint="default"/>
          <w:spacing w:val="-29"/>
        </w:rPr>
        <w:t> </w:t>
      </w:r>
      <w:r>
        <w:rPr/>
        <w:t>月</w:t>
      </w:r>
      <w:r>
        <w:rPr>
          <w:spacing w:val="-89"/>
        </w:rPr>
        <w:t> </w:t>
      </w:r>
      <w:r>
        <w:rPr>
          <w:rFonts w:ascii="Times New Roman" w:hAnsi="Times New Roman" w:cs="Times New Roman" w:eastAsia="Times New Roman" w:hint="default"/>
        </w:rPr>
        <w:t>10</w:t>
      </w:r>
      <w:r>
        <w:rPr>
          <w:rFonts w:ascii="Times New Roman" w:hAnsi="Times New Roman" w:cs="Times New Roman" w:eastAsia="Times New Roman" w:hint="default"/>
          <w:spacing w:val="-29"/>
        </w:rPr>
        <w:t> </w:t>
      </w:r>
      <w:r>
        <w:rPr/>
        <w:t>日取得了有效期为三年的高新技术企业证书， 证书编号为</w:t>
      </w:r>
      <w:r>
        <w:rPr>
          <w:spacing w:val="-61"/>
        </w:rPr>
        <w:t> </w:t>
      </w:r>
      <w:r>
        <w:rPr>
          <w:rFonts w:ascii="Times New Roman" w:hAnsi="Times New Roman" w:cs="Times New Roman" w:eastAsia="Times New Roman" w:hint="default"/>
        </w:rPr>
        <w:t>GR201811001719</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年可享受</w:t>
      </w:r>
      <w:r>
        <w:rPr>
          <w:spacing w:val="-61"/>
        </w:rPr>
        <w:t> </w:t>
      </w:r>
      <w:r>
        <w:rPr>
          <w:rFonts w:ascii="Times New Roman" w:hAnsi="Times New Roman" w:cs="Times New Roman" w:eastAsia="Times New Roman" w:hint="default"/>
        </w:rPr>
        <w:t>15%</w:t>
      </w:r>
      <w:r>
        <w:rPr/>
        <w:t>的企业所得税优惠税率。</w:t>
      </w:r>
    </w:p>
    <w:p>
      <w:pPr>
        <w:spacing w:line="240" w:lineRule="auto" w:before="10"/>
        <w:rPr>
          <w:rFonts w:ascii="宋体" w:hAnsi="宋体" w:cs="宋体" w:eastAsia="宋体" w:hint="default"/>
          <w:sz w:val="18"/>
          <w:szCs w:val="18"/>
        </w:rPr>
      </w:pPr>
    </w:p>
    <w:p>
      <w:pPr>
        <w:pStyle w:val="BodyText"/>
        <w:spacing w:line="322" w:lineRule="exact"/>
        <w:ind w:left="236" w:right="222"/>
        <w:jc w:val="left"/>
        <w:rPr>
          <w:rFonts w:ascii="Times New Roman" w:hAnsi="Times New Roman" w:cs="Times New Roman" w:eastAsia="Times New Roman" w:hint="default"/>
        </w:rPr>
      </w:pPr>
      <w:r>
        <w:rPr/>
        <w:t>本公司之子公司北京用友薪福社云科技有限公司</w:t>
      </w:r>
      <w:r>
        <w:rPr>
          <w:rFonts w:ascii="Times New Roman" w:hAnsi="Times New Roman" w:cs="Times New Roman" w:eastAsia="Times New Roman" w:hint="default"/>
        </w:rPr>
        <w:t>(</w:t>
      </w:r>
      <w:r>
        <w:rPr/>
        <w:t>以下简称“北京薪福社”</w:t>
      </w:r>
      <w:r>
        <w:rPr>
          <w:rFonts w:ascii="Times New Roman" w:hAnsi="Times New Roman" w:cs="Times New Roman" w:eastAsia="Times New Roman" w:hint="default"/>
        </w:rPr>
        <w:t>)</w:t>
      </w:r>
      <w:r>
        <w:rPr/>
        <w:t>，于</w:t>
      </w:r>
      <w:r>
        <w:rPr>
          <w:spacing w:val="-89"/>
        </w:rPr>
        <w:t> </w:t>
      </w:r>
      <w:r>
        <w:rPr>
          <w:rFonts w:ascii="Times New Roman" w:hAnsi="Times New Roman" w:cs="Times New Roman" w:eastAsia="Times New Roman" w:hint="default"/>
        </w:rPr>
        <w:t>2017</w:t>
      </w:r>
    </w:p>
    <w:p>
      <w:pPr>
        <w:pStyle w:val="BodyText"/>
        <w:spacing w:line="311" w:lineRule="exact"/>
        <w:ind w:left="236" w:right="0"/>
        <w:jc w:val="left"/>
      </w:pPr>
      <w:r>
        <w:rPr/>
        <w:t>年</w:t>
      </w:r>
      <w:r>
        <w:rPr>
          <w:spacing w:val="-77"/>
        </w:rPr>
        <w:t> </w:t>
      </w:r>
      <w:r>
        <w:rPr>
          <w:rFonts w:ascii="Times New Roman" w:hAnsi="Times New Roman" w:cs="Times New Roman" w:eastAsia="Times New Roman" w:hint="default"/>
        </w:rPr>
        <w:t>10</w:t>
      </w:r>
      <w:r>
        <w:rPr>
          <w:rFonts w:ascii="Times New Roman" w:hAnsi="Times New Roman" w:cs="Times New Roman" w:eastAsia="Times New Roman" w:hint="default"/>
          <w:spacing w:val="-17"/>
        </w:rPr>
        <w:t> </w:t>
      </w:r>
      <w:r>
        <w:rPr/>
        <w:t>月</w:t>
      </w:r>
      <w:r>
        <w:rPr>
          <w:spacing w:val="-77"/>
        </w:rPr>
        <w:t> </w:t>
      </w:r>
      <w:r>
        <w:rPr>
          <w:rFonts w:ascii="Times New Roman" w:hAnsi="Times New Roman" w:cs="Times New Roman" w:eastAsia="Times New Roman" w:hint="default"/>
        </w:rPr>
        <w:t>25</w:t>
      </w:r>
      <w:r>
        <w:rPr>
          <w:rFonts w:ascii="Times New Roman" w:hAnsi="Times New Roman" w:cs="Times New Roman" w:eastAsia="Times New Roman" w:hint="default"/>
          <w:spacing w:val="-17"/>
        </w:rPr>
        <w:t> </w:t>
      </w:r>
      <w:r>
        <w:rPr/>
        <w:t>日取得了</w:t>
      </w:r>
      <w:r>
        <w:rPr>
          <w:spacing w:val="2"/>
        </w:rPr>
        <w:t>有</w:t>
      </w:r>
      <w:r>
        <w:rPr/>
        <w:t>效期为三年的高新技术企业证书</w:t>
      </w:r>
      <w:r>
        <w:rPr>
          <w:spacing w:val="-120"/>
        </w:rPr>
        <w:t>，</w:t>
      </w:r>
      <w:r>
        <w:rPr/>
        <w:t>证书编号为</w:t>
      </w:r>
      <w:r>
        <w:rPr>
          <w:spacing w:val="-76"/>
        </w:rPr>
        <w:t> </w:t>
      </w:r>
      <w:r>
        <w:rPr>
          <w:rFonts w:ascii="Times New Roman" w:hAnsi="Times New Roman" w:cs="Times New Roman" w:eastAsia="Times New Roman" w:hint="default"/>
        </w:rPr>
        <w:t>GR201711004023</w:t>
      </w:r>
      <w:r>
        <w:rPr/>
        <w:t>，</w:t>
      </w:r>
    </w:p>
    <w:p>
      <w:pPr>
        <w:pStyle w:val="BodyText"/>
        <w:spacing w:line="311" w:lineRule="exact"/>
        <w:ind w:left="236" w:right="222"/>
        <w:jc w:val="left"/>
      </w:pPr>
      <w:r>
        <w:rPr>
          <w:rFonts w:ascii="Times New Roman" w:hAnsi="Times New Roman" w:cs="Times New Roman" w:eastAsia="Times New Roman" w:hint="default"/>
        </w:rPr>
        <w:t>2019 </w:t>
      </w:r>
      <w:r>
        <w:rPr/>
        <w:t>年可享受</w:t>
      </w:r>
      <w:r>
        <w:rPr>
          <w:spacing w:val="-62"/>
        </w:rPr>
        <w:t> </w:t>
      </w:r>
      <w:r>
        <w:rPr>
          <w:rFonts w:ascii="Times New Roman" w:hAnsi="Times New Roman" w:cs="Times New Roman" w:eastAsia="Times New Roman" w:hint="default"/>
        </w:rPr>
        <w:t>15%</w:t>
      </w:r>
      <w:r>
        <w:rPr/>
        <w:t>的优惠税率。</w:t>
      </w:r>
    </w:p>
    <w:p>
      <w:pPr>
        <w:pStyle w:val="BodyText"/>
        <w:spacing w:line="304" w:lineRule="exact"/>
        <w:ind w:left="236" w:right="0"/>
        <w:jc w:val="left"/>
        <w:rPr>
          <w:rFonts w:ascii="宋体" w:hAnsi="宋体" w:cs="宋体" w:eastAsia="宋体" w:hint="default"/>
        </w:rPr>
      </w:pPr>
      <w:r>
        <w:rPr>
          <w:rFonts w:ascii="宋体"/>
        </w:rPr>
        <w:t> </w:t>
      </w:r>
    </w:p>
    <w:p>
      <w:pPr>
        <w:pStyle w:val="Heading2"/>
        <w:spacing w:line="240" w:lineRule="auto" w:before="58"/>
        <w:ind w:left="236" w:right="222"/>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61"/>
        </w:rPr>
        <w:t> </w:t>
      </w:r>
      <w:r>
        <w:rPr/>
        <w:t>其他</w:t>
      </w:r>
      <w:r>
        <w:rPr>
          <w:rFonts w:ascii="宋体" w:hAnsi="宋体" w:cs="宋体" w:eastAsia="宋体" w:hint="default"/>
          <w:w w:val="99"/>
        </w:rPr>
        <w:t> </w:t>
      </w:r>
      <w:r>
        <w:rPr>
          <w:rFonts w:ascii="宋体" w:hAnsi="宋体" w:cs="宋体" w:eastAsia="宋体" w:hint="default"/>
          <w:b w:val="0"/>
          <w:bCs w:val="0"/>
        </w:rPr>
      </w:r>
    </w:p>
    <w:p>
      <w:pPr>
        <w:pStyle w:val="BodyText"/>
        <w:tabs>
          <w:tab w:pos="1197" w:val="left" w:leader="none"/>
        </w:tabs>
        <w:spacing w:line="240" w:lineRule="auto" w:before="58"/>
        <w:ind w:left="236" w:right="222"/>
        <w:jc w:val="left"/>
      </w:pPr>
      <w:r>
        <w:rPr/>
        <w:t>□适用</w:t>
        <w:tab/>
        <w:t>√不适用</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2" w:footer="1195" w:top="1080" w:bottom="1380" w:left="1040" w:right="1440"/>
        </w:sectPr>
      </w:pPr>
    </w:p>
    <w:p>
      <w:pPr>
        <w:pStyle w:val="Heading2"/>
        <w:tabs>
          <w:tab w:pos="1077" w:val="left" w:leader="none"/>
        </w:tabs>
        <w:spacing w:line="283" w:lineRule="auto" w:before="26"/>
        <w:ind w:left="236" w:right="0"/>
        <w:jc w:val="left"/>
        <w:rPr>
          <w:b w:val="0"/>
          <w:bCs w:val="0"/>
        </w:rPr>
      </w:pPr>
      <w:r>
        <w:rPr/>
        <w:t>七、</w:t>
      </w:r>
      <w:r>
        <w:rPr>
          <w:rFonts w:ascii="宋体" w:hAnsi="宋体" w:cs="宋体" w:eastAsia="宋体" w:hint="default"/>
        </w:rPr>
        <w:tab/>
      </w:r>
      <w:r>
        <w:rPr>
          <w:w w:val="95"/>
        </w:rPr>
        <w:t>合并财务报表项目注释</w:t>
      </w:r>
      <w:r>
        <w:rPr>
          <w:spacing w:val="4"/>
          <w:w w:val="95"/>
        </w:rPr>
        <w:t> </w:t>
      </w:r>
      <w:r>
        <w:rPr>
          <w:spacing w:val="4"/>
          <w:w w:val="95"/>
        </w:rPr>
      </w:r>
      <w:r>
        <w:rPr>
          <w:rFonts w:ascii="宋体" w:hAnsi="宋体" w:cs="宋体" w:eastAsia="宋体" w:hint="default"/>
        </w:rPr>
        <w:t>1</w:t>
      </w:r>
      <w:r>
        <w:rPr/>
        <w:t>、</w:t>
      </w:r>
      <w:r>
        <w:rPr>
          <w:spacing w:val="-64"/>
        </w:rPr>
        <w:t> </w:t>
      </w:r>
      <w:r>
        <w:rPr/>
        <w:t>货币资金</w:t>
      </w:r>
      <w:r>
        <w:rPr>
          <w:b w:val="0"/>
          <w:bCs w:val="0"/>
        </w:rPr>
      </w:r>
    </w:p>
    <w:p>
      <w:pPr>
        <w:pStyle w:val="BodyText"/>
        <w:tabs>
          <w:tab w:pos="1197" w:val="left" w:leader="none"/>
        </w:tabs>
        <w:spacing w:line="240" w:lineRule="auto" w:before="14"/>
        <w:ind w:left="236" w:right="0"/>
        <w:jc w:val="left"/>
      </w:pPr>
      <w:r>
        <w:rPr/>
        <w:t>√适用</w:t>
        <w:tab/>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440"/>
          <w:cols w:num="2" w:equalWidth="0">
            <w:col w:w="3486" w:space="2707"/>
            <w:col w:w="3237"/>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2276"/>
        <w:gridCol w:w="3380"/>
        <w:gridCol w:w="3406"/>
      </w:tblGrid>
      <w:tr>
        <w:trPr>
          <w:trHeight w:val="322"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库存现金</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479,584</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462,130</w:t>
            </w:r>
          </w:p>
        </w:tc>
      </w:tr>
      <w:tr>
        <w:trPr>
          <w:trHeight w:val="322"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银行存款</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7,080,137,136</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5,426,882,804</w:t>
            </w:r>
          </w:p>
        </w:tc>
      </w:tr>
      <w:tr>
        <w:trPr>
          <w:trHeight w:val="319"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其他货币资金</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66,831,700</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103,466,441</w:t>
            </w:r>
          </w:p>
        </w:tc>
      </w:tr>
      <w:tr>
        <w:trPr>
          <w:trHeight w:val="322"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6"/>
              <w:jc w:val="right"/>
              <w:rPr>
                <w:rFonts w:ascii="Times New Roman" w:hAnsi="Times New Roman" w:cs="Times New Roman" w:eastAsia="Times New Roman" w:hint="default"/>
                <w:sz w:val="24"/>
                <w:szCs w:val="24"/>
              </w:rPr>
            </w:pPr>
            <w:r>
              <w:rPr>
                <w:rFonts w:ascii="Times New Roman"/>
                <w:sz w:val="24"/>
              </w:rPr>
              <w:t>7,147,448,420</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0"/>
              <w:jc w:val="right"/>
              <w:rPr>
                <w:rFonts w:ascii="Times New Roman" w:hAnsi="Times New Roman" w:cs="Times New Roman" w:eastAsia="Times New Roman" w:hint="default"/>
                <w:sz w:val="24"/>
                <w:szCs w:val="24"/>
              </w:rPr>
            </w:pPr>
            <w:r>
              <w:rPr>
                <w:rFonts w:ascii="Times New Roman"/>
                <w:sz w:val="24"/>
              </w:rPr>
              <w:t>5,530,811,375</w:t>
            </w:r>
          </w:p>
        </w:tc>
      </w:tr>
      <w:tr>
        <w:trPr>
          <w:trHeight w:val="634"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348" w:right="0"/>
              <w:jc w:val="left"/>
              <w:rPr>
                <w:rFonts w:ascii="宋体" w:hAnsi="宋体" w:cs="宋体" w:eastAsia="宋体" w:hint="default"/>
                <w:sz w:val="24"/>
                <w:szCs w:val="24"/>
              </w:rPr>
            </w:pPr>
            <w:r>
              <w:rPr>
                <w:rFonts w:ascii="宋体" w:hAnsi="宋体" w:cs="宋体" w:eastAsia="宋体" w:hint="default"/>
                <w:sz w:val="24"/>
                <w:szCs w:val="24"/>
              </w:rPr>
              <w:t>其中</w:t>
            </w:r>
            <w:r>
              <w:rPr>
                <w:rFonts w:ascii="宋体" w:hAnsi="宋体" w:cs="宋体" w:eastAsia="宋体" w:hint="default"/>
                <w:spacing w:val="-111"/>
                <w:sz w:val="24"/>
                <w:szCs w:val="24"/>
              </w:rPr>
              <w:t>：</w:t>
            </w:r>
            <w:r>
              <w:rPr>
                <w:rFonts w:ascii="宋体" w:hAnsi="宋体" w:cs="宋体" w:eastAsia="宋体" w:hint="default"/>
                <w:sz w:val="24"/>
                <w:szCs w:val="24"/>
              </w:rPr>
              <w:t>存放在境外</w:t>
            </w:r>
          </w:p>
          <w:p>
            <w:pPr>
              <w:pStyle w:val="TableParagraph"/>
              <w:spacing w:line="313" w:lineRule="exact"/>
              <w:ind w:left="533" w:right="0"/>
              <w:jc w:val="left"/>
              <w:rPr>
                <w:rFonts w:ascii="宋体" w:hAnsi="宋体" w:cs="宋体" w:eastAsia="宋体" w:hint="default"/>
                <w:sz w:val="24"/>
                <w:szCs w:val="24"/>
              </w:rPr>
            </w:pPr>
            <w:r>
              <w:rPr>
                <w:rFonts w:ascii="宋体" w:hAnsi="宋体" w:cs="宋体" w:eastAsia="宋体" w:hint="default"/>
                <w:sz w:val="24"/>
                <w:szCs w:val="24"/>
              </w:rPr>
              <w:t>的款项总额</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6"/>
              <w:jc w:val="right"/>
              <w:rPr>
                <w:rFonts w:ascii="Times New Roman" w:hAnsi="Times New Roman" w:cs="Times New Roman" w:eastAsia="Times New Roman" w:hint="default"/>
                <w:sz w:val="24"/>
                <w:szCs w:val="24"/>
              </w:rPr>
            </w:pPr>
            <w:r>
              <w:rPr>
                <w:rFonts w:ascii="Times New Roman"/>
                <w:sz w:val="24"/>
              </w:rPr>
              <w:t>219,376,935</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10"/>
              <w:jc w:val="right"/>
              <w:rPr>
                <w:rFonts w:ascii="Times New Roman" w:hAnsi="Times New Roman" w:cs="Times New Roman" w:eastAsia="Times New Roman" w:hint="default"/>
                <w:sz w:val="24"/>
                <w:szCs w:val="24"/>
              </w:rPr>
            </w:pPr>
            <w:r>
              <w:rPr>
                <w:rFonts w:ascii="Times New Roman"/>
                <w:sz w:val="24"/>
              </w:rPr>
              <w:t>68,415,007</w:t>
            </w:r>
          </w:p>
        </w:tc>
      </w:tr>
    </w:tbl>
    <w:p>
      <w:pPr>
        <w:pStyle w:val="BodyText"/>
        <w:spacing w:line="274" w:lineRule="exact"/>
        <w:ind w:left="236" w:right="222"/>
        <w:jc w:val="left"/>
      </w:pPr>
      <w:r>
        <w:rPr/>
        <w:t>其他说明</w:t>
      </w:r>
    </w:p>
    <w:p>
      <w:pPr>
        <w:spacing w:line="240" w:lineRule="auto" w:before="2"/>
        <w:rPr>
          <w:rFonts w:ascii="宋体" w:hAnsi="宋体" w:cs="宋体" w:eastAsia="宋体" w:hint="default"/>
          <w:sz w:val="23"/>
          <w:szCs w:val="23"/>
        </w:rPr>
      </w:pPr>
    </w:p>
    <w:p>
      <w:pPr>
        <w:tabs>
          <w:tab w:pos="1077" w:val="left" w:leader="none"/>
        </w:tabs>
        <w:spacing w:line="260" w:lineRule="exact" w:before="0"/>
        <w:ind w:left="236" w:right="453" w:firstLine="0"/>
        <w:jc w:val="left"/>
        <w:rPr>
          <w:rFonts w:ascii="黑体" w:hAnsi="黑体" w:cs="黑体" w:eastAsia="黑体" w:hint="default"/>
          <w:sz w:val="20"/>
          <w:szCs w:val="20"/>
        </w:rPr>
      </w:pPr>
      <w:r>
        <w:rPr>
          <w:rFonts w:ascii="黑体" w:hAnsi="黑体" w:cs="黑体" w:eastAsia="黑体" w:hint="default"/>
          <w:w w:val="95"/>
          <w:sz w:val="20"/>
          <w:szCs w:val="20"/>
        </w:rPr>
        <w:t>注</w:t>
      </w:r>
      <w:r>
        <w:rPr>
          <w:rFonts w:ascii="Arial" w:hAnsi="Arial" w:cs="Arial" w:eastAsia="Arial" w:hint="default"/>
          <w:w w:val="95"/>
          <w:sz w:val="20"/>
          <w:szCs w:val="20"/>
        </w:rPr>
        <w:t>1</w:t>
      </w:r>
      <w:r>
        <w:rPr>
          <w:rFonts w:ascii="黑体" w:hAnsi="黑体" w:cs="黑体" w:eastAsia="黑体" w:hint="default"/>
          <w:w w:val="95"/>
          <w:sz w:val="20"/>
          <w:szCs w:val="20"/>
        </w:rPr>
        <w:t>．</w:t>
        <w:tab/>
      </w:r>
      <w:r>
        <w:rPr>
          <w:rFonts w:ascii="黑体" w:hAnsi="黑体" w:cs="黑体" w:eastAsia="黑体" w:hint="default"/>
          <w:sz w:val="20"/>
          <w:szCs w:val="20"/>
        </w:rPr>
        <w:t>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日，本集团存放于境外的货币资金为人民币</w:t>
      </w:r>
      <w:r>
        <w:rPr>
          <w:rFonts w:ascii="Arial" w:hAnsi="Arial" w:cs="Arial" w:eastAsia="Arial" w:hint="default"/>
          <w:sz w:val="20"/>
          <w:szCs w:val="20"/>
        </w:rPr>
        <w:t>219,376,935</w:t>
      </w:r>
      <w:r>
        <w:rPr>
          <w:rFonts w:ascii="黑体" w:hAnsi="黑体" w:cs="黑体" w:eastAsia="黑体" w:hint="default"/>
          <w:sz w:val="20"/>
          <w:szCs w:val="20"/>
        </w:rPr>
        <w:t>元</w:t>
      </w:r>
      <w:r>
        <w:rPr>
          <w:rFonts w:ascii="Arial" w:hAnsi="Arial" w:cs="Arial" w:eastAsia="Arial" w:hint="default"/>
          <w:sz w:val="20"/>
          <w:szCs w:val="20"/>
        </w:rPr>
        <w:t>(2018</w:t>
      </w:r>
      <w:r>
        <w:rPr>
          <w:rFonts w:ascii="黑体" w:hAnsi="黑体" w:cs="黑体" w:eastAsia="黑体" w:hint="default"/>
          <w:sz w:val="20"/>
          <w:szCs w:val="20"/>
        </w:rPr>
        <w:t>年</w:t>
      </w:r>
      <w:r>
        <w:rPr>
          <w:rFonts w:ascii="Arial" w:hAnsi="Arial" w:cs="Arial" w:eastAsia="Arial" w:hint="default"/>
          <w:sz w:val="20"/>
          <w:szCs w:val="20"/>
        </w:rPr>
        <w:t>12</w:t>
      </w:r>
      <w:r>
        <w:rPr>
          <w:rFonts w:ascii="Arial" w:hAnsi="Arial" w:cs="Arial" w:eastAsia="Arial" w:hint="default"/>
          <w:spacing w:val="-1"/>
          <w:w w:val="99"/>
          <w:sz w:val="20"/>
          <w:szCs w:val="20"/>
        </w:rPr>
        <w:t> </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日：人民币</w:t>
      </w:r>
      <w:r>
        <w:rPr>
          <w:rFonts w:ascii="Arial" w:hAnsi="Arial" w:cs="Arial" w:eastAsia="Arial" w:hint="default"/>
          <w:sz w:val="20"/>
          <w:szCs w:val="20"/>
        </w:rPr>
        <w:t>68,415,007</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w:t>
      </w:r>
    </w:p>
    <w:p>
      <w:pPr>
        <w:spacing w:line="240" w:lineRule="auto" w:before="7"/>
        <w:rPr>
          <w:rFonts w:ascii="黑体" w:hAnsi="黑体" w:cs="黑体" w:eastAsia="黑体" w:hint="default"/>
          <w:sz w:val="17"/>
          <w:szCs w:val="17"/>
        </w:rPr>
      </w:pPr>
    </w:p>
    <w:p>
      <w:pPr>
        <w:spacing w:line="260" w:lineRule="exact" w:before="0"/>
        <w:ind w:left="236" w:right="222" w:firstLine="0"/>
        <w:jc w:val="left"/>
        <w:rPr>
          <w:rFonts w:ascii="黑体" w:hAnsi="黑体" w:cs="黑体" w:eastAsia="黑体" w:hint="default"/>
          <w:sz w:val="20"/>
          <w:szCs w:val="20"/>
        </w:rPr>
      </w:pPr>
      <w:r>
        <w:rPr>
          <w:rFonts w:ascii="黑体" w:hAnsi="黑体" w:cs="黑体" w:eastAsia="黑体" w:hint="default"/>
          <w:sz w:val="20"/>
          <w:szCs w:val="20"/>
        </w:rPr>
        <w:t>银行活期存款按照银行活期存款利率取得利息收入。定期存款的存款期分为</w:t>
      </w:r>
      <w:r>
        <w:rPr>
          <w:rFonts w:ascii="Arial" w:hAnsi="Arial" w:cs="Arial" w:eastAsia="Arial" w:hint="default"/>
          <w:sz w:val="20"/>
          <w:szCs w:val="20"/>
        </w:rPr>
        <w:t>7</w:t>
      </w:r>
      <w:r>
        <w:rPr>
          <w:rFonts w:ascii="黑体" w:hAnsi="黑体" w:cs="黑体" w:eastAsia="黑体" w:hint="default"/>
          <w:sz w:val="20"/>
          <w:szCs w:val="20"/>
        </w:rPr>
        <w:t>天至</w:t>
      </w:r>
      <w:r>
        <w:rPr>
          <w:rFonts w:ascii="Arial" w:hAnsi="Arial" w:cs="Arial" w:eastAsia="Arial" w:hint="default"/>
          <w:sz w:val="20"/>
          <w:szCs w:val="20"/>
        </w:rPr>
        <w:t>36</w:t>
      </w:r>
      <w:r>
        <w:rPr>
          <w:rFonts w:ascii="黑体" w:hAnsi="黑体" w:cs="黑体" w:eastAsia="黑体" w:hint="default"/>
          <w:sz w:val="20"/>
          <w:szCs w:val="20"/>
        </w:rPr>
        <w:t>个月不等，依本</w:t>
      </w:r>
      <w:r>
        <w:rPr>
          <w:rFonts w:ascii="黑体" w:hAnsi="黑体" w:cs="黑体" w:eastAsia="黑体" w:hint="default"/>
          <w:w w:val="99"/>
          <w:sz w:val="20"/>
          <w:szCs w:val="20"/>
        </w:rPr>
        <w:t> </w:t>
      </w:r>
      <w:r>
        <w:rPr>
          <w:rFonts w:ascii="黑体" w:hAnsi="黑体" w:cs="黑体" w:eastAsia="黑体" w:hint="default"/>
          <w:spacing w:val="-1"/>
          <w:w w:val="95"/>
          <w:sz w:val="20"/>
          <w:szCs w:val="20"/>
        </w:rPr>
        <w:t>集团的现金需求而定，并按照相应的银行定期存款利率取得利息收入。</w:t>
      </w: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Arial" w:hAnsi="Arial" w:cs="Arial" w:eastAsia="Arial" w:hint="default"/>
          <w:spacing w:val="-1"/>
          <w:w w:val="95"/>
          <w:sz w:val="20"/>
          <w:szCs w:val="20"/>
        </w:rPr>
        <w:t>12</w:t>
      </w:r>
      <w:r>
        <w:rPr>
          <w:rFonts w:ascii="黑体" w:hAnsi="黑体" w:cs="黑体" w:eastAsia="黑体" w:hint="default"/>
          <w:spacing w:val="-1"/>
          <w:w w:val="95"/>
          <w:sz w:val="20"/>
          <w:szCs w:val="20"/>
        </w:rPr>
        <w:t>月</w:t>
      </w:r>
      <w:r>
        <w:rPr>
          <w:rFonts w:ascii="Arial" w:hAnsi="Arial" w:cs="Arial" w:eastAsia="Arial" w:hint="default"/>
          <w:spacing w:val="-1"/>
          <w:w w:val="95"/>
          <w:sz w:val="20"/>
          <w:szCs w:val="20"/>
        </w:rPr>
        <w:t>31</w:t>
      </w:r>
      <w:r>
        <w:rPr>
          <w:rFonts w:ascii="黑体" w:hAnsi="黑体" w:cs="黑体" w:eastAsia="黑体" w:hint="default"/>
          <w:spacing w:val="-1"/>
          <w:w w:val="95"/>
          <w:sz w:val="20"/>
          <w:szCs w:val="20"/>
        </w:rPr>
        <w:t>日，本集团银行</w:t>
      </w:r>
      <w:r>
        <w:rPr>
          <w:rFonts w:ascii="黑体" w:hAnsi="黑体" w:cs="黑体" w:eastAsia="黑体" w:hint="default"/>
          <w:spacing w:val="45"/>
          <w:w w:val="95"/>
          <w:sz w:val="20"/>
          <w:szCs w:val="20"/>
        </w:rPr>
        <w:t> </w:t>
      </w:r>
      <w:r>
        <w:rPr>
          <w:rFonts w:ascii="黑体" w:hAnsi="黑体" w:cs="黑体" w:eastAsia="黑体" w:hint="default"/>
          <w:spacing w:val="45"/>
          <w:w w:val="95"/>
          <w:sz w:val="20"/>
          <w:szCs w:val="20"/>
        </w:rPr>
      </w:r>
      <w:r>
        <w:rPr>
          <w:rFonts w:ascii="Arial" w:hAnsi="Arial" w:cs="Arial" w:eastAsia="Arial" w:hint="default"/>
          <w:sz w:val="20"/>
          <w:szCs w:val="20"/>
        </w:rPr>
        <w:t>3</w:t>
      </w:r>
      <w:r>
        <w:rPr>
          <w:rFonts w:ascii="黑体" w:hAnsi="黑体" w:cs="黑体" w:eastAsia="黑体" w:hint="default"/>
          <w:sz w:val="20"/>
          <w:szCs w:val="20"/>
        </w:rPr>
        <w:t>个月及以上定期存款为人民币</w:t>
      </w:r>
      <w:r>
        <w:rPr>
          <w:rFonts w:ascii="Arial" w:hAnsi="Arial" w:cs="Arial" w:eastAsia="Arial" w:hint="default"/>
          <w:sz w:val="20"/>
          <w:szCs w:val="20"/>
        </w:rPr>
        <w:t>1,048,452,073</w:t>
      </w:r>
      <w:r>
        <w:rPr>
          <w:rFonts w:ascii="黑体" w:hAnsi="黑体" w:cs="黑体" w:eastAsia="黑体" w:hint="default"/>
          <w:sz w:val="20"/>
          <w:szCs w:val="20"/>
        </w:rPr>
        <w:t>元</w:t>
      </w:r>
      <w:r>
        <w:rPr>
          <w:rFonts w:ascii="Arial" w:hAnsi="Arial" w:cs="Arial" w:eastAsia="Arial" w:hint="default"/>
          <w:sz w:val="20"/>
          <w:szCs w:val="20"/>
        </w:rPr>
        <w:t>(2018</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日：人民币</w:t>
      </w:r>
      <w:r>
        <w:rPr>
          <w:rFonts w:ascii="Arial" w:hAnsi="Arial" w:cs="Arial" w:eastAsia="Arial" w:hint="default"/>
          <w:sz w:val="20"/>
          <w:szCs w:val="20"/>
        </w:rPr>
        <w:t>644,818,630</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w:t>
      </w:r>
    </w:p>
    <w:p>
      <w:pPr>
        <w:spacing w:line="240" w:lineRule="auto" w:before="8"/>
        <w:rPr>
          <w:rFonts w:ascii="黑体" w:hAnsi="黑体" w:cs="黑体" w:eastAsia="黑体" w:hint="default"/>
          <w:sz w:val="17"/>
          <w:szCs w:val="17"/>
        </w:rPr>
      </w:pPr>
    </w:p>
    <w:p>
      <w:pPr>
        <w:spacing w:line="260" w:lineRule="exact" w:before="0"/>
        <w:ind w:left="236" w:right="367" w:firstLine="0"/>
        <w:jc w:val="left"/>
        <w:rPr>
          <w:rFonts w:ascii="黑体" w:hAnsi="黑体" w:cs="黑体" w:eastAsia="黑体" w:hint="default"/>
          <w:sz w:val="20"/>
          <w:szCs w:val="20"/>
        </w:rPr>
      </w:pPr>
      <w:r>
        <w:rPr>
          <w:rFonts w:ascii="黑体" w:hAnsi="黑体" w:cs="黑体" w:eastAsia="黑体" w:hint="default"/>
          <w:sz w:val="20"/>
          <w:szCs w:val="20"/>
        </w:rPr>
        <w:t>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5</w:t>
      </w:r>
      <w:r>
        <w:rPr>
          <w:rFonts w:ascii="黑体" w:hAnsi="黑体" w:cs="黑体" w:eastAsia="黑体" w:hint="default"/>
          <w:sz w:val="20"/>
          <w:szCs w:val="20"/>
        </w:rPr>
        <w:t>月，包商银行由中国人民银行和中国银行保险监督管理委员会接管。本集团若干子公司同</w:t>
      </w:r>
      <w:r>
        <w:rPr>
          <w:rFonts w:ascii="黑体" w:hAnsi="黑体" w:cs="黑体" w:eastAsia="黑体" w:hint="default"/>
          <w:w w:val="99"/>
          <w:sz w:val="20"/>
          <w:szCs w:val="20"/>
        </w:rPr>
        <w:t> </w:t>
      </w:r>
      <w:r>
        <w:rPr>
          <w:rFonts w:ascii="黑体" w:hAnsi="黑体" w:cs="黑体" w:eastAsia="黑体" w:hint="default"/>
          <w:sz w:val="20"/>
          <w:szCs w:val="20"/>
        </w:rPr>
        <w:t>存款保险基金管理有限责任公司及包商银行有限公司接管组签订了协议，约定该些子公司存放于包商</w:t>
      </w:r>
      <w:r>
        <w:rPr>
          <w:rFonts w:ascii="黑体" w:hAnsi="黑体" w:cs="黑体" w:eastAsia="黑体" w:hint="default"/>
          <w:w w:val="99"/>
          <w:sz w:val="20"/>
          <w:szCs w:val="20"/>
        </w:rPr>
        <w:t> </w:t>
      </w:r>
      <w:r>
        <w:rPr>
          <w:rFonts w:ascii="黑体" w:hAnsi="黑体" w:cs="黑体" w:eastAsia="黑体" w:hint="default"/>
          <w:sz w:val="20"/>
          <w:szCs w:val="20"/>
        </w:rPr>
        <w:t>银行货币资金的后续安排。于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日，本集团存放于包商银行的货币资金余额为人民币</w:t>
      </w:r>
      <w:r>
        <w:rPr>
          <w:rFonts w:ascii="黑体" w:hAnsi="黑体" w:cs="黑体" w:eastAsia="黑体" w:hint="default"/>
          <w:w w:val="99"/>
          <w:sz w:val="20"/>
          <w:szCs w:val="20"/>
        </w:rPr>
        <w:t> </w:t>
      </w:r>
      <w:r>
        <w:rPr>
          <w:rFonts w:ascii="Arial" w:hAnsi="Arial" w:cs="Arial" w:eastAsia="Arial" w:hint="default"/>
          <w:sz w:val="20"/>
          <w:szCs w:val="20"/>
        </w:rPr>
        <w:t>391,875,943</w:t>
      </w:r>
      <w:r>
        <w:rPr>
          <w:rFonts w:ascii="黑体" w:hAnsi="黑体" w:cs="黑体" w:eastAsia="黑体" w:hint="default"/>
          <w:sz w:val="20"/>
          <w:szCs w:val="20"/>
        </w:rPr>
        <w:t>元，其中人民币</w:t>
      </w:r>
      <w:r>
        <w:rPr>
          <w:rFonts w:ascii="Arial" w:hAnsi="Arial" w:cs="Arial" w:eastAsia="Arial" w:hint="default"/>
          <w:sz w:val="20"/>
          <w:szCs w:val="20"/>
        </w:rPr>
        <w:t>310,151,608</w:t>
      </w:r>
      <w:r>
        <w:rPr>
          <w:rFonts w:ascii="黑体" w:hAnsi="黑体" w:cs="黑体" w:eastAsia="黑体" w:hint="default"/>
          <w:sz w:val="20"/>
          <w:szCs w:val="20"/>
        </w:rPr>
        <w:t>元货币资金依据协议为全额保障存款。于</w:t>
      </w:r>
      <w:r>
        <w:rPr>
          <w:rFonts w:ascii="Arial" w:hAnsi="Arial" w:cs="Arial" w:eastAsia="Arial" w:hint="default"/>
          <w:sz w:val="20"/>
          <w:szCs w:val="20"/>
        </w:rPr>
        <w:t>2020</w:t>
      </w:r>
      <w:r>
        <w:rPr>
          <w:rFonts w:ascii="黑体" w:hAnsi="黑体" w:cs="黑体" w:eastAsia="黑体" w:hint="default"/>
          <w:sz w:val="20"/>
          <w:szCs w:val="20"/>
        </w:rPr>
        <w:t>年</w:t>
      </w:r>
      <w:r>
        <w:rPr>
          <w:rFonts w:ascii="Arial" w:hAnsi="Arial" w:cs="Arial" w:eastAsia="Arial" w:hint="default"/>
          <w:sz w:val="20"/>
          <w:szCs w:val="20"/>
        </w:rPr>
        <w:t>2</w:t>
      </w:r>
      <w:r>
        <w:rPr>
          <w:rFonts w:ascii="黑体" w:hAnsi="黑体" w:cs="黑体" w:eastAsia="黑体" w:hint="default"/>
          <w:sz w:val="20"/>
          <w:szCs w:val="20"/>
        </w:rPr>
        <w:t>月</w:t>
      </w:r>
      <w:r>
        <w:rPr>
          <w:rFonts w:ascii="Arial" w:hAnsi="Arial" w:cs="Arial" w:eastAsia="Arial" w:hint="default"/>
          <w:sz w:val="20"/>
          <w:szCs w:val="20"/>
        </w:rPr>
        <w:t>22</w:t>
      </w:r>
      <w:r>
        <w:rPr>
          <w:rFonts w:ascii="黑体" w:hAnsi="黑体" w:cs="黑体" w:eastAsia="黑体" w:hint="default"/>
          <w:sz w:val="20"/>
          <w:szCs w:val="20"/>
        </w:rPr>
        <w:t>日，</w:t>
      </w:r>
      <w:r>
        <w:rPr>
          <w:rFonts w:ascii="黑体" w:hAnsi="黑体" w:cs="黑体" w:eastAsia="黑体" w:hint="default"/>
          <w:spacing w:val="2"/>
          <w:w w:val="99"/>
          <w:sz w:val="20"/>
          <w:szCs w:val="20"/>
        </w:rPr>
        <w:t> </w:t>
      </w:r>
      <w:r>
        <w:rPr>
          <w:rFonts w:ascii="黑体" w:hAnsi="黑体" w:cs="黑体" w:eastAsia="黑体" w:hint="default"/>
          <w:sz w:val="20"/>
          <w:szCs w:val="20"/>
        </w:rPr>
        <w:t>徽商银行股份有限公司临时股东大会议案公告了包商银行重组安排。本集团认为存放于包商银行货币</w:t>
      </w:r>
      <w:r>
        <w:rPr>
          <w:rFonts w:ascii="黑体" w:hAnsi="黑体" w:cs="黑体" w:eastAsia="黑体" w:hint="default"/>
          <w:w w:val="99"/>
          <w:sz w:val="20"/>
          <w:szCs w:val="20"/>
        </w:rPr>
        <w:t> </w:t>
      </w:r>
      <w:r>
        <w:rPr>
          <w:rFonts w:ascii="黑体" w:hAnsi="黑体" w:cs="黑体" w:eastAsia="黑体" w:hint="default"/>
          <w:sz w:val="20"/>
          <w:szCs w:val="20"/>
        </w:rPr>
        <w:t>资金无重大预期信用损失，上述货币资金于接管期内使用受限。</w:t>
      </w:r>
    </w:p>
    <w:p>
      <w:pPr>
        <w:spacing w:line="240" w:lineRule="auto" w:before="13"/>
        <w:rPr>
          <w:rFonts w:ascii="黑体" w:hAnsi="黑体" w:cs="黑体" w:eastAsia="黑体" w:hint="default"/>
          <w:sz w:val="15"/>
          <w:szCs w:val="15"/>
        </w:rPr>
      </w:pPr>
    </w:p>
    <w:p>
      <w:pPr>
        <w:tabs>
          <w:tab w:pos="1077" w:val="left" w:leader="none"/>
        </w:tabs>
        <w:spacing w:line="268" w:lineRule="exact" w:before="0"/>
        <w:ind w:left="236" w:right="222" w:firstLine="0"/>
        <w:jc w:val="left"/>
        <w:rPr>
          <w:rFonts w:ascii="Arial" w:hAnsi="Arial" w:cs="Arial" w:eastAsia="Arial" w:hint="default"/>
          <w:sz w:val="20"/>
          <w:szCs w:val="20"/>
        </w:rPr>
      </w:pPr>
      <w:r>
        <w:rPr>
          <w:rFonts w:ascii="黑体" w:hAnsi="黑体" w:cs="黑体" w:eastAsia="黑体" w:hint="default"/>
          <w:sz w:val="20"/>
          <w:szCs w:val="20"/>
        </w:rPr>
        <w:t>注</w:t>
      </w:r>
      <w:r>
        <w:rPr>
          <w:rFonts w:ascii="黑体" w:hAnsi="黑体" w:cs="黑体" w:eastAsia="黑体" w:hint="default"/>
          <w:spacing w:val="-51"/>
          <w:sz w:val="20"/>
          <w:szCs w:val="20"/>
        </w:rPr>
        <w:t> </w:t>
      </w:r>
      <w:r>
        <w:rPr>
          <w:rFonts w:ascii="Arial" w:hAnsi="Arial" w:cs="Arial" w:eastAsia="Arial" w:hint="default"/>
          <w:sz w:val="20"/>
          <w:szCs w:val="20"/>
        </w:rPr>
        <w:t>2</w:t>
      </w:r>
      <w:r>
        <w:rPr>
          <w:rFonts w:ascii="黑体" w:hAnsi="黑体" w:cs="黑体" w:eastAsia="黑体" w:hint="default"/>
          <w:sz w:val="20"/>
          <w:szCs w:val="20"/>
        </w:rPr>
        <w:t>．</w:t>
        <w:tab/>
        <w:t>本集团其他货币资金主要为所有权受到限制的履约保函保证金余额共计人民币</w:t>
      </w:r>
      <w:r>
        <w:rPr>
          <w:rFonts w:ascii="黑体" w:hAnsi="黑体" w:cs="黑体" w:eastAsia="黑体" w:hint="default"/>
          <w:spacing w:val="-61"/>
          <w:sz w:val="20"/>
          <w:szCs w:val="20"/>
        </w:rPr>
        <w:t> </w:t>
      </w:r>
      <w:r>
        <w:rPr>
          <w:rFonts w:ascii="Arial" w:hAnsi="Arial" w:cs="Arial" w:eastAsia="Arial" w:hint="default"/>
          <w:sz w:val="20"/>
          <w:szCs w:val="20"/>
        </w:rPr>
        <w:t>40,628,756</w:t>
      </w:r>
    </w:p>
    <w:p>
      <w:pPr>
        <w:spacing w:line="259" w:lineRule="exact" w:before="0"/>
        <w:ind w:left="236" w:right="222" w:firstLine="0"/>
        <w:jc w:val="left"/>
        <w:rPr>
          <w:rFonts w:ascii="黑体" w:hAnsi="黑体" w:cs="黑体" w:eastAsia="黑体" w:hint="default"/>
          <w:sz w:val="20"/>
          <w:szCs w:val="20"/>
        </w:rPr>
      </w:pPr>
      <w:r>
        <w:rPr>
          <w:rFonts w:ascii="黑体" w:hAnsi="黑体" w:cs="黑体" w:eastAsia="黑体" w:hint="default"/>
          <w:sz w:val="20"/>
          <w:szCs w:val="20"/>
        </w:rPr>
        <w:t>元</w:t>
      </w:r>
      <w:r>
        <w:rPr>
          <w:rFonts w:ascii="Arial" w:hAnsi="Arial" w:cs="Arial" w:eastAsia="Arial" w:hint="default"/>
          <w:sz w:val="20"/>
          <w:szCs w:val="20"/>
        </w:rPr>
        <w:t>(2018</w:t>
      </w:r>
      <w:r>
        <w:rPr>
          <w:rFonts w:ascii="Arial" w:hAnsi="Arial" w:cs="Arial" w:eastAsia="Arial" w:hint="default"/>
          <w:spacing w:val="-9"/>
          <w:sz w:val="20"/>
          <w:szCs w:val="20"/>
        </w:rPr>
        <w:t> </w:t>
      </w:r>
      <w:r>
        <w:rPr>
          <w:rFonts w:ascii="黑体" w:hAnsi="黑体" w:cs="黑体" w:eastAsia="黑体" w:hint="default"/>
          <w:sz w:val="20"/>
          <w:szCs w:val="20"/>
        </w:rPr>
        <w:t>年</w:t>
      </w:r>
      <w:r>
        <w:rPr>
          <w:rFonts w:ascii="黑体" w:hAnsi="黑体" w:cs="黑体" w:eastAsia="黑体" w:hint="default"/>
          <w:spacing w:val="-51"/>
          <w:sz w:val="20"/>
          <w:szCs w:val="20"/>
        </w:rPr>
        <w:t> </w:t>
      </w:r>
      <w:r>
        <w:rPr>
          <w:rFonts w:ascii="Arial" w:hAnsi="Arial" w:cs="Arial" w:eastAsia="Arial" w:hint="default"/>
          <w:sz w:val="20"/>
          <w:szCs w:val="20"/>
        </w:rPr>
        <w:t>12</w:t>
      </w:r>
      <w:r>
        <w:rPr>
          <w:rFonts w:ascii="Arial" w:hAnsi="Arial" w:cs="Arial" w:eastAsia="Arial" w:hint="default"/>
          <w:spacing w:val="-9"/>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9"/>
          <w:sz w:val="20"/>
          <w:szCs w:val="20"/>
        </w:rPr>
        <w:t> </w:t>
      </w:r>
      <w:r>
        <w:rPr>
          <w:rFonts w:ascii="黑体" w:hAnsi="黑体" w:cs="黑体" w:eastAsia="黑体" w:hint="default"/>
          <w:sz w:val="20"/>
          <w:szCs w:val="20"/>
        </w:rPr>
        <w:t>日：人民币</w:t>
      </w:r>
      <w:r>
        <w:rPr>
          <w:rFonts w:ascii="黑体" w:hAnsi="黑体" w:cs="黑体" w:eastAsia="黑体" w:hint="default"/>
          <w:spacing w:val="-50"/>
          <w:sz w:val="20"/>
          <w:szCs w:val="20"/>
        </w:rPr>
        <w:t> </w:t>
      </w:r>
      <w:r>
        <w:rPr>
          <w:rFonts w:ascii="Arial" w:hAnsi="Arial" w:cs="Arial" w:eastAsia="Arial" w:hint="default"/>
          <w:sz w:val="20"/>
          <w:szCs w:val="20"/>
        </w:rPr>
        <w:t>36,113,236</w:t>
      </w:r>
      <w:r>
        <w:rPr>
          <w:rFonts w:ascii="Arial" w:hAnsi="Arial" w:cs="Arial" w:eastAsia="Arial" w:hint="default"/>
          <w:spacing w:val="-9"/>
          <w:sz w:val="20"/>
          <w:szCs w:val="20"/>
        </w:rPr>
        <w:t> </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，和本集团之子公司用友力合存放于新网银行监管户</w:t>
      </w:r>
    </w:p>
    <w:p>
      <w:pPr>
        <w:spacing w:line="268" w:lineRule="exact" w:before="0"/>
        <w:ind w:left="236" w:right="222" w:firstLine="0"/>
        <w:jc w:val="left"/>
        <w:rPr>
          <w:rFonts w:ascii="黑体" w:hAnsi="黑体" w:cs="黑体" w:eastAsia="黑体" w:hint="default"/>
          <w:sz w:val="20"/>
          <w:szCs w:val="20"/>
        </w:rPr>
      </w:pPr>
      <w:r>
        <w:rPr>
          <w:rFonts w:ascii="黑体" w:hAnsi="黑体" w:cs="黑体" w:eastAsia="黑体" w:hint="default"/>
          <w:sz w:val="20"/>
          <w:szCs w:val="20"/>
        </w:rPr>
        <w:t>的款项人民币</w:t>
      </w:r>
      <w:r>
        <w:rPr>
          <w:rFonts w:ascii="黑体" w:hAnsi="黑体" w:cs="黑体" w:eastAsia="黑体" w:hint="default"/>
          <w:spacing w:val="-51"/>
          <w:sz w:val="20"/>
          <w:szCs w:val="20"/>
        </w:rPr>
        <w:t> </w:t>
      </w:r>
      <w:r>
        <w:rPr>
          <w:rFonts w:ascii="Arial" w:hAnsi="Arial" w:cs="Arial" w:eastAsia="Arial" w:hint="default"/>
          <w:sz w:val="20"/>
          <w:szCs w:val="20"/>
        </w:rPr>
        <w:t>26,202,944</w:t>
      </w:r>
      <w:r>
        <w:rPr>
          <w:rFonts w:ascii="Arial" w:hAnsi="Arial" w:cs="Arial" w:eastAsia="Arial" w:hint="default"/>
          <w:spacing w:val="-7"/>
          <w:sz w:val="20"/>
          <w:szCs w:val="20"/>
        </w:rPr>
        <w:t> </w:t>
      </w:r>
      <w:r>
        <w:rPr>
          <w:rFonts w:ascii="黑体" w:hAnsi="黑体" w:cs="黑体" w:eastAsia="黑体" w:hint="default"/>
          <w:sz w:val="20"/>
          <w:szCs w:val="20"/>
        </w:rPr>
        <w:t>元</w:t>
      </w:r>
      <w:r>
        <w:rPr>
          <w:rFonts w:ascii="Arial" w:hAnsi="Arial" w:cs="Arial" w:eastAsia="Arial" w:hint="default"/>
          <w:sz w:val="20"/>
          <w:szCs w:val="20"/>
        </w:rPr>
        <w:t>(2018</w:t>
      </w:r>
      <w:r>
        <w:rPr>
          <w:rFonts w:ascii="Arial" w:hAnsi="Arial" w:cs="Arial" w:eastAsia="Arial" w:hint="default"/>
          <w:spacing w:val="-9"/>
          <w:sz w:val="20"/>
          <w:szCs w:val="20"/>
        </w:rPr>
        <w:t> </w:t>
      </w:r>
      <w:r>
        <w:rPr>
          <w:rFonts w:ascii="黑体" w:hAnsi="黑体" w:cs="黑体" w:eastAsia="黑体" w:hint="default"/>
          <w:sz w:val="20"/>
          <w:szCs w:val="20"/>
        </w:rPr>
        <w:t>年</w:t>
      </w:r>
      <w:r>
        <w:rPr>
          <w:rFonts w:ascii="黑体" w:hAnsi="黑体" w:cs="黑体" w:eastAsia="黑体" w:hint="default"/>
          <w:spacing w:val="-52"/>
          <w:sz w:val="20"/>
          <w:szCs w:val="20"/>
        </w:rPr>
        <w:t> </w:t>
      </w:r>
      <w:r>
        <w:rPr>
          <w:rFonts w:ascii="Arial" w:hAnsi="Arial" w:cs="Arial" w:eastAsia="Arial" w:hint="default"/>
          <w:sz w:val="20"/>
          <w:szCs w:val="20"/>
        </w:rPr>
        <w:t>12</w:t>
      </w:r>
      <w:r>
        <w:rPr>
          <w:rFonts w:ascii="Arial" w:hAnsi="Arial" w:cs="Arial" w:eastAsia="Arial" w:hint="default"/>
          <w:spacing w:val="-10"/>
          <w:sz w:val="20"/>
          <w:szCs w:val="20"/>
        </w:rPr>
        <w:t> </w:t>
      </w:r>
      <w:r>
        <w:rPr>
          <w:rFonts w:ascii="黑体" w:hAnsi="黑体" w:cs="黑体" w:eastAsia="黑体" w:hint="default"/>
          <w:sz w:val="20"/>
          <w:szCs w:val="20"/>
        </w:rPr>
        <w:t>月</w:t>
      </w:r>
      <w:r>
        <w:rPr>
          <w:rFonts w:ascii="黑体" w:hAnsi="黑体" w:cs="黑体" w:eastAsia="黑体" w:hint="default"/>
          <w:spacing w:val="-52"/>
          <w:sz w:val="20"/>
          <w:szCs w:val="20"/>
        </w:rPr>
        <w:t> </w:t>
      </w:r>
      <w:r>
        <w:rPr>
          <w:rFonts w:ascii="Arial" w:hAnsi="Arial" w:cs="Arial" w:eastAsia="Arial" w:hint="default"/>
          <w:sz w:val="20"/>
          <w:szCs w:val="20"/>
        </w:rPr>
        <w:t>31</w:t>
      </w:r>
      <w:r>
        <w:rPr>
          <w:rFonts w:ascii="Arial" w:hAnsi="Arial" w:cs="Arial" w:eastAsia="Arial" w:hint="default"/>
          <w:spacing w:val="-10"/>
          <w:sz w:val="20"/>
          <w:szCs w:val="20"/>
        </w:rPr>
        <w:t> </w:t>
      </w:r>
      <w:r>
        <w:rPr>
          <w:rFonts w:ascii="黑体" w:hAnsi="黑体" w:cs="黑体" w:eastAsia="黑体" w:hint="default"/>
          <w:sz w:val="20"/>
          <w:szCs w:val="20"/>
        </w:rPr>
        <w:t>日：人民币</w:t>
      </w:r>
      <w:r>
        <w:rPr>
          <w:rFonts w:ascii="黑体" w:hAnsi="黑体" w:cs="黑体" w:eastAsia="黑体" w:hint="default"/>
          <w:spacing w:val="-51"/>
          <w:sz w:val="20"/>
          <w:szCs w:val="20"/>
        </w:rPr>
        <w:t> </w:t>
      </w:r>
      <w:r>
        <w:rPr>
          <w:rFonts w:ascii="Arial" w:hAnsi="Arial" w:cs="Arial" w:eastAsia="Arial" w:hint="default"/>
          <w:sz w:val="20"/>
          <w:szCs w:val="20"/>
        </w:rPr>
        <w:t>50,488,588</w:t>
      </w:r>
      <w:r>
        <w:rPr>
          <w:rFonts w:ascii="Arial" w:hAnsi="Arial" w:cs="Arial" w:eastAsia="Arial" w:hint="default"/>
          <w:spacing w:val="-9"/>
          <w:sz w:val="20"/>
          <w:szCs w:val="20"/>
        </w:rPr>
        <w:t> </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w:t>
      </w:r>
    </w:p>
    <w:p>
      <w:pPr>
        <w:spacing w:after="0" w:line="268" w:lineRule="exact"/>
        <w:jc w:val="left"/>
        <w:rPr>
          <w:rFonts w:ascii="黑体" w:hAnsi="黑体" w:cs="黑体" w:eastAsia="黑体" w:hint="default"/>
          <w:sz w:val="20"/>
          <w:szCs w:val="20"/>
        </w:rPr>
        <w:sectPr>
          <w:type w:val="continuous"/>
          <w:pgSz w:w="11910" w:h="16840"/>
          <w:pgMar w:top="1120" w:bottom="1380" w:left="1040" w:right="1440"/>
        </w:sectPr>
      </w:pPr>
    </w:p>
    <w:p>
      <w:pPr>
        <w:spacing w:line="240" w:lineRule="auto" w:before="4"/>
        <w:rPr>
          <w:rFonts w:ascii="黑体" w:hAnsi="黑体" w:cs="黑体" w:eastAsia="黑体" w:hint="default"/>
          <w:sz w:val="22"/>
          <w:szCs w:val="22"/>
        </w:rPr>
      </w:pPr>
    </w:p>
    <w:p>
      <w:pPr>
        <w:spacing w:after="0" w:line="240" w:lineRule="auto"/>
        <w:rPr>
          <w:rFonts w:ascii="黑体" w:hAnsi="黑体" w:cs="黑体" w:eastAsia="黑体" w:hint="default"/>
          <w:sz w:val="22"/>
          <w:szCs w:val="22"/>
        </w:rPr>
        <w:sectPr>
          <w:pgSz w:w="11910" w:h="16840"/>
          <w:pgMar w:header="882" w:footer="1195" w:top="1080" w:bottom="1380" w:left="980" w:right="1560"/>
        </w:sectPr>
      </w:pPr>
    </w:p>
    <w:p>
      <w:pPr>
        <w:pStyle w:val="Heading2"/>
        <w:spacing w:line="240" w:lineRule="auto" w:before="26"/>
        <w:ind w:left="296" w:right="-17"/>
        <w:jc w:val="left"/>
        <w:rPr>
          <w:b w:val="0"/>
          <w:bCs w:val="0"/>
        </w:rPr>
      </w:pPr>
      <w:r>
        <w:rPr>
          <w:rFonts w:ascii="宋体" w:hAnsi="宋体" w:cs="宋体" w:eastAsia="宋体" w:hint="default"/>
        </w:rPr>
        <w:t>2</w:t>
      </w:r>
      <w:r>
        <w:rPr/>
        <w:t>、</w:t>
      </w:r>
      <w:r>
        <w:rPr>
          <w:spacing w:val="-65"/>
        </w:rPr>
        <w:t> </w:t>
      </w:r>
      <w:r>
        <w:rPr/>
        <w:t>交易性金融资产</w:t>
      </w:r>
      <w:r>
        <w:rPr>
          <w:b w:val="0"/>
          <w:bCs w:val="0"/>
        </w:rPr>
      </w:r>
    </w:p>
    <w:p>
      <w:pPr>
        <w:pStyle w:val="BodyText"/>
        <w:spacing w:line="240" w:lineRule="auto" w:before="58"/>
        <w:ind w:left="296" w:right="-17"/>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96" w:val="left" w:leader="none"/>
        </w:tabs>
        <w:spacing w:line="240" w:lineRule="auto"/>
        <w:ind w:left="296" w:right="0"/>
        <w:jc w:val="left"/>
      </w:pPr>
      <w:r>
        <w:rPr/>
        <w:t>单位：元</w:t>
        <w:tab/>
        <w:t>币种：人民币</w:t>
      </w:r>
    </w:p>
    <w:p>
      <w:pPr>
        <w:spacing w:after="0" w:line="240" w:lineRule="auto"/>
        <w:jc w:val="left"/>
        <w:sectPr>
          <w:type w:val="continuous"/>
          <w:pgSz w:w="11910" w:h="16840"/>
          <w:pgMar w:top="1120" w:bottom="1380" w:left="980" w:right="1560"/>
          <w:cols w:num="2" w:equalWidth="0">
            <w:col w:w="2404" w:space="3746"/>
            <w:col w:w="3220"/>
          </w:cols>
        </w:sectPr>
      </w:pPr>
    </w:p>
    <w:p>
      <w:pPr>
        <w:spacing w:line="240" w:lineRule="auto" w:before="12"/>
        <w:rPr>
          <w:rFonts w:ascii="宋体" w:hAnsi="宋体" w:cs="宋体" w:eastAsia="宋体" w:hint="default"/>
          <w:sz w:val="2"/>
          <w:szCs w:val="2"/>
        </w:rPr>
      </w:pPr>
    </w:p>
    <w:tbl>
      <w:tblPr>
        <w:tblW w:w="0" w:type="auto"/>
        <w:jc w:val="left"/>
        <w:tblInd w:w="183" w:type="dxa"/>
        <w:tblLayout w:type="fixed"/>
        <w:tblCellMar>
          <w:top w:w="0" w:type="dxa"/>
          <w:left w:w="0" w:type="dxa"/>
          <w:bottom w:w="0" w:type="dxa"/>
          <w:right w:w="0" w:type="dxa"/>
        </w:tblCellMar>
        <w:tblLook w:val="01E0"/>
      </w:tblPr>
      <w:tblGrid>
        <w:gridCol w:w="3651"/>
        <w:gridCol w:w="2688"/>
        <w:gridCol w:w="2710"/>
      </w:tblGrid>
      <w:tr>
        <w:trPr>
          <w:trHeight w:val="322"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59"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68" w:right="0"/>
              <w:jc w:val="left"/>
              <w:rPr>
                <w:rFonts w:ascii="宋体" w:hAnsi="宋体" w:cs="宋体" w:eastAsia="宋体" w:hint="default"/>
                <w:sz w:val="24"/>
                <w:szCs w:val="24"/>
              </w:rPr>
            </w:pPr>
            <w:r>
              <w:rPr>
                <w:rFonts w:ascii="宋体" w:hAnsi="宋体" w:cs="宋体" w:eastAsia="宋体" w:hint="default"/>
                <w:sz w:val="24"/>
                <w:szCs w:val="24"/>
              </w:rPr>
              <w:t>期初余额</w:t>
            </w:r>
          </w:p>
        </w:tc>
      </w:tr>
      <w:tr>
        <w:trPr>
          <w:trHeight w:val="631"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以公允价值计量且其变动计入当</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期损益的金融资产</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01"/>
              <w:jc w:val="right"/>
              <w:rPr>
                <w:rFonts w:ascii="宋体" w:hAnsi="宋体" w:cs="宋体" w:eastAsia="宋体" w:hint="default"/>
                <w:sz w:val="24"/>
                <w:szCs w:val="24"/>
              </w:rPr>
            </w:pPr>
            <w:r>
              <w:rPr>
                <w:rFonts w:ascii="宋体"/>
                <w:sz w:val="24"/>
              </w:rPr>
              <w:t>221,059,354</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421,886,644</w:t>
            </w:r>
          </w:p>
        </w:tc>
      </w:tr>
      <w:tr>
        <w:trPr>
          <w:trHeight w:val="322" w:hRule="exact"/>
        </w:trPr>
        <w:tc>
          <w:tcPr>
            <w:tcW w:w="90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w:t>
            </w:r>
          </w:p>
        </w:tc>
      </w:tr>
      <w:tr>
        <w:trPr>
          <w:trHeight w:val="322"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51" w:right="0"/>
              <w:jc w:val="left"/>
              <w:rPr>
                <w:rFonts w:ascii="宋体" w:hAnsi="宋体" w:cs="宋体" w:eastAsia="宋体" w:hint="default"/>
                <w:sz w:val="24"/>
                <w:szCs w:val="24"/>
              </w:rPr>
            </w:pPr>
            <w:r>
              <w:rPr>
                <w:rFonts w:ascii="宋体" w:hAnsi="宋体" w:cs="宋体" w:eastAsia="宋体" w:hint="default"/>
                <w:sz w:val="24"/>
                <w:szCs w:val="24"/>
              </w:rPr>
              <w:t>银行理财产品</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220,674,648 </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421,886,644</w:t>
            </w:r>
          </w:p>
        </w:tc>
      </w:tr>
      <w:tr>
        <w:trPr>
          <w:trHeight w:val="322"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51" w:right="0"/>
              <w:jc w:val="left"/>
              <w:rPr>
                <w:rFonts w:ascii="宋体" w:hAnsi="宋体" w:cs="宋体" w:eastAsia="宋体" w:hint="default"/>
                <w:sz w:val="24"/>
                <w:szCs w:val="24"/>
              </w:rPr>
            </w:pPr>
            <w:r>
              <w:rPr>
                <w:rFonts w:ascii="宋体" w:hAnsi="宋体" w:cs="宋体" w:eastAsia="宋体" w:hint="default"/>
                <w:sz w:val="24"/>
                <w:szCs w:val="24"/>
              </w:rPr>
              <w:t>衍生金融工具</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384,706 </w:t>
            </w:r>
          </w:p>
        </w:tc>
        <w:tc>
          <w:tcPr>
            <w:tcW w:w="271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指定以公允价值计量且其变动计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入当期损益的金融资产</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7"/>
              <w:jc w:val="right"/>
              <w:rPr>
                <w:rFonts w:ascii="宋体" w:hAnsi="宋体" w:cs="宋体" w:eastAsia="宋体" w:hint="default"/>
                <w:sz w:val="24"/>
                <w:szCs w:val="24"/>
              </w:rPr>
            </w:pPr>
            <w:r>
              <w:rPr>
                <w:rFonts w:ascii="宋体"/>
                <w:sz w:val="24"/>
              </w:rPr>
              <w:t> </w:t>
            </w:r>
          </w:p>
        </w:tc>
        <w:tc>
          <w:tcPr>
            <w:tcW w:w="2710" w:type="dxa"/>
            <w:tcBorders>
              <w:top w:val="single" w:sz="4" w:space="0" w:color="000000"/>
              <w:left w:val="single" w:sz="4" w:space="0" w:color="000000"/>
              <w:bottom w:val="single" w:sz="4" w:space="0" w:color="000000"/>
              <w:right w:val="single" w:sz="4" w:space="0" w:color="000000"/>
            </w:tcBorders>
          </w:tcPr>
          <w:p>
            <w:pPr/>
          </w:p>
        </w:tc>
      </w:tr>
      <w:tr>
        <w:trPr>
          <w:trHeight w:val="320" w:hRule="exact"/>
        </w:trPr>
        <w:tc>
          <w:tcPr>
            <w:tcW w:w="90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w:t>
            </w:r>
            <w:r>
              <w:rPr>
                <w:rFonts w:ascii="宋体" w:hAnsi="宋体" w:cs="宋体" w:eastAsia="宋体" w:hint="default"/>
                <w:sz w:val="24"/>
                <w:szCs w:val="24"/>
              </w:rPr>
              <w:t> </w:t>
            </w:r>
          </w:p>
        </w:tc>
      </w:tr>
      <w:tr>
        <w:trPr>
          <w:trHeight w:val="322" w:hRule="exact"/>
        </w:trPr>
        <w:tc>
          <w:tcPr>
            <w:tcW w:w="3651" w:type="dxa"/>
            <w:tcBorders>
              <w:top w:val="single" w:sz="4" w:space="0" w:color="000000"/>
              <w:left w:val="single" w:sz="4" w:space="0" w:color="000000"/>
              <w:bottom w:val="single" w:sz="4" w:space="0" w:color="000000"/>
              <w:right w:val="single" w:sz="4" w:space="0" w:color="000000"/>
            </w:tcBorders>
          </w:tcPr>
          <w:p>
            <w:pP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
              <w:jc w:val="right"/>
              <w:rPr>
                <w:rFonts w:ascii="宋体" w:hAnsi="宋体" w:cs="宋体" w:eastAsia="宋体" w:hint="default"/>
                <w:sz w:val="24"/>
                <w:szCs w:val="24"/>
              </w:rPr>
            </w:pPr>
            <w:r>
              <w:rPr>
                <w:rFonts w:ascii="宋体"/>
                <w:sz w:val="24"/>
              </w:rPr>
              <w:t> </w:t>
            </w:r>
          </w:p>
        </w:tc>
        <w:tc>
          <w:tcPr>
            <w:tcW w:w="27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51" w:type="dxa"/>
            <w:tcBorders>
              <w:top w:val="single" w:sz="4" w:space="0" w:color="000000"/>
              <w:left w:val="single" w:sz="4" w:space="0" w:color="000000"/>
              <w:bottom w:val="single" w:sz="4" w:space="0" w:color="000000"/>
              <w:right w:val="single" w:sz="4" w:space="0" w:color="000000"/>
            </w:tcBorders>
          </w:tcPr>
          <w:p>
            <w:pP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27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221,059,354 </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421,886,644</w:t>
            </w:r>
          </w:p>
        </w:tc>
      </w:tr>
    </w:tbl>
    <w:p>
      <w:pPr>
        <w:pStyle w:val="BodyText"/>
        <w:spacing w:line="273" w:lineRule="exact"/>
        <w:ind w:left="296" w:right="0"/>
        <w:jc w:val="left"/>
      </w:pPr>
      <w:r>
        <w:rPr/>
        <w:t>其他说明：</w:t>
      </w:r>
    </w:p>
    <w:p>
      <w:pPr>
        <w:pStyle w:val="BodyText"/>
        <w:spacing w:line="313" w:lineRule="exact"/>
        <w:ind w:left="296" w:right="0"/>
        <w:jc w:val="left"/>
      </w:pPr>
      <w:r>
        <w:rPr/>
        <w:t>□适用 √不适用</w:t>
      </w:r>
    </w:p>
    <w:p>
      <w:pPr>
        <w:spacing w:line="240" w:lineRule="auto" w:before="7"/>
        <w:rPr>
          <w:rFonts w:ascii="宋体" w:hAnsi="宋体" w:cs="宋体" w:eastAsia="宋体" w:hint="default"/>
          <w:sz w:val="25"/>
          <w:szCs w:val="25"/>
        </w:rPr>
      </w:pPr>
    </w:p>
    <w:p>
      <w:pPr>
        <w:pStyle w:val="Heading2"/>
        <w:spacing w:line="240" w:lineRule="auto"/>
        <w:ind w:left="296" w:right="0"/>
        <w:jc w:val="left"/>
        <w:rPr>
          <w:b w:val="0"/>
          <w:bCs w:val="0"/>
        </w:rPr>
      </w:pPr>
      <w:r>
        <w:rPr>
          <w:rFonts w:ascii="宋体" w:hAnsi="宋体" w:cs="宋体" w:eastAsia="宋体" w:hint="default"/>
        </w:rPr>
        <w:t>3</w:t>
      </w:r>
      <w:r>
        <w:rPr/>
        <w:t>、</w:t>
      </w:r>
      <w:r>
        <w:rPr>
          <w:spacing w:val="-66"/>
        </w:rPr>
        <w:t> </w:t>
      </w:r>
      <w:r>
        <w:rPr/>
        <w:t>衍生金融资产</w:t>
      </w:r>
      <w:r>
        <w:rPr>
          <w:b w:val="0"/>
          <w:bCs w:val="0"/>
        </w:rPr>
      </w:r>
    </w:p>
    <w:p>
      <w:pPr>
        <w:pStyle w:val="BodyText"/>
        <w:spacing w:line="240" w:lineRule="auto" w:before="55"/>
        <w:ind w:left="296" w:right="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980" w:right="1560"/>
        </w:sectPr>
      </w:pPr>
    </w:p>
    <w:p>
      <w:pPr>
        <w:pStyle w:val="Heading2"/>
        <w:spacing w:line="240" w:lineRule="auto" w:before="26"/>
        <w:ind w:left="296" w:right="0"/>
        <w:jc w:val="left"/>
        <w:rPr>
          <w:rFonts w:ascii="宋体" w:hAnsi="宋体" w:cs="宋体" w:eastAsia="宋体" w:hint="default"/>
          <w:b w:val="0"/>
          <w:bCs w:val="0"/>
        </w:rPr>
      </w:pPr>
      <w:r>
        <w:rPr>
          <w:rFonts w:ascii="宋体" w:hAnsi="宋体" w:cs="宋体" w:eastAsia="宋体" w:hint="default"/>
        </w:rPr>
        <w:t>4</w:t>
      </w:r>
      <w:r>
        <w:rPr/>
        <w:t>、</w:t>
      </w:r>
      <w:r>
        <w:rPr>
          <w:spacing w:val="-64"/>
        </w:rPr>
        <w:t> </w:t>
      </w:r>
      <w:r>
        <w:rPr/>
        <w:t>应收票据</w:t>
      </w:r>
      <w:r>
        <w:rPr>
          <w:rFonts w:ascii="宋体" w:hAnsi="宋体" w:cs="宋体" w:eastAsia="宋体" w:hint="default"/>
          <w:w w:val="99"/>
        </w:rPr>
        <w:t> </w:t>
      </w:r>
      <w:r>
        <w:rPr>
          <w:rFonts w:ascii="宋体" w:hAnsi="宋体" w:cs="宋体" w:eastAsia="宋体" w:hint="default"/>
          <w:b w:val="0"/>
          <w:bCs w:val="0"/>
        </w:rPr>
      </w:r>
    </w:p>
    <w:p>
      <w:pPr>
        <w:pStyle w:val="Heading2"/>
        <w:spacing w:line="240" w:lineRule="auto" w:before="58"/>
        <w:ind w:left="296"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3"/>
        </w:rPr>
        <w:t> </w:t>
      </w:r>
      <w:r>
        <w:rPr/>
        <w:t>应收票据分类列示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9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pStyle w:val="BodyText"/>
        <w:tabs>
          <w:tab w:pos="1496" w:val="left" w:leader="none"/>
        </w:tabs>
        <w:spacing w:line="240" w:lineRule="auto"/>
        <w:ind w:left="296" w:right="0"/>
        <w:jc w:val="left"/>
      </w:pPr>
      <w:r>
        <w:rPr/>
        <w:t>单位：元</w:t>
        <w:tab/>
        <w:t>币种：人民币</w:t>
      </w:r>
    </w:p>
    <w:p>
      <w:pPr>
        <w:spacing w:after="0" w:line="240" w:lineRule="auto"/>
        <w:jc w:val="left"/>
        <w:sectPr>
          <w:type w:val="continuous"/>
          <w:pgSz w:w="11910" w:h="16840"/>
          <w:pgMar w:top="1120" w:bottom="1380" w:left="980" w:right="1560"/>
          <w:cols w:num="2" w:equalWidth="0">
            <w:col w:w="2950" w:space="3244"/>
            <w:col w:w="3176"/>
          </w:cols>
        </w:sectPr>
      </w:pPr>
    </w:p>
    <w:p>
      <w:pPr>
        <w:spacing w:line="240" w:lineRule="auto" w:before="12"/>
        <w:rPr>
          <w:rFonts w:ascii="宋体" w:hAnsi="宋体" w:cs="宋体" w:eastAsia="宋体" w:hint="default"/>
          <w:sz w:val="2"/>
          <w:szCs w:val="2"/>
        </w:rPr>
      </w:pPr>
    </w:p>
    <w:tbl>
      <w:tblPr>
        <w:tblW w:w="0" w:type="auto"/>
        <w:jc w:val="left"/>
        <w:tblInd w:w="179" w:type="dxa"/>
        <w:tblLayout w:type="fixed"/>
        <w:tblCellMar>
          <w:top w:w="0" w:type="dxa"/>
          <w:left w:w="0" w:type="dxa"/>
          <w:bottom w:w="0" w:type="dxa"/>
          <w:right w:w="0" w:type="dxa"/>
        </w:tblCellMar>
        <w:tblLook w:val="01E0"/>
      </w:tblPr>
      <w:tblGrid>
        <w:gridCol w:w="2994"/>
        <w:gridCol w:w="3130"/>
        <w:gridCol w:w="2938"/>
      </w:tblGrid>
      <w:tr>
        <w:trPr>
          <w:trHeight w:val="319" w:hRule="exact"/>
        </w:trPr>
        <w:tc>
          <w:tcPr>
            <w:tcW w:w="299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99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银行承兑票据</w:t>
            </w: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right"/>
              <w:rPr>
                <w:rFonts w:ascii="宋体" w:hAnsi="宋体" w:cs="宋体" w:eastAsia="宋体" w:hint="default"/>
                <w:sz w:val="24"/>
                <w:szCs w:val="24"/>
              </w:rPr>
            </w:pPr>
            <w:r>
              <w:rPr>
                <w:rFonts w:ascii="宋体"/>
                <w:sz w:val="24"/>
              </w:rPr>
              <w:t>131,162,973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right"/>
              <w:rPr>
                <w:rFonts w:ascii="宋体" w:hAnsi="宋体" w:cs="宋体" w:eastAsia="宋体" w:hint="default"/>
                <w:sz w:val="24"/>
                <w:szCs w:val="24"/>
              </w:rPr>
            </w:pPr>
            <w:r>
              <w:rPr>
                <w:rFonts w:ascii="宋体"/>
                <w:sz w:val="24"/>
              </w:rPr>
              <w:t>114,348,848 </w:t>
            </w:r>
          </w:p>
        </w:tc>
      </w:tr>
      <w:tr>
        <w:trPr>
          <w:trHeight w:val="322" w:hRule="exact"/>
        </w:trPr>
        <w:tc>
          <w:tcPr>
            <w:tcW w:w="299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商业承兑票据</w:t>
            </w: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right"/>
              <w:rPr>
                <w:rFonts w:ascii="宋体" w:hAnsi="宋体" w:cs="宋体" w:eastAsia="宋体" w:hint="default"/>
                <w:sz w:val="24"/>
                <w:szCs w:val="24"/>
              </w:rPr>
            </w:pPr>
            <w:r>
              <w:rPr>
                <w:rFonts w:ascii="宋体"/>
                <w:sz w:val="24"/>
              </w:rPr>
              <w:t>2,436,000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right"/>
              <w:rPr>
                <w:rFonts w:ascii="宋体" w:hAnsi="宋体" w:cs="宋体" w:eastAsia="宋体" w:hint="default"/>
                <w:sz w:val="24"/>
                <w:szCs w:val="24"/>
              </w:rPr>
            </w:pPr>
            <w:r>
              <w:rPr>
                <w:rFonts w:ascii="宋体"/>
                <w:sz w:val="24"/>
              </w:rPr>
              <w:t>953,500 </w:t>
            </w:r>
          </w:p>
        </w:tc>
      </w:tr>
      <w:tr>
        <w:trPr>
          <w:trHeight w:val="322" w:hRule="exact"/>
        </w:trPr>
        <w:tc>
          <w:tcPr>
            <w:tcW w:w="299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减：应收票据坏账准备</w:t>
            </w: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bookmarkStart w:name="RANGE!F51" w:id="18"/>
            <w:bookmarkEnd w:id="18"/>
            <w:r>
              <w:rPr/>
            </w:r>
            <w:r>
              <w:rPr>
                <w:rFonts w:ascii="宋体"/>
                <w:sz w:val="24"/>
              </w:rPr>
              <w:t>-292,486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right"/>
              <w:rPr>
                <w:rFonts w:ascii="宋体" w:hAnsi="宋体" w:cs="宋体" w:eastAsia="宋体" w:hint="default"/>
                <w:sz w:val="24"/>
                <w:szCs w:val="24"/>
              </w:rPr>
            </w:pPr>
            <w:r>
              <w:rPr>
                <w:rFonts w:ascii="宋体"/>
                <w:sz w:val="24"/>
              </w:rPr>
              <w:t>-292,486 </w:t>
            </w:r>
          </w:p>
        </w:tc>
      </w:tr>
      <w:tr>
        <w:trPr>
          <w:trHeight w:val="322" w:hRule="exact"/>
        </w:trPr>
        <w:tc>
          <w:tcPr>
            <w:tcW w:w="2994" w:type="dxa"/>
            <w:tcBorders>
              <w:top w:val="single" w:sz="4" w:space="0" w:color="000000"/>
              <w:left w:val="single" w:sz="4" w:space="0" w:color="000000"/>
              <w:bottom w:val="single" w:sz="4" w:space="0" w:color="000000"/>
              <w:right w:val="single" w:sz="4" w:space="0" w:color="000000"/>
            </w:tcBorders>
          </w:tcPr>
          <w:p>
            <w:pP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right"/>
              <w:rPr>
                <w:rFonts w:ascii="宋体" w:hAnsi="宋体" w:cs="宋体" w:eastAsia="宋体" w:hint="default"/>
                <w:sz w:val="24"/>
                <w:szCs w:val="24"/>
              </w:rPr>
            </w:pPr>
            <w:r>
              <w:rPr>
                <w:rFonts w:ascii="宋体"/>
                <w:sz w:val="24"/>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right"/>
              <w:rPr>
                <w:rFonts w:ascii="宋体" w:hAnsi="宋体" w:cs="宋体" w:eastAsia="宋体" w:hint="default"/>
                <w:sz w:val="24"/>
                <w:szCs w:val="24"/>
              </w:rPr>
            </w:pPr>
            <w:r>
              <w:rPr>
                <w:rFonts w:ascii="宋体"/>
                <w:sz w:val="24"/>
              </w:rPr>
              <w:t> </w:t>
            </w:r>
          </w:p>
        </w:tc>
      </w:tr>
      <w:tr>
        <w:trPr>
          <w:trHeight w:val="322" w:hRule="exact"/>
        </w:trPr>
        <w:tc>
          <w:tcPr>
            <w:tcW w:w="299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133,306,487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115,009,862 </w:t>
            </w:r>
          </w:p>
        </w:tc>
      </w:tr>
    </w:tbl>
    <w:p>
      <w:pPr>
        <w:pStyle w:val="BodyText"/>
        <w:spacing w:line="273" w:lineRule="exact"/>
        <w:ind w:left="296" w:right="0"/>
        <w:jc w:val="left"/>
        <w:rPr>
          <w:rFonts w:ascii="宋体" w:hAnsi="宋体" w:cs="宋体" w:eastAsia="宋体" w:hint="default"/>
        </w:rPr>
      </w:pPr>
      <w:r>
        <w:rPr>
          <w:rFonts w:ascii="宋体"/>
        </w:rPr>
        <w:t> </w:t>
      </w:r>
    </w:p>
    <w:p>
      <w:pPr>
        <w:pStyle w:val="BodyText"/>
        <w:spacing w:line="311" w:lineRule="exact"/>
        <w:ind w:left="296" w:right="0"/>
        <w:jc w:val="left"/>
      </w:pPr>
      <w:r>
        <w:rPr/>
        <w:t>于</w:t>
      </w:r>
      <w:r>
        <w:rPr>
          <w:spacing w:val="-60"/>
        </w:rPr>
        <w:t> </w:t>
      </w:r>
      <w:r>
        <w:rPr>
          <w:rFonts w:ascii="宋体" w:hAnsi="宋体" w:cs="宋体" w:eastAsia="宋体" w:hint="default"/>
        </w:rPr>
        <w:t>2019</w:t>
      </w:r>
      <w:r>
        <w:rPr>
          <w:rFonts w:ascii="宋体" w:hAnsi="宋体" w:cs="宋体" w:eastAsia="宋体" w:hint="default"/>
          <w:spacing w:val="-61"/>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w:t>
      </w:r>
      <w:r>
        <w:rPr>
          <w:spacing w:val="-113"/>
        </w:rPr>
        <w:t>，</w:t>
      </w:r>
      <w:r>
        <w:rPr/>
        <w:t>无已贴现取得短期借款的应收票</w:t>
      </w:r>
      <w:r>
        <w:rPr>
          <w:spacing w:val="1"/>
        </w:rPr>
        <w:t>据</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w:t>
      </w:r>
      <w:r>
        <w:rPr>
          <w:spacing w:val="-113"/>
        </w:rPr>
        <w:t>：</w:t>
      </w:r>
      <w:r>
        <w:rPr/>
        <w:t>无</w:t>
      </w:r>
      <w:r>
        <w:rPr>
          <w:rFonts w:ascii="宋体" w:hAnsi="宋体" w:cs="宋体" w:eastAsia="宋体" w:hint="default"/>
        </w:rPr>
        <w:t>)</w:t>
      </w:r>
      <w:r>
        <w:rPr/>
        <w:t>；</w:t>
      </w:r>
    </w:p>
    <w:p>
      <w:pPr>
        <w:pStyle w:val="BodyText"/>
        <w:spacing w:line="311" w:lineRule="exact"/>
        <w:ind w:left="296" w:right="0"/>
        <w:jc w:val="left"/>
      </w:pPr>
      <w:r>
        <w:rPr/>
        <w:t>于</w:t>
      </w:r>
      <w:r>
        <w:rPr>
          <w:spacing w:val="-50"/>
        </w:rPr>
        <w:t> </w:t>
      </w:r>
      <w:r>
        <w:rPr>
          <w:rFonts w:ascii="宋体" w:hAnsi="宋体" w:cs="宋体" w:eastAsia="宋体" w:hint="default"/>
        </w:rPr>
        <w:t>2019</w:t>
      </w:r>
      <w:r>
        <w:rPr>
          <w:rFonts w:ascii="宋体" w:hAnsi="宋体" w:cs="宋体" w:eastAsia="宋体" w:hint="default"/>
          <w:spacing w:val="-51"/>
        </w:rPr>
        <w:t> </w:t>
      </w:r>
      <w:r>
        <w:rPr/>
        <w:t>年</w:t>
      </w:r>
      <w:r>
        <w:rPr>
          <w:spacing w:val="-51"/>
        </w:rPr>
        <w:t> </w:t>
      </w:r>
      <w:r>
        <w:rPr>
          <w:rFonts w:ascii="宋体" w:hAnsi="宋体" w:cs="宋体" w:eastAsia="宋体" w:hint="default"/>
        </w:rPr>
        <w:t>12</w:t>
      </w:r>
      <w:r>
        <w:rPr>
          <w:rFonts w:ascii="宋体" w:hAnsi="宋体" w:cs="宋体" w:eastAsia="宋体" w:hint="default"/>
          <w:spacing w:val="-51"/>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日，无已质押的应收票据</w:t>
      </w:r>
      <w:r>
        <w:rPr>
          <w:rFonts w:ascii="宋体" w:hAnsi="宋体" w:cs="宋体" w:eastAsia="宋体" w:hint="default"/>
        </w:rPr>
        <w:t>(2018</w:t>
      </w:r>
      <w:r>
        <w:rPr>
          <w:rFonts w:ascii="宋体" w:hAnsi="宋体" w:cs="宋体" w:eastAsia="宋体" w:hint="default"/>
          <w:spacing w:val="-50"/>
        </w:rPr>
        <w:t> </w:t>
      </w:r>
      <w:r>
        <w:rPr/>
        <w:t>年</w:t>
      </w:r>
      <w:r>
        <w:rPr>
          <w:spacing w:val="-51"/>
        </w:rPr>
        <w:t> </w:t>
      </w:r>
      <w:r>
        <w:rPr>
          <w:rFonts w:ascii="宋体" w:hAnsi="宋体" w:cs="宋体" w:eastAsia="宋体" w:hint="default"/>
        </w:rPr>
        <w:t>12</w:t>
      </w:r>
      <w:r>
        <w:rPr>
          <w:rFonts w:ascii="宋体" w:hAnsi="宋体" w:cs="宋体" w:eastAsia="宋体" w:hint="default"/>
          <w:spacing w:val="-51"/>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日：无</w:t>
      </w:r>
      <w:r>
        <w:rPr>
          <w:rFonts w:ascii="宋体" w:hAnsi="宋体" w:cs="宋体" w:eastAsia="宋体" w:hint="default"/>
        </w:rPr>
        <w:t>)</w:t>
      </w:r>
      <w:r>
        <w:rPr/>
        <w:t>；于</w:t>
      </w:r>
      <w:r>
        <w:rPr>
          <w:spacing w:val="-50"/>
        </w:rPr>
        <w:t> </w:t>
      </w:r>
      <w:r>
        <w:rPr>
          <w:rFonts w:ascii="宋体" w:hAnsi="宋体" w:cs="宋体" w:eastAsia="宋体" w:hint="default"/>
        </w:rPr>
        <w:t>2019</w:t>
      </w:r>
      <w:r>
        <w:rPr>
          <w:rFonts w:ascii="宋体" w:hAnsi="宋体" w:cs="宋体" w:eastAsia="宋体" w:hint="default"/>
          <w:spacing w:val="-51"/>
        </w:rPr>
        <w:t> </w:t>
      </w:r>
      <w:r>
        <w:rPr/>
        <w:t>年</w:t>
      </w:r>
    </w:p>
    <w:p>
      <w:pPr>
        <w:pStyle w:val="BodyText"/>
        <w:spacing w:line="312" w:lineRule="exact" w:before="29"/>
        <w:ind w:left="296" w:right="223"/>
        <w:jc w:val="left"/>
        <w:rPr>
          <w:rFonts w:ascii="宋体" w:hAnsi="宋体" w:cs="宋体" w:eastAsia="宋体" w:hint="default"/>
        </w:rPr>
      </w:pPr>
      <w:r>
        <w:rPr>
          <w:rFonts w:ascii="宋体" w:hAnsi="宋体" w:cs="宋体" w:eastAsia="宋体" w:hint="default"/>
        </w:rPr>
        <w:t>12</w:t>
      </w:r>
      <w:r>
        <w:rPr>
          <w:rFonts w:ascii="宋体" w:hAnsi="宋体" w:cs="宋体" w:eastAsia="宋体" w:hint="default"/>
          <w:spacing w:val="-63"/>
        </w:rPr>
        <w:t> </w:t>
      </w:r>
      <w:r>
        <w:rPr/>
        <w:t>月</w:t>
      </w:r>
      <w:r>
        <w:rPr>
          <w:spacing w:val="-63"/>
        </w:rPr>
        <w:t> </w:t>
      </w:r>
      <w:r>
        <w:rPr>
          <w:rFonts w:ascii="宋体" w:hAnsi="宋体" w:cs="宋体" w:eastAsia="宋体" w:hint="default"/>
        </w:rPr>
        <w:t>31</w:t>
      </w:r>
      <w:r>
        <w:rPr>
          <w:rFonts w:ascii="宋体" w:hAnsi="宋体" w:cs="宋体" w:eastAsia="宋体" w:hint="default"/>
          <w:spacing w:val="-63"/>
        </w:rPr>
        <w:t> </w:t>
      </w:r>
      <w:r>
        <w:rPr>
          <w:spacing w:val="-5"/>
        </w:rPr>
        <w:t>日，已背书但在资产负债表日尚未到期的应收票据如下</w:t>
      </w:r>
      <w:r>
        <w:rPr>
          <w:rFonts w:ascii="宋体" w:hAnsi="宋体" w:cs="宋体" w:eastAsia="宋体" w:hint="default"/>
          <w:spacing w:val="-5"/>
        </w:rPr>
        <w:t>(2018</w:t>
      </w:r>
      <w:r>
        <w:rPr>
          <w:rFonts w:ascii="宋体" w:hAnsi="宋体" w:cs="宋体" w:eastAsia="宋体" w:hint="default"/>
          <w:spacing w:val="-63"/>
        </w:rPr>
        <w:t> </w:t>
      </w:r>
      <w:r>
        <w:rPr/>
        <w:t>年</w:t>
      </w:r>
      <w:r>
        <w:rPr>
          <w:spacing w:val="-63"/>
        </w:rPr>
        <w:t> </w:t>
      </w:r>
      <w:r>
        <w:rPr>
          <w:rFonts w:ascii="宋体" w:hAnsi="宋体" w:cs="宋体" w:eastAsia="宋体" w:hint="default"/>
        </w:rPr>
        <w:t>12</w:t>
      </w:r>
      <w:r>
        <w:rPr>
          <w:rFonts w:ascii="宋体" w:hAnsi="宋体" w:cs="宋体" w:eastAsia="宋体" w:hint="default"/>
          <w:spacing w:val="-63"/>
        </w:rPr>
        <w:t> </w:t>
      </w:r>
      <w:r>
        <w:rPr/>
        <w:t>月</w:t>
      </w:r>
      <w:r>
        <w:rPr>
          <w:spacing w:val="-63"/>
        </w:rPr>
        <w:t> </w:t>
      </w:r>
      <w:r>
        <w:rPr>
          <w:rFonts w:ascii="宋体" w:hAnsi="宋体" w:cs="宋体" w:eastAsia="宋体" w:hint="default"/>
          <w:spacing w:val="-2"/>
        </w:rPr>
        <w:t>31</w:t>
      </w:r>
      <w:r>
        <w:rPr>
          <w:rFonts w:ascii="宋体" w:hAnsi="宋体" w:cs="宋体" w:eastAsia="宋体" w:hint="default"/>
          <w:spacing w:val="-63"/>
        </w:rPr>
        <w:t> </w:t>
      </w:r>
      <w:r>
        <w:rPr/>
        <w:t>日： 无</w:t>
      </w:r>
      <w:r>
        <w:rPr>
          <w:rFonts w:ascii="宋体" w:hAnsi="宋体" w:cs="宋体" w:eastAsia="宋体" w:hint="default"/>
        </w:rPr>
        <w:t>)</w:t>
      </w:r>
      <w:r>
        <w:rPr/>
        <w:t>：</w:t>
      </w:r>
      <w:r>
        <w:rPr>
          <w:rFonts w:ascii="宋体" w:hAnsi="宋体" w:cs="宋体" w:eastAsia="宋体" w:hint="default"/>
        </w:rPr>
        <w:t> </w:t>
      </w:r>
    </w:p>
    <w:p>
      <w:pPr>
        <w:spacing w:line="240" w:lineRule="auto" w:before="4"/>
        <w:rPr>
          <w:rFonts w:ascii="宋体" w:hAnsi="宋体" w:cs="宋体" w:eastAsia="宋体" w:hint="default"/>
          <w:sz w:val="15"/>
          <w:szCs w:val="15"/>
        </w:rPr>
      </w:pPr>
    </w:p>
    <w:tbl>
      <w:tblPr>
        <w:tblW w:w="0" w:type="auto"/>
        <w:jc w:val="left"/>
        <w:tblInd w:w="108" w:type="dxa"/>
        <w:tblLayout w:type="fixed"/>
        <w:tblCellMar>
          <w:top w:w="0" w:type="dxa"/>
          <w:left w:w="0" w:type="dxa"/>
          <w:bottom w:w="0" w:type="dxa"/>
          <w:right w:w="0" w:type="dxa"/>
        </w:tblCellMar>
        <w:tblLook w:val="01E0"/>
      </w:tblPr>
      <w:tblGrid>
        <w:gridCol w:w="5661"/>
        <w:gridCol w:w="1580"/>
        <w:gridCol w:w="1360"/>
      </w:tblGrid>
      <w:tr>
        <w:trPr>
          <w:trHeight w:val="225" w:hRule="exact"/>
        </w:trPr>
        <w:tc>
          <w:tcPr>
            <w:tcW w:w="8601" w:type="dxa"/>
            <w:gridSpan w:val="3"/>
            <w:tcBorders>
              <w:top w:val="nil" w:sz="6" w:space="0" w:color="auto"/>
              <w:left w:val="nil" w:sz="6" w:space="0" w:color="auto"/>
              <w:bottom w:val="nil" w:sz="6" w:space="0" w:color="auto"/>
              <w:right w:val="nil" w:sz="6" w:space="0" w:color="auto"/>
            </w:tcBorders>
          </w:tcPr>
          <w:p>
            <w:pPr>
              <w:pStyle w:val="TableParagraph"/>
              <w:spacing w:line="226" w:lineRule="exact"/>
              <w:ind w:right="636"/>
              <w:jc w:val="right"/>
              <w:rPr>
                <w:rFonts w:ascii="黑体" w:hAnsi="黑体" w:cs="黑体" w:eastAsia="黑体" w:hint="default"/>
                <w:sz w:val="21"/>
                <w:szCs w:val="21"/>
              </w:rPr>
            </w:pPr>
            <w:r>
              <w:rPr>
                <w:rFonts w:ascii="Arial" w:hAnsi="Arial" w:cs="Arial" w:eastAsia="Arial" w:hint="default"/>
                <w:spacing w:val="-1"/>
                <w:sz w:val="21"/>
                <w:szCs w:val="21"/>
              </w:rPr>
              <w:t>2019</w:t>
            </w:r>
            <w:r>
              <w:rPr>
                <w:rFonts w:ascii="黑体" w:hAnsi="黑体" w:cs="黑体" w:eastAsia="黑体" w:hint="default"/>
                <w:spacing w:val="-1"/>
                <w:sz w:val="21"/>
                <w:szCs w:val="21"/>
              </w:rPr>
              <w:t>年</w:t>
            </w:r>
            <w:r>
              <w:rPr>
                <w:rFonts w:ascii="Arial" w:hAnsi="Arial" w:cs="Arial" w:eastAsia="Arial" w:hint="default"/>
                <w:spacing w:val="-1"/>
                <w:sz w:val="21"/>
                <w:szCs w:val="21"/>
              </w:rPr>
              <w:t>12</w:t>
            </w:r>
            <w:r>
              <w:rPr>
                <w:rFonts w:ascii="黑体" w:hAnsi="黑体" w:cs="黑体" w:eastAsia="黑体" w:hint="default"/>
                <w:spacing w:val="-1"/>
                <w:sz w:val="21"/>
                <w:szCs w:val="21"/>
              </w:rPr>
              <w:t>月</w:t>
            </w:r>
            <w:r>
              <w:rPr>
                <w:rFonts w:ascii="Arial" w:hAnsi="Arial" w:cs="Arial" w:eastAsia="Arial" w:hint="default"/>
                <w:spacing w:val="-1"/>
                <w:sz w:val="21"/>
                <w:szCs w:val="21"/>
              </w:rPr>
              <w:t>31</w:t>
            </w:r>
            <w:r>
              <w:rPr>
                <w:rFonts w:ascii="黑体" w:hAnsi="黑体" w:cs="黑体" w:eastAsia="黑体" w:hint="default"/>
                <w:spacing w:val="-1"/>
                <w:sz w:val="21"/>
                <w:szCs w:val="21"/>
              </w:rPr>
              <w:t>日</w:t>
            </w:r>
          </w:p>
        </w:tc>
      </w:tr>
      <w:tr>
        <w:trPr>
          <w:trHeight w:val="379" w:hRule="exact"/>
        </w:trPr>
        <w:tc>
          <w:tcPr>
            <w:tcW w:w="5661" w:type="dxa"/>
            <w:tcBorders>
              <w:top w:val="nil" w:sz="6" w:space="0" w:color="auto"/>
              <w:left w:val="nil" w:sz="6" w:space="0" w:color="auto"/>
              <w:bottom w:val="nil" w:sz="6" w:space="0" w:color="auto"/>
              <w:right w:val="nil" w:sz="6" w:space="0" w:color="auto"/>
            </w:tcBorders>
          </w:tcPr>
          <w:p>
            <w:pPr/>
          </w:p>
        </w:tc>
        <w:tc>
          <w:tcPr>
            <w:tcW w:w="1580" w:type="dxa"/>
            <w:tcBorders>
              <w:top w:val="single" w:sz="4" w:space="0" w:color="000000"/>
              <w:left w:val="nil" w:sz="6" w:space="0" w:color="auto"/>
              <w:bottom w:val="nil" w:sz="6" w:space="0" w:color="auto"/>
              <w:right w:val="nil" w:sz="6" w:space="0" w:color="auto"/>
            </w:tcBorders>
          </w:tcPr>
          <w:p>
            <w:pPr>
              <w:pStyle w:val="TableParagraph"/>
              <w:spacing w:line="241" w:lineRule="exact"/>
              <w:ind w:right="303"/>
              <w:jc w:val="right"/>
              <w:rPr>
                <w:rFonts w:ascii="黑体" w:hAnsi="黑体" w:cs="黑体" w:eastAsia="黑体" w:hint="default"/>
                <w:sz w:val="21"/>
                <w:szCs w:val="21"/>
              </w:rPr>
            </w:pPr>
            <w:r>
              <w:rPr>
                <w:rFonts w:ascii="黑体" w:hAnsi="黑体" w:cs="黑体" w:eastAsia="黑体" w:hint="default"/>
                <w:spacing w:val="-1"/>
                <w:sz w:val="21"/>
                <w:szCs w:val="21"/>
              </w:rPr>
              <w:t>终止确认</w:t>
            </w:r>
          </w:p>
        </w:tc>
        <w:tc>
          <w:tcPr>
            <w:tcW w:w="1360" w:type="dxa"/>
            <w:tcBorders>
              <w:top w:val="single" w:sz="4" w:space="0" w:color="000000"/>
              <w:left w:val="nil" w:sz="6" w:space="0" w:color="auto"/>
              <w:bottom w:val="nil" w:sz="6" w:space="0" w:color="auto"/>
              <w:right w:val="nil" w:sz="6" w:space="0" w:color="auto"/>
            </w:tcBorders>
          </w:tcPr>
          <w:p>
            <w:pPr>
              <w:pStyle w:val="TableParagraph"/>
              <w:spacing w:line="241" w:lineRule="exact"/>
              <w:ind w:left="305" w:right="0"/>
              <w:jc w:val="left"/>
              <w:rPr>
                <w:rFonts w:ascii="黑体" w:hAnsi="黑体" w:cs="黑体" w:eastAsia="黑体" w:hint="default"/>
                <w:sz w:val="21"/>
                <w:szCs w:val="21"/>
              </w:rPr>
            </w:pPr>
            <w:r>
              <w:rPr>
                <w:rFonts w:ascii="黑体" w:hAnsi="黑体" w:cs="黑体" w:eastAsia="黑体" w:hint="default"/>
                <w:spacing w:val="-1"/>
                <w:sz w:val="21"/>
                <w:szCs w:val="21"/>
              </w:rPr>
              <w:t>未终止确认</w:t>
            </w:r>
          </w:p>
        </w:tc>
      </w:tr>
      <w:tr>
        <w:trPr>
          <w:trHeight w:val="351" w:hRule="exact"/>
        </w:trPr>
        <w:tc>
          <w:tcPr>
            <w:tcW w:w="566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00" w:right="0"/>
              <w:jc w:val="left"/>
              <w:rPr>
                <w:rFonts w:ascii="黑体" w:hAnsi="黑体" w:cs="黑体" w:eastAsia="黑体" w:hint="default"/>
                <w:sz w:val="21"/>
                <w:szCs w:val="21"/>
              </w:rPr>
            </w:pPr>
            <w:r>
              <w:rPr>
                <w:rFonts w:ascii="黑体" w:hAnsi="黑体" w:cs="黑体" w:eastAsia="黑体" w:hint="default"/>
                <w:sz w:val="21"/>
                <w:szCs w:val="21"/>
              </w:rPr>
              <w:t>银行承兑汇票</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97"/>
              <w:jc w:val="right"/>
              <w:rPr>
                <w:rFonts w:ascii="Arial" w:hAnsi="Arial" w:cs="Arial" w:eastAsia="Arial" w:hint="default"/>
                <w:sz w:val="21"/>
                <w:szCs w:val="21"/>
              </w:rPr>
            </w:pPr>
            <w:r>
              <w:rPr>
                <w:rFonts w:ascii="Arial"/>
                <w:w w:val="100"/>
                <w:sz w:val="21"/>
              </w:rPr>
            </w:r>
            <w:r>
              <w:rPr>
                <w:rFonts w:ascii="Arial"/>
                <w:spacing w:val="-1"/>
                <w:sz w:val="21"/>
                <w:u w:val="thick" w:color="000000"/>
              </w:rPr>
              <w:t>2,546,775</w:t>
            </w:r>
            <w:r>
              <w:rPr>
                <w:rFonts w:ascii="Arial"/>
                <w:spacing w:val="-1"/>
                <w:sz w:val="21"/>
              </w:rPr>
            </w:r>
          </w:p>
        </w:tc>
        <w:tc>
          <w:tcPr>
            <w:tcW w:w="1360" w:type="dxa"/>
            <w:tcBorders>
              <w:top w:val="nil" w:sz="6" w:space="0" w:color="auto"/>
              <w:left w:val="nil" w:sz="6" w:space="0" w:color="auto"/>
              <w:bottom w:val="nil" w:sz="6" w:space="0" w:color="auto"/>
              <w:right w:val="nil" w:sz="6" w:space="0" w:color="auto"/>
            </w:tcBorders>
          </w:tcPr>
          <w:p>
            <w:pPr/>
          </w:p>
        </w:tc>
      </w:tr>
    </w:tbl>
    <w:p>
      <w:pPr>
        <w:pStyle w:val="BodyText"/>
        <w:spacing w:line="269" w:lineRule="exact"/>
        <w:ind w:left="296" w:right="0"/>
        <w:jc w:val="left"/>
        <w:rPr>
          <w:rFonts w:ascii="宋体" w:hAnsi="宋体" w:cs="宋体" w:eastAsia="宋体" w:hint="default"/>
        </w:rPr>
      </w:pPr>
      <w:r>
        <w:rPr>
          <w:rFonts w:ascii="宋体"/>
        </w:rPr>
        <w:t> </w:t>
      </w:r>
    </w:p>
    <w:p>
      <w:pPr>
        <w:pStyle w:val="BodyText"/>
        <w:spacing w:line="313" w:lineRule="exact"/>
        <w:ind w:left="296" w:right="0"/>
        <w:jc w:val="left"/>
        <w:rPr>
          <w:rFonts w:ascii="宋体" w:hAnsi="宋体" w:cs="宋体" w:eastAsia="宋体" w:hint="default"/>
        </w:rPr>
      </w:pPr>
      <w:r>
        <w:rPr>
          <w:rFonts w:ascii="宋体"/>
        </w:rPr>
        <w:t> </w:t>
      </w:r>
    </w:p>
    <w:p>
      <w:pPr>
        <w:spacing w:after="0" w:line="313" w:lineRule="exact"/>
        <w:jc w:val="left"/>
        <w:rPr>
          <w:rFonts w:ascii="宋体" w:hAnsi="宋体" w:cs="宋体" w:eastAsia="宋体" w:hint="default"/>
        </w:rPr>
        <w:sectPr>
          <w:type w:val="continuous"/>
          <w:pgSz w:w="11910" w:h="16840"/>
          <w:pgMar w:top="1120" w:bottom="1380" w:left="980" w:right="1560"/>
        </w:sectPr>
      </w:pPr>
    </w:p>
    <w:p>
      <w:pPr>
        <w:spacing w:line="240" w:lineRule="auto" w:before="4"/>
        <w:rPr>
          <w:rFonts w:ascii="宋体" w:hAnsi="宋体" w:cs="宋体" w:eastAsia="宋体" w:hint="default"/>
          <w:sz w:val="22"/>
          <w:szCs w:val="22"/>
        </w:rPr>
      </w:pPr>
    </w:p>
    <w:p>
      <w:pPr>
        <w:pStyle w:val="Heading2"/>
        <w:spacing w:line="240" w:lineRule="auto" w:before="26"/>
        <w:ind w:left="236" w:right="4250"/>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spacing w:val="-1"/>
        </w:rPr>
        <w:t> </w:t>
      </w:r>
      <w:r>
        <w:rPr/>
        <w:t>期末公司已质押的应收票据</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t>□适用 √不适用</w:t>
      </w:r>
    </w:p>
    <w:p>
      <w:pPr>
        <w:pStyle w:val="Heading2"/>
        <w:spacing w:line="240" w:lineRule="auto" w:before="55"/>
        <w:ind w:left="236" w:right="0"/>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2"/>
        </w:rPr>
        <w:t> </w:t>
      </w:r>
      <w:r>
        <w:rPr/>
        <w:t>期末公司已背书或贴现且在资产负债表日尚未到期的应收票据</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t>□适用 √不适用</w:t>
      </w:r>
    </w:p>
    <w:p>
      <w:pPr>
        <w:pStyle w:val="Heading2"/>
        <w:spacing w:line="240" w:lineRule="auto" w:before="58"/>
        <w:ind w:left="236" w:right="0"/>
        <w:jc w:val="left"/>
        <w:rPr>
          <w:rFonts w:ascii="宋体" w:hAnsi="宋体" w:cs="宋体" w:eastAsia="宋体" w:hint="default"/>
          <w:b w:val="0"/>
          <w:bCs w:val="0"/>
        </w:rPr>
      </w:pPr>
      <w:r>
        <w:rPr>
          <w:rFonts w:ascii="宋体" w:hAnsi="宋体" w:cs="宋体" w:eastAsia="宋体" w:hint="default"/>
        </w:rPr>
        <w:t>(4).</w:t>
      </w:r>
      <w:r>
        <w:rPr>
          <w:rFonts w:ascii="宋体" w:hAnsi="宋体" w:cs="宋体" w:eastAsia="宋体" w:hint="default"/>
          <w:spacing w:val="-1"/>
        </w:rPr>
        <w:t> </w:t>
      </w:r>
      <w:r>
        <w:rPr/>
        <w:t>期末公司因出票人未履约而将其转应收账款的票据</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4250"/>
        <w:jc w:val="left"/>
      </w:pPr>
      <w:r>
        <w:rPr/>
        <w:t>□适用 √不适用</w:t>
      </w:r>
    </w:p>
    <w:p>
      <w:pPr>
        <w:pStyle w:val="Heading2"/>
        <w:spacing w:line="240" w:lineRule="auto" w:before="58"/>
        <w:ind w:left="236" w:right="4250"/>
        <w:jc w:val="left"/>
        <w:rPr>
          <w:rFonts w:ascii="宋体" w:hAnsi="宋体" w:cs="宋体" w:eastAsia="宋体" w:hint="default"/>
          <w:b w:val="0"/>
          <w:bCs w:val="0"/>
        </w:rPr>
      </w:pPr>
      <w:r>
        <w:rPr>
          <w:rFonts w:ascii="宋体" w:hAnsi="宋体" w:cs="宋体" w:eastAsia="宋体" w:hint="default"/>
        </w:rPr>
        <w:t>(5).</w:t>
      </w:r>
      <w:r>
        <w:rPr>
          <w:rFonts w:ascii="宋体" w:hAnsi="宋体" w:cs="宋体" w:eastAsia="宋体" w:hint="default"/>
          <w:spacing w:val="-3"/>
        </w:rPr>
        <w:t> </w:t>
      </w:r>
      <w:r>
        <w:rPr/>
        <w:t>按坏账计提方法分类披露</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88"/>
        <w:ind w:left="236" w:right="6650"/>
        <w:jc w:val="left"/>
      </w:pPr>
      <w:r>
        <w:rPr/>
        <w:t>□适用 √不适用 按单项计提坏账准备：</w:t>
      </w:r>
    </w:p>
    <w:p>
      <w:pPr>
        <w:pStyle w:val="BodyText"/>
        <w:spacing w:line="281" w:lineRule="exact"/>
        <w:ind w:left="236" w:right="4250"/>
        <w:jc w:val="left"/>
      </w:pPr>
      <w:r>
        <w:rPr/>
        <w:t>□适用 √不适用</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18"/>
          <w:szCs w:val="18"/>
        </w:rPr>
      </w:pPr>
    </w:p>
    <w:p>
      <w:pPr>
        <w:pStyle w:val="BodyText"/>
        <w:spacing w:line="313" w:lineRule="exact"/>
        <w:ind w:left="236" w:right="4250"/>
        <w:jc w:val="left"/>
      </w:pPr>
      <w:r>
        <w:rPr/>
        <w:t>按组合计提坏账准备：</w:t>
      </w:r>
    </w:p>
    <w:p>
      <w:pPr>
        <w:pStyle w:val="BodyText"/>
        <w:spacing w:line="310" w:lineRule="exact" w:before="31"/>
        <w:ind w:left="236" w:right="1850"/>
        <w:jc w:val="left"/>
      </w:pPr>
      <w:r>
        <w:rPr/>
        <w:t>□适用 √不适用 如按预期信用损失一般模型计提坏账准备，请参照其他应收款披露：</w:t>
      </w:r>
    </w:p>
    <w:p>
      <w:pPr>
        <w:pStyle w:val="BodyText"/>
        <w:spacing w:line="284" w:lineRule="exact"/>
        <w:ind w:left="236" w:right="4250"/>
        <w:jc w:val="left"/>
      </w:pPr>
      <w:r>
        <w:rPr/>
        <w:t>□适用 √不适用</w:t>
      </w:r>
    </w:p>
    <w:p>
      <w:pPr>
        <w:spacing w:line="240" w:lineRule="auto" w:before="11"/>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82" w:footer="1195" w:top="1080" w:bottom="1380" w:left="1040" w:right="1560"/>
        </w:sectPr>
      </w:pPr>
    </w:p>
    <w:p>
      <w:pPr>
        <w:pStyle w:val="Heading2"/>
        <w:spacing w:line="240" w:lineRule="auto" w:before="26"/>
        <w:ind w:left="236" w:right="0"/>
        <w:jc w:val="left"/>
        <w:rPr>
          <w:rFonts w:ascii="宋体" w:hAnsi="宋体" w:cs="宋体" w:eastAsia="宋体" w:hint="default"/>
          <w:b w:val="0"/>
          <w:bCs w:val="0"/>
        </w:rPr>
      </w:pPr>
      <w:r>
        <w:rPr>
          <w:rFonts w:ascii="宋体" w:hAnsi="宋体" w:cs="宋体" w:eastAsia="宋体" w:hint="default"/>
        </w:rPr>
        <w:t>(6).</w:t>
      </w:r>
      <w:r>
        <w:rPr>
          <w:rFonts w:ascii="宋体" w:hAnsi="宋体" w:cs="宋体" w:eastAsia="宋体" w:hint="default"/>
          <w:spacing w:val="-2"/>
        </w:rPr>
        <w:t> </w:t>
      </w:r>
      <w:r>
        <w:rPr/>
        <w:t>坏账准备的情况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650" w:space="3544"/>
            <w:col w:w="3116"/>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719"/>
        <w:gridCol w:w="1443"/>
        <w:gridCol w:w="1567"/>
        <w:gridCol w:w="1445"/>
        <w:gridCol w:w="1445"/>
        <w:gridCol w:w="1443"/>
      </w:tblGrid>
      <w:tr>
        <w:trPr>
          <w:trHeight w:val="322" w:hRule="exact"/>
        </w:trPr>
        <w:tc>
          <w:tcPr>
            <w:tcW w:w="1719" w:type="dxa"/>
            <w:vMerge w:val="restart"/>
            <w:tcBorders>
              <w:top w:val="single" w:sz="4" w:space="0" w:color="000000"/>
              <w:left w:val="single" w:sz="4" w:space="0" w:color="000000"/>
              <w:right w:val="single" w:sz="4" w:space="0" w:color="000000"/>
            </w:tcBorders>
          </w:tcPr>
          <w:p>
            <w:pPr>
              <w:pStyle w:val="TableParagraph"/>
              <w:spacing w:line="240" w:lineRule="auto" w:before="120"/>
              <w:ind w:right="0"/>
              <w:jc w:val="center"/>
              <w:rPr>
                <w:rFonts w:ascii="宋体" w:hAnsi="宋体" w:cs="宋体" w:eastAsia="宋体" w:hint="default"/>
                <w:sz w:val="24"/>
                <w:szCs w:val="24"/>
              </w:rPr>
            </w:pPr>
            <w:r>
              <w:rPr>
                <w:rFonts w:ascii="宋体" w:hAnsi="宋体" w:cs="宋体" w:eastAsia="宋体" w:hint="default"/>
                <w:sz w:val="24"/>
                <w:szCs w:val="24"/>
              </w:rPr>
              <w:t>类别</w:t>
            </w:r>
          </w:p>
        </w:tc>
        <w:tc>
          <w:tcPr>
            <w:tcW w:w="1443" w:type="dxa"/>
            <w:vMerge w:val="restart"/>
            <w:tcBorders>
              <w:top w:val="single" w:sz="4" w:space="0" w:color="000000"/>
              <w:left w:val="single" w:sz="4" w:space="0" w:color="000000"/>
              <w:right w:val="single" w:sz="4" w:space="0" w:color="000000"/>
            </w:tcBorders>
          </w:tcPr>
          <w:p>
            <w:pPr>
              <w:pStyle w:val="TableParagraph"/>
              <w:spacing w:line="240" w:lineRule="auto" w:before="120"/>
              <w:ind w:left="232"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44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本期变动金额</w:t>
            </w:r>
          </w:p>
        </w:tc>
        <w:tc>
          <w:tcPr>
            <w:tcW w:w="1443" w:type="dxa"/>
            <w:vMerge w:val="restart"/>
            <w:tcBorders>
              <w:top w:val="single" w:sz="4" w:space="0" w:color="000000"/>
              <w:left w:val="single" w:sz="4" w:space="0" w:color="000000"/>
              <w:right w:val="single" w:sz="4" w:space="0" w:color="000000"/>
            </w:tcBorders>
          </w:tcPr>
          <w:p>
            <w:pPr>
              <w:pStyle w:val="TableParagraph"/>
              <w:spacing w:line="240" w:lineRule="auto" w:before="120"/>
              <w:ind w:left="232"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320" w:hRule="exact"/>
        </w:trPr>
        <w:tc>
          <w:tcPr>
            <w:tcW w:w="1719" w:type="dxa"/>
            <w:vMerge/>
            <w:tcBorders>
              <w:left w:val="single" w:sz="4" w:space="0" w:color="000000"/>
              <w:bottom w:val="single" w:sz="4" w:space="0" w:color="000000"/>
              <w:right w:val="single" w:sz="4" w:space="0" w:color="000000"/>
            </w:tcBorders>
          </w:tcPr>
          <w:p>
            <w:pPr/>
          </w:p>
        </w:tc>
        <w:tc>
          <w:tcPr>
            <w:tcW w:w="1443" w:type="dxa"/>
            <w:vMerge/>
            <w:tcBorders>
              <w:left w:val="single" w:sz="4" w:space="0" w:color="000000"/>
              <w:bottom w:val="single" w:sz="4" w:space="0" w:color="000000"/>
              <w:right w:val="single" w:sz="4" w:space="0" w:color="000000"/>
            </w:tcBorders>
          </w:tcPr>
          <w:p>
            <w:pP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计提</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5" w:right="0"/>
              <w:jc w:val="left"/>
              <w:rPr>
                <w:rFonts w:ascii="宋体" w:hAnsi="宋体" w:cs="宋体" w:eastAsia="宋体" w:hint="default"/>
                <w:sz w:val="24"/>
                <w:szCs w:val="24"/>
              </w:rPr>
            </w:pPr>
            <w:r>
              <w:rPr>
                <w:rFonts w:ascii="宋体" w:hAnsi="宋体" w:cs="宋体" w:eastAsia="宋体" w:hint="default"/>
                <w:sz w:val="24"/>
                <w:szCs w:val="24"/>
              </w:rPr>
              <w:t>收回或转回</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15" w:right="0"/>
              <w:jc w:val="left"/>
              <w:rPr>
                <w:rFonts w:ascii="宋体" w:hAnsi="宋体" w:cs="宋体" w:eastAsia="宋体" w:hint="default"/>
                <w:sz w:val="24"/>
                <w:szCs w:val="24"/>
              </w:rPr>
            </w:pPr>
            <w:r>
              <w:rPr>
                <w:rFonts w:ascii="宋体" w:hAnsi="宋体" w:cs="宋体" w:eastAsia="宋体" w:hint="default"/>
                <w:sz w:val="24"/>
                <w:szCs w:val="24"/>
              </w:rPr>
              <w:t>转销或核销</w:t>
            </w:r>
          </w:p>
        </w:tc>
        <w:tc>
          <w:tcPr>
            <w:tcW w:w="1443" w:type="dxa"/>
            <w:vMerge/>
            <w:tcBorders>
              <w:left w:val="single" w:sz="4" w:space="0" w:color="000000"/>
              <w:bottom w:val="single" w:sz="4" w:space="0" w:color="000000"/>
              <w:right w:val="single" w:sz="4" w:space="0" w:color="000000"/>
            </w:tcBorders>
          </w:tcPr>
          <w:p>
            <w:pPr/>
          </w:p>
        </w:tc>
      </w:tr>
      <w:tr>
        <w:trPr>
          <w:trHeight w:val="322"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639"/>
              <w:jc w:val="right"/>
              <w:rPr>
                <w:rFonts w:ascii="宋体" w:hAnsi="宋体" w:cs="宋体" w:eastAsia="宋体" w:hint="default"/>
                <w:sz w:val="24"/>
                <w:szCs w:val="24"/>
              </w:rPr>
            </w:pPr>
            <w:r>
              <w:rPr>
                <w:rFonts w:ascii="宋体" w:hAnsi="宋体" w:cs="宋体" w:eastAsia="宋体" w:hint="default"/>
                <w:sz w:val="24"/>
                <w:szCs w:val="24"/>
              </w:rPr>
              <w:t>应收票据</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0"/>
              <w:jc w:val="right"/>
              <w:rPr>
                <w:rFonts w:ascii="Times New Roman" w:hAnsi="Times New Roman" w:cs="Times New Roman" w:eastAsia="Times New Roman" w:hint="default"/>
                <w:sz w:val="24"/>
                <w:szCs w:val="24"/>
              </w:rPr>
            </w:pPr>
            <w:r>
              <w:rPr>
                <w:rFonts w:ascii="Times New Roman"/>
                <w:sz w:val="24"/>
              </w:rPr>
              <w:t>292,486</w:t>
            </w:r>
          </w:p>
        </w:tc>
        <w:tc>
          <w:tcPr>
            <w:tcW w:w="1567"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8"/>
              <w:jc w:val="right"/>
              <w:rPr>
                <w:rFonts w:ascii="Times New Roman" w:hAnsi="Times New Roman" w:cs="Times New Roman" w:eastAsia="Times New Roman" w:hint="default"/>
                <w:sz w:val="24"/>
                <w:szCs w:val="24"/>
              </w:rPr>
            </w:pPr>
            <w:r>
              <w:rPr>
                <w:rFonts w:ascii="Times New Roman"/>
                <w:sz w:val="24"/>
              </w:rPr>
              <w:t>292,486</w:t>
            </w:r>
          </w:p>
        </w:tc>
      </w:tr>
      <w:tr>
        <w:trPr>
          <w:trHeight w:val="322"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12"/>
              <w:jc w:val="right"/>
              <w:rPr>
                <w:rFonts w:ascii="宋体" w:hAnsi="宋体" w:cs="宋体" w:eastAsia="宋体" w:hint="default"/>
                <w:sz w:val="24"/>
                <w:szCs w:val="24"/>
              </w:rPr>
            </w:pPr>
            <w:r>
              <w:rPr>
                <w:rFonts w:ascii="宋体" w:hAnsi="宋体" w:cs="宋体" w:eastAsia="宋体" w:hint="default"/>
                <w:sz w:val="24"/>
                <w:szCs w:val="24"/>
              </w:rPr>
              <w:t>合计</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292,486</w:t>
            </w:r>
          </w:p>
        </w:tc>
        <w:tc>
          <w:tcPr>
            <w:tcW w:w="1567"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c>
          <w:tcPr>
            <w:tcW w:w="1445" w:type="dxa"/>
            <w:tcBorders>
              <w:top w:val="single" w:sz="4" w:space="0" w:color="000000"/>
              <w:left w:val="single" w:sz="4" w:space="0" w:color="000000"/>
              <w:bottom w:val="single" w:sz="4" w:space="0" w:color="000000"/>
              <w:right w:val="single" w:sz="4" w:space="0" w:color="000000"/>
            </w:tcBorders>
          </w:tcPr>
          <w:p>
            <w:pP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292,486</w:t>
            </w:r>
          </w:p>
        </w:tc>
      </w:tr>
    </w:tbl>
    <w:p>
      <w:pPr>
        <w:spacing w:line="240" w:lineRule="auto" w:before="0"/>
        <w:rPr>
          <w:rFonts w:ascii="宋体" w:hAnsi="宋体" w:cs="宋体" w:eastAsia="宋体" w:hint="default"/>
          <w:sz w:val="16"/>
          <w:szCs w:val="16"/>
        </w:rPr>
      </w:pPr>
    </w:p>
    <w:p>
      <w:pPr>
        <w:pStyle w:val="BodyText"/>
        <w:spacing w:line="313" w:lineRule="exact" w:before="26"/>
        <w:ind w:left="236" w:right="4250"/>
        <w:jc w:val="left"/>
      </w:pPr>
      <w:r>
        <w:rPr/>
        <w:t>其中本期坏账准备收回或转回金额重要的：</w:t>
      </w:r>
    </w:p>
    <w:p>
      <w:pPr>
        <w:pStyle w:val="BodyText"/>
        <w:spacing w:line="312" w:lineRule="exact" w:before="29"/>
        <w:ind w:left="236" w:right="7250"/>
        <w:jc w:val="left"/>
      </w:pPr>
      <w:r>
        <w:rPr/>
        <w:t>□适用 √不适用 其他说明：</w:t>
      </w:r>
    </w:p>
    <w:p>
      <w:pPr>
        <w:pStyle w:val="BodyText"/>
        <w:spacing w:line="281" w:lineRule="exact"/>
        <w:ind w:left="236" w:right="4250"/>
        <w:jc w:val="left"/>
      </w:pPr>
      <w:r>
        <w:rPr/>
        <w:t>无。</w:t>
      </w:r>
    </w:p>
    <w:p>
      <w:pPr>
        <w:spacing w:line="240" w:lineRule="auto" w:before="11"/>
        <w:rPr>
          <w:rFonts w:ascii="宋体" w:hAnsi="宋体" w:cs="宋体" w:eastAsia="宋体" w:hint="default"/>
          <w:sz w:val="26"/>
          <w:szCs w:val="26"/>
        </w:rPr>
      </w:pPr>
    </w:p>
    <w:p>
      <w:pPr>
        <w:pStyle w:val="Heading2"/>
        <w:spacing w:line="240" w:lineRule="auto"/>
        <w:ind w:left="236" w:right="4250"/>
        <w:jc w:val="left"/>
        <w:rPr>
          <w:rFonts w:ascii="宋体" w:hAnsi="宋体" w:cs="宋体" w:eastAsia="宋体" w:hint="default"/>
          <w:b w:val="0"/>
          <w:bCs w:val="0"/>
        </w:rPr>
      </w:pPr>
      <w:r>
        <w:rPr>
          <w:rFonts w:ascii="宋体" w:hAnsi="宋体" w:cs="宋体" w:eastAsia="宋体" w:hint="default"/>
        </w:rPr>
        <w:t>(7).</w:t>
      </w:r>
      <w:r>
        <w:rPr>
          <w:rFonts w:ascii="宋体" w:hAnsi="宋体" w:cs="宋体" w:eastAsia="宋体" w:hint="default"/>
          <w:spacing w:val="-2"/>
        </w:rPr>
        <w:t> </w:t>
      </w:r>
      <w:r>
        <w:rPr/>
        <w:t>本期实际核销的应收票据情况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t>□适用 √不适用</w:t>
      </w:r>
    </w:p>
    <w:p>
      <w:pPr>
        <w:spacing w:line="240" w:lineRule="auto" w:before="3"/>
        <w:rPr>
          <w:rFonts w:ascii="宋体" w:hAnsi="宋体" w:cs="宋体" w:eastAsia="宋体" w:hint="default"/>
          <w:sz w:val="22"/>
          <w:szCs w:val="22"/>
        </w:rPr>
      </w:pPr>
    </w:p>
    <w:p>
      <w:pPr>
        <w:pStyle w:val="BodyText"/>
        <w:spacing w:line="312" w:lineRule="exact"/>
        <w:ind w:left="236" w:right="4250"/>
        <w:jc w:val="left"/>
      </w:pPr>
      <w:r>
        <w:rPr/>
        <w:t>其他说明</w:t>
      </w:r>
    </w:p>
    <w:p>
      <w:pPr>
        <w:pStyle w:val="BodyText"/>
        <w:spacing w:line="312" w:lineRule="exact"/>
        <w:ind w:left="236" w:right="425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40" w:right="1560"/>
        </w:sectPr>
      </w:pPr>
    </w:p>
    <w:p>
      <w:pPr>
        <w:pStyle w:val="Heading2"/>
        <w:spacing w:line="240" w:lineRule="auto" w:before="26"/>
        <w:ind w:left="236" w:right="0"/>
        <w:jc w:val="left"/>
        <w:rPr>
          <w:rFonts w:ascii="宋体" w:hAnsi="宋体" w:cs="宋体" w:eastAsia="宋体" w:hint="default"/>
          <w:b w:val="0"/>
          <w:bCs w:val="0"/>
        </w:rPr>
      </w:pPr>
      <w:r>
        <w:rPr>
          <w:rFonts w:ascii="宋体" w:hAnsi="宋体" w:cs="宋体" w:eastAsia="宋体" w:hint="default"/>
        </w:rPr>
        <w:t>5</w:t>
      </w:r>
      <w:r>
        <w:rPr/>
        <w:t>、</w:t>
      </w:r>
      <w:r>
        <w:rPr>
          <w:spacing w:val="-64"/>
        </w:rPr>
        <w:t> </w:t>
      </w:r>
      <w:r>
        <w:rPr/>
        <w:t>应收账款</w:t>
      </w:r>
      <w:r>
        <w:rPr>
          <w:rFonts w:ascii="宋体" w:hAnsi="宋体" w:cs="宋体" w:eastAsia="宋体" w:hint="default"/>
          <w:w w:val="99"/>
        </w:rPr>
        <w:t> </w:t>
      </w:r>
      <w:r>
        <w:rPr>
          <w:rFonts w:ascii="宋体" w:hAnsi="宋体" w:cs="宋体" w:eastAsia="宋体" w:hint="default"/>
          <w:b w:val="0"/>
          <w:bCs w:val="0"/>
        </w:rPr>
      </w:r>
    </w:p>
    <w:p>
      <w:pPr>
        <w:pStyle w:val="Heading2"/>
        <w:tabs>
          <w:tab w:pos="1077" w:val="left" w:leader="none"/>
        </w:tabs>
        <w:spacing w:line="240" w:lineRule="auto" w:before="58"/>
        <w:ind w:left="236" w:right="0"/>
        <w:jc w:val="left"/>
        <w:rPr>
          <w:rFonts w:ascii="宋体" w:hAnsi="宋体" w:cs="宋体" w:eastAsia="宋体" w:hint="default"/>
          <w:b w:val="0"/>
          <w:bCs w:val="0"/>
        </w:rPr>
      </w:pPr>
      <w:r>
        <w:rPr>
          <w:rFonts w:ascii="宋体" w:hAnsi="宋体" w:cs="宋体" w:eastAsia="宋体" w:hint="default"/>
        </w:rPr>
        <w:t>(1).</w:t>
        <w:tab/>
      </w:r>
      <w:r>
        <w:rPr/>
        <w:t>按账龄披露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403" w:space="3791"/>
            <w:col w:w="3116"/>
          </w:cols>
        </w:sectPr>
      </w:pPr>
    </w:p>
    <w:p>
      <w:pPr>
        <w:spacing w:line="240" w:lineRule="auto" w:before="12"/>
        <w:rPr>
          <w:rFonts w:ascii="宋体" w:hAnsi="宋体" w:cs="宋体" w:eastAsia="宋体" w:hint="default"/>
          <w:sz w:val="2"/>
          <w:szCs w:val="2"/>
        </w:rPr>
      </w:pPr>
    </w:p>
    <w:tbl>
      <w:tblPr>
        <w:tblW w:w="0" w:type="auto"/>
        <w:jc w:val="left"/>
        <w:tblInd w:w="200" w:type="dxa"/>
        <w:tblLayout w:type="fixed"/>
        <w:tblCellMar>
          <w:top w:w="0" w:type="dxa"/>
          <w:left w:w="0" w:type="dxa"/>
          <w:bottom w:w="0" w:type="dxa"/>
          <w:right w:w="0" w:type="dxa"/>
        </w:tblCellMar>
        <w:tblLook w:val="01E0"/>
      </w:tblPr>
      <w:tblGrid>
        <w:gridCol w:w="4371"/>
        <w:gridCol w:w="4525"/>
      </w:tblGrid>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账龄</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期末账面余额</w:t>
            </w:r>
          </w:p>
        </w:tc>
      </w:tr>
      <w:tr>
        <w:trPr>
          <w:trHeight w:val="322" w:hRule="exact"/>
        </w:trPr>
        <w:tc>
          <w:tcPr>
            <w:tcW w:w="8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r>
    </w:tbl>
    <w:p>
      <w:pPr>
        <w:spacing w:after="0" w:line="292" w:lineRule="exact"/>
        <w:jc w:val="left"/>
        <w:rPr>
          <w:rFonts w:ascii="宋体" w:hAnsi="宋体" w:cs="宋体" w:eastAsia="宋体" w:hint="default"/>
          <w:sz w:val="24"/>
          <w:szCs w:val="24"/>
        </w:rPr>
        <w:sectPr>
          <w:type w:val="continuous"/>
          <w:pgSz w:w="11910" w:h="16840"/>
          <w:pgMar w:top="1120" w:bottom="1380" w:left="1040" w:right="1560"/>
        </w:sectPr>
      </w:pPr>
    </w:p>
    <w:p>
      <w:pPr>
        <w:spacing w:line="240" w:lineRule="auto" w:before="5"/>
        <w:rPr>
          <w:rFonts w:ascii="宋体" w:hAnsi="宋体" w:cs="宋体" w:eastAsia="宋体"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4371"/>
        <w:gridCol w:w="4525"/>
      </w:tblGrid>
      <w:tr>
        <w:trPr>
          <w:trHeight w:val="322" w:hRule="exact"/>
        </w:trPr>
        <w:tc>
          <w:tcPr>
            <w:tcW w:w="8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宋体" w:hAnsi="宋体" w:cs="宋体" w:eastAsia="宋体" w:hint="default"/>
                <w:sz w:val="24"/>
                <w:szCs w:val="24"/>
              </w:rPr>
              <w:t>其中：</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年以内分项</w:t>
            </w:r>
          </w:p>
        </w:tc>
      </w:tr>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6"/>
              <w:jc w:val="right"/>
              <w:rPr>
                <w:rFonts w:ascii="宋体" w:hAnsi="宋体" w:cs="宋体" w:eastAsia="宋体" w:hint="default"/>
                <w:sz w:val="24"/>
                <w:szCs w:val="24"/>
              </w:rPr>
            </w:pPr>
            <w:r>
              <w:rPr>
                <w:rFonts w:ascii="宋体"/>
                <w:sz w:val="24"/>
              </w:rPr>
              <w:t>973,264,095</w:t>
            </w:r>
          </w:p>
        </w:tc>
      </w:tr>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
        </w:tc>
        <w:tc>
          <w:tcPr>
            <w:tcW w:w="452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年以内小计</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6"/>
              <w:jc w:val="right"/>
              <w:rPr>
                <w:rFonts w:ascii="宋体" w:hAnsi="宋体" w:cs="宋体" w:eastAsia="宋体" w:hint="default"/>
                <w:sz w:val="24"/>
                <w:szCs w:val="24"/>
              </w:rPr>
            </w:pPr>
            <w:r>
              <w:rPr>
                <w:rFonts w:ascii="宋体"/>
                <w:sz w:val="24"/>
              </w:rPr>
              <w:t>973,264,095</w:t>
            </w:r>
          </w:p>
        </w:tc>
      </w:tr>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 </w:t>
            </w:r>
            <w:r>
              <w:rPr>
                <w:rFonts w:ascii="宋体" w:hAnsi="宋体" w:cs="宋体" w:eastAsia="宋体" w:hint="default"/>
                <w:sz w:val="24"/>
                <w:szCs w:val="24"/>
              </w:rPr>
              <w:t>年</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6"/>
              <w:jc w:val="right"/>
              <w:rPr>
                <w:rFonts w:ascii="宋体" w:hAnsi="宋体" w:cs="宋体" w:eastAsia="宋体" w:hint="default"/>
                <w:sz w:val="24"/>
                <w:szCs w:val="24"/>
              </w:rPr>
            </w:pPr>
            <w:r>
              <w:rPr>
                <w:rFonts w:ascii="宋体"/>
                <w:sz w:val="24"/>
              </w:rPr>
              <w:t>253,252,518</w:t>
            </w:r>
          </w:p>
        </w:tc>
      </w:tr>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 </w:t>
            </w:r>
            <w:r>
              <w:rPr>
                <w:rFonts w:ascii="宋体" w:hAnsi="宋体" w:cs="宋体" w:eastAsia="宋体" w:hint="default"/>
                <w:sz w:val="24"/>
                <w:szCs w:val="24"/>
              </w:rPr>
              <w:t>年</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6"/>
              <w:jc w:val="right"/>
              <w:rPr>
                <w:rFonts w:ascii="宋体" w:hAnsi="宋体" w:cs="宋体" w:eastAsia="宋体" w:hint="default"/>
                <w:sz w:val="24"/>
                <w:szCs w:val="24"/>
              </w:rPr>
            </w:pPr>
            <w:r>
              <w:rPr>
                <w:rFonts w:ascii="宋体"/>
                <w:sz w:val="24"/>
              </w:rPr>
              <w:t>158,761,743</w:t>
            </w:r>
          </w:p>
        </w:tc>
      </w:tr>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年以上</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4"/>
              <w:jc w:val="right"/>
              <w:rPr>
                <w:rFonts w:ascii="宋体" w:hAnsi="宋体" w:cs="宋体" w:eastAsia="宋体" w:hint="default"/>
                <w:sz w:val="24"/>
                <w:szCs w:val="24"/>
              </w:rPr>
            </w:pPr>
            <w:r>
              <w:rPr>
                <w:rFonts w:ascii="宋体"/>
                <w:sz w:val="24"/>
              </w:rPr>
              <w:t> </w:t>
            </w:r>
          </w:p>
        </w:tc>
      </w:tr>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 </w:t>
            </w:r>
            <w:r>
              <w:rPr>
                <w:rFonts w:ascii="宋体" w:hAnsi="宋体" w:cs="宋体" w:eastAsia="宋体" w:hint="default"/>
                <w:sz w:val="24"/>
                <w:szCs w:val="24"/>
              </w:rPr>
              <w:t>年</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6"/>
              <w:jc w:val="right"/>
              <w:rPr>
                <w:rFonts w:ascii="宋体" w:hAnsi="宋体" w:cs="宋体" w:eastAsia="宋体" w:hint="default"/>
                <w:sz w:val="24"/>
                <w:szCs w:val="24"/>
              </w:rPr>
            </w:pPr>
            <w:r>
              <w:rPr>
                <w:rFonts w:ascii="宋体"/>
                <w:sz w:val="24"/>
              </w:rPr>
              <w:t>131,563,417</w:t>
            </w:r>
          </w:p>
        </w:tc>
      </w:tr>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 </w:t>
            </w:r>
            <w:r>
              <w:rPr>
                <w:rFonts w:ascii="宋体" w:hAnsi="宋体" w:cs="宋体" w:eastAsia="宋体" w:hint="default"/>
                <w:sz w:val="24"/>
                <w:szCs w:val="24"/>
              </w:rPr>
              <w:t>年</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6"/>
              <w:jc w:val="right"/>
              <w:rPr>
                <w:rFonts w:ascii="宋体" w:hAnsi="宋体" w:cs="宋体" w:eastAsia="宋体" w:hint="default"/>
                <w:sz w:val="24"/>
                <w:szCs w:val="24"/>
              </w:rPr>
            </w:pPr>
            <w:r>
              <w:rPr>
                <w:rFonts w:ascii="宋体"/>
                <w:sz w:val="24"/>
              </w:rPr>
              <w:t>85,830,884</w:t>
            </w:r>
          </w:p>
        </w:tc>
      </w:tr>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5 </w:t>
            </w:r>
            <w:r>
              <w:rPr>
                <w:rFonts w:ascii="宋体" w:hAnsi="宋体" w:cs="宋体" w:eastAsia="宋体" w:hint="default"/>
                <w:sz w:val="24"/>
                <w:szCs w:val="24"/>
              </w:rPr>
              <w:t>年以上</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6"/>
              <w:jc w:val="right"/>
              <w:rPr>
                <w:rFonts w:ascii="宋体" w:hAnsi="宋体" w:cs="宋体" w:eastAsia="宋体" w:hint="default"/>
                <w:sz w:val="24"/>
                <w:szCs w:val="24"/>
              </w:rPr>
            </w:pPr>
            <w:r>
              <w:rPr>
                <w:rFonts w:ascii="宋体"/>
                <w:sz w:val="24"/>
              </w:rPr>
              <w:t>203,250,891</w:t>
            </w:r>
          </w:p>
        </w:tc>
      </w:tr>
      <w:tr>
        <w:trPr>
          <w:trHeight w:val="322"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6"/>
              <w:jc w:val="right"/>
              <w:rPr>
                <w:rFonts w:ascii="宋体" w:hAnsi="宋体" w:cs="宋体" w:eastAsia="宋体" w:hint="default"/>
                <w:sz w:val="24"/>
                <w:szCs w:val="24"/>
              </w:rPr>
            </w:pPr>
            <w:r>
              <w:rPr>
                <w:rFonts w:ascii="宋体"/>
                <w:sz w:val="24"/>
              </w:rPr>
              <w:t>1,805,923,548</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882" w:footer="1195" w:top="1080" w:bottom="1380" w:left="1140" w:right="1640"/>
        </w:sectPr>
      </w:pPr>
    </w:p>
    <w:p>
      <w:pPr>
        <w:pStyle w:val="Heading2"/>
        <w:tabs>
          <w:tab w:pos="977" w:val="left" w:leader="none"/>
        </w:tabs>
        <w:spacing w:line="240" w:lineRule="auto" w:before="26"/>
        <w:ind w:left="136" w:right="0"/>
        <w:jc w:val="left"/>
        <w:rPr>
          <w:rFonts w:ascii="宋体" w:hAnsi="宋体" w:cs="宋体" w:eastAsia="宋体" w:hint="default"/>
          <w:b w:val="0"/>
          <w:bCs w:val="0"/>
        </w:rPr>
      </w:pPr>
      <w:r>
        <w:rPr>
          <w:rFonts w:ascii="宋体" w:hAnsi="宋体" w:cs="宋体" w:eastAsia="宋体" w:hint="default"/>
        </w:rPr>
        <w:t>(2).</w:t>
        <w:tab/>
      </w:r>
      <w:r>
        <w:rPr/>
        <w:t>按坏账计提方法分类披露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336" w:val="left" w:leader="none"/>
        </w:tabs>
        <w:spacing w:line="240" w:lineRule="auto"/>
        <w:ind w:right="0"/>
        <w:jc w:val="left"/>
      </w:pPr>
      <w:r>
        <w:rPr/>
        <w:t>单位：元</w:t>
        <w:tab/>
        <w:t>币种：人民币</w:t>
      </w:r>
    </w:p>
    <w:p>
      <w:pPr>
        <w:spacing w:after="0" w:line="240" w:lineRule="auto"/>
        <w:jc w:val="left"/>
        <w:sectPr>
          <w:type w:val="continuous"/>
          <w:pgSz w:w="11910" w:h="16840"/>
          <w:pgMar w:top="1120" w:bottom="1380" w:left="1140" w:right="1640"/>
          <w:cols w:num="2" w:equalWidth="0">
            <w:col w:w="3748" w:space="2342"/>
            <w:col w:w="3040"/>
          </w:cols>
        </w:sectPr>
      </w:pPr>
    </w:p>
    <w:p>
      <w:pPr>
        <w:spacing w:line="240" w:lineRule="auto" w:before="12"/>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670"/>
        <w:gridCol w:w="1234"/>
        <w:gridCol w:w="331"/>
        <w:gridCol w:w="1052"/>
        <w:gridCol w:w="334"/>
        <w:gridCol w:w="1231"/>
        <w:gridCol w:w="1232"/>
        <w:gridCol w:w="334"/>
        <w:gridCol w:w="1051"/>
        <w:gridCol w:w="331"/>
        <w:gridCol w:w="1097"/>
      </w:tblGrid>
      <w:tr>
        <w:trPr>
          <w:trHeight w:val="269" w:hRule="exact"/>
        </w:trPr>
        <w:tc>
          <w:tcPr>
            <w:tcW w:w="6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49"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4181" w:type="dxa"/>
            <w:gridSpan w:val="5"/>
            <w:tcBorders>
              <w:top w:val="single" w:sz="4" w:space="0" w:color="000000"/>
              <w:left w:val="single" w:sz="4" w:space="0" w:color="000000"/>
              <w:bottom w:val="single" w:sz="4" w:space="0" w:color="000000"/>
              <w:right w:val="single" w:sz="4" w:space="0" w:color="000000"/>
            </w:tcBorders>
          </w:tcPr>
          <w:p>
            <w:pPr>
              <w:pStyle w:val="TableParagraph"/>
              <w:spacing w:line="222"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45" w:type="dxa"/>
            <w:gridSpan w:val="5"/>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42" w:hRule="exact"/>
        </w:trPr>
        <w:tc>
          <w:tcPr>
            <w:tcW w:w="670" w:type="dxa"/>
            <w:vMerge/>
            <w:tcBorders>
              <w:left w:val="single" w:sz="4" w:space="0" w:color="000000"/>
              <w:right w:val="single" w:sz="4" w:space="0" w:color="000000"/>
            </w:tcBorders>
          </w:tcPr>
          <w:p>
            <w:pP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2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3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32" w:lineRule="exact"/>
              <w:ind w:left="429" w:right="431"/>
              <w:jc w:val="center"/>
              <w:rPr>
                <w:rFonts w:ascii="宋体" w:hAnsi="宋体" w:cs="宋体" w:eastAsia="宋体" w:hint="default"/>
                <w:sz w:val="18"/>
                <w:szCs w:val="18"/>
              </w:rPr>
            </w:pPr>
            <w:r>
              <w:rPr>
                <w:rFonts w:ascii="宋体" w:hAnsi="宋体" w:cs="宋体" w:eastAsia="宋体" w:hint="default"/>
                <w:sz w:val="18"/>
                <w:szCs w:val="18"/>
              </w:rPr>
              <w:t>账面 价值</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8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2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09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32" w:lineRule="exact"/>
              <w:ind w:left="362" w:right="362"/>
              <w:jc w:val="center"/>
              <w:rPr>
                <w:rFonts w:ascii="宋体" w:hAnsi="宋体" w:cs="宋体" w:eastAsia="宋体" w:hint="default"/>
                <w:sz w:val="18"/>
                <w:szCs w:val="18"/>
              </w:rPr>
            </w:pPr>
            <w:r>
              <w:rPr>
                <w:rFonts w:ascii="宋体" w:hAnsi="宋体" w:cs="宋体" w:eastAsia="宋体" w:hint="default"/>
                <w:sz w:val="18"/>
                <w:szCs w:val="18"/>
              </w:rPr>
              <w:t>账面 价值</w:t>
            </w:r>
          </w:p>
        </w:tc>
      </w:tr>
      <w:tr>
        <w:trPr>
          <w:trHeight w:val="1152" w:hRule="exact"/>
        </w:trPr>
        <w:tc>
          <w:tcPr>
            <w:tcW w:w="670" w:type="dxa"/>
            <w:vMerge/>
            <w:tcBorders>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9" w:lineRule="auto"/>
              <w:ind w:left="24" w:right="26" w:firstLine="45"/>
              <w:jc w:val="both"/>
              <w:rPr>
                <w:rFonts w:ascii="Times New Roman" w:hAnsi="Times New Roman" w:cs="Times New Roman" w:eastAsia="Times New Roman" w:hint="default"/>
                <w:sz w:val="18"/>
                <w:szCs w:val="18"/>
              </w:rPr>
            </w:pPr>
            <w:r>
              <w:rPr>
                <w:rFonts w:ascii="宋体" w:hAnsi="宋体" w:cs="宋体" w:eastAsia="宋体" w:hint="default"/>
                <w:sz w:val="18"/>
                <w:szCs w:val="18"/>
              </w:rPr>
              <w:t>比 例 </w:t>
            </w:r>
            <w:r>
              <w:rPr>
                <w:rFonts w:ascii="Times New Roman" w:hAnsi="Times New Roman" w:cs="Times New Roman" w:eastAsia="Times New Roman" w:hint="default"/>
                <w:sz w:val="18"/>
                <w:szCs w:val="18"/>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1" w:right="0"/>
              <w:jc w:val="both"/>
              <w:rPr>
                <w:rFonts w:ascii="宋体" w:hAnsi="宋体" w:cs="宋体" w:eastAsia="宋体" w:hint="default"/>
                <w:sz w:val="18"/>
                <w:szCs w:val="18"/>
              </w:rPr>
            </w:pPr>
            <w:r>
              <w:rPr>
                <w:rFonts w:ascii="宋体" w:hAnsi="宋体" w:cs="宋体" w:eastAsia="宋体" w:hint="default"/>
                <w:sz w:val="18"/>
                <w:szCs w:val="18"/>
              </w:rPr>
              <w:t>计</w:t>
            </w:r>
          </w:p>
          <w:p>
            <w:pPr>
              <w:pStyle w:val="TableParagraph"/>
              <w:spacing w:line="244" w:lineRule="auto"/>
              <w:ind w:left="26" w:right="26" w:firstLine="45"/>
              <w:jc w:val="both"/>
              <w:rPr>
                <w:rFonts w:ascii="Times New Roman" w:hAnsi="Times New Roman" w:cs="Times New Roman" w:eastAsia="Times New Roman" w:hint="default"/>
                <w:sz w:val="18"/>
                <w:szCs w:val="18"/>
              </w:rPr>
            </w:pPr>
            <w:r>
              <w:rPr>
                <w:rFonts w:ascii="宋体" w:hAnsi="宋体" w:cs="宋体" w:eastAsia="宋体" w:hint="default"/>
                <w:sz w:val="18"/>
                <w:szCs w:val="18"/>
              </w:rPr>
              <w:t>提 比 例 </w:t>
            </w:r>
            <w:r>
              <w:rPr>
                <w:rFonts w:ascii="Times New Roman" w:hAnsi="Times New Roman" w:cs="Times New Roman" w:eastAsia="Times New Roman" w:hint="default"/>
                <w:sz w:val="18"/>
                <w:szCs w:val="18"/>
              </w:rPr>
              <w:t>(%)</w:t>
            </w:r>
          </w:p>
        </w:tc>
        <w:tc>
          <w:tcPr>
            <w:tcW w:w="1231" w:type="dxa"/>
            <w:vMerge/>
            <w:tcBorders>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9" w:lineRule="auto"/>
              <w:ind w:left="26" w:right="26" w:firstLine="45"/>
              <w:jc w:val="both"/>
              <w:rPr>
                <w:rFonts w:ascii="Times New Roman" w:hAnsi="Times New Roman" w:cs="Times New Roman" w:eastAsia="Times New Roman" w:hint="default"/>
                <w:sz w:val="18"/>
                <w:szCs w:val="18"/>
              </w:rPr>
            </w:pPr>
            <w:r>
              <w:rPr>
                <w:rFonts w:ascii="宋体" w:hAnsi="宋体" w:cs="宋体" w:eastAsia="宋体" w:hint="default"/>
                <w:sz w:val="18"/>
                <w:szCs w:val="18"/>
              </w:rPr>
              <w:t>比 例 </w:t>
            </w:r>
            <w:r>
              <w:rPr>
                <w:rFonts w:ascii="Times New Roman" w:hAnsi="Times New Roman" w:cs="Times New Roman" w:eastAsia="Times New Roman" w:hint="default"/>
                <w:sz w:val="18"/>
                <w:szCs w:val="18"/>
              </w:rPr>
              <w:t>(%)</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1" w:right="0"/>
              <w:jc w:val="both"/>
              <w:rPr>
                <w:rFonts w:ascii="宋体" w:hAnsi="宋体" w:cs="宋体" w:eastAsia="宋体" w:hint="default"/>
                <w:sz w:val="18"/>
                <w:szCs w:val="18"/>
              </w:rPr>
            </w:pPr>
            <w:r>
              <w:rPr>
                <w:rFonts w:ascii="宋体" w:hAnsi="宋体" w:cs="宋体" w:eastAsia="宋体" w:hint="default"/>
                <w:sz w:val="18"/>
                <w:szCs w:val="18"/>
              </w:rPr>
              <w:t>计</w:t>
            </w:r>
          </w:p>
          <w:p>
            <w:pPr>
              <w:pStyle w:val="TableParagraph"/>
              <w:spacing w:line="244" w:lineRule="auto"/>
              <w:ind w:left="26" w:right="24" w:firstLine="45"/>
              <w:jc w:val="both"/>
              <w:rPr>
                <w:rFonts w:ascii="Times New Roman" w:hAnsi="Times New Roman" w:cs="Times New Roman" w:eastAsia="Times New Roman" w:hint="default"/>
                <w:sz w:val="18"/>
                <w:szCs w:val="18"/>
              </w:rPr>
            </w:pPr>
            <w:r>
              <w:rPr>
                <w:rFonts w:ascii="宋体" w:hAnsi="宋体" w:cs="宋体" w:eastAsia="宋体" w:hint="default"/>
                <w:sz w:val="18"/>
                <w:szCs w:val="18"/>
              </w:rPr>
              <w:t>提 比 例 </w:t>
            </w:r>
            <w:r>
              <w:rPr>
                <w:rFonts w:ascii="Times New Roman" w:hAnsi="Times New Roman" w:cs="Times New Roman" w:eastAsia="Times New Roman" w:hint="default"/>
                <w:sz w:val="18"/>
                <w:szCs w:val="18"/>
              </w:rPr>
              <w:t>(%)</w:t>
            </w:r>
          </w:p>
        </w:tc>
        <w:tc>
          <w:tcPr>
            <w:tcW w:w="1097" w:type="dxa"/>
            <w:vMerge/>
            <w:tcBorders>
              <w:left w:val="single" w:sz="4" w:space="0" w:color="000000"/>
              <w:bottom w:val="single" w:sz="4" w:space="0" w:color="000000"/>
              <w:right w:val="single" w:sz="4" w:space="0" w:color="000000"/>
            </w:tcBorders>
          </w:tcPr>
          <w:p>
            <w:pPr/>
          </w:p>
        </w:tc>
      </w:tr>
      <w:tr>
        <w:trPr>
          <w:trHeight w:val="711" w:hRule="exact"/>
        </w:trPr>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7"/>
              <w:jc w:val="left"/>
              <w:rPr>
                <w:rFonts w:ascii="宋体" w:hAnsi="宋体" w:cs="宋体" w:eastAsia="宋体" w:hint="default"/>
                <w:sz w:val="18"/>
                <w:szCs w:val="18"/>
              </w:rPr>
            </w:pPr>
            <w:r>
              <w:rPr>
                <w:rFonts w:ascii="宋体" w:hAnsi="宋体" w:cs="宋体" w:eastAsia="宋体" w:hint="default"/>
                <w:spacing w:val="22"/>
                <w:sz w:val="18"/>
                <w:szCs w:val="18"/>
              </w:rPr>
              <w:t>按单项</w:t>
            </w:r>
            <w:r>
              <w:rPr>
                <w:rFonts w:ascii="宋体" w:hAnsi="宋体" w:cs="宋体" w:eastAsia="宋体" w:hint="default"/>
                <w:spacing w:val="-57"/>
                <w:sz w:val="18"/>
                <w:szCs w:val="18"/>
              </w:rPr>
              <w:t> </w:t>
            </w:r>
            <w:r>
              <w:rPr>
                <w:rFonts w:ascii="宋体" w:hAnsi="宋体" w:cs="宋体" w:eastAsia="宋体" w:hint="default"/>
                <w:sz w:val="18"/>
                <w:szCs w:val="18"/>
              </w:rPr>
            </w:r>
          </w:p>
          <w:p>
            <w:pPr>
              <w:pStyle w:val="TableParagraph"/>
              <w:spacing w:line="234" w:lineRule="exact" w:before="21"/>
              <w:ind w:left="26" w:right="-7"/>
              <w:jc w:val="left"/>
              <w:rPr>
                <w:rFonts w:ascii="宋体" w:hAnsi="宋体" w:cs="宋体" w:eastAsia="宋体" w:hint="default"/>
                <w:sz w:val="18"/>
                <w:szCs w:val="18"/>
              </w:rPr>
            </w:pPr>
            <w:r>
              <w:rPr>
                <w:rFonts w:ascii="宋体" w:hAnsi="宋体" w:cs="宋体" w:eastAsia="宋体" w:hint="default"/>
                <w:spacing w:val="22"/>
                <w:sz w:val="18"/>
                <w:szCs w:val="18"/>
              </w:rPr>
              <w:t>计提坏</w:t>
            </w:r>
            <w:r>
              <w:rPr>
                <w:rFonts w:ascii="宋体" w:hAnsi="宋体" w:cs="宋体" w:eastAsia="宋体" w:hint="default"/>
                <w:spacing w:val="-57"/>
                <w:sz w:val="18"/>
                <w:szCs w:val="18"/>
              </w:rPr>
              <w:t> </w:t>
            </w:r>
            <w:r>
              <w:rPr>
                <w:rFonts w:ascii="宋体" w:hAnsi="宋体" w:cs="宋体" w:eastAsia="宋体" w:hint="default"/>
                <w:sz w:val="18"/>
                <w:szCs w:val="18"/>
              </w:rPr>
              <w:t>账准备</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78,665,488</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4" w:right="0"/>
              <w:jc w:val="left"/>
              <w:rPr>
                <w:rFonts w:ascii="宋体" w:hAnsi="宋体" w:cs="宋体" w:eastAsia="宋体" w:hint="default"/>
                <w:sz w:val="18"/>
                <w:szCs w:val="18"/>
              </w:rPr>
            </w:pPr>
            <w:r>
              <w:rPr>
                <w:rFonts w:ascii="宋体"/>
                <w:sz w:val="18"/>
              </w:rPr>
              <w:t>4</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78,665,488</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z w:val="18"/>
              </w:rPr>
              <w:t>100</w:t>
            </w:r>
          </w:p>
        </w:tc>
        <w:tc>
          <w:tcPr>
            <w:tcW w:w="1231"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334"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331"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889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z w:val="18"/>
                <w:szCs w:val="18"/>
              </w:rPr>
              <w:t> </w:t>
            </w:r>
          </w:p>
        </w:tc>
      </w:tr>
      <w:tr>
        <w:trPr>
          <w:trHeight w:val="1176" w:hRule="exact"/>
        </w:trPr>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both"/>
              <w:rPr>
                <w:rFonts w:ascii="宋体" w:hAnsi="宋体" w:cs="宋体" w:eastAsia="宋体" w:hint="default"/>
                <w:sz w:val="18"/>
                <w:szCs w:val="18"/>
              </w:rPr>
            </w:pPr>
            <w:r>
              <w:rPr>
                <w:rFonts w:ascii="宋体" w:hAnsi="宋体" w:cs="宋体" w:eastAsia="宋体" w:hint="default"/>
                <w:spacing w:val="22"/>
                <w:sz w:val="18"/>
                <w:szCs w:val="18"/>
              </w:rPr>
              <w:t>单项金</w:t>
            </w:r>
            <w:r>
              <w:rPr>
                <w:rFonts w:ascii="宋体" w:hAnsi="宋体" w:cs="宋体" w:eastAsia="宋体" w:hint="default"/>
                <w:spacing w:val="-57"/>
                <w:sz w:val="18"/>
                <w:szCs w:val="18"/>
              </w:rPr>
              <w:t> </w:t>
            </w:r>
            <w:r>
              <w:rPr>
                <w:rFonts w:ascii="宋体" w:hAnsi="宋体" w:cs="宋体" w:eastAsia="宋体" w:hint="default"/>
                <w:sz w:val="18"/>
                <w:szCs w:val="18"/>
              </w:rPr>
            </w:r>
          </w:p>
          <w:p>
            <w:pPr>
              <w:pStyle w:val="TableParagraph"/>
              <w:spacing w:line="237" w:lineRule="auto"/>
              <w:ind w:left="26" w:right="-7"/>
              <w:jc w:val="both"/>
              <w:rPr>
                <w:rFonts w:ascii="宋体" w:hAnsi="宋体" w:cs="宋体" w:eastAsia="宋体" w:hint="default"/>
                <w:sz w:val="18"/>
                <w:szCs w:val="18"/>
              </w:rPr>
            </w:pPr>
            <w:r>
              <w:rPr>
                <w:rFonts w:ascii="宋体" w:hAnsi="宋体" w:cs="宋体" w:eastAsia="宋体" w:hint="default"/>
                <w:spacing w:val="22"/>
                <w:sz w:val="18"/>
                <w:szCs w:val="18"/>
              </w:rPr>
              <w:t>额重大</w:t>
            </w:r>
            <w:r>
              <w:rPr>
                <w:rFonts w:ascii="宋体" w:hAnsi="宋体" w:cs="宋体" w:eastAsia="宋体" w:hint="default"/>
                <w:spacing w:val="-57"/>
                <w:sz w:val="18"/>
                <w:szCs w:val="18"/>
              </w:rPr>
              <w:t> </w:t>
            </w:r>
            <w:r>
              <w:rPr>
                <w:rFonts w:ascii="宋体" w:hAnsi="宋体" w:cs="宋体" w:eastAsia="宋体" w:hint="default"/>
                <w:spacing w:val="22"/>
                <w:sz w:val="18"/>
                <w:szCs w:val="18"/>
              </w:rPr>
              <w:t>并单独</w:t>
            </w:r>
            <w:r>
              <w:rPr>
                <w:rFonts w:ascii="宋体" w:hAnsi="宋体" w:cs="宋体" w:eastAsia="宋体" w:hint="default"/>
                <w:spacing w:val="-57"/>
                <w:sz w:val="18"/>
                <w:szCs w:val="18"/>
              </w:rPr>
              <w:t> </w:t>
            </w:r>
            <w:r>
              <w:rPr>
                <w:rFonts w:ascii="宋体" w:hAnsi="宋体" w:cs="宋体" w:eastAsia="宋体" w:hint="default"/>
                <w:spacing w:val="22"/>
                <w:sz w:val="18"/>
                <w:szCs w:val="18"/>
              </w:rPr>
              <w:t>计提坏</w:t>
            </w:r>
            <w:r>
              <w:rPr>
                <w:rFonts w:ascii="宋体" w:hAnsi="宋体" w:cs="宋体" w:eastAsia="宋体" w:hint="default"/>
                <w:spacing w:val="-57"/>
                <w:sz w:val="18"/>
                <w:szCs w:val="18"/>
              </w:rPr>
              <w:t> </w:t>
            </w:r>
            <w:r>
              <w:rPr>
                <w:rFonts w:ascii="宋体" w:hAnsi="宋体" w:cs="宋体" w:eastAsia="宋体" w:hint="default"/>
                <w:sz w:val="18"/>
                <w:szCs w:val="18"/>
              </w:rPr>
              <w:t>账准备</w:t>
            </w:r>
          </w:p>
        </w:tc>
        <w:tc>
          <w:tcPr>
            <w:tcW w:w="1234" w:type="dxa"/>
            <w:tcBorders>
              <w:top w:val="single" w:sz="4" w:space="0" w:color="000000"/>
              <w:left w:val="single" w:sz="4" w:space="0" w:color="000000"/>
              <w:bottom w:val="single" w:sz="4" w:space="0" w:color="000000"/>
              <w:right w:val="single" w:sz="4" w:space="0" w:color="000000"/>
            </w:tcBorders>
          </w:tcPr>
          <w:p>
            <w:pPr/>
          </w:p>
        </w:tc>
        <w:tc>
          <w:tcPr>
            <w:tcW w:w="33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334" w:type="dxa"/>
            <w:tcBorders>
              <w:top w:val="single" w:sz="4" w:space="0" w:color="000000"/>
              <w:left w:val="single" w:sz="4" w:space="0" w:color="000000"/>
              <w:bottom w:val="single" w:sz="4" w:space="0" w:color="000000"/>
              <w:right w:val="single" w:sz="4" w:space="0" w:color="000000"/>
            </w:tcBorders>
          </w:tcPr>
          <w:p>
            <w:pPr/>
          </w:p>
        </w:tc>
        <w:tc>
          <w:tcPr>
            <w:tcW w:w="1231"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334"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331"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r>
      <w:tr>
        <w:trPr>
          <w:trHeight w:val="1411" w:hRule="exact"/>
        </w:trPr>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6" w:right="0"/>
              <w:jc w:val="both"/>
              <w:rPr>
                <w:rFonts w:ascii="宋体" w:hAnsi="宋体" w:cs="宋体" w:eastAsia="宋体" w:hint="default"/>
                <w:sz w:val="18"/>
                <w:szCs w:val="18"/>
              </w:rPr>
            </w:pPr>
            <w:r>
              <w:rPr>
                <w:rFonts w:ascii="宋体" w:hAnsi="宋体" w:cs="宋体" w:eastAsia="宋体" w:hint="default"/>
                <w:spacing w:val="22"/>
                <w:sz w:val="18"/>
                <w:szCs w:val="18"/>
              </w:rPr>
              <w:t>单项金</w:t>
            </w:r>
            <w:r>
              <w:rPr>
                <w:rFonts w:ascii="宋体" w:hAnsi="宋体" w:cs="宋体" w:eastAsia="宋体" w:hint="default"/>
                <w:spacing w:val="-57"/>
                <w:sz w:val="18"/>
                <w:szCs w:val="18"/>
              </w:rPr>
              <w:t> </w:t>
            </w:r>
            <w:r>
              <w:rPr>
                <w:rFonts w:ascii="宋体" w:hAnsi="宋体" w:cs="宋体" w:eastAsia="宋体" w:hint="default"/>
                <w:sz w:val="18"/>
                <w:szCs w:val="18"/>
              </w:rPr>
            </w:r>
          </w:p>
          <w:p>
            <w:pPr>
              <w:pStyle w:val="TableParagraph"/>
              <w:spacing w:line="237" w:lineRule="auto"/>
              <w:ind w:left="26" w:right="-7"/>
              <w:jc w:val="both"/>
              <w:rPr>
                <w:rFonts w:ascii="宋体" w:hAnsi="宋体" w:cs="宋体" w:eastAsia="宋体" w:hint="default"/>
                <w:sz w:val="18"/>
                <w:szCs w:val="18"/>
              </w:rPr>
            </w:pPr>
            <w:r>
              <w:rPr>
                <w:rFonts w:ascii="宋体" w:hAnsi="宋体" w:cs="宋体" w:eastAsia="宋体" w:hint="default"/>
                <w:spacing w:val="22"/>
                <w:sz w:val="18"/>
                <w:szCs w:val="18"/>
              </w:rPr>
              <w:t>额不重</w:t>
            </w:r>
            <w:r>
              <w:rPr>
                <w:rFonts w:ascii="宋体" w:hAnsi="宋体" w:cs="宋体" w:eastAsia="宋体" w:hint="default"/>
                <w:spacing w:val="-57"/>
                <w:sz w:val="18"/>
                <w:szCs w:val="18"/>
              </w:rPr>
              <w:t> </w:t>
            </w:r>
            <w:r>
              <w:rPr>
                <w:rFonts w:ascii="宋体" w:hAnsi="宋体" w:cs="宋体" w:eastAsia="宋体" w:hint="default"/>
                <w:spacing w:val="22"/>
                <w:sz w:val="18"/>
                <w:szCs w:val="18"/>
              </w:rPr>
              <w:t>大但单</w:t>
            </w:r>
            <w:r>
              <w:rPr>
                <w:rFonts w:ascii="宋体" w:hAnsi="宋体" w:cs="宋体" w:eastAsia="宋体" w:hint="default"/>
                <w:spacing w:val="-57"/>
                <w:sz w:val="18"/>
                <w:szCs w:val="18"/>
              </w:rPr>
              <w:t> </w:t>
            </w:r>
            <w:r>
              <w:rPr>
                <w:rFonts w:ascii="宋体" w:hAnsi="宋体" w:cs="宋体" w:eastAsia="宋体" w:hint="default"/>
                <w:spacing w:val="22"/>
                <w:sz w:val="18"/>
                <w:szCs w:val="18"/>
              </w:rPr>
              <w:t>独计提</w:t>
            </w:r>
            <w:r>
              <w:rPr>
                <w:rFonts w:ascii="宋体" w:hAnsi="宋体" w:cs="宋体" w:eastAsia="宋体" w:hint="default"/>
                <w:spacing w:val="-57"/>
                <w:sz w:val="18"/>
                <w:szCs w:val="18"/>
              </w:rPr>
              <w:t> </w:t>
            </w:r>
            <w:r>
              <w:rPr>
                <w:rFonts w:ascii="宋体" w:hAnsi="宋体" w:cs="宋体" w:eastAsia="宋体" w:hint="default"/>
                <w:spacing w:val="22"/>
                <w:sz w:val="18"/>
                <w:szCs w:val="18"/>
              </w:rPr>
              <w:t>坏账准</w:t>
            </w:r>
            <w:r>
              <w:rPr>
                <w:rFonts w:ascii="宋体" w:hAnsi="宋体" w:cs="宋体" w:eastAsia="宋体" w:hint="default"/>
                <w:spacing w:val="-57"/>
                <w:sz w:val="18"/>
                <w:szCs w:val="18"/>
              </w:rPr>
              <w:t> </w:t>
            </w:r>
            <w:r>
              <w:rPr>
                <w:rFonts w:ascii="宋体" w:hAnsi="宋体" w:cs="宋体" w:eastAsia="宋体" w:hint="default"/>
                <w:sz w:val="18"/>
                <w:szCs w:val="18"/>
              </w:rPr>
              <w:t>备</w:t>
            </w:r>
          </w:p>
        </w:tc>
        <w:tc>
          <w:tcPr>
            <w:tcW w:w="1234" w:type="dxa"/>
            <w:tcBorders>
              <w:top w:val="single" w:sz="4" w:space="0" w:color="000000"/>
              <w:left w:val="single" w:sz="4" w:space="0" w:color="000000"/>
              <w:bottom w:val="single" w:sz="4" w:space="0" w:color="000000"/>
              <w:right w:val="single" w:sz="4" w:space="0" w:color="000000"/>
            </w:tcBorders>
          </w:tcPr>
          <w:p>
            <w:pPr/>
          </w:p>
        </w:tc>
        <w:tc>
          <w:tcPr>
            <w:tcW w:w="33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334" w:type="dxa"/>
            <w:tcBorders>
              <w:top w:val="single" w:sz="4" w:space="0" w:color="000000"/>
              <w:left w:val="single" w:sz="4" w:space="0" w:color="000000"/>
              <w:bottom w:val="single" w:sz="4" w:space="0" w:color="000000"/>
              <w:right w:val="single" w:sz="4" w:space="0" w:color="000000"/>
            </w:tcBorders>
          </w:tcPr>
          <w:p>
            <w:pPr/>
          </w:p>
        </w:tc>
        <w:tc>
          <w:tcPr>
            <w:tcW w:w="1231"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334" w:type="dxa"/>
            <w:tcBorders>
              <w:top w:val="single" w:sz="4" w:space="0" w:color="000000"/>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
        </w:tc>
        <w:tc>
          <w:tcPr>
            <w:tcW w:w="331"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7"/>
              <w:jc w:val="left"/>
              <w:rPr>
                <w:rFonts w:ascii="宋体" w:hAnsi="宋体" w:cs="宋体" w:eastAsia="宋体" w:hint="default"/>
                <w:sz w:val="18"/>
                <w:szCs w:val="18"/>
              </w:rPr>
            </w:pPr>
            <w:r>
              <w:rPr>
                <w:rFonts w:ascii="宋体" w:hAnsi="宋体" w:cs="宋体" w:eastAsia="宋体" w:hint="default"/>
                <w:spacing w:val="22"/>
                <w:sz w:val="18"/>
                <w:szCs w:val="18"/>
              </w:rPr>
              <w:t>按组合</w:t>
            </w:r>
            <w:r>
              <w:rPr>
                <w:rFonts w:ascii="宋体" w:hAnsi="宋体" w:cs="宋体" w:eastAsia="宋体" w:hint="default"/>
                <w:spacing w:val="-57"/>
                <w:sz w:val="18"/>
                <w:szCs w:val="18"/>
              </w:rPr>
              <w:t> </w:t>
            </w:r>
            <w:r>
              <w:rPr>
                <w:rFonts w:ascii="宋体" w:hAnsi="宋体" w:cs="宋体" w:eastAsia="宋体" w:hint="default"/>
                <w:sz w:val="18"/>
                <w:szCs w:val="18"/>
              </w:rPr>
            </w:r>
          </w:p>
          <w:p>
            <w:pPr>
              <w:pStyle w:val="TableParagraph"/>
              <w:spacing w:line="234" w:lineRule="exact" w:before="23"/>
              <w:ind w:left="26" w:right="-7"/>
              <w:jc w:val="left"/>
              <w:rPr>
                <w:rFonts w:ascii="宋体" w:hAnsi="宋体" w:cs="宋体" w:eastAsia="宋体" w:hint="default"/>
                <w:sz w:val="18"/>
                <w:szCs w:val="18"/>
              </w:rPr>
            </w:pPr>
            <w:r>
              <w:rPr>
                <w:rFonts w:ascii="宋体" w:hAnsi="宋体" w:cs="宋体" w:eastAsia="宋体" w:hint="default"/>
                <w:spacing w:val="22"/>
                <w:sz w:val="18"/>
                <w:szCs w:val="18"/>
              </w:rPr>
              <w:t>计提坏</w:t>
            </w:r>
            <w:r>
              <w:rPr>
                <w:rFonts w:ascii="宋体" w:hAnsi="宋体" w:cs="宋体" w:eastAsia="宋体" w:hint="default"/>
                <w:spacing w:val="-57"/>
                <w:sz w:val="18"/>
                <w:szCs w:val="18"/>
              </w:rPr>
              <w:t> </w:t>
            </w:r>
            <w:r>
              <w:rPr>
                <w:rFonts w:ascii="宋体" w:hAnsi="宋体" w:cs="宋体" w:eastAsia="宋体" w:hint="default"/>
                <w:sz w:val="18"/>
                <w:szCs w:val="18"/>
              </w:rPr>
              <w:t>账准备</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1,727,258,060</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5" w:right="0"/>
              <w:jc w:val="left"/>
              <w:rPr>
                <w:rFonts w:ascii="宋体" w:hAnsi="宋体" w:cs="宋体" w:eastAsia="宋体" w:hint="default"/>
                <w:sz w:val="18"/>
                <w:szCs w:val="18"/>
              </w:rPr>
            </w:pPr>
            <w:r>
              <w:rPr>
                <w:rFonts w:ascii="宋体"/>
                <w:sz w:val="18"/>
              </w:rPr>
              <w:t>96</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493,047,091</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z w:val="18"/>
              </w:rPr>
              <w:t>29</w:t>
            </w:r>
          </w:p>
        </w:tc>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1,234,210,969</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2"/>
              <w:jc w:val="right"/>
              <w:rPr>
                <w:rFonts w:ascii="宋体" w:hAnsi="宋体" w:cs="宋体" w:eastAsia="宋体" w:hint="default"/>
                <w:sz w:val="18"/>
                <w:szCs w:val="18"/>
              </w:rPr>
            </w:pPr>
            <w:r>
              <w:rPr>
                <w:rFonts w:ascii="宋体"/>
                <w:spacing w:val="-1"/>
                <w:sz w:val="18"/>
              </w:rPr>
              <w:t>1,774,629,034</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 w:right="0"/>
              <w:jc w:val="center"/>
              <w:rPr>
                <w:rFonts w:ascii="宋体" w:hAnsi="宋体" w:cs="宋体" w:eastAsia="宋体" w:hint="default"/>
                <w:sz w:val="18"/>
                <w:szCs w:val="18"/>
              </w:rPr>
            </w:pPr>
            <w:r>
              <w:rPr>
                <w:rFonts w:ascii="宋体"/>
                <w:sz w:val="18"/>
              </w:rPr>
              <w:t>100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451,214,567</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7" w:right="0"/>
              <w:jc w:val="left"/>
              <w:rPr>
                <w:rFonts w:ascii="宋体" w:hAnsi="宋体" w:cs="宋体" w:eastAsia="宋体" w:hint="default"/>
                <w:sz w:val="18"/>
                <w:szCs w:val="18"/>
              </w:rPr>
            </w:pPr>
            <w:r>
              <w:rPr>
                <w:rFonts w:ascii="宋体"/>
                <w:sz w:val="18"/>
              </w:rPr>
              <w:t>25</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6" w:right="0"/>
              <w:jc w:val="left"/>
              <w:rPr>
                <w:rFonts w:ascii="Times New Roman" w:hAnsi="Times New Roman" w:cs="Times New Roman" w:eastAsia="Times New Roman" w:hint="default"/>
                <w:sz w:val="18"/>
                <w:szCs w:val="18"/>
              </w:rPr>
            </w:pPr>
            <w:r>
              <w:rPr>
                <w:rFonts w:ascii="Times New Roman"/>
                <w:sz w:val="18"/>
              </w:rPr>
              <w:t>1,323,414,467</w:t>
            </w:r>
          </w:p>
        </w:tc>
      </w:tr>
      <w:tr>
        <w:trPr>
          <w:trHeight w:val="250" w:hRule="exact"/>
        </w:trPr>
        <w:tc>
          <w:tcPr>
            <w:tcW w:w="8896" w:type="dxa"/>
            <w:gridSpan w:val="11"/>
            <w:tcBorders>
              <w:top w:val="single" w:sz="4" w:space="0" w:color="000000"/>
              <w:left w:val="single" w:sz="4" w:space="0" w:color="000000"/>
              <w:bottom w:val="single" w:sz="8"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1186" w:hRule="exact"/>
        </w:trPr>
        <w:tc>
          <w:tcPr>
            <w:tcW w:w="670" w:type="dxa"/>
            <w:tcBorders>
              <w:top w:val="single" w:sz="4" w:space="0" w:color="000000"/>
              <w:left w:val="single" w:sz="4" w:space="0" w:color="000000"/>
              <w:bottom w:val="single" w:sz="4" w:space="0" w:color="000000"/>
              <w:right w:val="single" w:sz="8" w:space="0" w:color="000000"/>
            </w:tcBorders>
          </w:tcPr>
          <w:p>
            <w:pPr>
              <w:pStyle w:val="TableParagraph"/>
              <w:spacing w:line="209" w:lineRule="exact"/>
              <w:ind w:left="26" w:right="0"/>
              <w:jc w:val="both"/>
              <w:rPr>
                <w:rFonts w:ascii="宋体" w:hAnsi="宋体" w:cs="宋体" w:eastAsia="宋体" w:hint="default"/>
                <w:sz w:val="18"/>
                <w:szCs w:val="18"/>
              </w:rPr>
            </w:pPr>
            <w:r>
              <w:rPr>
                <w:rFonts w:ascii="宋体" w:hAnsi="宋体" w:cs="宋体" w:eastAsia="宋体" w:hint="default"/>
                <w:spacing w:val="22"/>
                <w:sz w:val="18"/>
                <w:szCs w:val="18"/>
              </w:rPr>
              <w:t>按信用</w:t>
            </w:r>
            <w:r>
              <w:rPr>
                <w:rFonts w:ascii="宋体" w:hAnsi="宋体" w:cs="宋体" w:eastAsia="宋体" w:hint="default"/>
                <w:spacing w:val="-57"/>
                <w:sz w:val="18"/>
                <w:szCs w:val="18"/>
              </w:rPr>
              <w:t> </w:t>
            </w:r>
            <w:r>
              <w:rPr>
                <w:rFonts w:ascii="宋体" w:hAnsi="宋体" w:cs="宋体" w:eastAsia="宋体" w:hint="default"/>
                <w:sz w:val="18"/>
                <w:szCs w:val="18"/>
              </w:rPr>
            </w:r>
          </w:p>
          <w:p>
            <w:pPr>
              <w:pStyle w:val="TableParagraph"/>
              <w:spacing w:line="237" w:lineRule="auto"/>
              <w:ind w:left="26" w:right="-12"/>
              <w:jc w:val="both"/>
              <w:rPr>
                <w:rFonts w:ascii="宋体" w:hAnsi="宋体" w:cs="宋体" w:eastAsia="宋体" w:hint="default"/>
                <w:sz w:val="18"/>
                <w:szCs w:val="18"/>
              </w:rPr>
            </w:pPr>
            <w:r>
              <w:rPr>
                <w:rFonts w:ascii="宋体" w:hAnsi="宋体" w:cs="宋体" w:eastAsia="宋体" w:hint="default"/>
                <w:spacing w:val="22"/>
                <w:sz w:val="18"/>
                <w:szCs w:val="18"/>
              </w:rPr>
              <w:t>风险特</w:t>
            </w:r>
            <w:r>
              <w:rPr>
                <w:rFonts w:ascii="宋体" w:hAnsi="宋体" w:cs="宋体" w:eastAsia="宋体" w:hint="default"/>
                <w:spacing w:val="-57"/>
                <w:sz w:val="18"/>
                <w:szCs w:val="18"/>
              </w:rPr>
              <w:t> </w:t>
            </w:r>
            <w:r>
              <w:rPr>
                <w:rFonts w:ascii="宋体" w:hAnsi="宋体" w:cs="宋体" w:eastAsia="宋体" w:hint="default"/>
                <w:spacing w:val="22"/>
                <w:sz w:val="18"/>
                <w:szCs w:val="18"/>
              </w:rPr>
              <w:t>征组合</w:t>
            </w:r>
            <w:r>
              <w:rPr>
                <w:rFonts w:ascii="宋体" w:hAnsi="宋体" w:cs="宋体" w:eastAsia="宋体" w:hint="default"/>
                <w:spacing w:val="-57"/>
                <w:sz w:val="18"/>
                <w:szCs w:val="18"/>
              </w:rPr>
              <w:t> </w:t>
            </w:r>
            <w:r>
              <w:rPr>
                <w:rFonts w:ascii="宋体" w:hAnsi="宋体" w:cs="宋体" w:eastAsia="宋体" w:hint="default"/>
                <w:spacing w:val="22"/>
                <w:sz w:val="18"/>
                <w:szCs w:val="18"/>
              </w:rPr>
              <w:t>计提坏</w:t>
            </w:r>
            <w:r>
              <w:rPr>
                <w:rFonts w:ascii="宋体" w:hAnsi="宋体" w:cs="宋体" w:eastAsia="宋体" w:hint="default"/>
                <w:spacing w:val="-57"/>
                <w:sz w:val="18"/>
                <w:szCs w:val="18"/>
              </w:rPr>
              <w:t> </w:t>
            </w:r>
            <w:r>
              <w:rPr>
                <w:rFonts w:ascii="宋体" w:hAnsi="宋体" w:cs="宋体" w:eastAsia="宋体" w:hint="default"/>
                <w:sz w:val="18"/>
                <w:szCs w:val="18"/>
              </w:rPr>
              <w:t>账准备</w:t>
            </w:r>
          </w:p>
        </w:tc>
        <w:tc>
          <w:tcPr>
            <w:tcW w:w="12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1,727,258,060</w:t>
            </w:r>
          </w:p>
        </w:tc>
        <w:tc>
          <w:tcPr>
            <w:tcW w:w="3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96</w:t>
            </w:r>
          </w:p>
        </w:tc>
        <w:tc>
          <w:tcPr>
            <w:tcW w:w="10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493,047,091</w:t>
            </w:r>
          </w:p>
        </w:tc>
        <w:tc>
          <w:tcPr>
            <w:tcW w:w="3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29</w:t>
            </w:r>
          </w:p>
        </w:tc>
        <w:tc>
          <w:tcPr>
            <w:tcW w:w="12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34" w:right="0"/>
              <w:jc w:val="center"/>
              <w:rPr>
                <w:rFonts w:ascii="Times New Roman" w:hAnsi="Times New Roman" w:cs="Times New Roman" w:eastAsia="Times New Roman" w:hint="default"/>
                <w:sz w:val="18"/>
                <w:szCs w:val="18"/>
              </w:rPr>
            </w:pPr>
            <w:r>
              <w:rPr>
                <w:rFonts w:ascii="Times New Roman"/>
                <w:sz w:val="18"/>
              </w:rPr>
              <w:t>1,234,210,969</w:t>
            </w:r>
          </w:p>
        </w:tc>
        <w:tc>
          <w:tcPr>
            <w:tcW w:w="12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1,774,629,034</w:t>
            </w:r>
          </w:p>
        </w:tc>
        <w:tc>
          <w:tcPr>
            <w:tcW w:w="3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100</w:t>
            </w:r>
          </w:p>
        </w:tc>
        <w:tc>
          <w:tcPr>
            <w:tcW w:w="10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88" w:right="0"/>
              <w:jc w:val="center"/>
              <w:rPr>
                <w:rFonts w:ascii="Times New Roman" w:hAnsi="Times New Roman" w:cs="Times New Roman" w:eastAsia="Times New Roman" w:hint="default"/>
                <w:sz w:val="18"/>
                <w:szCs w:val="18"/>
              </w:rPr>
            </w:pPr>
            <w:r>
              <w:rPr>
                <w:rFonts w:ascii="Times New Roman"/>
                <w:sz w:val="18"/>
              </w:rPr>
              <w:t>451,214,567</w:t>
            </w:r>
          </w:p>
        </w:tc>
        <w:tc>
          <w:tcPr>
            <w:tcW w:w="331" w:type="dxa"/>
            <w:tcBorders>
              <w:top w:val="single" w:sz="8" w:space="0" w:color="000000"/>
              <w:left w:val="single" w:sz="8"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25</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26" w:right="0"/>
              <w:jc w:val="left"/>
              <w:rPr>
                <w:rFonts w:ascii="Times New Roman" w:hAnsi="Times New Roman" w:cs="Times New Roman" w:eastAsia="Times New Roman" w:hint="default"/>
                <w:sz w:val="18"/>
                <w:szCs w:val="18"/>
              </w:rPr>
            </w:pPr>
            <w:r>
              <w:rPr>
                <w:rFonts w:ascii="Times New Roman"/>
                <w:sz w:val="18"/>
              </w:rPr>
              <w:t>1,323,414,467</w:t>
            </w:r>
          </w:p>
        </w:tc>
      </w:tr>
      <w:tr>
        <w:trPr>
          <w:trHeight w:val="223" w:hRule="exact"/>
        </w:trPr>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96" w:lineRule="exact"/>
              <w:ind w:left="26" w:right="0"/>
              <w:jc w:val="left"/>
              <w:rPr>
                <w:rFonts w:ascii="宋体" w:hAnsi="宋体" w:cs="宋体" w:eastAsia="宋体" w:hint="default"/>
                <w:sz w:val="18"/>
                <w:szCs w:val="18"/>
              </w:rPr>
            </w:pPr>
            <w:r>
              <w:rPr>
                <w:rFonts w:ascii="宋体"/>
                <w:sz w:val="18"/>
              </w:rPr>
              <w:t> </w:t>
            </w:r>
          </w:p>
        </w:tc>
        <w:tc>
          <w:tcPr>
            <w:tcW w:w="1234" w:type="dxa"/>
            <w:tcBorders>
              <w:top w:val="single" w:sz="8" w:space="0" w:color="000000"/>
              <w:left w:val="single" w:sz="4" w:space="0" w:color="000000"/>
              <w:bottom w:val="single" w:sz="4" w:space="0" w:color="000000"/>
              <w:right w:val="single" w:sz="4" w:space="0" w:color="000000"/>
            </w:tcBorders>
          </w:tcPr>
          <w:p>
            <w:pPr/>
          </w:p>
        </w:tc>
        <w:tc>
          <w:tcPr>
            <w:tcW w:w="331" w:type="dxa"/>
            <w:tcBorders>
              <w:top w:val="single" w:sz="8" w:space="0" w:color="000000"/>
              <w:left w:val="single" w:sz="4" w:space="0" w:color="000000"/>
              <w:bottom w:val="single" w:sz="4" w:space="0" w:color="000000"/>
              <w:right w:val="single" w:sz="4" w:space="0" w:color="000000"/>
            </w:tcBorders>
          </w:tcPr>
          <w:p>
            <w:pPr/>
          </w:p>
        </w:tc>
        <w:tc>
          <w:tcPr>
            <w:tcW w:w="1052" w:type="dxa"/>
            <w:tcBorders>
              <w:top w:val="single" w:sz="8" w:space="0" w:color="000000"/>
              <w:left w:val="single" w:sz="4" w:space="0" w:color="000000"/>
              <w:bottom w:val="single" w:sz="4" w:space="0" w:color="000000"/>
              <w:right w:val="single" w:sz="4" w:space="0" w:color="000000"/>
            </w:tcBorders>
          </w:tcPr>
          <w:p>
            <w:pPr/>
          </w:p>
        </w:tc>
        <w:tc>
          <w:tcPr>
            <w:tcW w:w="334" w:type="dxa"/>
            <w:tcBorders>
              <w:top w:val="single" w:sz="8" w:space="0" w:color="000000"/>
              <w:left w:val="single" w:sz="4" w:space="0" w:color="000000"/>
              <w:bottom w:val="single" w:sz="4" w:space="0" w:color="000000"/>
              <w:right w:val="single" w:sz="4" w:space="0" w:color="000000"/>
            </w:tcBorders>
          </w:tcPr>
          <w:p>
            <w:pPr/>
          </w:p>
        </w:tc>
        <w:tc>
          <w:tcPr>
            <w:tcW w:w="1231" w:type="dxa"/>
            <w:tcBorders>
              <w:top w:val="single" w:sz="8" w:space="0" w:color="000000"/>
              <w:left w:val="single" w:sz="4" w:space="0" w:color="000000"/>
              <w:bottom w:val="single" w:sz="4" w:space="0" w:color="000000"/>
              <w:right w:val="single" w:sz="4" w:space="0" w:color="000000"/>
            </w:tcBorders>
          </w:tcPr>
          <w:p>
            <w:pPr/>
          </w:p>
        </w:tc>
        <w:tc>
          <w:tcPr>
            <w:tcW w:w="1232" w:type="dxa"/>
            <w:tcBorders>
              <w:top w:val="single" w:sz="8" w:space="0" w:color="000000"/>
              <w:left w:val="single" w:sz="4" w:space="0" w:color="000000"/>
              <w:bottom w:val="single" w:sz="4" w:space="0" w:color="000000"/>
              <w:right w:val="single" w:sz="4" w:space="0" w:color="000000"/>
            </w:tcBorders>
          </w:tcPr>
          <w:p>
            <w:pPr/>
          </w:p>
        </w:tc>
        <w:tc>
          <w:tcPr>
            <w:tcW w:w="334" w:type="dxa"/>
            <w:tcBorders>
              <w:top w:val="single" w:sz="8" w:space="0" w:color="000000"/>
              <w:left w:val="single" w:sz="4" w:space="0" w:color="000000"/>
              <w:bottom w:val="single" w:sz="4" w:space="0" w:color="000000"/>
              <w:right w:val="single" w:sz="4" w:space="0" w:color="000000"/>
            </w:tcBorders>
          </w:tcPr>
          <w:p>
            <w:pPr/>
          </w:p>
        </w:tc>
        <w:tc>
          <w:tcPr>
            <w:tcW w:w="1051" w:type="dxa"/>
            <w:tcBorders>
              <w:top w:val="single" w:sz="8" w:space="0" w:color="000000"/>
              <w:left w:val="single" w:sz="4" w:space="0" w:color="000000"/>
              <w:bottom w:val="single" w:sz="4" w:space="0" w:color="000000"/>
              <w:right w:val="single" w:sz="4" w:space="0" w:color="000000"/>
            </w:tcBorders>
          </w:tcPr>
          <w:p>
            <w:pPr/>
          </w:p>
        </w:tc>
        <w:tc>
          <w:tcPr>
            <w:tcW w:w="331" w:type="dxa"/>
            <w:tcBorders>
              <w:top w:val="single" w:sz="8"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r>
      <w:tr>
        <w:trPr>
          <w:trHeight w:val="425" w:hRule="exact"/>
        </w:trPr>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49"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24"/>
              <w:jc w:val="right"/>
              <w:rPr>
                <w:rFonts w:ascii="Times New Roman" w:hAnsi="Times New Roman" w:cs="Times New Roman" w:eastAsia="Times New Roman" w:hint="default"/>
                <w:sz w:val="18"/>
                <w:szCs w:val="18"/>
              </w:rPr>
            </w:pPr>
            <w:r>
              <w:rPr>
                <w:rFonts w:ascii="Times New Roman"/>
                <w:spacing w:val="-1"/>
                <w:sz w:val="18"/>
              </w:rPr>
              <w:t>1,805,923,548</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34" w:right="0"/>
              <w:jc w:val="left"/>
              <w:rPr>
                <w:rFonts w:ascii="Times New Roman" w:hAnsi="Times New Roman" w:cs="Times New Roman" w:eastAsia="Times New Roman" w:hint="default"/>
                <w:sz w:val="18"/>
                <w:szCs w:val="18"/>
              </w:rPr>
            </w:pPr>
            <w:r>
              <w:rPr>
                <w:rFonts w:ascii="Times New Roman"/>
                <w:sz w:val="18"/>
              </w:rPr>
              <w:t>/</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22"/>
              <w:jc w:val="right"/>
              <w:rPr>
                <w:rFonts w:ascii="Times New Roman" w:hAnsi="Times New Roman" w:cs="Times New Roman" w:eastAsia="Times New Roman" w:hint="default"/>
                <w:sz w:val="18"/>
                <w:szCs w:val="18"/>
              </w:rPr>
            </w:pPr>
            <w:r>
              <w:rPr>
                <w:rFonts w:ascii="Times New Roman"/>
                <w:spacing w:val="-1"/>
                <w:sz w:val="18"/>
              </w:rPr>
              <w:t>571,712,579</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0"/>
              <w:jc w:val="center"/>
              <w:rPr>
                <w:rFonts w:ascii="Times New Roman" w:hAnsi="Times New Roman" w:cs="Times New Roman" w:eastAsia="Times New Roman" w:hint="default"/>
                <w:sz w:val="18"/>
                <w:szCs w:val="18"/>
              </w:rPr>
            </w:pPr>
            <w:r>
              <w:rPr>
                <w:rFonts w:ascii="Times New Roman"/>
                <w:sz w:val="18"/>
              </w:rPr>
              <w:t>/</w:t>
            </w:r>
          </w:p>
        </w:tc>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34" w:right="0"/>
              <w:jc w:val="center"/>
              <w:rPr>
                <w:rFonts w:ascii="Times New Roman" w:hAnsi="Times New Roman" w:cs="Times New Roman" w:eastAsia="Times New Roman" w:hint="default"/>
                <w:sz w:val="18"/>
                <w:szCs w:val="18"/>
              </w:rPr>
            </w:pPr>
            <w:r>
              <w:rPr>
                <w:rFonts w:ascii="Times New Roman"/>
                <w:sz w:val="18"/>
              </w:rPr>
              <w:t>1,234,210,969</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22"/>
              <w:jc w:val="right"/>
              <w:rPr>
                <w:rFonts w:ascii="Times New Roman" w:hAnsi="Times New Roman" w:cs="Times New Roman" w:eastAsia="Times New Roman" w:hint="default"/>
                <w:sz w:val="18"/>
                <w:szCs w:val="18"/>
              </w:rPr>
            </w:pPr>
            <w:r>
              <w:rPr>
                <w:rFonts w:ascii="Times New Roman"/>
                <w:spacing w:val="-1"/>
                <w:sz w:val="18"/>
              </w:rPr>
              <w:t>1,774,629,034</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0"/>
              <w:jc w:val="center"/>
              <w:rPr>
                <w:rFonts w:ascii="Times New Roman" w:hAnsi="Times New Roman" w:cs="Times New Roman" w:eastAsia="Times New Roman" w:hint="default"/>
                <w:sz w:val="18"/>
                <w:szCs w:val="18"/>
              </w:rPr>
            </w:pPr>
            <w:r>
              <w:rPr>
                <w:rFonts w:ascii="Times New Roman"/>
                <w:sz w:val="18"/>
              </w:rPr>
              <w:t>/</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88" w:right="0"/>
              <w:jc w:val="center"/>
              <w:rPr>
                <w:rFonts w:ascii="Times New Roman" w:hAnsi="Times New Roman" w:cs="Times New Roman" w:eastAsia="Times New Roman" w:hint="default"/>
                <w:sz w:val="18"/>
                <w:szCs w:val="18"/>
              </w:rPr>
            </w:pPr>
            <w:r>
              <w:rPr>
                <w:rFonts w:ascii="Times New Roman"/>
                <w:sz w:val="18"/>
              </w:rPr>
              <w:t>451,214,567</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36" w:right="0"/>
              <w:jc w:val="left"/>
              <w:rPr>
                <w:rFonts w:ascii="Times New Roman" w:hAnsi="Times New Roman" w:cs="Times New Roman" w:eastAsia="Times New Roman" w:hint="default"/>
                <w:sz w:val="18"/>
                <w:szCs w:val="18"/>
              </w:rPr>
            </w:pPr>
            <w:r>
              <w:rPr>
                <w:rFonts w:ascii="Times New Roman"/>
                <w:sz w:val="18"/>
              </w:rPr>
              <w:t>/</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26" w:right="0"/>
              <w:jc w:val="left"/>
              <w:rPr>
                <w:rFonts w:ascii="Times New Roman" w:hAnsi="Times New Roman" w:cs="Times New Roman" w:eastAsia="Times New Roman" w:hint="default"/>
                <w:sz w:val="18"/>
                <w:szCs w:val="18"/>
              </w:rPr>
            </w:pPr>
            <w:r>
              <w:rPr>
                <w:rFonts w:ascii="Times New Roman"/>
                <w:sz w:val="18"/>
              </w:rPr>
              <w:t>1,323,414,467</w:t>
            </w:r>
          </w:p>
        </w:tc>
      </w:tr>
    </w:tbl>
    <w:p>
      <w:pPr>
        <w:spacing w:line="240" w:lineRule="auto" w:before="0"/>
        <w:rPr>
          <w:rFonts w:ascii="宋体" w:hAnsi="宋体" w:cs="宋体" w:eastAsia="宋体" w:hint="default"/>
          <w:sz w:val="16"/>
          <w:szCs w:val="16"/>
        </w:rPr>
      </w:pPr>
    </w:p>
    <w:p>
      <w:pPr>
        <w:pStyle w:val="BodyText"/>
        <w:spacing w:line="240" w:lineRule="auto" w:before="26"/>
        <w:ind w:right="0"/>
        <w:jc w:val="left"/>
      </w:pPr>
      <w:r>
        <w:rPr/>
        <w:t>按单项计提坏账准备：</w:t>
      </w:r>
    </w:p>
    <w:p>
      <w:pPr>
        <w:spacing w:after="0" w:line="240" w:lineRule="auto"/>
        <w:jc w:val="left"/>
        <w:sectPr>
          <w:type w:val="continuous"/>
          <w:pgSz w:w="11910" w:h="16840"/>
          <w:pgMar w:top="1120" w:bottom="1380" w:left="1140" w:right="1640"/>
        </w:sectPr>
      </w:pPr>
    </w:p>
    <w:p>
      <w:pPr>
        <w:spacing w:line="240" w:lineRule="auto" w:before="4"/>
        <w:rPr>
          <w:rFonts w:ascii="宋体" w:hAnsi="宋体" w:cs="宋体" w:eastAsia="宋体" w:hint="default"/>
          <w:sz w:val="22"/>
          <w:szCs w:val="22"/>
        </w:rPr>
      </w:pPr>
    </w:p>
    <w:p>
      <w:pPr>
        <w:pStyle w:val="BodyText"/>
        <w:tabs>
          <w:tab w:pos="1517" w:val="left" w:leader="none"/>
        </w:tabs>
        <w:spacing w:line="240" w:lineRule="auto" w:before="26"/>
        <w:ind w:left="316" w:right="6427"/>
        <w:jc w:val="left"/>
      </w:pPr>
      <w:r>
        <w:rPr/>
        <w:t>√适用 □不适用 单位：元</w:t>
        <w:tab/>
        <w:t>币种：人民币</w:t>
      </w:r>
    </w:p>
    <w:p>
      <w:pPr>
        <w:spacing w:line="240" w:lineRule="auto" w:before="10"/>
        <w:rPr>
          <w:rFonts w:ascii="宋体" w:hAnsi="宋体" w:cs="宋体" w:eastAsia="宋体" w:hint="default"/>
          <w:sz w:val="2"/>
          <w:szCs w:val="2"/>
        </w:rPr>
      </w:pPr>
    </w:p>
    <w:tbl>
      <w:tblPr>
        <w:tblW w:w="0" w:type="auto"/>
        <w:jc w:val="left"/>
        <w:tblInd w:w="203" w:type="dxa"/>
        <w:tblLayout w:type="fixed"/>
        <w:tblCellMar>
          <w:top w:w="0" w:type="dxa"/>
          <w:left w:w="0" w:type="dxa"/>
          <w:bottom w:w="0" w:type="dxa"/>
          <w:right w:w="0" w:type="dxa"/>
        </w:tblCellMar>
        <w:tblLook w:val="01E0"/>
      </w:tblPr>
      <w:tblGrid>
        <w:gridCol w:w="2100"/>
        <w:gridCol w:w="1700"/>
        <w:gridCol w:w="1702"/>
        <w:gridCol w:w="1699"/>
        <w:gridCol w:w="1849"/>
      </w:tblGrid>
      <w:tr>
        <w:trPr>
          <w:trHeight w:val="322" w:hRule="exact"/>
        </w:trPr>
        <w:tc>
          <w:tcPr>
            <w:tcW w:w="2100" w:type="dxa"/>
            <w:vMerge w:val="restart"/>
            <w:tcBorders>
              <w:top w:val="single" w:sz="4" w:space="0" w:color="000000"/>
              <w:left w:val="single" w:sz="4" w:space="0" w:color="000000"/>
              <w:right w:val="single" w:sz="4" w:space="0" w:color="000000"/>
            </w:tcBorders>
          </w:tcPr>
          <w:p>
            <w:pPr>
              <w:pStyle w:val="TableParagraph"/>
              <w:spacing w:line="240" w:lineRule="auto" w:before="120"/>
              <w:ind w:left="103" w:right="0"/>
              <w:jc w:val="left"/>
              <w:rPr>
                <w:rFonts w:ascii="宋体" w:hAnsi="宋体" w:cs="宋体" w:eastAsia="宋体" w:hint="default"/>
                <w:sz w:val="24"/>
                <w:szCs w:val="24"/>
              </w:rPr>
            </w:pPr>
            <w:r>
              <w:rPr>
                <w:rFonts w:ascii="宋体" w:hAnsi="宋体" w:cs="宋体" w:eastAsia="宋体" w:hint="default"/>
                <w:sz w:val="24"/>
                <w:szCs w:val="24"/>
              </w:rPr>
              <w:t>名称</w:t>
            </w:r>
          </w:p>
        </w:tc>
        <w:tc>
          <w:tcPr>
            <w:tcW w:w="69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322" w:hRule="exact"/>
        </w:trPr>
        <w:tc>
          <w:tcPr>
            <w:tcW w:w="2100" w:type="dxa"/>
            <w:vMerge/>
            <w:tcBorders>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账面余额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坏账准备</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0" w:right="-15"/>
              <w:jc w:val="left"/>
              <w:rPr>
                <w:rFonts w:ascii="宋体" w:hAnsi="宋体" w:cs="宋体" w:eastAsia="宋体" w:hint="default"/>
                <w:sz w:val="24"/>
                <w:szCs w:val="24"/>
              </w:rPr>
            </w:pPr>
            <w:r>
              <w:rPr>
                <w:rFonts w:ascii="宋体" w:hAnsi="宋体" w:cs="宋体" w:eastAsia="宋体" w:hint="default"/>
                <w:spacing w:val="-6"/>
                <w:sz w:val="24"/>
                <w:szCs w:val="24"/>
              </w:rPr>
              <w:t>计提比例（</w:t>
            </w:r>
            <w:r>
              <w:rPr>
                <w:rFonts w:ascii="Times New Roman" w:hAnsi="Times New Roman" w:cs="Times New Roman" w:eastAsia="Times New Roman" w:hint="default"/>
                <w:spacing w:val="-6"/>
                <w:sz w:val="24"/>
                <w:szCs w:val="24"/>
              </w:rPr>
              <w:t>%</w:t>
            </w:r>
            <w:r>
              <w:rPr>
                <w:rFonts w:ascii="宋体" w:hAnsi="宋体" w:cs="宋体" w:eastAsia="宋体" w:hint="default"/>
                <w:spacing w:val="-6"/>
                <w:sz w:val="24"/>
                <w:szCs w:val="24"/>
              </w:rPr>
              <w:t>）</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计提理由</w:t>
            </w:r>
          </w:p>
        </w:tc>
      </w:tr>
      <w:tr>
        <w:trPr>
          <w:trHeight w:val="634"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5,329,326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5,329,326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2"/>
              <w:jc w:val="center"/>
              <w:rPr>
                <w:rFonts w:ascii="Times New Roman" w:hAnsi="Times New Roman" w:cs="Times New Roman" w:eastAsia="Times New Roman" w:hint="default"/>
                <w:sz w:val="24"/>
                <w:szCs w:val="24"/>
              </w:rPr>
            </w:pPr>
            <w:r>
              <w:rPr>
                <w:rFonts w:ascii="Times New Roman"/>
                <w:sz w:val="24"/>
              </w:rPr>
              <w:t>100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预计款项无法</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收回</w:t>
            </w:r>
          </w:p>
        </w:tc>
      </w:tr>
      <w:tr>
        <w:trPr>
          <w:trHeight w:val="631"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3,998,400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3,998,400</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2"/>
              <w:jc w:val="center"/>
              <w:rPr>
                <w:rFonts w:ascii="Times New Roman" w:hAnsi="Times New Roman" w:cs="Times New Roman" w:eastAsia="Times New Roman" w:hint="default"/>
                <w:sz w:val="24"/>
                <w:szCs w:val="24"/>
              </w:rPr>
            </w:pPr>
            <w:r>
              <w:rPr>
                <w:rFonts w:ascii="Times New Roman"/>
                <w:sz w:val="24"/>
              </w:rPr>
              <w:t>100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0" w:right="0"/>
              <w:jc w:val="left"/>
              <w:rPr>
                <w:rFonts w:ascii="宋体" w:hAnsi="宋体" w:cs="宋体" w:eastAsia="宋体" w:hint="default"/>
                <w:sz w:val="24"/>
                <w:szCs w:val="24"/>
              </w:rPr>
            </w:pPr>
            <w:r>
              <w:rPr>
                <w:rFonts w:ascii="宋体" w:hAnsi="宋体" w:cs="宋体" w:eastAsia="宋体" w:hint="default"/>
                <w:sz w:val="24"/>
                <w:szCs w:val="24"/>
              </w:rPr>
              <w:t>预计款项无法</w:t>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收回</w:t>
            </w:r>
          </w:p>
        </w:tc>
      </w:tr>
      <w:tr>
        <w:trPr>
          <w:trHeight w:val="634"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2,571,346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2,571,346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2"/>
              <w:jc w:val="center"/>
              <w:rPr>
                <w:rFonts w:ascii="Times New Roman" w:hAnsi="Times New Roman" w:cs="Times New Roman" w:eastAsia="Times New Roman" w:hint="default"/>
                <w:sz w:val="24"/>
                <w:szCs w:val="24"/>
              </w:rPr>
            </w:pPr>
            <w:r>
              <w:rPr>
                <w:rFonts w:ascii="Times New Roman"/>
                <w:sz w:val="24"/>
              </w:rPr>
              <w:t>100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预计款项无法</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收回</w:t>
            </w:r>
          </w:p>
        </w:tc>
      </w:tr>
      <w:tr>
        <w:trPr>
          <w:trHeight w:val="631"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66,766,416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66,766,416</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2"/>
              <w:jc w:val="center"/>
              <w:rPr>
                <w:rFonts w:ascii="Times New Roman" w:hAnsi="Times New Roman" w:cs="Times New Roman" w:eastAsia="Times New Roman" w:hint="default"/>
                <w:sz w:val="24"/>
                <w:szCs w:val="24"/>
              </w:rPr>
            </w:pPr>
            <w:r>
              <w:rPr>
                <w:rFonts w:ascii="Times New Roman"/>
                <w:sz w:val="24"/>
              </w:rPr>
              <w:t>100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预计款项无法</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收回</w:t>
            </w:r>
          </w:p>
        </w:tc>
      </w:tr>
      <w:tr>
        <w:trPr>
          <w:trHeight w:val="322"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78,665,488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78,665,488</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2"/>
              <w:jc w:val="center"/>
              <w:rPr>
                <w:rFonts w:ascii="Times New Roman" w:hAnsi="Times New Roman" w:cs="Times New Roman" w:eastAsia="Times New Roman" w:hint="default"/>
                <w:sz w:val="24"/>
                <w:szCs w:val="24"/>
              </w:rPr>
            </w:pPr>
            <w:r>
              <w:rPr>
                <w:rFonts w:ascii="Times New Roman"/>
                <w:sz w:val="24"/>
              </w:rPr>
              <w:t>100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
              <w:jc w:val="center"/>
              <w:rPr>
                <w:rFonts w:ascii="Times New Roman" w:hAnsi="Times New Roman" w:cs="Times New Roman" w:eastAsia="Times New Roman" w:hint="default"/>
                <w:sz w:val="24"/>
                <w:szCs w:val="24"/>
              </w:rPr>
            </w:pPr>
            <w:r>
              <w:rPr>
                <w:rFonts w:ascii="Times New Roman"/>
                <w:sz w:val="24"/>
              </w:rPr>
              <w:t>/</w:t>
            </w:r>
          </w:p>
        </w:tc>
      </w:tr>
    </w:tbl>
    <w:p>
      <w:pPr>
        <w:spacing w:line="240" w:lineRule="auto" w:before="0"/>
        <w:rPr>
          <w:rFonts w:ascii="宋体" w:hAnsi="宋体" w:cs="宋体" w:eastAsia="宋体" w:hint="default"/>
          <w:sz w:val="16"/>
          <w:szCs w:val="16"/>
        </w:rPr>
      </w:pPr>
    </w:p>
    <w:p>
      <w:pPr>
        <w:pStyle w:val="BodyText"/>
        <w:spacing w:line="313" w:lineRule="exact" w:before="26"/>
        <w:ind w:left="316" w:right="0"/>
        <w:jc w:val="left"/>
      </w:pPr>
      <w:r>
        <w:rPr/>
        <w:t>按单项计提坏账准备的说明：</w:t>
      </w:r>
    </w:p>
    <w:p>
      <w:pPr>
        <w:pStyle w:val="BodyText"/>
        <w:spacing w:line="312" w:lineRule="exact" w:before="29"/>
        <w:ind w:left="316" w:right="7250"/>
        <w:jc w:val="left"/>
      </w:pPr>
      <w:r>
        <w:rPr/>
        <w:t>□适用 √不适用 无。</w:t>
      </w:r>
    </w:p>
    <w:p>
      <w:pPr>
        <w:pStyle w:val="BodyText"/>
        <w:spacing w:line="280" w:lineRule="exact"/>
        <w:ind w:left="316" w:right="0"/>
        <w:jc w:val="left"/>
      </w:pPr>
      <w:r>
        <w:rPr/>
        <w:t>按组合计提坏账准备：</w:t>
      </w:r>
    </w:p>
    <w:p>
      <w:pPr>
        <w:pStyle w:val="BodyText"/>
        <w:spacing w:line="313" w:lineRule="exact"/>
        <w:ind w:left="316" w:right="0"/>
        <w:jc w:val="left"/>
      </w:pPr>
      <w:r>
        <w:rPr/>
        <w:t>□适用 √不适用</w:t>
      </w:r>
    </w:p>
    <w:p>
      <w:pPr>
        <w:spacing w:line="240" w:lineRule="auto" w:before="12"/>
        <w:rPr>
          <w:rFonts w:ascii="宋体" w:hAnsi="宋体" w:cs="宋体" w:eastAsia="宋体" w:hint="default"/>
          <w:sz w:val="20"/>
          <w:szCs w:val="20"/>
        </w:rPr>
      </w:pPr>
    </w:p>
    <w:p>
      <w:pPr>
        <w:pStyle w:val="BodyText"/>
        <w:spacing w:line="312" w:lineRule="exact"/>
        <w:ind w:left="316" w:right="0"/>
        <w:jc w:val="left"/>
      </w:pPr>
      <w:r>
        <w:rPr/>
        <w:t>如按预期信用损失一般模型计提坏账准备，请参照其他应收款披露：</w:t>
      </w:r>
    </w:p>
    <w:p>
      <w:pPr>
        <w:pStyle w:val="BodyText"/>
        <w:spacing w:line="312" w:lineRule="exact"/>
        <w:ind w:left="316" w:right="0"/>
        <w:jc w:val="left"/>
      </w:pPr>
      <w:r>
        <w:rPr/>
        <w:t>√适用 □不适用</w:t>
      </w:r>
    </w:p>
    <w:p>
      <w:pPr>
        <w:spacing w:before="1"/>
        <w:ind w:left="316" w:right="0" w:firstLine="0"/>
        <w:jc w:val="left"/>
        <w:rPr>
          <w:rFonts w:ascii="黑体" w:hAnsi="黑体" w:cs="黑体" w:eastAsia="黑体" w:hint="default"/>
          <w:sz w:val="20"/>
          <w:szCs w:val="20"/>
        </w:rPr>
      </w:pPr>
      <w:r>
        <w:rPr>
          <w:rFonts w:ascii="黑体" w:hAnsi="黑体" w:cs="黑体" w:eastAsia="黑体" w:hint="default"/>
          <w:sz w:val="20"/>
          <w:szCs w:val="20"/>
        </w:rPr>
        <w:t>本集团采用账龄分析法计提坏账准备的应收账款情况如下：</w:t>
      </w:r>
    </w:p>
    <w:p>
      <w:pPr>
        <w:spacing w:line="240" w:lineRule="auto" w:before="8"/>
        <w:rPr>
          <w:rFonts w:ascii="黑体" w:hAnsi="黑体" w:cs="黑体" w:eastAsia="黑体" w:hint="default"/>
          <w:sz w:val="22"/>
          <w:szCs w:val="22"/>
        </w:rPr>
      </w:pPr>
    </w:p>
    <w:tbl>
      <w:tblPr>
        <w:tblW w:w="0" w:type="auto"/>
        <w:jc w:val="left"/>
        <w:tblInd w:w="116" w:type="dxa"/>
        <w:tblLayout w:type="fixed"/>
        <w:tblCellMar>
          <w:top w:w="0" w:type="dxa"/>
          <w:left w:w="0" w:type="dxa"/>
          <w:bottom w:w="0" w:type="dxa"/>
          <w:right w:w="0" w:type="dxa"/>
        </w:tblCellMar>
        <w:tblLook w:val="01E0"/>
      </w:tblPr>
      <w:tblGrid>
        <w:gridCol w:w="2790"/>
        <w:gridCol w:w="1846"/>
        <w:gridCol w:w="2191"/>
        <w:gridCol w:w="1647"/>
      </w:tblGrid>
      <w:tr>
        <w:trPr>
          <w:trHeight w:val="234" w:hRule="exact"/>
        </w:trPr>
        <w:tc>
          <w:tcPr>
            <w:tcW w:w="2790" w:type="dxa"/>
            <w:tcBorders>
              <w:top w:val="nil" w:sz="6" w:space="0" w:color="auto"/>
              <w:left w:val="nil" w:sz="6" w:space="0" w:color="auto"/>
              <w:bottom w:val="nil" w:sz="6" w:space="0" w:color="auto"/>
              <w:right w:val="nil" w:sz="6" w:space="0" w:color="auto"/>
            </w:tcBorders>
          </w:tcPr>
          <w:p>
            <w:pPr/>
          </w:p>
        </w:tc>
        <w:tc>
          <w:tcPr>
            <w:tcW w:w="1846" w:type="dxa"/>
            <w:tcBorders>
              <w:top w:val="nil" w:sz="6" w:space="0" w:color="auto"/>
              <w:left w:val="nil" w:sz="6" w:space="0" w:color="auto"/>
              <w:bottom w:val="single" w:sz="4" w:space="0" w:color="000000"/>
              <w:right w:val="nil" w:sz="6" w:space="0" w:color="auto"/>
            </w:tcBorders>
          </w:tcPr>
          <w:p>
            <w:pPr/>
          </w:p>
        </w:tc>
        <w:tc>
          <w:tcPr>
            <w:tcW w:w="2191" w:type="dxa"/>
            <w:tcBorders>
              <w:top w:val="nil" w:sz="6" w:space="0" w:color="auto"/>
              <w:left w:val="nil" w:sz="6" w:space="0" w:color="auto"/>
              <w:bottom w:val="single" w:sz="4" w:space="0" w:color="000000"/>
              <w:right w:val="nil" w:sz="6" w:space="0" w:color="auto"/>
            </w:tcBorders>
          </w:tcPr>
          <w:p>
            <w:pPr>
              <w:pStyle w:val="TableParagraph"/>
              <w:spacing w:line="214" w:lineRule="exact"/>
              <w:ind w:left="672" w:right="0"/>
              <w:jc w:val="left"/>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w:t>
            </w:r>
          </w:p>
        </w:tc>
        <w:tc>
          <w:tcPr>
            <w:tcW w:w="1647" w:type="dxa"/>
            <w:tcBorders>
              <w:top w:val="nil" w:sz="6" w:space="0" w:color="auto"/>
              <w:left w:val="nil" w:sz="6" w:space="0" w:color="auto"/>
              <w:bottom w:val="single" w:sz="4" w:space="0" w:color="000000"/>
              <w:right w:val="nil" w:sz="6" w:space="0" w:color="auto"/>
            </w:tcBorders>
          </w:tcPr>
          <w:p>
            <w:pPr/>
          </w:p>
        </w:tc>
      </w:tr>
      <w:tr>
        <w:trPr>
          <w:trHeight w:val="264" w:hRule="exact"/>
        </w:trPr>
        <w:tc>
          <w:tcPr>
            <w:tcW w:w="2790" w:type="dxa"/>
            <w:tcBorders>
              <w:top w:val="nil" w:sz="6" w:space="0" w:color="auto"/>
              <w:left w:val="nil" w:sz="6" w:space="0" w:color="auto"/>
              <w:bottom w:val="nil" w:sz="6" w:space="0" w:color="auto"/>
              <w:right w:val="nil" w:sz="6" w:space="0" w:color="auto"/>
            </w:tcBorders>
          </w:tcPr>
          <w:p>
            <w:pPr/>
          </w:p>
        </w:tc>
        <w:tc>
          <w:tcPr>
            <w:tcW w:w="1846" w:type="dxa"/>
            <w:tcBorders>
              <w:top w:val="single" w:sz="4" w:space="0" w:color="000000"/>
              <w:left w:val="nil" w:sz="6" w:space="0" w:color="auto"/>
              <w:bottom w:val="nil" w:sz="6" w:space="0" w:color="auto"/>
              <w:right w:val="nil" w:sz="6" w:space="0" w:color="auto"/>
            </w:tcBorders>
          </w:tcPr>
          <w:p>
            <w:pPr>
              <w:pStyle w:val="TableParagraph"/>
              <w:spacing w:line="230" w:lineRule="exact"/>
              <w:ind w:right="51"/>
              <w:jc w:val="right"/>
              <w:rPr>
                <w:rFonts w:ascii="黑体" w:hAnsi="黑体" w:cs="黑体" w:eastAsia="黑体" w:hint="default"/>
                <w:sz w:val="20"/>
                <w:szCs w:val="20"/>
              </w:rPr>
            </w:pPr>
            <w:r>
              <w:rPr>
                <w:rFonts w:ascii="黑体" w:hAnsi="黑体" w:cs="黑体" w:eastAsia="黑体" w:hint="default"/>
                <w:w w:val="95"/>
                <w:sz w:val="20"/>
                <w:szCs w:val="20"/>
              </w:rPr>
              <w:t>估计发生违约的</w:t>
            </w:r>
            <w:r>
              <w:rPr>
                <w:rFonts w:ascii="黑体" w:hAnsi="黑体" w:cs="黑体" w:eastAsia="黑体" w:hint="default"/>
                <w:sz w:val="20"/>
                <w:szCs w:val="20"/>
              </w:rPr>
            </w:r>
          </w:p>
        </w:tc>
        <w:tc>
          <w:tcPr>
            <w:tcW w:w="2191" w:type="dxa"/>
            <w:tcBorders>
              <w:top w:val="single" w:sz="4" w:space="0" w:color="000000"/>
              <w:left w:val="nil" w:sz="6" w:space="0" w:color="auto"/>
              <w:bottom w:val="nil" w:sz="6" w:space="0" w:color="auto"/>
              <w:right w:val="nil" w:sz="6" w:space="0" w:color="auto"/>
            </w:tcBorders>
          </w:tcPr>
          <w:p>
            <w:pPr/>
          </w:p>
        </w:tc>
        <w:tc>
          <w:tcPr>
            <w:tcW w:w="1647" w:type="dxa"/>
            <w:tcBorders>
              <w:top w:val="single" w:sz="4" w:space="0" w:color="000000"/>
              <w:left w:val="nil" w:sz="6" w:space="0" w:color="auto"/>
              <w:bottom w:val="nil" w:sz="6" w:space="0" w:color="auto"/>
              <w:right w:val="nil" w:sz="6" w:space="0" w:color="auto"/>
            </w:tcBorders>
          </w:tcPr>
          <w:p>
            <w:pPr>
              <w:pStyle w:val="TableParagraph"/>
              <w:spacing w:line="230" w:lineRule="exact"/>
              <w:ind w:right="0"/>
              <w:jc w:val="right"/>
              <w:rPr>
                <w:rFonts w:ascii="黑体" w:hAnsi="黑体" w:cs="黑体" w:eastAsia="黑体" w:hint="default"/>
                <w:sz w:val="20"/>
                <w:szCs w:val="20"/>
              </w:rPr>
            </w:pPr>
            <w:r>
              <w:rPr>
                <w:rFonts w:ascii="黑体" w:hAnsi="黑体" w:cs="黑体" w:eastAsia="黑体" w:hint="default"/>
                <w:w w:val="95"/>
                <w:sz w:val="20"/>
                <w:szCs w:val="20"/>
              </w:rPr>
              <w:t>整个存续期预期</w:t>
            </w:r>
            <w:r>
              <w:rPr>
                <w:rFonts w:ascii="黑体" w:hAnsi="黑体" w:cs="黑体" w:eastAsia="黑体" w:hint="default"/>
                <w:sz w:val="20"/>
                <w:szCs w:val="20"/>
              </w:rPr>
            </w:r>
          </w:p>
        </w:tc>
      </w:tr>
      <w:tr>
        <w:trPr>
          <w:trHeight w:val="475" w:hRule="exact"/>
        </w:trPr>
        <w:tc>
          <w:tcPr>
            <w:tcW w:w="2790" w:type="dxa"/>
            <w:tcBorders>
              <w:top w:val="nil" w:sz="6" w:space="0" w:color="auto"/>
              <w:left w:val="nil" w:sz="6" w:space="0" w:color="auto"/>
              <w:bottom w:val="nil" w:sz="6" w:space="0" w:color="auto"/>
              <w:right w:val="nil" w:sz="6" w:space="0" w:color="auto"/>
            </w:tcBorders>
          </w:tcPr>
          <w:p>
            <w:pPr/>
          </w:p>
        </w:tc>
        <w:tc>
          <w:tcPr>
            <w:tcW w:w="1846" w:type="dxa"/>
            <w:tcBorders>
              <w:top w:val="nil" w:sz="6" w:space="0" w:color="auto"/>
              <w:left w:val="nil" w:sz="6" w:space="0" w:color="auto"/>
              <w:bottom w:val="nil" w:sz="6" w:space="0" w:color="auto"/>
              <w:right w:val="nil" w:sz="6" w:space="0" w:color="auto"/>
            </w:tcBorders>
          </w:tcPr>
          <w:p>
            <w:pPr>
              <w:pStyle w:val="TableParagraph"/>
              <w:spacing w:line="229" w:lineRule="exact"/>
              <w:ind w:right="51"/>
              <w:jc w:val="right"/>
              <w:rPr>
                <w:rFonts w:ascii="黑体" w:hAnsi="黑体" w:cs="黑体" w:eastAsia="黑体" w:hint="default"/>
                <w:sz w:val="20"/>
                <w:szCs w:val="20"/>
              </w:rPr>
            </w:pPr>
            <w:r>
              <w:rPr>
                <w:rFonts w:ascii="黑体" w:hAnsi="黑体" w:cs="黑体" w:eastAsia="黑体" w:hint="default"/>
                <w:w w:val="95"/>
                <w:sz w:val="20"/>
                <w:szCs w:val="20"/>
              </w:rPr>
              <w:t>账面余额</w:t>
            </w:r>
            <w:r>
              <w:rPr>
                <w:rFonts w:ascii="黑体" w:hAnsi="黑体" w:cs="黑体" w:eastAsia="黑体" w:hint="default"/>
                <w:sz w:val="20"/>
                <w:szCs w:val="20"/>
              </w:rPr>
            </w:r>
          </w:p>
        </w:tc>
        <w:tc>
          <w:tcPr>
            <w:tcW w:w="2191" w:type="dxa"/>
            <w:tcBorders>
              <w:top w:val="nil" w:sz="6" w:space="0" w:color="auto"/>
              <w:left w:val="nil" w:sz="6" w:space="0" w:color="auto"/>
              <w:bottom w:val="nil" w:sz="6" w:space="0" w:color="auto"/>
              <w:right w:val="nil" w:sz="6" w:space="0" w:color="auto"/>
            </w:tcBorders>
          </w:tcPr>
          <w:p>
            <w:pPr>
              <w:pStyle w:val="TableParagraph"/>
              <w:spacing w:line="229" w:lineRule="exact"/>
              <w:ind w:right="536"/>
              <w:jc w:val="right"/>
              <w:rPr>
                <w:rFonts w:ascii="黑体" w:hAnsi="黑体" w:cs="黑体" w:eastAsia="黑体" w:hint="default"/>
                <w:sz w:val="20"/>
                <w:szCs w:val="20"/>
              </w:rPr>
            </w:pPr>
            <w:r>
              <w:rPr>
                <w:rFonts w:ascii="黑体" w:hAnsi="黑体" w:cs="黑体" w:eastAsia="黑体" w:hint="default"/>
                <w:w w:val="95"/>
                <w:sz w:val="20"/>
                <w:szCs w:val="20"/>
              </w:rPr>
              <w:t>预期信用度损失率</w:t>
            </w:r>
            <w:r>
              <w:rPr>
                <w:rFonts w:ascii="黑体" w:hAnsi="黑体" w:cs="黑体" w:eastAsia="黑体" w:hint="default"/>
                <w:sz w:val="20"/>
                <w:szCs w:val="20"/>
              </w:rPr>
            </w:r>
          </w:p>
        </w:tc>
        <w:tc>
          <w:tcPr>
            <w:tcW w:w="1647" w:type="dxa"/>
            <w:tcBorders>
              <w:top w:val="nil" w:sz="6" w:space="0" w:color="auto"/>
              <w:left w:val="nil" w:sz="6" w:space="0" w:color="auto"/>
              <w:bottom w:val="nil" w:sz="6" w:space="0" w:color="auto"/>
              <w:right w:val="nil" w:sz="6" w:space="0" w:color="auto"/>
            </w:tcBorders>
          </w:tcPr>
          <w:p>
            <w:pPr>
              <w:pStyle w:val="TableParagraph"/>
              <w:spacing w:line="229" w:lineRule="exact"/>
              <w:ind w:right="0"/>
              <w:jc w:val="right"/>
              <w:rPr>
                <w:rFonts w:ascii="黑体" w:hAnsi="黑体" w:cs="黑体" w:eastAsia="黑体" w:hint="default"/>
                <w:sz w:val="20"/>
                <w:szCs w:val="20"/>
              </w:rPr>
            </w:pPr>
            <w:r>
              <w:rPr>
                <w:rFonts w:ascii="黑体" w:hAnsi="黑体" w:cs="黑体" w:eastAsia="黑体" w:hint="default"/>
                <w:w w:val="95"/>
                <w:sz w:val="20"/>
                <w:szCs w:val="20"/>
              </w:rPr>
              <w:t>信用损失</w:t>
            </w:r>
            <w:r>
              <w:rPr>
                <w:rFonts w:ascii="黑体" w:hAnsi="黑体" w:cs="黑体" w:eastAsia="黑体" w:hint="default"/>
                <w:sz w:val="20"/>
                <w:szCs w:val="20"/>
              </w:rPr>
            </w:r>
          </w:p>
        </w:tc>
      </w:tr>
      <w:tr>
        <w:trPr>
          <w:trHeight w:val="586" w:hRule="exact"/>
        </w:trPr>
        <w:tc>
          <w:tcPr>
            <w:tcW w:w="27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4"/>
                <w:szCs w:val="14"/>
              </w:rPr>
            </w:pPr>
          </w:p>
          <w:p>
            <w:pPr>
              <w:pStyle w:val="TableParagraph"/>
              <w:spacing w:line="240" w:lineRule="auto"/>
              <w:ind w:left="200"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年以内</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8"/>
                <w:szCs w:val="18"/>
              </w:rPr>
            </w:pPr>
          </w:p>
          <w:p>
            <w:pPr>
              <w:pStyle w:val="TableParagraph"/>
              <w:spacing w:line="240" w:lineRule="auto"/>
              <w:ind w:right="51"/>
              <w:jc w:val="right"/>
              <w:rPr>
                <w:rFonts w:ascii="Arial" w:hAnsi="Arial" w:cs="Arial" w:eastAsia="Arial" w:hint="default"/>
                <w:sz w:val="20"/>
                <w:szCs w:val="20"/>
              </w:rPr>
            </w:pPr>
            <w:r>
              <w:rPr>
                <w:rFonts w:ascii="Arial"/>
                <w:spacing w:val="-1"/>
                <w:sz w:val="20"/>
              </w:rPr>
              <w:t>972,022,831</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8"/>
                <w:szCs w:val="18"/>
              </w:rPr>
            </w:pPr>
          </w:p>
          <w:p>
            <w:pPr>
              <w:pStyle w:val="TableParagraph"/>
              <w:spacing w:line="240" w:lineRule="auto"/>
              <w:ind w:right="536"/>
              <w:jc w:val="right"/>
              <w:rPr>
                <w:rFonts w:ascii="Arial" w:hAnsi="Arial" w:cs="Arial" w:eastAsia="Arial" w:hint="default"/>
                <w:sz w:val="20"/>
                <w:szCs w:val="20"/>
              </w:rPr>
            </w:pPr>
            <w:r>
              <w:rPr>
                <w:rFonts w:ascii="Arial"/>
                <w:spacing w:val="-1"/>
                <w:w w:val="95"/>
                <w:sz w:val="20"/>
              </w:rPr>
              <w:t>7%</w:t>
            </w:r>
            <w:r>
              <w:rPr>
                <w:rFonts w:ascii="Arial"/>
                <w:sz w:val="20"/>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8"/>
                <w:szCs w:val="18"/>
              </w:rPr>
            </w:pPr>
          </w:p>
          <w:p>
            <w:pPr>
              <w:pStyle w:val="TableParagraph"/>
              <w:spacing w:line="240" w:lineRule="auto"/>
              <w:ind w:right="0"/>
              <w:jc w:val="right"/>
              <w:rPr>
                <w:rFonts w:ascii="Arial" w:hAnsi="Arial" w:cs="Arial" w:eastAsia="Arial" w:hint="default"/>
                <w:sz w:val="20"/>
                <w:szCs w:val="20"/>
              </w:rPr>
            </w:pPr>
            <w:r>
              <w:rPr>
                <w:rFonts w:ascii="Arial"/>
                <w:w w:val="95"/>
                <w:sz w:val="20"/>
              </w:rPr>
              <w:t>67,033,988</w:t>
            </w:r>
            <w:r>
              <w:rPr>
                <w:rFonts w:ascii="Arial"/>
                <w:sz w:val="20"/>
              </w:rPr>
            </w:r>
          </w:p>
        </w:tc>
      </w:tr>
      <w:tr>
        <w:trPr>
          <w:trHeight w:val="461" w:hRule="exact"/>
        </w:trPr>
        <w:tc>
          <w:tcPr>
            <w:tcW w:w="279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00" w:right="0"/>
              <w:jc w:val="left"/>
              <w:rPr>
                <w:rFonts w:ascii="黑体" w:hAnsi="黑体" w:cs="黑体" w:eastAsia="黑体" w:hint="default"/>
                <w:sz w:val="20"/>
                <w:szCs w:val="20"/>
              </w:rPr>
            </w:pPr>
            <w:r>
              <w:rPr>
                <w:rFonts w:ascii="Arial" w:hAnsi="Arial" w:cs="Arial" w:eastAsia="Arial" w:hint="default"/>
                <w:sz w:val="20"/>
                <w:szCs w:val="20"/>
              </w:rPr>
              <w:t>1</w:t>
            </w:r>
            <w:r>
              <w:rPr>
                <w:rFonts w:ascii="黑体" w:hAnsi="黑体" w:cs="黑体" w:eastAsia="黑体" w:hint="default"/>
                <w:sz w:val="20"/>
                <w:szCs w:val="20"/>
              </w:rPr>
              <w:t>年至</w:t>
            </w:r>
            <w:r>
              <w:rPr>
                <w:rFonts w:ascii="Arial" w:hAnsi="Arial" w:cs="Arial" w:eastAsia="Arial" w:hint="default"/>
                <w:sz w:val="20"/>
                <w:szCs w:val="20"/>
              </w:rPr>
              <w:t>2</w:t>
            </w:r>
            <w:r>
              <w:rPr>
                <w:rFonts w:ascii="黑体" w:hAnsi="黑体" w:cs="黑体" w:eastAsia="黑体" w:hint="default"/>
                <w:sz w:val="20"/>
                <w:szCs w:val="20"/>
              </w:rPr>
              <w:t>年</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1"/>
              <w:jc w:val="right"/>
              <w:rPr>
                <w:rFonts w:ascii="Arial" w:hAnsi="Arial" w:cs="Arial" w:eastAsia="Arial" w:hint="default"/>
                <w:sz w:val="20"/>
                <w:szCs w:val="20"/>
              </w:rPr>
            </w:pPr>
            <w:r>
              <w:rPr>
                <w:rFonts w:ascii="Arial"/>
                <w:spacing w:val="-1"/>
                <w:sz w:val="20"/>
              </w:rPr>
              <w:t>251,709,827</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38"/>
              <w:jc w:val="right"/>
              <w:rPr>
                <w:rFonts w:ascii="Arial" w:hAnsi="Arial" w:cs="Arial" w:eastAsia="Arial" w:hint="default"/>
                <w:sz w:val="20"/>
                <w:szCs w:val="20"/>
              </w:rPr>
            </w:pPr>
            <w:r>
              <w:rPr>
                <w:rFonts w:ascii="Arial"/>
                <w:spacing w:val="-1"/>
                <w:w w:val="95"/>
                <w:sz w:val="20"/>
              </w:rPr>
              <w:t>25%</w:t>
            </w:r>
            <w:r>
              <w:rPr>
                <w:rFonts w:ascii="Arial"/>
                <w:sz w:val="20"/>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0"/>
              <w:jc w:val="right"/>
              <w:rPr>
                <w:rFonts w:ascii="Arial" w:hAnsi="Arial" w:cs="Arial" w:eastAsia="Arial" w:hint="default"/>
                <w:sz w:val="20"/>
                <w:szCs w:val="20"/>
              </w:rPr>
            </w:pPr>
            <w:r>
              <w:rPr>
                <w:rFonts w:ascii="Arial"/>
                <w:w w:val="95"/>
                <w:sz w:val="20"/>
              </w:rPr>
              <w:t>63,928,901</w:t>
            </w:r>
            <w:r>
              <w:rPr>
                <w:rFonts w:ascii="Arial"/>
                <w:sz w:val="20"/>
              </w:rPr>
            </w:r>
          </w:p>
        </w:tc>
      </w:tr>
      <w:tr>
        <w:trPr>
          <w:trHeight w:val="460" w:hRule="exact"/>
        </w:trPr>
        <w:tc>
          <w:tcPr>
            <w:tcW w:w="279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00" w:right="0"/>
              <w:jc w:val="left"/>
              <w:rPr>
                <w:rFonts w:ascii="黑体" w:hAnsi="黑体" w:cs="黑体" w:eastAsia="黑体" w:hint="default"/>
                <w:sz w:val="20"/>
                <w:szCs w:val="20"/>
              </w:rPr>
            </w:pPr>
            <w:r>
              <w:rPr>
                <w:rFonts w:ascii="Arial" w:hAnsi="Arial" w:cs="Arial" w:eastAsia="Arial" w:hint="default"/>
                <w:sz w:val="20"/>
                <w:szCs w:val="20"/>
              </w:rPr>
              <w:t>2</w:t>
            </w:r>
            <w:r>
              <w:rPr>
                <w:rFonts w:ascii="黑体" w:hAnsi="黑体" w:cs="黑体" w:eastAsia="黑体" w:hint="default"/>
                <w:sz w:val="20"/>
                <w:szCs w:val="20"/>
              </w:rPr>
              <w:t>年至</w:t>
            </w:r>
            <w:r>
              <w:rPr>
                <w:rFonts w:ascii="Arial" w:hAnsi="Arial" w:cs="Arial" w:eastAsia="Arial" w:hint="default"/>
                <w:sz w:val="20"/>
                <w:szCs w:val="20"/>
              </w:rPr>
              <w:t>3</w:t>
            </w:r>
            <w:r>
              <w:rPr>
                <w:rFonts w:ascii="黑体" w:hAnsi="黑体" w:cs="黑体" w:eastAsia="黑体" w:hint="default"/>
                <w:sz w:val="20"/>
                <w:szCs w:val="20"/>
              </w:rPr>
              <w:t>年</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51"/>
              <w:jc w:val="right"/>
              <w:rPr>
                <w:rFonts w:ascii="Arial" w:hAnsi="Arial" w:cs="Arial" w:eastAsia="Arial" w:hint="default"/>
                <w:sz w:val="20"/>
                <w:szCs w:val="20"/>
              </w:rPr>
            </w:pPr>
            <w:r>
              <w:rPr>
                <w:rFonts w:ascii="Arial"/>
                <w:spacing w:val="-1"/>
                <w:sz w:val="20"/>
              </w:rPr>
              <w:t>150,653,317</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538"/>
              <w:jc w:val="right"/>
              <w:rPr>
                <w:rFonts w:ascii="Arial" w:hAnsi="Arial" w:cs="Arial" w:eastAsia="Arial" w:hint="default"/>
                <w:sz w:val="20"/>
                <w:szCs w:val="20"/>
              </w:rPr>
            </w:pPr>
            <w:r>
              <w:rPr>
                <w:rFonts w:ascii="Arial"/>
                <w:spacing w:val="-1"/>
                <w:w w:val="95"/>
                <w:sz w:val="20"/>
              </w:rPr>
              <w:t>45%</w:t>
            </w:r>
            <w:r>
              <w:rPr>
                <w:rFonts w:ascii="Arial"/>
                <w:sz w:val="20"/>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0"/>
              <w:jc w:val="right"/>
              <w:rPr>
                <w:rFonts w:ascii="Arial" w:hAnsi="Arial" w:cs="Arial" w:eastAsia="Arial" w:hint="default"/>
                <w:sz w:val="20"/>
                <w:szCs w:val="20"/>
              </w:rPr>
            </w:pPr>
            <w:r>
              <w:rPr>
                <w:rFonts w:ascii="Arial"/>
                <w:w w:val="95"/>
                <w:sz w:val="20"/>
              </w:rPr>
              <w:t>67,537,176</w:t>
            </w:r>
            <w:r>
              <w:rPr>
                <w:rFonts w:ascii="Arial"/>
                <w:sz w:val="20"/>
              </w:rPr>
            </w:r>
          </w:p>
        </w:tc>
      </w:tr>
      <w:tr>
        <w:trPr>
          <w:trHeight w:val="460" w:hRule="exact"/>
        </w:trPr>
        <w:tc>
          <w:tcPr>
            <w:tcW w:w="279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00" w:right="0"/>
              <w:jc w:val="left"/>
              <w:rPr>
                <w:rFonts w:ascii="黑体" w:hAnsi="黑体" w:cs="黑体" w:eastAsia="黑体" w:hint="default"/>
                <w:sz w:val="20"/>
                <w:szCs w:val="20"/>
              </w:rPr>
            </w:pPr>
            <w:r>
              <w:rPr>
                <w:rFonts w:ascii="Arial" w:hAnsi="Arial" w:cs="Arial" w:eastAsia="Arial" w:hint="default"/>
                <w:sz w:val="20"/>
                <w:szCs w:val="20"/>
              </w:rPr>
              <w:t>3</w:t>
            </w:r>
            <w:r>
              <w:rPr>
                <w:rFonts w:ascii="黑体" w:hAnsi="黑体" w:cs="黑体" w:eastAsia="黑体" w:hint="default"/>
                <w:sz w:val="20"/>
                <w:szCs w:val="20"/>
              </w:rPr>
              <w:t>年至</w:t>
            </w:r>
            <w:r>
              <w:rPr>
                <w:rFonts w:ascii="Arial" w:hAnsi="Arial" w:cs="Arial" w:eastAsia="Arial" w:hint="default"/>
                <w:sz w:val="20"/>
                <w:szCs w:val="20"/>
              </w:rPr>
              <w:t>4</w:t>
            </w:r>
            <w:r>
              <w:rPr>
                <w:rFonts w:ascii="黑体" w:hAnsi="黑体" w:cs="黑体" w:eastAsia="黑体" w:hint="default"/>
                <w:sz w:val="20"/>
                <w:szCs w:val="20"/>
              </w:rPr>
              <w:t>年</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51"/>
              <w:jc w:val="right"/>
              <w:rPr>
                <w:rFonts w:ascii="Arial" w:hAnsi="Arial" w:cs="Arial" w:eastAsia="Arial" w:hint="default"/>
                <w:sz w:val="20"/>
                <w:szCs w:val="20"/>
              </w:rPr>
            </w:pPr>
            <w:r>
              <w:rPr>
                <w:rFonts w:ascii="Arial"/>
                <w:spacing w:val="-1"/>
                <w:sz w:val="20"/>
              </w:rPr>
              <w:t>119,191,928</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538"/>
              <w:jc w:val="right"/>
              <w:rPr>
                <w:rFonts w:ascii="Arial" w:hAnsi="Arial" w:cs="Arial" w:eastAsia="Arial" w:hint="default"/>
                <w:sz w:val="20"/>
                <w:szCs w:val="20"/>
              </w:rPr>
            </w:pPr>
            <w:r>
              <w:rPr>
                <w:rFonts w:ascii="Arial"/>
                <w:spacing w:val="-1"/>
                <w:w w:val="95"/>
                <w:sz w:val="20"/>
              </w:rPr>
              <w:t>61%</w:t>
            </w:r>
            <w:r>
              <w:rPr>
                <w:rFonts w:ascii="Arial"/>
                <w:sz w:val="20"/>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0"/>
              <w:jc w:val="right"/>
              <w:rPr>
                <w:rFonts w:ascii="Arial" w:hAnsi="Arial" w:cs="Arial" w:eastAsia="Arial" w:hint="default"/>
                <w:sz w:val="20"/>
                <w:szCs w:val="20"/>
              </w:rPr>
            </w:pPr>
            <w:r>
              <w:rPr>
                <w:rFonts w:ascii="Arial"/>
                <w:w w:val="95"/>
                <w:sz w:val="20"/>
              </w:rPr>
              <w:t>72,726,702</w:t>
            </w:r>
            <w:r>
              <w:rPr>
                <w:rFonts w:ascii="Arial"/>
                <w:sz w:val="20"/>
              </w:rPr>
            </w:r>
          </w:p>
        </w:tc>
      </w:tr>
      <w:tr>
        <w:trPr>
          <w:trHeight w:val="360" w:hRule="exact"/>
        </w:trPr>
        <w:tc>
          <w:tcPr>
            <w:tcW w:w="279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00" w:right="0"/>
              <w:jc w:val="left"/>
              <w:rPr>
                <w:rFonts w:ascii="黑体" w:hAnsi="黑体" w:cs="黑体" w:eastAsia="黑体" w:hint="default"/>
                <w:sz w:val="20"/>
                <w:szCs w:val="20"/>
              </w:rPr>
            </w:pPr>
            <w:r>
              <w:rPr>
                <w:rFonts w:ascii="Arial" w:hAnsi="Arial" w:cs="Arial" w:eastAsia="Arial" w:hint="default"/>
                <w:sz w:val="20"/>
                <w:szCs w:val="20"/>
              </w:rPr>
              <w:t>4</w:t>
            </w:r>
            <w:r>
              <w:rPr>
                <w:rFonts w:ascii="黑体" w:hAnsi="黑体" w:cs="黑体" w:eastAsia="黑体" w:hint="default"/>
                <w:sz w:val="20"/>
                <w:szCs w:val="20"/>
              </w:rPr>
              <w:t>年至</w:t>
            </w:r>
            <w:r>
              <w:rPr>
                <w:rFonts w:ascii="Arial" w:hAnsi="Arial" w:cs="Arial" w:eastAsia="Arial" w:hint="default"/>
                <w:sz w:val="20"/>
                <w:szCs w:val="20"/>
              </w:rPr>
              <w:t>5</w:t>
            </w:r>
            <w:r>
              <w:rPr>
                <w:rFonts w:ascii="黑体" w:hAnsi="黑体" w:cs="黑体" w:eastAsia="黑体" w:hint="default"/>
                <w:sz w:val="20"/>
                <w:szCs w:val="20"/>
              </w:rPr>
              <w:t>年</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0"/>
              <w:jc w:val="right"/>
              <w:rPr>
                <w:rFonts w:ascii="Arial" w:hAnsi="Arial" w:cs="Arial" w:eastAsia="Arial" w:hint="default"/>
                <w:sz w:val="20"/>
                <w:szCs w:val="20"/>
              </w:rPr>
            </w:pPr>
            <w:r>
              <w:rPr>
                <w:rFonts w:ascii="Arial"/>
                <w:w w:val="95"/>
                <w:sz w:val="20"/>
              </w:rPr>
              <w:t>80,364,461</w:t>
            </w:r>
            <w:r>
              <w:rPr>
                <w:rFonts w:ascii="Arial"/>
                <w:sz w:val="20"/>
              </w:rPr>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38"/>
              <w:jc w:val="right"/>
              <w:rPr>
                <w:rFonts w:ascii="Arial" w:hAnsi="Arial" w:cs="Arial" w:eastAsia="Arial" w:hint="default"/>
                <w:sz w:val="20"/>
                <w:szCs w:val="20"/>
              </w:rPr>
            </w:pPr>
            <w:r>
              <w:rPr>
                <w:rFonts w:ascii="Arial"/>
                <w:spacing w:val="-1"/>
                <w:w w:val="95"/>
                <w:sz w:val="20"/>
              </w:rPr>
              <w:t>85%</w:t>
            </w:r>
            <w:r>
              <w:rPr>
                <w:rFonts w:ascii="Arial"/>
                <w:sz w:val="20"/>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0"/>
              <w:jc w:val="right"/>
              <w:rPr>
                <w:rFonts w:ascii="Arial" w:hAnsi="Arial" w:cs="Arial" w:eastAsia="Arial" w:hint="default"/>
                <w:sz w:val="20"/>
                <w:szCs w:val="20"/>
              </w:rPr>
            </w:pPr>
            <w:r>
              <w:rPr>
                <w:rFonts w:ascii="Arial"/>
                <w:w w:val="95"/>
                <w:sz w:val="20"/>
              </w:rPr>
              <w:t>68,504,628</w:t>
            </w:r>
            <w:r>
              <w:rPr>
                <w:rFonts w:ascii="Arial"/>
                <w:sz w:val="20"/>
              </w:rPr>
            </w:r>
          </w:p>
        </w:tc>
      </w:tr>
      <w:tr>
        <w:trPr>
          <w:trHeight w:val="486" w:hRule="exact"/>
        </w:trPr>
        <w:tc>
          <w:tcPr>
            <w:tcW w:w="2790" w:type="dxa"/>
            <w:tcBorders>
              <w:top w:val="nil" w:sz="6" w:space="0" w:color="auto"/>
              <w:left w:val="nil" w:sz="6" w:space="0" w:color="auto"/>
              <w:bottom w:val="nil" w:sz="6" w:space="0" w:color="auto"/>
              <w:right w:val="nil" w:sz="6" w:space="0" w:color="auto"/>
            </w:tcBorders>
          </w:tcPr>
          <w:p>
            <w:pPr>
              <w:pStyle w:val="TableParagraph"/>
              <w:spacing w:line="232" w:lineRule="exact"/>
              <w:ind w:left="200" w:right="0"/>
              <w:jc w:val="left"/>
              <w:rPr>
                <w:rFonts w:ascii="黑体" w:hAnsi="黑体" w:cs="黑体" w:eastAsia="黑体" w:hint="default"/>
                <w:sz w:val="20"/>
                <w:szCs w:val="20"/>
              </w:rPr>
            </w:pPr>
            <w:r>
              <w:rPr>
                <w:rFonts w:ascii="Arial" w:hAnsi="Arial" w:cs="Arial" w:eastAsia="Arial" w:hint="default"/>
                <w:sz w:val="20"/>
                <w:szCs w:val="20"/>
              </w:rPr>
              <w:t>5</w:t>
            </w:r>
            <w:r>
              <w:rPr>
                <w:rFonts w:ascii="黑体" w:hAnsi="黑体" w:cs="黑体" w:eastAsia="黑体" w:hint="default"/>
                <w:sz w:val="20"/>
                <w:szCs w:val="20"/>
              </w:rPr>
              <w:t>年以上</w:t>
            </w:r>
          </w:p>
        </w:tc>
        <w:tc>
          <w:tcPr>
            <w:tcW w:w="1846" w:type="dxa"/>
            <w:tcBorders>
              <w:top w:val="nil" w:sz="6" w:space="0" w:color="auto"/>
              <w:left w:val="nil" w:sz="6" w:space="0" w:color="auto"/>
              <w:bottom w:val="nil" w:sz="6" w:space="0" w:color="auto"/>
              <w:right w:val="nil" w:sz="6" w:space="0" w:color="auto"/>
            </w:tcBorders>
          </w:tcPr>
          <w:p>
            <w:pPr>
              <w:pStyle w:val="TableParagraph"/>
              <w:tabs>
                <w:tab w:pos="302" w:val="left" w:leader="none"/>
              </w:tabs>
              <w:spacing w:line="240" w:lineRule="auto" w:before="16"/>
              <w:ind w:right="50"/>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r>
            <w:r>
              <w:rPr>
                <w:rFonts w:ascii="Arial"/>
                <w:spacing w:val="-1"/>
                <w:w w:val="95"/>
                <w:sz w:val="20"/>
                <w:u w:val="single" w:color="000000"/>
              </w:rPr>
              <w:t>153,315,696</w:t>
            </w:r>
            <w:r>
              <w:rPr>
                <w:rFonts w:ascii="Arial"/>
                <w:spacing w:val="-1"/>
                <w:w w:val="95"/>
                <w:sz w:val="20"/>
              </w:rPr>
            </w:r>
            <w:r>
              <w:rPr>
                <w:rFonts w:ascii="Arial"/>
                <w:sz w:val="20"/>
              </w:rPr>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38"/>
              <w:jc w:val="right"/>
              <w:rPr>
                <w:rFonts w:ascii="Arial" w:hAnsi="Arial" w:cs="Arial" w:eastAsia="Arial" w:hint="default"/>
                <w:sz w:val="20"/>
                <w:szCs w:val="20"/>
              </w:rPr>
            </w:pPr>
            <w:r>
              <w:rPr>
                <w:rFonts w:ascii="Arial"/>
                <w:spacing w:val="-1"/>
                <w:w w:val="95"/>
                <w:sz w:val="20"/>
              </w:rPr>
              <w:t>100%</w:t>
            </w:r>
            <w:r>
              <w:rPr>
                <w:rFonts w:ascii="Arial"/>
                <w:sz w:val="20"/>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20"/>
                <w:szCs w:val="20"/>
              </w:rPr>
            </w:pPr>
            <w:r>
              <w:rPr>
                <w:rFonts w:ascii="Arial"/>
                <w:w w:val="99"/>
                <w:sz w:val="20"/>
              </w:rPr>
            </w:r>
            <w:r>
              <w:rPr>
                <w:rFonts w:ascii="Arial"/>
                <w:spacing w:val="-1"/>
                <w:sz w:val="20"/>
                <w:u w:val="single" w:color="000000"/>
              </w:rPr>
              <w:t>153,315,696</w:t>
            </w:r>
            <w:r>
              <w:rPr>
                <w:rFonts w:ascii="Arial"/>
                <w:spacing w:val="-1"/>
                <w:sz w:val="20"/>
              </w:rPr>
            </w:r>
          </w:p>
        </w:tc>
      </w:tr>
      <w:tr>
        <w:trPr>
          <w:trHeight w:val="444" w:hRule="exact"/>
        </w:trPr>
        <w:tc>
          <w:tcPr>
            <w:tcW w:w="2790" w:type="dxa"/>
            <w:tcBorders>
              <w:top w:val="nil" w:sz="6" w:space="0" w:color="auto"/>
              <w:left w:val="nil" w:sz="6" w:space="0" w:color="auto"/>
              <w:bottom w:val="nil" w:sz="6" w:space="0" w:color="auto"/>
              <w:right w:val="nil" w:sz="6" w:space="0" w:color="auto"/>
            </w:tcBorders>
          </w:tcPr>
          <w:p>
            <w:pP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6"/>
                <w:szCs w:val="16"/>
              </w:rPr>
            </w:pPr>
          </w:p>
          <w:p>
            <w:pPr>
              <w:pStyle w:val="TableParagraph"/>
              <w:spacing w:line="240" w:lineRule="auto"/>
              <w:ind w:right="52"/>
              <w:jc w:val="right"/>
              <w:rPr>
                <w:rFonts w:ascii="Arial" w:hAnsi="Arial" w:cs="Arial" w:eastAsia="Arial" w:hint="default"/>
                <w:sz w:val="20"/>
                <w:szCs w:val="20"/>
              </w:rPr>
            </w:pPr>
            <w:r>
              <w:rPr>
                <w:rFonts w:ascii="Arial"/>
                <w:w w:val="99"/>
                <w:sz w:val="20"/>
              </w:rPr>
            </w:r>
            <w:r>
              <w:rPr>
                <w:rFonts w:ascii="Arial"/>
                <w:w w:val="95"/>
                <w:sz w:val="20"/>
                <w:u w:val="thick" w:color="000000"/>
              </w:rPr>
              <w:t>1,727,258,060</w:t>
            </w:r>
            <w:r>
              <w:rPr>
                <w:rFonts w:ascii="Arial"/>
                <w:w w:val="95"/>
                <w:sz w:val="20"/>
              </w:rPr>
            </w:r>
            <w:r>
              <w:rPr>
                <w:rFonts w:ascii="Arial"/>
                <w:sz w:val="20"/>
              </w:rPr>
            </w:r>
          </w:p>
        </w:tc>
        <w:tc>
          <w:tcPr>
            <w:tcW w:w="2191" w:type="dxa"/>
            <w:tcBorders>
              <w:top w:val="nil" w:sz="6" w:space="0" w:color="auto"/>
              <w:left w:val="nil" w:sz="6" w:space="0" w:color="auto"/>
              <w:bottom w:val="nil" w:sz="6" w:space="0" w:color="auto"/>
              <w:right w:val="nil" w:sz="6" w:space="0" w:color="auto"/>
            </w:tcBorders>
          </w:tcPr>
          <w:p>
            <w:pP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6"/>
                <w:szCs w:val="16"/>
              </w:rPr>
            </w:pPr>
          </w:p>
          <w:p>
            <w:pPr>
              <w:pStyle w:val="TableParagraph"/>
              <w:spacing w:line="240" w:lineRule="auto"/>
              <w:ind w:right="0"/>
              <w:jc w:val="right"/>
              <w:rPr>
                <w:rFonts w:ascii="Arial" w:hAnsi="Arial" w:cs="Arial" w:eastAsia="Arial" w:hint="default"/>
                <w:sz w:val="20"/>
                <w:szCs w:val="20"/>
              </w:rPr>
            </w:pPr>
            <w:r>
              <w:rPr>
                <w:rFonts w:ascii="Arial"/>
                <w:w w:val="99"/>
                <w:sz w:val="20"/>
              </w:rPr>
            </w:r>
            <w:r>
              <w:rPr>
                <w:rFonts w:ascii="Arial"/>
                <w:spacing w:val="-1"/>
                <w:sz w:val="20"/>
                <w:u w:val="thick" w:color="000000"/>
              </w:rPr>
              <w:t>493,047,091</w:t>
            </w:r>
            <w:r>
              <w:rPr>
                <w:rFonts w:ascii="Arial"/>
                <w:spacing w:val="-1"/>
                <w:sz w:val="20"/>
              </w:rPr>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19"/>
          <w:szCs w:val="19"/>
        </w:rPr>
      </w:pPr>
    </w:p>
    <w:p>
      <w:pPr>
        <w:spacing w:after="0" w:line="240" w:lineRule="auto"/>
        <w:rPr>
          <w:rFonts w:ascii="黑体" w:hAnsi="黑体" w:cs="黑体" w:eastAsia="黑体" w:hint="default"/>
          <w:sz w:val="19"/>
          <w:szCs w:val="19"/>
        </w:rPr>
        <w:sectPr>
          <w:pgSz w:w="11910" w:h="16840"/>
          <w:pgMar w:header="882" w:footer="1195" w:top="1080" w:bottom="1380" w:left="960" w:right="1560"/>
        </w:sectPr>
      </w:pPr>
    </w:p>
    <w:p>
      <w:pPr>
        <w:pStyle w:val="Heading2"/>
        <w:tabs>
          <w:tab w:pos="1157" w:val="left" w:leader="none"/>
        </w:tabs>
        <w:spacing w:line="240" w:lineRule="auto" w:before="26"/>
        <w:ind w:left="316" w:right="0"/>
        <w:jc w:val="left"/>
        <w:rPr>
          <w:rFonts w:ascii="宋体" w:hAnsi="宋体" w:cs="宋体" w:eastAsia="宋体" w:hint="default"/>
          <w:b w:val="0"/>
          <w:bCs w:val="0"/>
        </w:rPr>
      </w:pPr>
      <w:r>
        <w:rPr>
          <w:rFonts w:ascii="宋体" w:hAnsi="宋体" w:cs="宋体" w:eastAsia="宋体" w:hint="default"/>
        </w:rPr>
        <w:t>(3).</w:t>
        <w:tab/>
      </w:r>
      <w:r>
        <w:rPr/>
        <w:t>坏账准备的情况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31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516" w:val="left" w:leader="none"/>
        </w:tabs>
        <w:spacing w:line="240" w:lineRule="auto"/>
        <w:ind w:left="316" w:right="0"/>
        <w:jc w:val="left"/>
      </w:pPr>
      <w:r>
        <w:rPr/>
        <w:t>单位：元</w:t>
        <w:tab/>
        <w:t>币种：人民币</w:t>
      </w:r>
    </w:p>
    <w:p>
      <w:pPr>
        <w:spacing w:after="0" w:line="240" w:lineRule="auto"/>
        <w:jc w:val="left"/>
        <w:sectPr>
          <w:type w:val="continuous"/>
          <w:pgSz w:w="11910" w:h="16840"/>
          <w:pgMar w:top="1120" w:bottom="1380" w:left="960" w:right="1560"/>
          <w:cols w:num="2" w:equalWidth="0">
            <w:col w:w="2965" w:space="3228"/>
            <w:col w:w="3197"/>
          </w:cols>
        </w:sectPr>
      </w:pPr>
    </w:p>
    <w:p>
      <w:pPr>
        <w:spacing w:line="240" w:lineRule="auto" w:before="12"/>
        <w:rPr>
          <w:rFonts w:ascii="宋体" w:hAnsi="宋体" w:cs="宋体" w:eastAsia="宋体" w:hint="default"/>
          <w:sz w:val="2"/>
          <w:szCs w:val="2"/>
        </w:rPr>
      </w:pPr>
    </w:p>
    <w:tbl>
      <w:tblPr>
        <w:tblW w:w="0" w:type="auto"/>
        <w:jc w:val="left"/>
        <w:tblInd w:w="199" w:type="dxa"/>
        <w:tblLayout w:type="fixed"/>
        <w:tblCellMar>
          <w:top w:w="0" w:type="dxa"/>
          <w:left w:w="0" w:type="dxa"/>
          <w:bottom w:w="0" w:type="dxa"/>
          <w:right w:w="0" w:type="dxa"/>
        </w:tblCellMar>
        <w:tblLook w:val="01E0"/>
      </w:tblPr>
      <w:tblGrid>
        <w:gridCol w:w="1200"/>
        <w:gridCol w:w="1464"/>
        <w:gridCol w:w="4933"/>
        <w:gridCol w:w="1465"/>
      </w:tblGrid>
      <w:tr>
        <w:trPr>
          <w:trHeight w:val="32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5" w:right="0"/>
              <w:jc w:val="left"/>
              <w:rPr>
                <w:rFonts w:ascii="宋体" w:hAnsi="宋体" w:cs="宋体" w:eastAsia="宋体" w:hint="default"/>
                <w:sz w:val="24"/>
                <w:szCs w:val="24"/>
              </w:rPr>
            </w:pPr>
            <w:r>
              <w:rPr>
                <w:rFonts w:ascii="宋体" w:hAnsi="宋体" w:cs="宋体" w:eastAsia="宋体" w:hint="default"/>
                <w:sz w:val="24"/>
                <w:szCs w:val="24"/>
              </w:rPr>
              <w:t>类别</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7"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49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本期变动金额</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4" w:right="0"/>
              <w:jc w:val="left"/>
              <w:rPr>
                <w:rFonts w:ascii="宋体" w:hAnsi="宋体" w:cs="宋体" w:eastAsia="宋体" w:hint="default"/>
                <w:sz w:val="24"/>
                <w:szCs w:val="24"/>
              </w:rPr>
            </w:pPr>
            <w:r>
              <w:rPr>
                <w:rFonts w:ascii="宋体" w:hAnsi="宋体" w:cs="宋体" w:eastAsia="宋体" w:hint="default"/>
                <w:sz w:val="24"/>
                <w:szCs w:val="24"/>
              </w:rPr>
              <w:t>期末余额</w:t>
            </w:r>
          </w:p>
        </w:tc>
      </w:tr>
    </w:tbl>
    <w:p>
      <w:pPr>
        <w:spacing w:after="0" w:line="274" w:lineRule="exact"/>
        <w:jc w:val="left"/>
        <w:rPr>
          <w:rFonts w:ascii="宋体" w:hAnsi="宋体" w:cs="宋体" w:eastAsia="宋体" w:hint="default"/>
          <w:sz w:val="24"/>
          <w:szCs w:val="24"/>
        </w:rPr>
        <w:sectPr>
          <w:type w:val="continuous"/>
          <w:pgSz w:w="11910" w:h="16840"/>
          <w:pgMar w:top="1120" w:bottom="1380" w:left="960" w:right="1560"/>
        </w:sectPr>
      </w:pPr>
    </w:p>
    <w:p>
      <w:pPr>
        <w:spacing w:line="240" w:lineRule="auto" w:before="5"/>
        <w:rPr>
          <w:rFonts w:ascii="宋体" w:hAnsi="宋体" w:cs="宋体" w:eastAsia="宋体" w:hint="default"/>
          <w:sz w:val="27"/>
          <w:szCs w:val="27"/>
        </w:rPr>
      </w:pPr>
    </w:p>
    <w:tbl>
      <w:tblPr>
        <w:tblW w:w="0" w:type="auto"/>
        <w:jc w:val="left"/>
        <w:tblInd w:w="279" w:type="dxa"/>
        <w:tblLayout w:type="fixed"/>
        <w:tblCellMar>
          <w:top w:w="0" w:type="dxa"/>
          <w:left w:w="0" w:type="dxa"/>
          <w:bottom w:w="0" w:type="dxa"/>
          <w:right w:w="0" w:type="dxa"/>
        </w:tblCellMar>
        <w:tblLook w:val="01E0"/>
      </w:tblPr>
      <w:tblGrid>
        <w:gridCol w:w="1200"/>
        <w:gridCol w:w="1464"/>
        <w:gridCol w:w="1465"/>
        <w:gridCol w:w="1464"/>
        <w:gridCol w:w="970"/>
        <w:gridCol w:w="1034"/>
        <w:gridCol w:w="1465"/>
      </w:tblGrid>
      <w:tr>
        <w:trPr>
          <w:trHeight w:val="634" w:hRule="exact"/>
        </w:trPr>
        <w:tc>
          <w:tcPr>
            <w:tcW w:w="120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24"/>
                <w:szCs w:val="24"/>
              </w:rPr>
            </w:pPr>
            <w:r>
              <w:rPr>
                <w:rFonts w:ascii="宋体" w:hAnsi="宋体" w:cs="宋体" w:eastAsia="宋体" w:hint="default"/>
                <w:sz w:val="24"/>
                <w:szCs w:val="24"/>
              </w:rPr>
              <w:t>计提</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25"/>
              <w:jc w:val="right"/>
              <w:rPr>
                <w:rFonts w:ascii="宋体" w:hAnsi="宋体" w:cs="宋体" w:eastAsia="宋体" w:hint="default"/>
                <w:sz w:val="24"/>
                <w:szCs w:val="24"/>
              </w:rPr>
            </w:pPr>
            <w:r>
              <w:rPr>
                <w:rFonts w:ascii="宋体" w:hAnsi="宋体" w:cs="宋体" w:eastAsia="宋体" w:hint="default"/>
                <w:sz w:val="24"/>
                <w:szCs w:val="24"/>
              </w:rPr>
              <w:t>收回或转回</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转销或</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核销</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其他变</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动</w:t>
            </w:r>
          </w:p>
        </w:tc>
        <w:tc>
          <w:tcPr>
            <w:tcW w:w="146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
              <w:jc w:val="center"/>
              <w:rPr>
                <w:rFonts w:ascii="宋体" w:hAnsi="宋体" w:cs="宋体" w:eastAsia="宋体" w:hint="default"/>
                <w:sz w:val="24"/>
                <w:szCs w:val="24"/>
              </w:rPr>
            </w:pPr>
            <w:r>
              <w:rPr>
                <w:rFonts w:ascii="宋体" w:hAnsi="宋体" w:cs="宋体" w:eastAsia="宋体" w:hint="default"/>
                <w:sz w:val="24"/>
                <w:szCs w:val="24"/>
              </w:rPr>
              <w:t>应收账款</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46" w:right="0"/>
              <w:jc w:val="left"/>
              <w:rPr>
                <w:rFonts w:ascii="Times New Roman" w:hAnsi="Times New Roman" w:cs="Times New Roman" w:eastAsia="Times New Roman" w:hint="default"/>
                <w:sz w:val="24"/>
                <w:szCs w:val="24"/>
              </w:rPr>
            </w:pPr>
            <w:r>
              <w:rPr>
                <w:rFonts w:ascii="Times New Roman"/>
                <w:sz w:val="24"/>
              </w:rPr>
              <w:t>451,214,567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9" w:right="0"/>
              <w:jc w:val="center"/>
              <w:rPr>
                <w:rFonts w:ascii="Times New Roman" w:hAnsi="Times New Roman" w:cs="Times New Roman" w:eastAsia="Times New Roman" w:hint="default"/>
                <w:sz w:val="24"/>
                <w:szCs w:val="24"/>
              </w:rPr>
            </w:pPr>
            <w:r>
              <w:rPr>
                <w:rFonts w:ascii="Times New Roman"/>
                <w:sz w:val="24"/>
              </w:rPr>
              <w:t>142,497,903</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6"/>
              <w:jc w:val="right"/>
              <w:rPr>
                <w:rFonts w:ascii="Times New Roman" w:hAnsi="Times New Roman" w:cs="Times New Roman" w:eastAsia="Times New Roman" w:hint="default"/>
                <w:sz w:val="24"/>
                <w:szCs w:val="24"/>
              </w:rPr>
            </w:pPr>
            <w:r>
              <w:rPr>
                <w:rFonts w:ascii="Times New Roman"/>
                <w:sz w:val="24"/>
              </w:rPr>
              <w:t>21,662,783</w:t>
            </w:r>
          </w:p>
        </w:tc>
        <w:tc>
          <w:tcPr>
            <w:tcW w:w="970"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34" w:right="0"/>
              <w:jc w:val="left"/>
              <w:rPr>
                <w:rFonts w:ascii="Times New Roman" w:hAnsi="Times New Roman" w:cs="Times New Roman" w:eastAsia="Times New Roman" w:hint="default"/>
                <w:sz w:val="24"/>
                <w:szCs w:val="24"/>
              </w:rPr>
            </w:pPr>
            <w:r>
              <w:rPr>
                <w:rFonts w:ascii="Times New Roman"/>
                <w:sz w:val="24"/>
              </w:rPr>
              <w:t>337,108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43" w:right="0"/>
              <w:jc w:val="left"/>
              <w:rPr>
                <w:rFonts w:ascii="Times New Roman" w:hAnsi="Times New Roman" w:cs="Times New Roman" w:eastAsia="Times New Roman" w:hint="default"/>
                <w:sz w:val="24"/>
                <w:szCs w:val="24"/>
              </w:rPr>
            </w:pPr>
            <w:r>
              <w:rPr>
                <w:rFonts w:ascii="Times New Roman"/>
                <w:sz w:val="24"/>
              </w:rPr>
              <w:t>571,712,579</w:t>
            </w:r>
          </w:p>
        </w:tc>
      </w:tr>
      <w:tr>
        <w:trPr>
          <w:trHeight w:val="32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46" w:right="0"/>
              <w:jc w:val="left"/>
              <w:rPr>
                <w:rFonts w:ascii="Times New Roman" w:hAnsi="Times New Roman" w:cs="Times New Roman" w:eastAsia="Times New Roman" w:hint="default"/>
                <w:sz w:val="24"/>
                <w:szCs w:val="24"/>
              </w:rPr>
            </w:pPr>
            <w:r>
              <w:rPr>
                <w:rFonts w:ascii="Times New Roman"/>
                <w:sz w:val="24"/>
              </w:rPr>
              <w:t>451,214,567</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9" w:right="0"/>
              <w:jc w:val="center"/>
              <w:rPr>
                <w:rFonts w:ascii="Times New Roman" w:hAnsi="Times New Roman" w:cs="Times New Roman" w:eastAsia="Times New Roman" w:hint="default"/>
                <w:sz w:val="24"/>
                <w:szCs w:val="24"/>
              </w:rPr>
            </w:pPr>
            <w:r>
              <w:rPr>
                <w:rFonts w:ascii="Times New Roman"/>
                <w:sz w:val="24"/>
              </w:rPr>
              <w:t>142,497,903</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6"/>
              <w:jc w:val="right"/>
              <w:rPr>
                <w:rFonts w:ascii="Times New Roman" w:hAnsi="Times New Roman" w:cs="Times New Roman" w:eastAsia="Times New Roman" w:hint="default"/>
                <w:sz w:val="24"/>
                <w:szCs w:val="24"/>
              </w:rPr>
            </w:pPr>
            <w:r>
              <w:rPr>
                <w:rFonts w:ascii="Times New Roman"/>
                <w:sz w:val="24"/>
              </w:rPr>
              <w:t>21,662,783</w:t>
            </w:r>
          </w:p>
        </w:tc>
        <w:tc>
          <w:tcPr>
            <w:tcW w:w="970"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34" w:right="0"/>
              <w:jc w:val="left"/>
              <w:rPr>
                <w:rFonts w:ascii="Times New Roman" w:hAnsi="Times New Roman" w:cs="Times New Roman" w:eastAsia="Times New Roman" w:hint="default"/>
                <w:sz w:val="24"/>
                <w:szCs w:val="24"/>
              </w:rPr>
            </w:pPr>
            <w:r>
              <w:rPr>
                <w:rFonts w:ascii="Times New Roman"/>
                <w:sz w:val="24"/>
              </w:rPr>
              <w:t>337,108</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43" w:right="0"/>
              <w:jc w:val="left"/>
              <w:rPr>
                <w:rFonts w:ascii="Times New Roman" w:hAnsi="Times New Roman" w:cs="Times New Roman" w:eastAsia="Times New Roman" w:hint="default"/>
                <w:sz w:val="24"/>
                <w:szCs w:val="24"/>
              </w:rPr>
            </w:pPr>
            <w:r>
              <w:rPr>
                <w:rFonts w:ascii="Times New Roman"/>
                <w:sz w:val="24"/>
              </w:rPr>
              <w:t>571,712,579</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BodyText"/>
        <w:spacing w:line="313" w:lineRule="exact" w:before="26"/>
        <w:ind w:left="396" w:right="0"/>
        <w:jc w:val="left"/>
      </w:pPr>
      <w:r>
        <w:rPr/>
        <w:t>其中本期坏账准备收回或转回金额重要的：</w:t>
      </w:r>
    </w:p>
    <w:p>
      <w:pPr>
        <w:pStyle w:val="BodyText"/>
        <w:spacing w:line="313" w:lineRule="exact"/>
        <w:ind w:left="396" w:right="0"/>
        <w:jc w:val="left"/>
      </w:pPr>
      <w:r>
        <w:rPr/>
        <w:t>□适用 √不适用</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2"/>
          <w:szCs w:val="22"/>
        </w:rPr>
      </w:pPr>
    </w:p>
    <w:p>
      <w:pPr>
        <w:pStyle w:val="Heading2"/>
        <w:tabs>
          <w:tab w:pos="1237" w:val="left" w:leader="none"/>
        </w:tabs>
        <w:spacing w:line="240" w:lineRule="auto"/>
        <w:ind w:left="396" w:right="0"/>
        <w:jc w:val="left"/>
        <w:rPr>
          <w:rFonts w:ascii="宋体" w:hAnsi="宋体" w:cs="宋体" w:eastAsia="宋体" w:hint="default"/>
          <w:b w:val="0"/>
          <w:bCs w:val="0"/>
        </w:rPr>
      </w:pPr>
      <w:r>
        <w:rPr>
          <w:rFonts w:ascii="宋体" w:hAnsi="宋体" w:cs="宋体" w:eastAsia="宋体" w:hint="default"/>
        </w:rPr>
        <w:t>(4).</w:t>
        <w:tab/>
      </w:r>
      <w:r>
        <w:rPr/>
        <w:t>本期实际核销的应收账款情况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96" w:right="0"/>
        <w:jc w:val="left"/>
      </w:pPr>
      <w:r>
        <w:rPr/>
        <w:t>□适用 √不适用</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2"/>
          <w:szCs w:val="22"/>
        </w:rPr>
      </w:pPr>
    </w:p>
    <w:p>
      <w:pPr>
        <w:pStyle w:val="Heading2"/>
        <w:tabs>
          <w:tab w:pos="1237" w:val="left" w:leader="none"/>
        </w:tabs>
        <w:spacing w:line="240" w:lineRule="auto"/>
        <w:ind w:left="396" w:right="0"/>
        <w:jc w:val="left"/>
        <w:rPr>
          <w:rFonts w:ascii="宋体" w:hAnsi="宋体" w:cs="宋体" w:eastAsia="宋体" w:hint="default"/>
          <w:b w:val="0"/>
          <w:bCs w:val="0"/>
        </w:rPr>
      </w:pPr>
      <w:r>
        <w:rPr>
          <w:rFonts w:ascii="宋体" w:hAnsi="宋体" w:cs="宋体" w:eastAsia="宋体" w:hint="default"/>
        </w:rPr>
        <w:t>(5).</w:t>
        <w:tab/>
      </w:r>
      <w:r>
        <w:rPr/>
        <w:t>按欠款方归集的期末余额前五名的应收账款情况</w:t>
      </w:r>
      <w:r>
        <w:rPr>
          <w:rFonts w:ascii="宋体" w:hAnsi="宋体" w:cs="宋体" w:eastAsia="宋体" w:hint="default"/>
          <w:w w:val="99"/>
        </w:rPr>
        <w:t> </w:t>
      </w:r>
      <w:r>
        <w:rPr>
          <w:rFonts w:ascii="宋体" w:hAnsi="宋体" w:cs="宋体" w:eastAsia="宋体" w:hint="default"/>
          <w:b w:val="0"/>
          <w:bCs w:val="0"/>
        </w:rPr>
      </w:r>
    </w:p>
    <w:p>
      <w:pPr>
        <w:pStyle w:val="BodyText"/>
        <w:tabs>
          <w:tab w:pos="1357" w:val="left" w:leader="none"/>
        </w:tabs>
        <w:spacing w:line="240" w:lineRule="auto" w:before="55"/>
        <w:ind w:left="396" w:right="0"/>
        <w:jc w:val="left"/>
      </w:pPr>
      <w:r>
        <w:rPr/>
        <w:t>√适用</w:t>
        <w:tab/>
        <w:t>□不适用</w:t>
      </w:r>
    </w:p>
    <w:p>
      <w:pPr>
        <w:spacing w:line="240" w:lineRule="auto" w:before="4"/>
        <w:rPr>
          <w:rFonts w:ascii="宋体" w:hAnsi="宋体" w:cs="宋体" w:eastAsia="宋体" w:hint="default"/>
          <w:sz w:val="26"/>
          <w:szCs w:val="26"/>
        </w:rPr>
      </w:pPr>
    </w:p>
    <w:tbl>
      <w:tblPr>
        <w:tblW w:w="0" w:type="auto"/>
        <w:jc w:val="left"/>
        <w:tblInd w:w="108" w:type="dxa"/>
        <w:tblLayout w:type="fixed"/>
        <w:tblCellMar>
          <w:top w:w="0" w:type="dxa"/>
          <w:left w:w="0" w:type="dxa"/>
          <w:bottom w:w="0" w:type="dxa"/>
          <w:right w:w="0" w:type="dxa"/>
        </w:tblCellMar>
        <w:tblLook w:val="01E0"/>
      </w:tblPr>
      <w:tblGrid>
        <w:gridCol w:w="1904"/>
        <w:gridCol w:w="2582"/>
        <w:gridCol w:w="2213"/>
        <w:gridCol w:w="1996"/>
      </w:tblGrid>
      <w:tr>
        <w:trPr>
          <w:trHeight w:val="240" w:hRule="exact"/>
        </w:trPr>
        <w:tc>
          <w:tcPr>
            <w:tcW w:w="1904" w:type="dxa"/>
            <w:tcBorders>
              <w:top w:val="nil" w:sz="6" w:space="0" w:color="auto"/>
              <w:left w:val="nil" w:sz="6" w:space="0" w:color="auto"/>
              <w:bottom w:val="nil" w:sz="6" w:space="0" w:color="auto"/>
              <w:right w:val="nil" w:sz="6" w:space="0" w:color="auto"/>
            </w:tcBorders>
          </w:tcPr>
          <w:p>
            <w:pPr/>
          </w:p>
        </w:tc>
        <w:tc>
          <w:tcPr>
            <w:tcW w:w="2582" w:type="dxa"/>
            <w:tcBorders>
              <w:top w:val="nil" w:sz="6" w:space="0" w:color="auto"/>
              <w:left w:val="nil" w:sz="6" w:space="0" w:color="auto"/>
              <w:bottom w:val="nil" w:sz="6" w:space="0" w:color="auto"/>
              <w:right w:val="nil" w:sz="6" w:space="0" w:color="auto"/>
            </w:tcBorders>
          </w:tcPr>
          <w:p>
            <w:pPr>
              <w:pStyle w:val="TableParagraph"/>
              <w:spacing w:line="199" w:lineRule="exact"/>
              <w:ind w:right="415"/>
              <w:jc w:val="right"/>
              <w:rPr>
                <w:rFonts w:ascii="黑体" w:hAnsi="黑体" w:cs="黑体" w:eastAsia="黑体" w:hint="default"/>
                <w:sz w:val="20"/>
                <w:szCs w:val="20"/>
              </w:rPr>
            </w:pPr>
            <w:r>
              <w:rPr>
                <w:rFonts w:ascii="黑体" w:hAnsi="黑体" w:cs="黑体" w:eastAsia="黑体" w:hint="default"/>
                <w:w w:val="95"/>
                <w:sz w:val="20"/>
                <w:szCs w:val="20"/>
              </w:rPr>
              <w:t>应收账款年末余额</w:t>
            </w:r>
            <w:r>
              <w:rPr>
                <w:rFonts w:ascii="黑体" w:hAnsi="黑体" w:cs="黑体" w:eastAsia="黑体" w:hint="default"/>
                <w:sz w:val="20"/>
                <w:szCs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199" w:lineRule="exact"/>
              <w:ind w:right="194"/>
              <w:jc w:val="right"/>
              <w:rPr>
                <w:rFonts w:ascii="黑体" w:hAnsi="黑体" w:cs="黑体" w:eastAsia="黑体" w:hint="default"/>
                <w:sz w:val="20"/>
                <w:szCs w:val="20"/>
              </w:rPr>
            </w:pPr>
            <w:r>
              <w:rPr>
                <w:rFonts w:ascii="黑体" w:hAnsi="黑体" w:cs="黑体" w:eastAsia="黑体" w:hint="default"/>
                <w:w w:val="95"/>
                <w:sz w:val="20"/>
                <w:szCs w:val="20"/>
              </w:rPr>
              <w:t>应收账款年末余额</w:t>
            </w:r>
            <w:r>
              <w:rPr>
                <w:rFonts w:ascii="黑体" w:hAnsi="黑体" w:cs="黑体" w:eastAsia="黑体" w:hint="default"/>
                <w:sz w:val="20"/>
                <w:szCs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黑体" w:hAnsi="黑体" w:cs="黑体" w:eastAsia="黑体" w:hint="default"/>
                <w:sz w:val="20"/>
                <w:szCs w:val="20"/>
              </w:rPr>
            </w:pPr>
            <w:r>
              <w:rPr>
                <w:rFonts w:ascii="黑体" w:hAnsi="黑体" w:cs="黑体" w:eastAsia="黑体" w:hint="default"/>
                <w:w w:val="95"/>
                <w:sz w:val="20"/>
                <w:szCs w:val="20"/>
              </w:rPr>
              <w:t>坏账准备年末余额</w:t>
            </w:r>
            <w:r>
              <w:rPr>
                <w:rFonts w:ascii="黑体" w:hAnsi="黑体" w:cs="黑体" w:eastAsia="黑体" w:hint="default"/>
                <w:sz w:val="20"/>
                <w:szCs w:val="20"/>
              </w:rPr>
            </w:r>
          </w:p>
        </w:tc>
      </w:tr>
      <w:tr>
        <w:trPr>
          <w:trHeight w:val="535" w:hRule="exact"/>
        </w:trPr>
        <w:tc>
          <w:tcPr>
            <w:tcW w:w="1904" w:type="dxa"/>
            <w:tcBorders>
              <w:top w:val="nil" w:sz="6" w:space="0" w:color="auto"/>
              <w:left w:val="nil" w:sz="6" w:space="0" w:color="auto"/>
              <w:bottom w:val="nil" w:sz="6" w:space="0" w:color="auto"/>
              <w:right w:val="nil" w:sz="6" w:space="0" w:color="auto"/>
            </w:tcBorders>
          </w:tcPr>
          <w:p>
            <w:pPr/>
          </w:p>
        </w:tc>
        <w:tc>
          <w:tcPr>
            <w:tcW w:w="2582"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exact"/>
              <w:ind w:left="-3" w:right="215"/>
              <w:jc w:val="right"/>
              <w:rPr>
                <w:rFonts w:ascii="黑体" w:hAnsi="黑体" w:cs="黑体" w:eastAsia="黑体" w:hint="default"/>
                <w:sz w:val="20"/>
                <w:szCs w:val="20"/>
              </w:rPr>
            </w:pPr>
            <w:r>
              <w:rPr>
                <w:rFonts w:ascii="黑体" w:hAnsi="黑体" w:cs="黑体" w:eastAsia="黑体" w:hint="default"/>
                <w:w w:val="95"/>
                <w:sz w:val="20"/>
                <w:szCs w:val="20"/>
              </w:rPr>
              <w:t>占应收账款余额的比例</w:t>
            </w:r>
            <w:r>
              <w:rPr>
                <w:rFonts w:ascii="黑体" w:hAnsi="黑体" w:cs="黑体" w:eastAsia="黑体" w:hint="default"/>
                <w:sz w:val="20"/>
                <w:szCs w:val="20"/>
              </w:rPr>
            </w:r>
          </w:p>
        </w:tc>
        <w:tc>
          <w:tcPr>
            <w:tcW w:w="1996" w:type="dxa"/>
            <w:tcBorders>
              <w:top w:val="nil" w:sz="6" w:space="0" w:color="auto"/>
              <w:left w:val="nil" w:sz="6" w:space="0" w:color="auto"/>
              <w:bottom w:val="nil" w:sz="6" w:space="0" w:color="auto"/>
              <w:right w:val="nil" w:sz="6" w:space="0" w:color="auto"/>
            </w:tcBorders>
          </w:tcPr>
          <w:p>
            <w:pPr/>
          </w:p>
        </w:tc>
      </w:tr>
      <w:tr>
        <w:trPr>
          <w:trHeight w:val="640"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1</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42"/>
              <w:jc w:val="right"/>
              <w:rPr>
                <w:rFonts w:ascii="Arial" w:hAnsi="Arial" w:cs="Arial" w:eastAsia="Arial" w:hint="default"/>
                <w:sz w:val="20"/>
                <w:szCs w:val="20"/>
              </w:rPr>
            </w:pPr>
            <w:r>
              <w:rPr>
                <w:rFonts w:ascii="Arial"/>
                <w:w w:val="95"/>
                <w:sz w:val="20"/>
              </w:rPr>
              <w:t>16,000,886</w:t>
            </w:r>
            <w:r>
              <w:rPr>
                <w:rFonts w:ascii="Arial"/>
                <w:sz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222"/>
              <w:jc w:val="right"/>
              <w:rPr>
                <w:rFonts w:ascii="Arial" w:hAnsi="Arial" w:cs="Arial" w:eastAsia="Arial" w:hint="default"/>
                <w:sz w:val="20"/>
                <w:szCs w:val="20"/>
              </w:rPr>
            </w:pPr>
            <w:r>
              <w:rPr>
                <w:rFonts w:ascii="Arial"/>
                <w:spacing w:val="-1"/>
                <w:w w:val="95"/>
                <w:sz w:val="20"/>
              </w:rPr>
              <w:t>1%</w:t>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226"/>
              <w:jc w:val="right"/>
              <w:rPr>
                <w:rFonts w:ascii="Arial" w:hAnsi="Arial" w:cs="Arial" w:eastAsia="Arial" w:hint="default"/>
                <w:sz w:val="20"/>
                <w:szCs w:val="20"/>
              </w:rPr>
            </w:pPr>
            <w:r>
              <w:rPr>
                <w:rFonts w:ascii="Arial"/>
                <w:spacing w:val="-1"/>
                <w:sz w:val="20"/>
              </w:rPr>
              <w:t>236,385</w:t>
            </w:r>
          </w:p>
        </w:tc>
      </w:tr>
      <w:tr>
        <w:trPr>
          <w:trHeight w:val="480"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2</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442"/>
              <w:jc w:val="right"/>
              <w:rPr>
                <w:rFonts w:ascii="Arial" w:hAnsi="Arial" w:cs="Arial" w:eastAsia="Arial" w:hint="default"/>
                <w:sz w:val="20"/>
                <w:szCs w:val="20"/>
              </w:rPr>
            </w:pPr>
            <w:r>
              <w:rPr>
                <w:rFonts w:ascii="Arial"/>
                <w:w w:val="95"/>
                <w:sz w:val="20"/>
              </w:rPr>
              <w:t>14,962,389</w:t>
            </w:r>
            <w:r>
              <w:rPr>
                <w:rFonts w:ascii="Arial"/>
                <w:sz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22"/>
              <w:jc w:val="right"/>
              <w:rPr>
                <w:rFonts w:ascii="Arial" w:hAnsi="Arial" w:cs="Arial" w:eastAsia="Arial" w:hint="default"/>
                <w:sz w:val="20"/>
                <w:szCs w:val="20"/>
              </w:rPr>
            </w:pPr>
            <w:r>
              <w:rPr>
                <w:rFonts w:ascii="Arial"/>
                <w:spacing w:val="-1"/>
                <w:w w:val="95"/>
                <w:sz w:val="20"/>
              </w:rPr>
              <w:t>1%</w:t>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26"/>
              <w:jc w:val="right"/>
              <w:rPr>
                <w:rFonts w:ascii="Arial" w:hAnsi="Arial" w:cs="Arial" w:eastAsia="Arial" w:hint="default"/>
                <w:sz w:val="20"/>
                <w:szCs w:val="20"/>
              </w:rPr>
            </w:pPr>
            <w:r>
              <w:rPr>
                <w:rFonts w:ascii="Arial"/>
                <w:spacing w:val="-1"/>
                <w:sz w:val="20"/>
              </w:rPr>
              <w:t>132,243</w:t>
            </w:r>
          </w:p>
        </w:tc>
      </w:tr>
      <w:tr>
        <w:trPr>
          <w:trHeight w:val="480"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3</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442"/>
              <w:jc w:val="right"/>
              <w:rPr>
                <w:rFonts w:ascii="Arial" w:hAnsi="Arial" w:cs="Arial" w:eastAsia="Arial" w:hint="default"/>
                <w:sz w:val="20"/>
                <w:szCs w:val="20"/>
              </w:rPr>
            </w:pPr>
            <w:r>
              <w:rPr>
                <w:rFonts w:ascii="Arial"/>
                <w:w w:val="95"/>
                <w:sz w:val="20"/>
              </w:rPr>
              <w:t>13,345,540</w:t>
            </w:r>
            <w:r>
              <w:rPr>
                <w:rFonts w:ascii="Arial"/>
                <w:sz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22"/>
              <w:jc w:val="right"/>
              <w:rPr>
                <w:rFonts w:ascii="Arial" w:hAnsi="Arial" w:cs="Arial" w:eastAsia="Arial" w:hint="default"/>
                <w:sz w:val="20"/>
                <w:szCs w:val="20"/>
              </w:rPr>
            </w:pPr>
            <w:r>
              <w:rPr>
                <w:rFonts w:ascii="Arial"/>
                <w:spacing w:val="-1"/>
                <w:w w:val="95"/>
                <w:sz w:val="20"/>
              </w:rPr>
              <w:t>1%</w:t>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25"/>
              <w:jc w:val="right"/>
              <w:rPr>
                <w:rFonts w:ascii="Arial" w:hAnsi="Arial" w:cs="Arial" w:eastAsia="Arial" w:hint="default"/>
                <w:sz w:val="20"/>
                <w:szCs w:val="20"/>
              </w:rPr>
            </w:pPr>
            <w:r>
              <w:rPr>
                <w:rFonts w:ascii="Arial"/>
                <w:w w:val="95"/>
                <w:sz w:val="20"/>
              </w:rPr>
              <w:t>47,442</w:t>
            </w:r>
            <w:r>
              <w:rPr>
                <w:rFonts w:ascii="Arial"/>
                <w:sz w:val="20"/>
              </w:rPr>
            </w:r>
          </w:p>
        </w:tc>
      </w:tr>
      <w:tr>
        <w:trPr>
          <w:trHeight w:val="366"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4</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442"/>
              <w:jc w:val="right"/>
              <w:rPr>
                <w:rFonts w:ascii="Arial" w:hAnsi="Arial" w:cs="Arial" w:eastAsia="Arial" w:hint="default"/>
                <w:sz w:val="20"/>
                <w:szCs w:val="20"/>
              </w:rPr>
            </w:pPr>
            <w:r>
              <w:rPr>
                <w:rFonts w:ascii="Arial"/>
                <w:w w:val="95"/>
                <w:sz w:val="20"/>
              </w:rPr>
              <w:t>12,310,309</w:t>
            </w:r>
            <w:r>
              <w:rPr>
                <w:rFonts w:ascii="Arial"/>
                <w:sz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22"/>
              <w:jc w:val="right"/>
              <w:rPr>
                <w:rFonts w:ascii="Arial" w:hAnsi="Arial" w:cs="Arial" w:eastAsia="Arial" w:hint="default"/>
                <w:sz w:val="20"/>
                <w:szCs w:val="20"/>
              </w:rPr>
            </w:pPr>
            <w:r>
              <w:rPr>
                <w:rFonts w:ascii="Arial"/>
                <w:spacing w:val="-1"/>
                <w:w w:val="95"/>
                <w:sz w:val="20"/>
              </w:rPr>
              <w:t>1%</w:t>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23"/>
              <w:jc w:val="right"/>
              <w:rPr>
                <w:rFonts w:ascii="Arial" w:hAnsi="Arial" w:cs="Arial" w:eastAsia="Arial" w:hint="default"/>
                <w:sz w:val="20"/>
                <w:szCs w:val="20"/>
              </w:rPr>
            </w:pPr>
            <w:r>
              <w:rPr>
                <w:rFonts w:ascii="Arial"/>
                <w:spacing w:val="-1"/>
                <w:sz w:val="20"/>
              </w:rPr>
              <w:t>2,156,871</w:t>
            </w:r>
          </w:p>
        </w:tc>
      </w:tr>
      <w:tr>
        <w:trPr>
          <w:trHeight w:val="383"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35" w:lineRule="exact"/>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5</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42"/>
              <w:jc w:val="right"/>
              <w:rPr>
                <w:rFonts w:ascii="Arial" w:hAnsi="Arial" w:cs="Arial" w:eastAsia="Arial" w:hint="default"/>
                <w:sz w:val="20"/>
                <w:szCs w:val="20"/>
              </w:rPr>
            </w:pPr>
            <w:r>
              <w:rPr>
                <w:rFonts w:ascii="Arial"/>
                <w:w w:val="99"/>
                <w:sz w:val="20"/>
              </w:rPr>
            </w:r>
            <w:r>
              <w:rPr>
                <w:rFonts w:ascii="Arial"/>
                <w:w w:val="95"/>
                <w:sz w:val="20"/>
                <w:u w:val="single" w:color="000000"/>
              </w:rPr>
              <w:t>10,501,607</w:t>
            </w:r>
            <w:r>
              <w:rPr>
                <w:rFonts w:ascii="Arial"/>
                <w:w w:val="95"/>
                <w:sz w:val="20"/>
              </w:rPr>
            </w:r>
            <w:r>
              <w:rPr>
                <w:rFonts w:ascii="Arial"/>
                <w:sz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24"/>
              <w:jc w:val="right"/>
              <w:rPr>
                <w:rFonts w:ascii="Arial" w:hAnsi="Arial" w:cs="Arial" w:eastAsia="Arial" w:hint="default"/>
                <w:sz w:val="20"/>
                <w:szCs w:val="20"/>
              </w:rPr>
            </w:pPr>
            <w:r>
              <w:rPr>
                <w:rFonts w:ascii="Arial"/>
                <w:w w:val="99"/>
                <w:sz w:val="20"/>
              </w:rPr>
            </w:r>
            <w:r>
              <w:rPr>
                <w:rFonts w:ascii="Arial"/>
                <w:spacing w:val="-1"/>
                <w:w w:val="95"/>
                <w:sz w:val="20"/>
                <w:u w:val="single" w:color="000000"/>
              </w:rPr>
              <w:t>&lt;1%</w:t>
            </w:r>
            <w:r>
              <w:rPr>
                <w:rFonts w:ascii="Arial"/>
                <w:spacing w:val="-1"/>
                <w:w w:val="95"/>
                <w:sz w:val="20"/>
              </w:rPr>
            </w:r>
            <w:r>
              <w:rPr>
                <w:rFonts w:ascii="Arial"/>
                <w:spacing w:val="-1"/>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23"/>
              <w:jc w:val="right"/>
              <w:rPr>
                <w:rFonts w:ascii="Arial" w:hAnsi="Arial" w:cs="Arial" w:eastAsia="Arial" w:hint="default"/>
                <w:sz w:val="20"/>
                <w:szCs w:val="20"/>
              </w:rPr>
            </w:pPr>
            <w:r>
              <w:rPr>
                <w:rFonts w:ascii="Arial"/>
                <w:w w:val="99"/>
                <w:sz w:val="20"/>
              </w:rPr>
            </w:r>
            <w:r>
              <w:rPr>
                <w:rFonts w:ascii="Arial"/>
                <w:w w:val="95"/>
                <w:sz w:val="20"/>
                <w:u w:val="single" w:color="000000"/>
              </w:rPr>
              <w:t>3,229,250</w:t>
            </w:r>
            <w:r>
              <w:rPr>
                <w:rFonts w:ascii="Arial"/>
                <w:w w:val="95"/>
                <w:sz w:val="20"/>
              </w:rPr>
            </w:r>
            <w:r>
              <w:rPr>
                <w:rFonts w:ascii="Arial"/>
                <w:sz w:val="20"/>
              </w:rPr>
            </w:r>
          </w:p>
        </w:tc>
      </w:tr>
      <w:tr>
        <w:trPr>
          <w:trHeight w:val="352" w:hRule="exact"/>
        </w:trPr>
        <w:tc>
          <w:tcPr>
            <w:tcW w:w="1904" w:type="dxa"/>
            <w:tcBorders>
              <w:top w:val="nil" w:sz="6" w:space="0" w:color="auto"/>
              <w:left w:val="nil" w:sz="6" w:space="0" w:color="auto"/>
              <w:bottom w:val="nil" w:sz="6" w:space="0" w:color="auto"/>
              <w:right w:val="nil" w:sz="6" w:space="0" w:color="auto"/>
            </w:tcBorders>
          </w:tcPr>
          <w:p>
            <w:pP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442"/>
              <w:jc w:val="right"/>
              <w:rPr>
                <w:rFonts w:ascii="Arial" w:hAnsi="Arial" w:cs="Arial" w:eastAsia="Arial" w:hint="default"/>
                <w:sz w:val="20"/>
                <w:szCs w:val="20"/>
              </w:rPr>
            </w:pPr>
            <w:r>
              <w:rPr>
                <w:rFonts w:ascii="Arial"/>
                <w:w w:val="99"/>
                <w:sz w:val="20"/>
              </w:rPr>
            </w:r>
            <w:r>
              <w:rPr>
                <w:rFonts w:ascii="Arial"/>
                <w:w w:val="95"/>
                <w:sz w:val="20"/>
                <w:u w:val="thick" w:color="000000"/>
              </w:rPr>
              <w:t>67,120,731</w:t>
            </w:r>
            <w:r>
              <w:rPr>
                <w:rFonts w:ascii="Arial"/>
                <w:w w:val="95"/>
                <w:sz w:val="20"/>
              </w:rPr>
            </w:r>
            <w:r>
              <w:rPr>
                <w:rFonts w:ascii="Arial"/>
                <w:sz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22"/>
              <w:jc w:val="right"/>
              <w:rPr>
                <w:rFonts w:ascii="Arial" w:hAnsi="Arial" w:cs="Arial" w:eastAsia="Arial" w:hint="default"/>
                <w:sz w:val="20"/>
                <w:szCs w:val="20"/>
              </w:rPr>
            </w:pPr>
            <w:r>
              <w:rPr>
                <w:rFonts w:ascii="Arial"/>
                <w:w w:val="99"/>
                <w:sz w:val="20"/>
              </w:rPr>
            </w:r>
            <w:r>
              <w:rPr>
                <w:rFonts w:ascii="Arial"/>
                <w:w w:val="99"/>
                <w:sz w:val="20"/>
                <w:u w:val="thick" w:color="000000"/>
              </w:rPr>
              <w:t> </w:t>
            </w:r>
            <w:r>
              <w:rPr>
                <w:rFonts w:ascii="Arial"/>
                <w:sz w:val="20"/>
                <w:u w:val="thick" w:color="000000"/>
              </w:rPr>
              <w:t>  </w:t>
            </w:r>
            <w:r>
              <w:rPr>
                <w:rFonts w:ascii="Arial"/>
                <w:spacing w:val="-21"/>
                <w:sz w:val="20"/>
                <w:u w:val="thick" w:color="000000"/>
              </w:rPr>
              <w:t> </w:t>
            </w:r>
            <w:r>
              <w:rPr>
                <w:rFonts w:ascii="Arial"/>
                <w:spacing w:val="-1"/>
                <w:w w:val="95"/>
                <w:sz w:val="20"/>
                <w:u w:val="thick" w:color="000000"/>
              </w:rPr>
              <w:t>5%</w:t>
            </w:r>
            <w:r>
              <w:rPr>
                <w:rFonts w:ascii="Arial"/>
                <w:spacing w:val="-1"/>
                <w:w w:val="95"/>
                <w:sz w:val="20"/>
              </w:rPr>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23"/>
              <w:jc w:val="right"/>
              <w:rPr>
                <w:rFonts w:ascii="Arial" w:hAnsi="Arial" w:cs="Arial" w:eastAsia="Arial" w:hint="default"/>
                <w:sz w:val="20"/>
                <w:szCs w:val="20"/>
              </w:rPr>
            </w:pPr>
            <w:r>
              <w:rPr>
                <w:rFonts w:ascii="Arial"/>
                <w:w w:val="99"/>
                <w:sz w:val="20"/>
              </w:rPr>
            </w:r>
            <w:r>
              <w:rPr>
                <w:rFonts w:ascii="Arial"/>
                <w:w w:val="95"/>
                <w:sz w:val="20"/>
                <w:u w:val="thick" w:color="000000"/>
              </w:rPr>
              <w:t>5,802,191</w:t>
            </w:r>
            <w:r>
              <w:rPr>
                <w:rFonts w:ascii="Arial"/>
                <w:w w:val="95"/>
                <w:sz w:val="20"/>
              </w:rPr>
            </w:r>
            <w:r>
              <w:rPr>
                <w:rFonts w:ascii="Arial"/>
                <w:sz w:val="20"/>
              </w:rPr>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pStyle w:val="Heading2"/>
        <w:tabs>
          <w:tab w:pos="1237" w:val="left" w:leader="none"/>
        </w:tabs>
        <w:spacing w:line="240" w:lineRule="auto" w:before="26"/>
        <w:ind w:left="396" w:right="0"/>
        <w:jc w:val="left"/>
        <w:rPr>
          <w:rFonts w:ascii="宋体" w:hAnsi="宋体" w:cs="宋体" w:eastAsia="宋体" w:hint="default"/>
          <w:b w:val="0"/>
          <w:bCs w:val="0"/>
        </w:rPr>
      </w:pPr>
      <w:r>
        <w:rPr>
          <w:rFonts w:ascii="宋体" w:hAnsi="宋体" w:cs="宋体" w:eastAsia="宋体" w:hint="default"/>
        </w:rPr>
        <w:t>(6).</w:t>
        <w:tab/>
      </w:r>
      <w:r>
        <w:rPr/>
        <w:t>因金融资产转移而终止确认的应收账款</w:t>
      </w:r>
      <w:r>
        <w:rPr>
          <w:rFonts w:ascii="宋体" w:hAnsi="宋体" w:cs="宋体" w:eastAsia="宋体" w:hint="default"/>
          <w:w w:val="99"/>
        </w:rPr>
        <w:t> </w:t>
      </w:r>
      <w:r>
        <w:rPr>
          <w:rFonts w:ascii="宋体" w:hAnsi="宋体" w:cs="宋体" w:eastAsia="宋体" w:hint="default"/>
          <w:b w:val="0"/>
          <w:bCs w:val="0"/>
        </w:rPr>
      </w:r>
    </w:p>
    <w:p>
      <w:pPr>
        <w:pStyle w:val="BodyText"/>
        <w:tabs>
          <w:tab w:pos="1357" w:val="left" w:leader="none"/>
        </w:tabs>
        <w:spacing w:line="240" w:lineRule="auto" w:before="58"/>
        <w:ind w:left="396" w:right="0"/>
        <w:jc w:val="left"/>
      </w:pPr>
      <w:r>
        <w:rPr/>
        <w:t>□适用</w:t>
        <w:tab/>
        <w:t>√不适用</w:t>
      </w:r>
    </w:p>
    <w:p>
      <w:pPr>
        <w:spacing w:line="240" w:lineRule="auto" w:before="4"/>
        <w:rPr>
          <w:rFonts w:ascii="宋体" w:hAnsi="宋体" w:cs="宋体" w:eastAsia="宋体" w:hint="default"/>
          <w:sz w:val="25"/>
          <w:szCs w:val="25"/>
        </w:rPr>
      </w:pPr>
    </w:p>
    <w:p>
      <w:pPr>
        <w:pStyle w:val="Heading2"/>
        <w:tabs>
          <w:tab w:pos="1237" w:val="left" w:leader="none"/>
        </w:tabs>
        <w:spacing w:line="240" w:lineRule="auto"/>
        <w:ind w:left="396" w:right="0"/>
        <w:jc w:val="left"/>
        <w:rPr>
          <w:rFonts w:ascii="宋体" w:hAnsi="宋体" w:cs="宋体" w:eastAsia="宋体" w:hint="default"/>
          <w:b w:val="0"/>
          <w:bCs w:val="0"/>
        </w:rPr>
      </w:pPr>
      <w:r>
        <w:rPr>
          <w:rFonts w:ascii="宋体" w:hAnsi="宋体" w:cs="宋体" w:eastAsia="宋体" w:hint="default"/>
        </w:rPr>
        <w:t>(7).</w:t>
        <w:tab/>
      </w:r>
      <w:r>
        <w:rPr/>
        <w:t>转移应收账款且继续涉入形成的资产、负债金额</w:t>
      </w:r>
      <w:r>
        <w:rPr>
          <w:rFonts w:ascii="宋体" w:hAnsi="宋体" w:cs="宋体" w:eastAsia="宋体" w:hint="default"/>
          <w:w w:val="99"/>
        </w:rPr>
        <w:t> </w:t>
      </w:r>
      <w:r>
        <w:rPr>
          <w:rFonts w:ascii="宋体" w:hAnsi="宋体" w:cs="宋体" w:eastAsia="宋体" w:hint="default"/>
          <w:b w:val="0"/>
          <w:bCs w:val="0"/>
        </w:rPr>
      </w:r>
    </w:p>
    <w:p>
      <w:pPr>
        <w:pStyle w:val="BodyText"/>
        <w:tabs>
          <w:tab w:pos="1357" w:val="left" w:leader="none"/>
        </w:tabs>
        <w:spacing w:line="240" w:lineRule="auto" w:before="58"/>
        <w:ind w:left="396" w:right="0"/>
        <w:jc w:val="left"/>
      </w:pPr>
      <w:r>
        <w:rPr/>
        <w:t>□适用</w:t>
        <w:tab/>
        <w:t>√不适用</w:t>
      </w:r>
    </w:p>
    <w:p>
      <w:pPr>
        <w:spacing w:line="240" w:lineRule="auto" w:before="12"/>
        <w:rPr>
          <w:rFonts w:ascii="宋体" w:hAnsi="宋体" w:cs="宋体" w:eastAsia="宋体" w:hint="default"/>
          <w:sz w:val="20"/>
          <w:szCs w:val="20"/>
        </w:rPr>
      </w:pPr>
    </w:p>
    <w:p>
      <w:pPr>
        <w:pStyle w:val="BodyText"/>
        <w:spacing w:line="312" w:lineRule="exact"/>
        <w:ind w:left="396" w:right="0"/>
        <w:jc w:val="left"/>
      </w:pPr>
      <w:r>
        <w:rPr/>
        <w:t>其他说明：</w:t>
      </w:r>
    </w:p>
    <w:p>
      <w:pPr>
        <w:pStyle w:val="BodyText"/>
        <w:tabs>
          <w:tab w:pos="1357" w:val="left" w:leader="none"/>
        </w:tabs>
        <w:spacing w:line="312" w:lineRule="exact"/>
        <w:ind w:left="396" w:right="0"/>
        <w:jc w:val="left"/>
      </w:pPr>
      <w:r>
        <w:rPr/>
        <w:t>□适用</w:t>
        <w:tab/>
        <w:t>√不适用</w:t>
      </w:r>
    </w:p>
    <w:p>
      <w:pPr>
        <w:spacing w:line="240" w:lineRule="auto" w:before="7"/>
        <w:rPr>
          <w:rFonts w:ascii="宋体" w:hAnsi="宋体" w:cs="宋体" w:eastAsia="宋体" w:hint="default"/>
          <w:sz w:val="25"/>
          <w:szCs w:val="25"/>
        </w:rPr>
      </w:pPr>
    </w:p>
    <w:p>
      <w:pPr>
        <w:pStyle w:val="Heading2"/>
        <w:spacing w:line="240" w:lineRule="auto"/>
        <w:ind w:left="396" w:right="0"/>
        <w:jc w:val="left"/>
        <w:rPr>
          <w:b w:val="0"/>
          <w:bCs w:val="0"/>
        </w:rPr>
      </w:pPr>
      <w:r>
        <w:rPr>
          <w:rFonts w:ascii="宋体" w:hAnsi="宋体" w:cs="宋体" w:eastAsia="宋体" w:hint="default"/>
        </w:rPr>
        <w:t>6</w:t>
      </w:r>
      <w:r>
        <w:rPr/>
        <w:t>、</w:t>
      </w:r>
      <w:r>
        <w:rPr>
          <w:spacing w:val="-66"/>
        </w:rPr>
        <w:t> </w:t>
      </w:r>
      <w:r>
        <w:rPr/>
        <w:t>应收款项融资</w:t>
      </w:r>
      <w:r>
        <w:rPr>
          <w:b w:val="0"/>
          <w:bCs w:val="0"/>
        </w:rPr>
      </w:r>
    </w:p>
    <w:p>
      <w:pPr>
        <w:pStyle w:val="BodyText"/>
        <w:spacing w:line="240" w:lineRule="auto" w:before="58"/>
        <w:ind w:left="396" w:right="0"/>
        <w:jc w:val="left"/>
      </w:pPr>
      <w:r>
        <w:rPr/>
        <w:t>□适用 √不适用</w:t>
      </w:r>
    </w:p>
    <w:p>
      <w:pPr>
        <w:spacing w:after="0" w:line="240" w:lineRule="auto"/>
        <w:jc w:val="left"/>
        <w:sectPr>
          <w:pgSz w:w="11910" w:h="16840"/>
          <w:pgMar w:header="882" w:footer="1195" w:top="1080" w:bottom="1380" w:left="880" w:right="1560"/>
        </w:sectPr>
      </w:pPr>
    </w:p>
    <w:p>
      <w:pPr>
        <w:spacing w:line="240" w:lineRule="auto" w:before="4"/>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880" w:right="1560"/>
        </w:sectPr>
      </w:pPr>
    </w:p>
    <w:p>
      <w:pPr>
        <w:pStyle w:val="Heading2"/>
        <w:spacing w:line="240" w:lineRule="auto" w:before="26"/>
        <w:ind w:left="396" w:right="0"/>
        <w:jc w:val="left"/>
        <w:rPr>
          <w:b w:val="0"/>
          <w:bCs w:val="0"/>
        </w:rPr>
      </w:pPr>
      <w:r>
        <w:rPr>
          <w:rFonts w:ascii="宋体" w:hAnsi="宋体" w:cs="宋体" w:eastAsia="宋体" w:hint="default"/>
        </w:rPr>
        <w:t>7</w:t>
      </w:r>
      <w:r>
        <w:rPr/>
        <w:t>、</w:t>
      </w:r>
      <w:r>
        <w:rPr>
          <w:spacing w:val="-64"/>
        </w:rPr>
        <w:t> </w:t>
      </w:r>
      <w:r>
        <w:rPr/>
        <w:t>预付款项</w:t>
      </w:r>
      <w:r>
        <w:rPr>
          <w:b w:val="0"/>
          <w:bCs w:val="0"/>
        </w:rPr>
      </w:r>
    </w:p>
    <w:p>
      <w:pPr>
        <w:pStyle w:val="Heading2"/>
        <w:tabs>
          <w:tab w:pos="1237" w:val="left" w:leader="none"/>
        </w:tabs>
        <w:spacing w:line="240" w:lineRule="auto" w:before="58"/>
        <w:ind w:left="396" w:right="0"/>
        <w:jc w:val="left"/>
        <w:rPr>
          <w:rFonts w:ascii="宋体" w:hAnsi="宋体" w:cs="宋体" w:eastAsia="宋体" w:hint="default"/>
          <w:b w:val="0"/>
          <w:bCs w:val="0"/>
        </w:rPr>
      </w:pPr>
      <w:r>
        <w:rPr>
          <w:rFonts w:ascii="宋体" w:hAnsi="宋体" w:cs="宋体" w:eastAsia="宋体" w:hint="default"/>
        </w:rPr>
        <w:t>(1).</w:t>
        <w:tab/>
      </w:r>
      <w:r>
        <w:rPr/>
        <w:t>预付款项按账龄列示</w:t>
      </w:r>
      <w:r>
        <w:rPr>
          <w:rFonts w:ascii="宋体" w:hAnsi="宋体" w:cs="宋体" w:eastAsia="宋体" w:hint="default"/>
          <w:w w:val="99"/>
        </w:rPr>
        <w:t> </w:t>
      </w:r>
      <w:r>
        <w:rPr>
          <w:rFonts w:ascii="宋体" w:hAnsi="宋体" w:cs="宋体" w:eastAsia="宋体" w:hint="default"/>
          <w:b w:val="0"/>
          <w:bCs w:val="0"/>
        </w:rPr>
      </w:r>
    </w:p>
    <w:p>
      <w:pPr>
        <w:pStyle w:val="BodyText"/>
        <w:tabs>
          <w:tab w:pos="1357" w:val="left" w:leader="none"/>
        </w:tabs>
        <w:spacing w:line="240" w:lineRule="auto" w:before="55"/>
        <w:ind w:left="396" w:right="0"/>
        <w:jc w:val="left"/>
      </w:pPr>
      <w:r>
        <w:rPr/>
        <w:t>√适用</w:t>
        <w:tab/>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pStyle w:val="BodyText"/>
        <w:tabs>
          <w:tab w:pos="1596" w:val="left" w:leader="none"/>
        </w:tabs>
        <w:spacing w:line="240" w:lineRule="auto"/>
        <w:ind w:left="396" w:right="0"/>
        <w:jc w:val="left"/>
      </w:pPr>
      <w:r>
        <w:rPr/>
        <w:t>单位：元</w:t>
        <w:tab/>
        <w:t>币种：人民币</w:t>
      </w:r>
    </w:p>
    <w:p>
      <w:pPr>
        <w:spacing w:after="0" w:line="240" w:lineRule="auto"/>
        <w:jc w:val="left"/>
        <w:sectPr>
          <w:type w:val="continuous"/>
          <w:pgSz w:w="11910" w:h="16840"/>
          <w:pgMar w:top="1120" w:bottom="1380" w:left="880" w:right="1560"/>
          <w:cols w:num="2" w:equalWidth="0">
            <w:col w:w="3528" w:space="2665"/>
            <w:col w:w="3277"/>
          </w:cols>
        </w:sectPr>
      </w:pPr>
    </w:p>
    <w:p>
      <w:pPr>
        <w:spacing w:line="240" w:lineRule="auto" w:before="12"/>
        <w:rPr>
          <w:rFonts w:ascii="宋体" w:hAnsi="宋体" w:cs="宋体" w:eastAsia="宋体" w:hint="default"/>
          <w:sz w:val="2"/>
          <w:szCs w:val="2"/>
        </w:rPr>
      </w:pPr>
    </w:p>
    <w:tbl>
      <w:tblPr>
        <w:tblW w:w="0" w:type="auto"/>
        <w:jc w:val="left"/>
        <w:tblInd w:w="279" w:type="dxa"/>
        <w:tblLayout w:type="fixed"/>
        <w:tblCellMar>
          <w:top w:w="0" w:type="dxa"/>
          <w:left w:w="0" w:type="dxa"/>
          <w:bottom w:w="0" w:type="dxa"/>
          <w:right w:w="0" w:type="dxa"/>
        </w:tblCellMar>
        <w:tblLook w:val="01E0"/>
      </w:tblPr>
      <w:tblGrid>
        <w:gridCol w:w="1385"/>
        <w:gridCol w:w="1928"/>
        <w:gridCol w:w="1910"/>
        <w:gridCol w:w="1911"/>
        <w:gridCol w:w="1928"/>
      </w:tblGrid>
      <w:tr>
        <w:trPr>
          <w:trHeight w:val="322" w:hRule="exact"/>
        </w:trPr>
        <w:tc>
          <w:tcPr>
            <w:tcW w:w="1385" w:type="dxa"/>
            <w:vMerge w:val="restart"/>
            <w:tcBorders>
              <w:top w:val="single" w:sz="4" w:space="0" w:color="000000"/>
              <w:left w:val="single" w:sz="4" w:space="0" w:color="000000"/>
              <w:right w:val="single" w:sz="4" w:space="0" w:color="000000"/>
            </w:tcBorders>
          </w:tcPr>
          <w:p>
            <w:pPr>
              <w:pStyle w:val="TableParagraph"/>
              <w:spacing w:line="240" w:lineRule="auto" w:before="120"/>
              <w:ind w:left="444" w:right="0"/>
              <w:jc w:val="left"/>
              <w:rPr>
                <w:rFonts w:ascii="宋体" w:hAnsi="宋体" w:cs="宋体" w:eastAsia="宋体" w:hint="default"/>
                <w:sz w:val="24"/>
                <w:szCs w:val="24"/>
              </w:rPr>
            </w:pPr>
            <w:r>
              <w:rPr>
                <w:rFonts w:ascii="宋体" w:hAnsi="宋体" w:cs="宋体" w:eastAsia="宋体" w:hint="default"/>
                <w:sz w:val="24"/>
                <w:szCs w:val="24"/>
              </w:rPr>
              <w:t>账龄</w:t>
            </w:r>
          </w:p>
        </w:tc>
        <w:tc>
          <w:tcPr>
            <w:tcW w:w="38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4"/>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8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19" w:hRule="exact"/>
        </w:trPr>
        <w:tc>
          <w:tcPr>
            <w:tcW w:w="1385" w:type="dxa"/>
            <w:vMerge/>
            <w:tcBorders>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金额</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527"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比例</w:t>
            </w:r>
            <w:r>
              <w:rPr>
                <w:rFonts w:ascii="Times New Roman" w:hAnsi="Times New Roman" w:cs="Times New Roman" w:eastAsia="Times New Roman" w:hint="default"/>
                <w:sz w:val="24"/>
                <w:szCs w:val="24"/>
              </w:rPr>
              <w:t>(%)</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金额</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535"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比例</w:t>
            </w:r>
            <w:r>
              <w:rPr>
                <w:rFonts w:ascii="Times New Roman" w:hAnsi="Times New Roman" w:cs="Times New Roman" w:eastAsia="Times New Roman" w:hint="default"/>
                <w:sz w:val="24"/>
                <w:szCs w:val="24"/>
              </w:rPr>
              <w:t>(%)</w:t>
            </w:r>
          </w:p>
        </w:tc>
      </w:tr>
      <w:tr>
        <w:trPr>
          <w:trHeight w:val="32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8"/>
              <w:jc w:val="right"/>
              <w:rPr>
                <w:rFonts w:ascii="宋体" w:hAnsi="宋体" w:cs="宋体" w:eastAsia="宋体" w:hint="default"/>
                <w:sz w:val="24"/>
                <w:szCs w:val="24"/>
              </w:rPr>
            </w:pPr>
            <w:r>
              <w:rPr>
                <w:rFonts w:ascii="宋体"/>
                <w:sz w:val="24"/>
              </w:rPr>
              <w:t>58,364,092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8"/>
              <w:jc w:val="right"/>
              <w:rPr>
                <w:rFonts w:ascii="宋体" w:hAnsi="宋体" w:cs="宋体" w:eastAsia="宋体" w:hint="default"/>
                <w:sz w:val="24"/>
                <w:szCs w:val="24"/>
              </w:rPr>
            </w:pPr>
            <w:r>
              <w:rPr>
                <w:rFonts w:ascii="宋体"/>
                <w:sz w:val="24"/>
              </w:rPr>
              <w:t>64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8"/>
              <w:jc w:val="right"/>
              <w:rPr>
                <w:rFonts w:ascii="宋体" w:hAnsi="宋体" w:cs="宋体" w:eastAsia="宋体" w:hint="default"/>
                <w:sz w:val="24"/>
                <w:szCs w:val="24"/>
              </w:rPr>
            </w:pPr>
            <w:r>
              <w:rPr>
                <w:rFonts w:ascii="宋体"/>
                <w:sz w:val="24"/>
              </w:rPr>
              <w:t>39,620,204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5"/>
              <w:jc w:val="right"/>
              <w:rPr>
                <w:rFonts w:ascii="宋体" w:hAnsi="宋体" w:cs="宋体" w:eastAsia="宋体" w:hint="default"/>
                <w:sz w:val="24"/>
                <w:szCs w:val="24"/>
              </w:rPr>
            </w:pPr>
            <w:r>
              <w:rPr>
                <w:rFonts w:ascii="宋体"/>
                <w:sz w:val="24"/>
              </w:rPr>
              <w:t>60 </w:t>
            </w:r>
          </w:p>
        </w:tc>
      </w:tr>
      <w:tr>
        <w:trPr>
          <w:trHeight w:val="32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 </w:t>
            </w:r>
            <w:r>
              <w:rPr>
                <w:rFonts w:ascii="宋体" w:hAnsi="宋体" w:cs="宋体" w:eastAsia="宋体" w:hint="default"/>
                <w:sz w:val="24"/>
                <w:szCs w:val="24"/>
              </w:rPr>
              <w:t>年</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16,126,404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18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19,800,884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30 </w:t>
            </w:r>
          </w:p>
        </w:tc>
      </w:tr>
      <w:tr>
        <w:trPr>
          <w:trHeight w:val="32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 </w:t>
            </w:r>
            <w:r>
              <w:rPr>
                <w:rFonts w:ascii="宋体" w:hAnsi="宋体" w:cs="宋体" w:eastAsia="宋体" w:hint="default"/>
                <w:sz w:val="24"/>
                <w:szCs w:val="24"/>
              </w:rPr>
              <w:t>年</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10,510,352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12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430,343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1 </w:t>
            </w:r>
          </w:p>
        </w:tc>
      </w:tr>
      <w:tr>
        <w:trPr>
          <w:trHeight w:val="32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年以上</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5,457,149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6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5,792,289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9 </w:t>
            </w:r>
          </w:p>
        </w:tc>
      </w:tr>
      <w:tr>
        <w:trPr>
          <w:trHeight w:val="322" w:hRule="exact"/>
        </w:trPr>
        <w:tc>
          <w:tcPr>
            <w:tcW w:w="1385"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r>
      <w:tr>
        <w:trPr>
          <w:trHeight w:val="322" w:hRule="exact"/>
        </w:trPr>
        <w:tc>
          <w:tcPr>
            <w:tcW w:w="1385"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r>
      <w:tr>
        <w:trPr>
          <w:trHeight w:val="32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44"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90,457,997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100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
              <w:jc w:val="right"/>
              <w:rPr>
                <w:rFonts w:ascii="宋体" w:hAnsi="宋体" w:cs="宋体" w:eastAsia="宋体" w:hint="default"/>
                <w:sz w:val="24"/>
                <w:szCs w:val="24"/>
              </w:rPr>
            </w:pPr>
            <w:r>
              <w:rPr>
                <w:rFonts w:ascii="宋体"/>
                <w:sz w:val="24"/>
              </w:rPr>
              <w:t>65,643,720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100 </w:t>
            </w:r>
          </w:p>
        </w:tc>
      </w:tr>
    </w:tbl>
    <w:p>
      <w:pPr>
        <w:pStyle w:val="BodyText"/>
        <w:spacing w:line="281" w:lineRule="exact"/>
        <w:ind w:left="396" w:right="0"/>
        <w:jc w:val="left"/>
      </w:pPr>
      <w:r>
        <w:rPr/>
        <w:t>账龄超过</w:t>
      </w:r>
      <w:r>
        <w:rPr>
          <w:spacing w:val="-61"/>
        </w:rPr>
        <w:t> </w:t>
      </w:r>
      <w:r>
        <w:rPr>
          <w:rFonts w:ascii="Times New Roman" w:hAnsi="Times New Roman" w:cs="Times New Roman" w:eastAsia="Times New Roman" w:hint="default"/>
        </w:rPr>
        <w:t>1 </w:t>
      </w:r>
      <w:r>
        <w:rPr/>
        <w:t>年且金额重要的预付款项未及时结算原因的说明：</w:t>
      </w:r>
    </w:p>
    <w:p>
      <w:pPr>
        <w:pStyle w:val="BodyText"/>
        <w:spacing w:line="303" w:lineRule="exact"/>
        <w:ind w:left="396" w:right="0"/>
        <w:jc w:val="left"/>
      </w:pPr>
      <w:r>
        <w:rPr/>
        <w:t>无。</w:t>
      </w:r>
    </w:p>
    <w:p>
      <w:pPr>
        <w:spacing w:line="240" w:lineRule="auto" w:before="7"/>
        <w:rPr>
          <w:rFonts w:ascii="宋体" w:hAnsi="宋体" w:cs="宋体" w:eastAsia="宋体" w:hint="default"/>
          <w:sz w:val="25"/>
          <w:szCs w:val="25"/>
        </w:rPr>
      </w:pPr>
    </w:p>
    <w:p>
      <w:pPr>
        <w:pStyle w:val="Heading2"/>
        <w:tabs>
          <w:tab w:pos="1237" w:val="left" w:leader="none"/>
        </w:tabs>
        <w:spacing w:line="240" w:lineRule="auto"/>
        <w:ind w:left="396" w:right="0"/>
        <w:jc w:val="left"/>
        <w:rPr>
          <w:rFonts w:ascii="宋体" w:hAnsi="宋体" w:cs="宋体" w:eastAsia="宋体" w:hint="default"/>
          <w:b w:val="0"/>
          <w:bCs w:val="0"/>
        </w:rPr>
      </w:pPr>
      <w:r>
        <w:rPr>
          <w:rFonts w:ascii="宋体" w:hAnsi="宋体" w:cs="宋体" w:eastAsia="宋体" w:hint="default"/>
        </w:rPr>
        <w:t>(2).</w:t>
        <w:tab/>
      </w:r>
      <w:r>
        <w:rPr/>
        <w:t>按预付对象归集的期末余额前五名的预付款情况</w:t>
      </w:r>
      <w:r>
        <w:rPr>
          <w:rFonts w:ascii="宋体" w:hAnsi="宋体" w:cs="宋体" w:eastAsia="宋体" w:hint="default"/>
          <w:w w:val="99"/>
        </w:rPr>
        <w:t> </w:t>
      </w:r>
      <w:r>
        <w:rPr>
          <w:rFonts w:ascii="宋体" w:hAnsi="宋体" w:cs="宋体" w:eastAsia="宋体" w:hint="default"/>
          <w:b w:val="0"/>
          <w:bCs w:val="0"/>
        </w:rPr>
      </w:r>
    </w:p>
    <w:p>
      <w:pPr>
        <w:pStyle w:val="BodyText"/>
        <w:tabs>
          <w:tab w:pos="1357" w:val="left" w:leader="none"/>
        </w:tabs>
        <w:spacing w:line="240" w:lineRule="auto" w:before="58"/>
        <w:ind w:left="396" w:right="0"/>
        <w:jc w:val="left"/>
      </w:pPr>
      <w:r>
        <w:rPr/>
        <w:t>√适用</w:t>
        <w:tab/>
        <w:t>□不适用</w:t>
      </w:r>
    </w:p>
    <w:p>
      <w:pPr>
        <w:spacing w:line="240" w:lineRule="auto" w:before="7"/>
        <w:rPr>
          <w:rFonts w:ascii="宋体" w:hAnsi="宋体" w:cs="宋体" w:eastAsia="宋体" w:hint="default"/>
          <w:sz w:val="25"/>
          <w:szCs w:val="25"/>
        </w:rPr>
      </w:pPr>
    </w:p>
    <w:tbl>
      <w:tblPr>
        <w:tblW w:w="0" w:type="auto"/>
        <w:jc w:val="left"/>
        <w:tblInd w:w="108" w:type="dxa"/>
        <w:tblLayout w:type="fixed"/>
        <w:tblCellMar>
          <w:top w:w="0" w:type="dxa"/>
          <w:left w:w="0" w:type="dxa"/>
          <w:bottom w:w="0" w:type="dxa"/>
          <w:right w:w="0" w:type="dxa"/>
        </w:tblCellMar>
        <w:tblLook w:val="01E0"/>
      </w:tblPr>
      <w:tblGrid>
        <w:gridCol w:w="1396"/>
        <w:gridCol w:w="1944"/>
        <w:gridCol w:w="3079"/>
        <w:gridCol w:w="2266"/>
      </w:tblGrid>
      <w:tr>
        <w:trPr>
          <w:trHeight w:val="232" w:hRule="exact"/>
        </w:trPr>
        <w:tc>
          <w:tcPr>
            <w:tcW w:w="1396" w:type="dxa"/>
            <w:tcBorders>
              <w:top w:val="nil" w:sz="6" w:space="0" w:color="auto"/>
              <w:left w:val="nil" w:sz="6" w:space="0" w:color="auto"/>
              <w:bottom w:val="nil" w:sz="6" w:space="0" w:color="auto"/>
              <w:right w:val="nil" w:sz="6" w:space="0" w:color="auto"/>
            </w:tcBorders>
          </w:tcPr>
          <w:p>
            <w:pPr/>
          </w:p>
        </w:tc>
        <w:tc>
          <w:tcPr>
            <w:tcW w:w="1944" w:type="dxa"/>
            <w:tcBorders>
              <w:top w:val="nil" w:sz="6" w:space="0" w:color="auto"/>
              <w:left w:val="nil" w:sz="6" w:space="0" w:color="auto"/>
              <w:bottom w:val="nil" w:sz="6" w:space="0" w:color="auto"/>
              <w:right w:val="nil" w:sz="6" w:space="0" w:color="auto"/>
            </w:tcBorders>
          </w:tcPr>
          <w:p>
            <w:pPr/>
          </w:p>
        </w:tc>
        <w:tc>
          <w:tcPr>
            <w:tcW w:w="3079" w:type="dxa"/>
            <w:tcBorders>
              <w:top w:val="nil" w:sz="6" w:space="0" w:color="auto"/>
              <w:left w:val="nil" w:sz="6" w:space="0" w:color="auto"/>
              <w:bottom w:val="nil" w:sz="6" w:space="0" w:color="auto"/>
              <w:right w:val="nil" w:sz="6" w:space="0" w:color="auto"/>
            </w:tcBorders>
          </w:tcPr>
          <w:p>
            <w:pPr>
              <w:pStyle w:val="TableParagraph"/>
              <w:spacing w:line="211" w:lineRule="exact"/>
              <w:ind w:right="380"/>
              <w:jc w:val="right"/>
              <w:rPr>
                <w:rFonts w:ascii="宋体" w:hAnsi="宋体" w:cs="宋体" w:eastAsia="宋体" w:hint="default"/>
                <w:sz w:val="21"/>
                <w:szCs w:val="21"/>
              </w:rPr>
            </w:pPr>
            <w:r>
              <w:rPr>
                <w:rFonts w:ascii="宋体" w:hAnsi="宋体" w:cs="宋体" w:eastAsia="宋体" w:hint="default"/>
                <w:spacing w:val="-2"/>
                <w:sz w:val="21"/>
                <w:szCs w:val="21"/>
              </w:rPr>
              <w:t>预付账款年末余额</w:t>
            </w:r>
          </w:p>
        </w:tc>
        <w:tc>
          <w:tcPr>
            <w:tcW w:w="2266" w:type="dxa"/>
            <w:tcBorders>
              <w:top w:val="nil" w:sz="6" w:space="0" w:color="auto"/>
              <w:left w:val="nil" w:sz="6" w:space="0" w:color="auto"/>
              <w:bottom w:val="nil" w:sz="6" w:space="0" w:color="auto"/>
              <w:right w:val="nil" w:sz="6" w:space="0" w:color="auto"/>
            </w:tcBorders>
          </w:tcPr>
          <w:p>
            <w:pPr>
              <w:pStyle w:val="TableParagraph"/>
              <w:spacing w:line="211" w:lineRule="exact"/>
              <w:ind w:right="198"/>
              <w:jc w:val="right"/>
              <w:rPr>
                <w:rFonts w:ascii="宋体" w:hAnsi="宋体" w:cs="宋体" w:eastAsia="宋体" w:hint="default"/>
                <w:sz w:val="21"/>
                <w:szCs w:val="21"/>
              </w:rPr>
            </w:pPr>
            <w:r>
              <w:rPr>
                <w:rFonts w:ascii="宋体" w:hAnsi="宋体" w:cs="宋体" w:eastAsia="宋体" w:hint="default"/>
                <w:spacing w:val="-2"/>
                <w:sz w:val="21"/>
                <w:szCs w:val="21"/>
              </w:rPr>
              <w:t>预付账款年末余额</w:t>
            </w:r>
          </w:p>
        </w:tc>
      </w:tr>
      <w:tr>
        <w:trPr>
          <w:trHeight w:val="252"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31" w:lineRule="exact"/>
              <w:ind w:left="200" w:right="0"/>
              <w:jc w:val="left"/>
              <w:rPr>
                <w:rFonts w:ascii="宋体" w:hAnsi="宋体" w:cs="宋体" w:eastAsia="宋体" w:hint="default"/>
                <w:sz w:val="21"/>
                <w:szCs w:val="21"/>
              </w:rPr>
            </w:pPr>
            <w:r>
              <w:rPr>
                <w:rFonts w:ascii="宋体"/>
                <w:w w:val="100"/>
                <w:sz w:val="21"/>
              </w:rPr>
              <w:t> </w:t>
            </w:r>
          </w:p>
        </w:tc>
        <w:tc>
          <w:tcPr>
            <w:tcW w:w="1944" w:type="dxa"/>
            <w:tcBorders>
              <w:top w:val="nil" w:sz="6" w:space="0" w:color="auto"/>
              <w:left w:val="nil" w:sz="6" w:space="0" w:color="auto"/>
              <w:bottom w:val="nil" w:sz="6" w:space="0" w:color="auto"/>
              <w:right w:val="nil" w:sz="6" w:space="0" w:color="auto"/>
            </w:tcBorders>
          </w:tcPr>
          <w:p>
            <w:pPr/>
          </w:p>
        </w:tc>
        <w:tc>
          <w:tcPr>
            <w:tcW w:w="3079" w:type="dxa"/>
            <w:tcBorders>
              <w:top w:val="nil" w:sz="6" w:space="0" w:color="auto"/>
              <w:left w:val="nil" w:sz="6" w:space="0" w:color="auto"/>
              <w:bottom w:val="nil" w:sz="6" w:space="0" w:color="auto"/>
              <w:right w:val="nil" w:sz="6" w:space="0" w:color="auto"/>
            </w:tcBorders>
          </w:tcPr>
          <w:p>
            <w:pPr/>
          </w:p>
        </w:tc>
        <w:tc>
          <w:tcPr>
            <w:tcW w:w="2266" w:type="dxa"/>
            <w:tcBorders>
              <w:top w:val="nil" w:sz="6" w:space="0" w:color="auto"/>
              <w:left w:val="nil" w:sz="6" w:space="0" w:color="auto"/>
              <w:bottom w:val="nil" w:sz="6" w:space="0" w:color="auto"/>
              <w:right w:val="nil" w:sz="6" w:space="0" w:color="auto"/>
            </w:tcBorders>
          </w:tcPr>
          <w:p>
            <w:pPr>
              <w:pStyle w:val="TableParagraph"/>
              <w:spacing w:line="231" w:lineRule="exact"/>
              <w:ind w:left="-38" w:right="198"/>
              <w:jc w:val="right"/>
              <w:rPr>
                <w:rFonts w:ascii="宋体" w:hAnsi="宋体" w:cs="宋体" w:eastAsia="宋体" w:hint="default"/>
                <w:sz w:val="21"/>
                <w:szCs w:val="21"/>
              </w:rPr>
            </w:pPr>
            <w:r>
              <w:rPr>
                <w:rFonts w:ascii="宋体" w:hAnsi="宋体" w:cs="宋体" w:eastAsia="宋体" w:hint="default"/>
                <w:spacing w:val="-2"/>
                <w:sz w:val="21"/>
                <w:szCs w:val="21"/>
              </w:rPr>
              <w:t>占预付账款总额的比例</w:t>
            </w:r>
          </w:p>
        </w:tc>
      </w:tr>
      <w:tr>
        <w:trPr>
          <w:trHeight w:val="250"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31" w:lineRule="exact"/>
              <w:ind w:left="200" w:right="0"/>
              <w:jc w:val="left"/>
              <w:rPr>
                <w:rFonts w:ascii="宋体" w:hAnsi="宋体" w:cs="宋体" w:eastAsia="宋体" w:hint="default"/>
                <w:sz w:val="21"/>
                <w:szCs w:val="21"/>
              </w:rPr>
            </w:pPr>
            <w:r>
              <w:rPr>
                <w:rFonts w:ascii="宋体"/>
                <w:w w:val="100"/>
                <w:sz w:val="21"/>
              </w:rPr>
              <w:t> </w:t>
            </w:r>
          </w:p>
        </w:tc>
        <w:tc>
          <w:tcPr>
            <w:tcW w:w="1944" w:type="dxa"/>
            <w:tcBorders>
              <w:top w:val="nil" w:sz="6" w:space="0" w:color="auto"/>
              <w:left w:val="nil" w:sz="6" w:space="0" w:color="auto"/>
              <w:bottom w:val="nil" w:sz="6" w:space="0" w:color="auto"/>
              <w:right w:val="nil" w:sz="6" w:space="0" w:color="auto"/>
            </w:tcBorders>
          </w:tcPr>
          <w:p>
            <w:pPr/>
          </w:p>
        </w:tc>
        <w:tc>
          <w:tcPr>
            <w:tcW w:w="3079" w:type="dxa"/>
            <w:tcBorders>
              <w:top w:val="nil" w:sz="6" w:space="0" w:color="auto"/>
              <w:left w:val="nil" w:sz="6" w:space="0" w:color="auto"/>
              <w:bottom w:val="nil" w:sz="6" w:space="0" w:color="auto"/>
              <w:right w:val="nil" w:sz="6" w:space="0" w:color="auto"/>
            </w:tcBorders>
          </w:tcPr>
          <w:p>
            <w:pPr/>
          </w:p>
        </w:tc>
        <w:tc>
          <w:tcPr>
            <w:tcW w:w="2266" w:type="dxa"/>
            <w:tcBorders>
              <w:top w:val="nil" w:sz="6" w:space="0" w:color="auto"/>
              <w:left w:val="nil" w:sz="6" w:space="0" w:color="auto"/>
              <w:bottom w:val="nil" w:sz="6" w:space="0" w:color="auto"/>
              <w:right w:val="nil" w:sz="6" w:space="0" w:color="auto"/>
            </w:tcBorders>
          </w:tcPr>
          <w:p>
            <w:pPr/>
          </w:p>
        </w:tc>
      </w:tr>
      <w:tr>
        <w:trPr>
          <w:trHeight w:val="252"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34" w:lineRule="exact"/>
              <w:ind w:left="200"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49"/>
                <w:sz w:val="21"/>
                <w:szCs w:val="21"/>
              </w:rPr>
              <w:t> </w:t>
            </w:r>
            <w:r>
              <w:rPr>
                <w:rFonts w:ascii="宋体" w:hAnsi="宋体" w:cs="宋体" w:eastAsia="宋体" w:hint="default"/>
                <w:spacing w:val="-3"/>
                <w:sz w:val="21"/>
                <w:szCs w:val="21"/>
              </w:rPr>
              <w:t>1</w:t>
            </w:r>
            <w:r>
              <w:rPr>
                <w:rFonts w:ascii="宋体" w:hAnsi="宋体" w:cs="宋体" w:eastAsia="宋体" w:hint="default"/>
                <w:sz w:val="21"/>
                <w:szCs w:val="21"/>
              </w:rPr>
              <w:t> </w:t>
            </w:r>
          </w:p>
        </w:tc>
        <w:tc>
          <w:tcPr>
            <w:tcW w:w="1944" w:type="dxa"/>
            <w:tcBorders>
              <w:top w:val="nil" w:sz="6" w:space="0" w:color="auto"/>
              <w:left w:val="nil" w:sz="6" w:space="0" w:color="auto"/>
              <w:bottom w:val="nil" w:sz="6" w:space="0" w:color="auto"/>
              <w:right w:val="nil" w:sz="6" w:space="0" w:color="auto"/>
            </w:tcBorders>
          </w:tcPr>
          <w:p>
            <w:pPr>
              <w:pStyle w:val="TableParagraph"/>
              <w:spacing w:line="234" w:lineRule="exact"/>
              <w:ind w:left="511" w:right="0"/>
              <w:jc w:val="left"/>
              <w:rPr>
                <w:rFonts w:ascii="宋体" w:hAnsi="宋体" w:cs="宋体" w:eastAsia="宋体" w:hint="default"/>
                <w:sz w:val="21"/>
                <w:szCs w:val="21"/>
              </w:rPr>
            </w:pPr>
            <w:r>
              <w:rPr>
                <w:rFonts w:ascii="宋体"/>
                <w:w w:val="100"/>
                <w:sz w:val="21"/>
              </w:rPr>
              <w:t> </w:t>
            </w:r>
          </w:p>
        </w:tc>
        <w:tc>
          <w:tcPr>
            <w:tcW w:w="3079" w:type="dxa"/>
            <w:tcBorders>
              <w:top w:val="nil" w:sz="6" w:space="0" w:color="auto"/>
              <w:left w:val="nil" w:sz="6" w:space="0" w:color="auto"/>
              <w:bottom w:val="nil" w:sz="6" w:space="0" w:color="auto"/>
              <w:right w:val="nil" w:sz="6" w:space="0" w:color="auto"/>
            </w:tcBorders>
          </w:tcPr>
          <w:p>
            <w:pPr>
              <w:pStyle w:val="TableParagraph"/>
              <w:spacing w:line="229" w:lineRule="exact"/>
              <w:ind w:right="381"/>
              <w:jc w:val="right"/>
              <w:rPr>
                <w:rFonts w:ascii="宋体" w:hAnsi="宋体" w:cs="宋体" w:eastAsia="宋体" w:hint="default"/>
                <w:sz w:val="21"/>
                <w:szCs w:val="21"/>
              </w:rPr>
            </w:pPr>
            <w:r>
              <w:rPr>
                <w:rFonts w:ascii="宋体"/>
                <w:spacing w:val="-1"/>
                <w:sz w:val="21"/>
              </w:rPr>
              <w:t>8,000,000</w:t>
            </w:r>
          </w:p>
        </w:tc>
        <w:tc>
          <w:tcPr>
            <w:tcW w:w="2266" w:type="dxa"/>
            <w:tcBorders>
              <w:top w:val="nil" w:sz="6" w:space="0" w:color="auto"/>
              <w:left w:val="nil" w:sz="6" w:space="0" w:color="auto"/>
              <w:bottom w:val="nil" w:sz="6" w:space="0" w:color="auto"/>
              <w:right w:val="nil" w:sz="6" w:space="0" w:color="auto"/>
            </w:tcBorders>
          </w:tcPr>
          <w:p>
            <w:pPr>
              <w:pStyle w:val="TableParagraph"/>
              <w:spacing w:line="234" w:lineRule="exact"/>
              <w:ind w:right="200"/>
              <w:jc w:val="right"/>
              <w:rPr>
                <w:rFonts w:ascii="宋体" w:hAnsi="宋体" w:cs="宋体" w:eastAsia="宋体" w:hint="default"/>
                <w:sz w:val="21"/>
                <w:szCs w:val="21"/>
              </w:rPr>
            </w:pPr>
            <w:r>
              <w:rPr>
                <w:rFonts w:ascii="宋体"/>
                <w:sz w:val="21"/>
              </w:rPr>
              <w:t>9%</w:t>
            </w:r>
          </w:p>
        </w:tc>
      </w:tr>
      <w:tr>
        <w:trPr>
          <w:trHeight w:val="369"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34" w:lineRule="exact"/>
              <w:ind w:left="200"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49"/>
                <w:sz w:val="21"/>
                <w:szCs w:val="21"/>
              </w:rPr>
              <w:t> </w:t>
            </w:r>
            <w:r>
              <w:rPr>
                <w:rFonts w:ascii="宋体" w:hAnsi="宋体" w:cs="宋体" w:eastAsia="宋体" w:hint="default"/>
                <w:spacing w:val="-3"/>
                <w:sz w:val="21"/>
                <w:szCs w:val="21"/>
              </w:rPr>
              <w:t>2</w:t>
            </w:r>
            <w:r>
              <w:rPr>
                <w:rFonts w:ascii="宋体" w:hAnsi="宋体" w:cs="宋体" w:eastAsia="宋体" w:hint="default"/>
                <w:sz w:val="21"/>
                <w:szCs w:val="21"/>
              </w:rPr>
              <w:t> </w:t>
            </w:r>
          </w:p>
        </w:tc>
        <w:tc>
          <w:tcPr>
            <w:tcW w:w="1944" w:type="dxa"/>
            <w:tcBorders>
              <w:top w:val="nil" w:sz="6" w:space="0" w:color="auto"/>
              <w:left w:val="nil" w:sz="6" w:space="0" w:color="auto"/>
              <w:bottom w:val="nil" w:sz="6" w:space="0" w:color="auto"/>
              <w:right w:val="nil" w:sz="6" w:space="0" w:color="auto"/>
            </w:tcBorders>
          </w:tcPr>
          <w:p>
            <w:pPr>
              <w:pStyle w:val="TableParagraph"/>
              <w:spacing w:line="234" w:lineRule="exact"/>
              <w:ind w:left="511" w:right="0"/>
              <w:jc w:val="left"/>
              <w:rPr>
                <w:rFonts w:ascii="宋体" w:hAnsi="宋体" w:cs="宋体" w:eastAsia="宋体" w:hint="default"/>
                <w:sz w:val="21"/>
                <w:szCs w:val="21"/>
              </w:rPr>
            </w:pPr>
            <w:r>
              <w:rPr>
                <w:rFonts w:ascii="宋体"/>
                <w:w w:val="100"/>
                <w:sz w:val="21"/>
              </w:rPr>
              <w:t> </w:t>
            </w:r>
          </w:p>
        </w:tc>
        <w:tc>
          <w:tcPr>
            <w:tcW w:w="3079" w:type="dxa"/>
            <w:tcBorders>
              <w:top w:val="nil" w:sz="6" w:space="0" w:color="auto"/>
              <w:left w:val="nil" w:sz="6" w:space="0" w:color="auto"/>
              <w:bottom w:val="nil" w:sz="6" w:space="0" w:color="auto"/>
              <w:right w:val="nil" w:sz="6" w:space="0" w:color="auto"/>
            </w:tcBorders>
          </w:tcPr>
          <w:p>
            <w:pPr>
              <w:pStyle w:val="TableParagraph"/>
              <w:spacing w:line="229" w:lineRule="exact"/>
              <w:ind w:right="381"/>
              <w:jc w:val="right"/>
              <w:rPr>
                <w:rFonts w:ascii="宋体" w:hAnsi="宋体" w:cs="宋体" w:eastAsia="宋体" w:hint="default"/>
                <w:sz w:val="21"/>
                <w:szCs w:val="21"/>
              </w:rPr>
            </w:pPr>
            <w:r>
              <w:rPr>
                <w:rFonts w:ascii="宋体"/>
                <w:spacing w:val="-1"/>
                <w:sz w:val="21"/>
              </w:rPr>
              <w:t>7,317,667</w:t>
            </w:r>
          </w:p>
        </w:tc>
        <w:tc>
          <w:tcPr>
            <w:tcW w:w="2266" w:type="dxa"/>
            <w:tcBorders>
              <w:top w:val="nil" w:sz="6" w:space="0" w:color="auto"/>
              <w:left w:val="nil" w:sz="6" w:space="0" w:color="auto"/>
              <w:bottom w:val="nil" w:sz="6" w:space="0" w:color="auto"/>
              <w:right w:val="nil" w:sz="6" w:space="0" w:color="auto"/>
            </w:tcBorders>
          </w:tcPr>
          <w:p>
            <w:pPr>
              <w:pStyle w:val="TableParagraph"/>
              <w:spacing w:line="234" w:lineRule="exact"/>
              <w:ind w:right="200"/>
              <w:jc w:val="right"/>
              <w:rPr>
                <w:rFonts w:ascii="宋体" w:hAnsi="宋体" w:cs="宋体" w:eastAsia="宋体" w:hint="default"/>
                <w:sz w:val="21"/>
                <w:szCs w:val="21"/>
              </w:rPr>
            </w:pPr>
            <w:r>
              <w:rPr>
                <w:rFonts w:ascii="宋体"/>
                <w:sz w:val="21"/>
              </w:rPr>
              <w:t>8%</w:t>
            </w:r>
          </w:p>
        </w:tc>
      </w:tr>
      <w:tr>
        <w:trPr>
          <w:trHeight w:val="364"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00"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49"/>
                <w:sz w:val="21"/>
                <w:szCs w:val="21"/>
              </w:rPr>
              <w:t> </w:t>
            </w:r>
            <w:r>
              <w:rPr>
                <w:rFonts w:ascii="宋体" w:hAnsi="宋体" w:cs="宋体" w:eastAsia="宋体" w:hint="default"/>
                <w:spacing w:val="-3"/>
                <w:sz w:val="21"/>
                <w:szCs w:val="21"/>
              </w:rPr>
              <w:t>3</w:t>
            </w:r>
            <w:r>
              <w:rPr>
                <w:rFonts w:ascii="宋体" w:hAnsi="宋体" w:cs="宋体" w:eastAsia="宋体" w:hint="default"/>
                <w:sz w:val="21"/>
                <w:szCs w:val="21"/>
              </w:rPr>
              <w:t> </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511" w:right="0"/>
              <w:jc w:val="left"/>
              <w:rPr>
                <w:rFonts w:ascii="宋体" w:hAnsi="宋体" w:cs="宋体" w:eastAsia="宋体" w:hint="default"/>
                <w:sz w:val="21"/>
                <w:szCs w:val="21"/>
              </w:rPr>
            </w:pPr>
            <w:r>
              <w:rPr>
                <w:rFonts w:ascii="宋体"/>
                <w:w w:val="100"/>
                <w:sz w:val="21"/>
              </w:rPr>
              <w:t> </w:t>
            </w:r>
          </w:p>
        </w:tc>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83"/>
              <w:jc w:val="right"/>
              <w:rPr>
                <w:rFonts w:ascii="宋体" w:hAnsi="宋体" w:cs="宋体" w:eastAsia="宋体" w:hint="default"/>
                <w:sz w:val="21"/>
                <w:szCs w:val="21"/>
              </w:rPr>
            </w:pPr>
            <w:r>
              <w:rPr>
                <w:rFonts w:ascii="宋体"/>
                <w:spacing w:val="-1"/>
                <w:sz w:val="21"/>
              </w:rPr>
              <w:t>3,200,000</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00"/>
              <w:jc w:val="right"/>
              <w:rPr>
                <w:rFonts w:ascii="宋体" w:hAnsi="宋体" w:cs="宋体" w:eastAsia="宋体" w:hint="default"/>
                <w:sz w:val="21"/>
                <w:szCs w:val="21"/>
              </w:rPr>
            </w:pPr>
            <w:r>
              <w:rPr>
                <w:rFonts w:ascii="宋体"/>
                <w:sz w:val="21"/>
              </w:rPr>
              <w:t>4%</w:t>
            </w:r>
          </w:p>
        </w:tc>
      </w:tr>
      <w:tr>
        <w:trPr>
          <w:trHeight w:val="254"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34" w:lineRule="exact"/>
              <w:ind w:left="200"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49"/>
                <w:sz w:val="21"/>
                <w:szCs w:val="21"/>
              </w:rPr>
              <w:t> </w:t>
            </w:r>
            <w:r>
              <w:rPr>
                <w:rFonts w:ascii="宋体" w:hAnsi="宋体" w:cs="宋体" w:eastAsia="宋体" w:hint="default"/>
                <w:spacing w:val="-3"/>
                <w:sz w:val="21"/>
                <w:szCs w:val="21"/>
              </w:rPr>
              <w:t>4</w:t>
            </w:r>
            <w:r>
              <w:rPr>
                <w:rFonts w:ascii="宋体" w:hAnsi="宋体" w:cs="宋体" w:eastAsia="宋体" w:hint="default"/>
                <w:sz w:val="21"/>
                <w:szCs w:val="21"/>
              </w:rPr>
              <w:t> </w:t>
            </w:r>
          </w:p>
        </w:tc>
        <w:tc>
          <w:tcPr>
            <w:tcW w:w="1944" w:type="dxa"/>
            <w:tcBorders>
              <w:top w:val="nil" w:sz="6" w:space="0" w:color="auto"/>
              <w:left w:val="nil" w:sz="6" w:space="0" w:color="auto"/>
              <w:bottom w:val="nil" w:sz="6" w:space="0" w:color="auto"/>
              <w:right w:val="nil" w:sz="6" w:space="0" w:color="auto"/>
            </w:tcBorders>
          </w:tcPr>
          <w:p>
            <w:pPr>
              <w:pStyle w:val="TableParagraph"/>
              <w:spacing w:line="234" w:lineRule="exact"/>
              <w:ind w:left="511" w:right="0"/>
              <w:jc w:val="left"/>
              <w:rPr>
                <w:rFonts w:ascii="宋体" w:hAnsi="宋体" w:cs="宋体" w:eastAsia="宋体" w:hint="default"/>
                <w:sz w:val="21"/>
                <w:szCs w:val="21"/>
              </w:rPr>
            </w:pPr>
            <w:r>
              <w:rPr>
                <w:rFonts w:ascii="宋体"/>
                <w:w w:val="100"/>
                <w:sz w:val="21"/>
              </w:rPr>
              <w:t> </w:t>
            </w:r>
          </w:p>
        </w:tc>
        <w:tc>
          <w:tcPr>
            <w:tcW w:w="3079" w:type="dxa"/>
            <w:tcBorders>
              <w:top w:val="nil" w:sz="6" w:space="0" w:color="auto"/>
              <w:left w:val="nil" w:sz="6" w:space="0" w:color="auto"/>
              <w:bottom w:val="nil" w:sz="6" w:space="0" w:color="auto"/>
              <w:right w:val="nil" w:sz="6" w:space="0" w:color="auto"/>
            </w:tcBorders>
          </w:tcPr>
          <w:p>
            <w:pPr>
              <w:pStyle w:val="TableParagraph"/>
              <w:spacing w:line="229" w:lineRule="exact"/>
              <w:ind w:right="381"/>
              <w:jc w:val="right"/>
              <w:rPr>
                <w:rFonts w:ascii="宋体" w:hAnsi="宋体" w:cs="宋体" w:eastAsia="宋体" w:hint="default"/>
                <w:sz w:val="21"/>
                <w:szCs w:val="21"/>
              </w:rPr>
            </w:pPr>
            <w:r>
              <w:rPr>
                <w:rFonts w:ascii="宋体"/>
                <w:spacing w:val="-1"/>
                <w:sz w:val="21"/>
              </w:rPr>
              <w:t>821,684</w:t>
            </w:r>
          </w:p>
        </w:tc>
        <w:tc>
          <w:tcPr>
            <w:tcW w:w="2266" w:type="dxa"/>
            <w:tcBorders>
              <w:top w:val="nil" w:sz="6" w:space="0" w:color="auto"/>
              <w:left w:val="nil" w:sz="6" w:space="0" w:color="auto"/>
              <w:bottom w:val="nil" w:sz="6" w:space="0" w:color="auto"/>
              <w:right w:val="nil" w:sz="6" w:space="0" w:color="auto"/>
            </w:tcBorders>
          </w:tcPr>
          <w:p>
            <w:pPr>
              <w:pStyle w:val="TableParagraph"/>
              <w:spacing w:line="234" w:lineRule="exact"/>
              <w:ind w:right="200"/>
              <w:jc w:val="right"/>
              <w:rPr>
                <w:rFonts w:ascii="宋体" w:hAnsi="宋体" w:cs="宋体" w:eastAsia="宋体" w:hint="default"/>
                <w:sz w:val="21"/>
                <w:szCs w:val="21"/>
              </w:rPr>
            </w:pPr>
            <w:r>
              <w:rPr>
                <w:rFonts w:ascii="宋体"/>
                <w:sz w:val="21"/>
              </w:rPr>
              <w:t>1%</w:t>
            </w:r>
          </w:p>
        </w:tc>
      </w:tr>
      <w:tr>
        <w:trPr>
          <w:trHeight w:val="252"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31" w:lineRule="exact"/>
              <w:ind w:left="200" w:right="0"/>
              <w:jc w:val="left"/>
              <w:rPr>
                <w:rFonts w:ascii="宋体" w:hAnsi="宋体" w:cs="宋体" w:eastAsia="宋体" w:hint="default"/>
                <w:sz w:val="21"/>
                <w:szCs w:val="21"/>
              </w:rPr>
            </w:pPr>
            <w:r>
              <w:rPr>
                <w:rFonts w:ascii="宋体" w:hAnsi="宋体" w:cs="宋体" w:eastAsia="宋体" w:hint="default"/>
                <w:sz w:val="21"/>
                <w:szCs w:val="21"/>
              </w:rPr>
              <w:t>单位</w:t>
            </w:r>
            <w:r>
              <w:rPr>
                <w:rFonts w:ascii="宋体" w:hAnsi="宋体" w:cs="宋体" w:eastAsia="宋体" w:hint="default"/>
                <w:spacing w:val="-49"/>
                <w:sz w:val="21"/>
                <w:szCs w:val="21"/>
              </w:rPr>
              <w:t> </w:t>
            </w:r>
            <w:r>
              <w:rPr>
                <w:rFonts w:ascii="宋体" w:hAnsi="宋体" w:cs="宋体" w:eastAsia="宋体" w:hint="default"/>
                <w:spacing w:val="-3"/>
                <w:sz w:val="21"/>
                <w:szCs w:val="21"/>
              </w:rPr>
              <w:t>5</w:t>
            </w:r>
            <w:r>
              <w:rPr>
                <w:rFonts w:ascii="宋体" w:hAnsi="宋体" w:cs="宋体" w:eastAsia="宋体" w:hint="default"/>
                <w:sz w:val="21"/>
                <w:szCs w:val="21"/>
              </w:rPr>
              <w:t> </w:t>
            </w:r>
          </w:p>
        </w:tc>
        <w:tc>
          <w:tcPr>
            <w:tcW w:w="1944" w:type="dxa"/>
            <w:tcBorders>
              <w:top w:val="nil" w:sz="6" w:space="0" w:color="auto"/>
              <w:left w:val="nil" w:sz="6" w:space="0" w:color="auto"/>
              <w:bottom w:val="nil" w:sz="6" w:space="0" w:color="auto"/>
              <w:right w:val="nil" w:sz="6" w:space="0" w:color="auto"/>
            </w:tcBorders>
          </w:tcPr>
          <w:p>
            <w:pPr>
              <w:pStyle w:val="TableParagraph"/>
              <w:spacing w:line="231" w:lineRule="exact"/>
              <w:ind w:left="511" w:right="0"/>
              <w:jc w:val="left"/>
              <w:rPr>
                <w:rFonts w:ascii="宋体" w:hAnsi="宋体" w:cs="宋体" w:eastAsia="宋体" w:hint="default"/>
                <w:sz w:val="21"/>
                <w:szCs w:val="21"/>
              </w:rPr>
            </w:pPr>
            <w:r>
              <w:rPr>
                <w:rFonts w:ascii="宋体"/>
                <w:w w:val="100"/>
                <w:sz w:val="21"/>
              </w:rPr>
              <w:t> </w:t>
            </w:r>
          </w:p>
        </w:tc>
        <w:tc>
          <w:tcPr>
            <w:tcW w:w="3079" w:type="dxa"/>
            <w:tcBorders>
              <w:top w:val="nil" w:sz="6" w:space="0" w:color="auto"/>
              <w:left w:val="nil" w:sz="6" w:space="0" w:color="auto"/>
              <w:bottom w:val="nil" w:sz="6" w:space="0" w:color="auto"/>
              <w:right w:val="nil" w:sz="6" w:space="0" w:color="auto"/>
            </w:tcBorders>
          </w:tcPr>
          <w:p>
            <w:pPr>
              <w:pStyle w:val="TableParagraph"/>
              <w:spacing w:line="231" w:lineRule="exact"/>
              <w:ind w:right="381"/>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pacing w:val="-3"/>
                <w:w w:val="100"/>
                <w:sz w:val="21"/>
                <w:u w:val="single" w:color="000000"/>
              </w:rPr>
              <w:t> </w:t>
            </w:r>
            <w:r>
              <w:rPr>
                <w:rFonts w:ascii="宋体"/>
                <w:spacing w:val="-1"/>
                <w:sz w:val="21"/>
                <w:u w:val="single" w:color="000000"/>
              </w:rPr>
              <w:t>637,607</w:t>
            </w:r>
            <w:r>
              <w:rPr>
                <w:rFonts w:ascii="宋体"/>
                <w:spacing w:val="-1"/>
                <w:sz w:val="21"/>
              </w:rPr>
            </w:r>
          </w:p>
        </w:tc>
        <w:tc>
          <w:tcPr>
            <w:tcW w:w="2266" w:type="dxa"/>
            <w:tcBorders>
              <w:top w:val="nil" w:sz="6" w:space="0" w:color="auto"/>
              <w:left w:val="nil" w:sz="6" w:space="0" w:color="auto"/>
              <w:bottom w:val="nil" w:sz="6" w:space="0" w:color="auto"/>
              <w:right w:val="nil" w:sz="6" w:space="0" w:color="auto"/>
            </w:tcBorders>
          </w:tcPr>
          <w:p>
            <w:pPr>
              <w:pStyle w:val="TableParagraph"/>
              <w:spacing w:line="231" w:lineRule="exact"/>
              <w:ind w:right="198"/>
              <w:jc w:val="right"/>
              <w:rPr>
                <w:rFonts w:ascii="宋体" w:hAnsi="宋体" w:cs="宋体" w:eastAsia="宋体" w:hint="default"/>
                <w:sz w:val="21"/>
                <w:szCs w:val="21"/>
              </w:rPr>
            </w:pPr>
            <w:r>
              <w:rPr>
                <w:rFonts w:ascii="宋体"/>
                <w:w w:val="100"/>
                <w:sz w:val="21"/>
              </w:rPr>
            </w:r>
            <w:r>
              <w:rPr>
                <w:rFonts w:ascii="宋体"/>
                <w:w w:val="100"/>
                <w:sz w:val="21"/>
                <w:u w:val="single" w:color="000000"/>
              </w:rPr>
              <w:t>  </w:t>
            </w:r>
            <w:r>
              <w:rPr>
                <w:rFonts w:ascii="宋体"/>
                <w:sz w:val="21"/>
                <w:u w:val="single" w:color="000000"/>
              </w:rPr>
              <w:t>1%</w:t>
            </w:r>
            <w:r>
              <w:rPr>
                <w:rFonts w:ascii="宋体"/>
                <w:sz w:val="21"/>
              </w:rPr>
            </w:r>
          </w:p>
        </w:tc>
      </w:tr>
      <w:tr>
        <w:trPr>
          <w:trHeight w:val="252"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31" w:lineRule="exact"/>
              <w:ind w:left="200" w:right="0"/>
              <w:jc w:val="left"/>
              <w:rPr>
                <w:rFonts w:ascii="宋体" w:hAnsi="宋体" w:cs="宋体" w:eastAsia="宋体" w:hint="default"/>
                <w:sz w:val="21"/>
                <w:szCs w:val="21"/>
              </w:rPr>
            </w:pPr>
            <w:r>
              <w:rPr>
                <w:rFonts w:ascii="宋体"/>
                <w:w w:val="100"/>
                <w:sz w:val="21"/>
              </w:rPr>
              <w:t> </w:t>
            </w:r>
          </w:p>
        </w:tc>
        <w:tc>
          <w:tcPr>
            <w:tcW w:w="1944" w:type="dxa"/>
            <w:tcBorders>
              <w:top w:val="nil" w:sz="6" w:space="0" w:color="auto"/>
              <w:left w:val="nil" w:sz="6" w:space="0" w:color="auto"/>
              <w:bottom w:val="nil" w:sz="6" w:space="0" w:color="auto"/>
              <w:right w:val="nil" w:sz="6" w:space="0" w:color="auto"/>
            </w:tcBorders>
          </w:tcPr>
          <w:p>
            <w:pPr>
              <w:pStyle w:val="TableParagraph"/>
              <w:spacing w:line="231" w:lineRule="exact"/>
              <w:ind w:left="511" w:right="0"/>
              <w:jc w:val="left"/>
              <w:rPr>
                <w:rFonts w:ascii="宋体" w:hAnsi="宋体" w:cs="宋体" w:eastAsia="宋体" w:hint="default"/>
                <w:sz w:val="21"/>
                <w:szCs w:val="21"/>
              </w:rPr>
            </w:pPr>
            <w:r>
              <w:rPr>
                <w:rFonts w:ascii="宋体"/>
                <w:w w:val="100"/>
                <w:sz w:val="21"/>
              </w:rPr>
              <w:t> </w:t>
            </w:r>
          </w:p>
        </w:tc>
        <w:tc>
          <w:tcPr>
            <w:tcW w:w="3079" w:type="dxa"/>
            <w:tcBorders>
              <w:top w:val="nil" w:sz="6" w:space="0" w:color="auto"/>
              <w:left w:val="nil" w:sz="6" w:space="0" w:color="auto"/>
              <w:bottom w:val="nil" w:sz="6" w:space="0" w:color="auto"/>
              <w:right w:val="nil" w:sz="6" w:space="0" w:color="auto"/>
            </w:tcBorders>
          </w:tcPr>
          <w:p>
            <w:pPr/>
          </w:p>
        </w:tc>
        <w:tc>
          <w:tcPr>
            <w:tcW w:w="2266" w:type="dxa"/>
            <w:tcBorders>
              <w:top w:val="nil" w:sz="6" w:space="0" w:color="auto"/>
              <w:left w:val="nil" w:sz="6" w:space="0" w:color="auto"/>
              <w:bottom w:val="nil" w:sz="6" w:space="0" w:color="auto"/>
              <w:right w:val="nil" w:sz="6" w:space="0" w:color="auto"/>
            </w:tcBorders>
          </w:tcPr>
          <w:p>
            <w:pPr/>
          </w:p>
        </w:tc>
      </w:tr>
      <w:tr>
        <w:trPr>
          <w:trHeight w:val="252"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31" w:lineRule="exact"/>
              <w:ind w:left="200" w:right="0"/>
              <w:jc w:val="left"/>
              <w:rPr>
                <w:rFonts w:ascii="宋体" w:hAnsi="宋体" w:cs="宋体" w:eastAsia="宋体" w:hint="default"/>
                <w:sz w:val="21"/>
                <w:szCs w:val="21"/>
              </w:rPr>
            </w:pPr>
            <w:r>
              <w:rPr>
                <w:rFonts w:ascii="宋体"/>
                <w:w w:val="100"/>
                <w:sz w:val="21"/>
              </w:rPr>
              <w:t> </w:t>
            </w:r>
          </w:p>
        </w:tc>
        <w:tc>
          <w:tcPr>
            <w:tcW w:w="1944" w:type="dxa"/>
            <w:tcBorders>
              <w:top w:val="nil" w:sz="6" w:space="0" w:color="auto"/>
              <w:left w:val="nil" w:sz="6" w:space="0" w:color="auto"/>
              <w:bottom w:val="nil" w:sz="6" w:space="0" w:color="auto"/>
              <w:right w:val="nil" w:sz="6" w:space="0" w:color="auto"/>
            </w:tcBorders>
          </w:tcPr>
          <w:p>
            <w:pPr>
              <w:pStyle w:val="TableParagraph"/>
              <w:spacing w:line="231" w:lineRule="exact"/>
              <w:ind w:left="511" w:right="0"/>
              <w:jc w:val="left"/>
              <w:rPr>
                <w:rFonts w:ascii="宋体" w:hAnsi="宋体" w:cs="宋体" w:eastAsia="宋体" w:hint="default"/>
                <w:sz w:val="21"/>
                <w:szCs w:val="21"/>
              </w:rPr>
            </w:pPr>
            <w:r>
              <w:rPr>
                <w:rFonts w:ascii="宋体"/>
                <w:w w:val="100"/>
                <w:sz w:val="21"/>
              </w:rPr>
              <w:t> </w:t>
            </w:r>
          </w:p>
        </w:tc>
        <w:tc>
          <w:tcPr>
            <w:tcW w:w="3079" w:type="dxa"/>
            <w:tcBorders>
              <w:top w:val="nil" w:sz="6" w:space="0" w:color="auto"/>
              <w:left w:val="nil" w:sz="6" w:space="0" w:color="auto"/>
              <w:bottom w:val="nil" w:sz="6" w:space="0" w:color="auto"/>
              <w:right w:val="nil" w:sz="6" w:space="0" w:color="auto"/>
            </w:tcBorders>
          </w:tcPr>
          <w:p>
            <w:pPr/>
          </w:p>
        </w:tc>
        <w:tc>
          <w:tcPr>
            <w:tcW w:w="2266" w:type="dxa"/>
            <w:tcBorders>
              <w:top w:val="nil" w:sz="6" w:space="0" w:color="auto"/>
              <w:left w:val="nil" w:sz="6" w:space="0" w:color="auto"/>
              <w:bottom w:val="nil" w:sz="6" w:space="0" w:color="auto"/>
              <w:right w:val="nil" w:sz="6" w:space="0" w:color="auto"/>
            </w:tcBorders>
          </w:tcPr>
          <w:p>
            <w:pPr/>
          </w:p>
        </w:tc>
      </w:tr>
      <w:tr>
        <w:trPr>
          <w:trHeight w:val="232"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31" w:lineRule="exact"/>
              <w:ind w:left="200" w:right="0"/>
              <w:jc w:val="left"/>
              <w:rPr>
                <w:rFonts w:ascii="宋体" w:hAnsi="宋体" w:cs="宋体" w:eastAsia="宋体" w:hint="default"/>
                <w:sz w:val="21"/>
                <w:szCs w:val="21"/>
              </w:rPr>
            </w:pPr>
            <w:r>
              <w:rPr>
                <w:rFonts w:ascii="宋体"/>
                <w:w w:val="100"/>
                <w:sz w:val="21"/>
              </w:rPr>
              <w:t> </w:t>
            </w:r>
          </w:p>
        </w:tc>
        <w:tc>
          <w:tcPr>
            <w:tcW w:w="1944" w:type="dxa"/>
            <w:tcBorders>
              <w:top w:val="nil" w:sz="6" w:space="0" w:color="auto"/>
              <w:left w:val="nil" w:sz="6" w:space="0" w:color="auto"/>
              <w:bottom w:val="nil" w:sz="6" w:space="0" w:color="auto"/>
              <w:right w:val="nil" w:sz="6" w:space="0" w:color="auto"/>
            </w:tcBorders>
          </w:tcPr>
          <w:p>
            <w:pPr>
              <w:pStyle w:val="TableParagraph"/>
              <w:spacing w:line="231" w:lineRule="exact"/>
              <w:ind w:left="511" w:right="0"/>
              <w:jc w:val="left"/>
              <w:rPr>
                <w:rFonts w:ascii="宋体" w:hAnsi="宋体" w:cs="宋体" w:eastAsia="宋体" w:hint="default"/>
                <w:sz w:val="21"/>
                <w:szCs w:val="21"/>
              </w:rPr>
            </w:pPr>
            <w:r>
              <w:rPr>
                <w:rFonts w:ascii="宋体"/>
                <w:w w:val="100"/>
                <w:sz w:val="21"/>
              </w:rPr>
              <w:t> </w:t>
            </w:r>
          </w:p>
        </w:tc>
        <w:tc>
          <w:tcPr>
            <w:tcW w:w="3079" w:type="dxa"/>
            <w:tcBorders>
              <w:top w:val="nil" w:sz="6" w:space="0" w:color="auto"/>
              <w:left w:val="nil" w:sz="6" w:space="0" w:color="auto"/>
              <w:bottom w:val="nil" w:sz="6" w:space="0" w:color="auto"/>
              <w:right w:val="nil" w:sz="6" w:space="0" w:color="auto"/>
            </w:tcBorders>
          </w:tcPr>
          <w:p>
            <w:pPr>
              <w:pStyle w:val="TableParagraph"/>
              <w:spacing w:line="231" w:lineRule="exact"/>
              <w:ind w:right="381"/>
              <w:jc w:val="right"/>
              <w:rPr>
                <w:rFonts w:ascii="宋体" w:hAnsi="宋体" w:cs="宋体" w:eastAsia="宋体" w:hint="default"/>
                <w:sz w:val="21"/>
                <w:szCs w:val="21"/>
              </w:rPr>
            </w:pPr>
            <w:r>
              <w:rPr>
                <w:rFonts w:ascii="宋体"/>
                <w:w w:val="100"/>
                <w:sz w:val="21"/>
              </w:rPr>
            </w:r>
            <w:r>
              <w:rPr>
                <w:rFonts w:ascii="宋体"/>
                <w:spacing w:val="-1"/>
                <w:sz w:val="21"/>
                <w:u w:val="single" w:color="000000"/>
              </w:rPr>
              <w:t>19,976,958</w:t>
            </w:r>
            <w:r>
              <w:rPr>
                <w:rFonts w:ascii="宋体"/>
                <w:spacing w:val="-1"/>
                <w:sz w:val="21"/>
              </w:rPr>
            </w:r>
          </w:p>
        </w:tc>
        <w:tc>
          <w:tcPr>
            <w:tcW w:w="2266" w:type="dxa"/>
            <w:tcBorders>
              <w:top w:val="nil" w:sz="6" w:space="0" w:color="auto"/>
              <w:left w:val="nil" w:sz="6" w:space="0" w:color="auto"/>
              <w:bottom w:val="nil" w:sz="6" w:space="0" w:color="auto"/>
              <w:right w:val="nil" w:sz="6" w:space="0" w:color="auto"/>
            </w:tcBorders>
          </w:tcPr>
          <w:p>
            <w:pPr>
              <w:pStyle w:val="TableParagraph"/>
              <w:spacing w:line="231" w:lineRule="exact"/>
              <w:ind w:right="198"/>
              <w:jc w:val="right"/>
              <w:rPr>
                <w:rFonts w:ascii="宋体" w:hAnsi="宋体" w:cs="宋体" w:eastAsia="宋体" w:hint="default"/>
                <w:sz w:val="21"/>
                <w:szCs w:val="21"/>
              </w:rPr>
            </w:pPr>
            <w:r>
              <w:rPr>
                <w:rFonts w:ascii="宋体"/>
                <w:w w:val="100"/>
                <w:sz w:val="21"/>
              </w:rPr>
            </w:r>
            <w:r>
              <w:rPr>
                <w:rFonts w:ascii="宋体"/>
                <w:sz w:val="21"/>
                <w:u w:val="single" w:color="000000"/>
              </w:rPr>
              <w:t>23%</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pStyle w:val="BodyText"/>
        <w:spacing w:line="313" w:lineRule="exact" w:before="26"/>
        <w:ind w:left="396" w:right="0"/>
        <w:jc w:val="left"/>
      </w:pPr>
      <w:r>
        <w:rPr/>
        <w:t>其他说明</w:t>
      </w:r>
    </w:p>
    <w:p>
      <w:pPr>
        <w:pStyle w:val="BodyText"/>
        <w:tabs>
          <w:tab w:pos="1357" w:val="left" w:leader="none"/>
        </w:tabs>
        <w:spacing w:line="313" w:lineRule="exact"/>
        <w:ind w:left="396" w:right="0"/>
        <w:jc w:val="left"/>
      </w:pPr>
      <w:r>
        <w:rPr/>
        <w:t>□适用</w:t>
        <w:tab/>
        <w:t>√不适用</w:t>
      </w:r>
    </w:p>
    <w:p>
      <w:pPr>
        <w:spacing w:line="240" w:lineRule="auto" w:before="8"/>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880" w:right="1560"/>
        </w:sectPr>
      </w:pPr>
    </w:p>
    <w:p>
      <w:pPr>
        <w:pStyle w:val="Heading2"/>
        <w:spacing w:line="283" w:lineRule="auto" w:before="26"/>
        <w:ind w:left="396" w:right="62"/>
        <w:jc w:val="left"/>
        <w:rPr>
          <w:rFonts w:ascii="宋体" w:hAnsi="宋体" w:cs="宋体" w:eastAsia="宋体" w:hint="default"/>
          <w:b w:val="0"/>
          <w:bCs w:val="0"/>
        </w:rPr>
      </w:pPr>
      <w:r>
        <w:rPr>
          <w:rFonts w:ascii="宋体" w:hAnsi="宋体" w:cs="宋体" w:eastAsia="宋体" w:hint="default"/>
        </w:rPr>
        <w:t>8</w:t>
      </w:r>
      <w:r>
        <w:rPr/>
        <w:t>、</w:t>
      </w:r>
      <w:r>
        <w:rPr>
          <w:spacing w:val="-65"/>
        </w:rPr>
        <w:t> </w:t>
      </w:r>
      <w:r>
        <w:rPr/>
        <w:t>其他应收款</w:t>
      </w:r>
      <w:r>
        <w:rPr>
          <w:w w:val="99"/>
        </w:rPr>
        <w:t> </w:t>
      </w:r>
      <w:r>
        <w:rPr/>
        <w:t>项目列示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396"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596" w:val="left" w:leader="none"/>
        </w:tabs>
        <w:spacing w:line="240" w:lineRule="auto"/>
        <w:ind w:left="396" w:right="0"/>
        <w:jc w:val="left"/>
      </w:pPr>
      <w:r>
        <w:rPr/>
        <w:t>单位：元</w:t>
        <w:tab/>
        <w:t>币种：人民币</w:t>
      </w:r>
    </w:p>
    <w:p>
      <w:pPr>
        <w:spacing w:after="0" w:line="240" w:lineRule="auto"/>
        <w:jc w:val="left"/>
        <w:sectPr>
          <w:type w:val="continuous"/>
          <w:pgSz w:w="11910" w:h="16840"/>
          <w:pgMar w:top="1120" w:bottom="1380" w:left="880" w:right="1560"/>
          <w:cols w:num="2" w:equalWidth="0">
            <w:col w:w="2102" w:space="4092"/>
            <w:col w:w="3276"/>
          </w:cols>
        </w:sectPr>
      </w:pPr>
    </w:p>
    <w:p>
      <w:pPr>
        <w:spacing w:line="240" w:lineRule="auto" w:before="10"/>
        <w:rPr>
          <w:rFonts w:ascii="宋体" w:hAnsi="宋体" w:cs="宋体" w:eastAsia="宋体" w:hint="default"/>
          <w:sz w:val="2"/>
          <w:szCs w:val="2"/>
        </w:rPr>
      </w:pPr>
    </w:p>
    <w:tbl>
      <w:tblPr>
        <w:tblW w:w="0" w:type="auto"/>
        <w:jc w:val="left"/>
        <w:tblInd w:w="279" w:type="dxa"/>
        <w:tblLayout w:type="fixed"/>
        <w:tblCellMar>
          <w:top w:w="0" w:type="dxa"/>
          <w:left w:w="0" w:type="dxa"/>
          <w:bottom w:w="0" w:type="dxa"/>
          <w:right w:w="0" w:type="dxa"/>
        </w:tblCellMar>
        <w:tblLook w:val="01E0"/>
      </w:tblPr>
      <w:tblGrid>
        <w:gridCol w:w="3198"/>
        <w:gridCol w:w="2938"/>
        <w:gridCol w:w="2926"/>
      </w:tblGrid>
      <w:tr>
        <w:trPr>
          <w:trHeight w:val="322"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3"/>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应收利息</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2,958,695 </w:t>
            </w:r>
          </w:p>
        </w:tc>
      </w:tr>
      <w:tr>
        <w:trPr>
          <w:trHeight w:val="322"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应收股利</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 </w:t>
            </w:r>
          </w:p>
        </w:tc>
      </w:tr>
      <w:tr>
        <w:trPr>
          <w:trHeight w:val="322"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456,289,435 </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right"/>
              <w:rPr>
                <w:rFonts w:ascii="宋体" w:hAnsi="宋体" w:cs="宋体" w:eastAsia="宋体" w:hint="default"/>
                <w:sz w:val="24"/>
                <w:szCs w:val="24"/>
              </w:rPr>
            </w:pPr>
            <w:r>
              <w:rPr>
                <w:rFonts w:ascii="宋体"/>
                <w:sz w:val="24"/>
              </w:rPr>
              <w:t>392,017,158 </w:t>
            </w:r>
          </w:p>
        </w:tc>
      </w:tr>
      <w:tr>
        <w:trPr>
          <w:trHeight w:val="322"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456,289,435 </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394,975,853 </w:t>
            </w:r>
          </w:p>
        </w:tc>
      </w:tr>
    </w:tbl>
    <w:p>
      <w:pPr>
        <w:spacing w:after="0" w:line="274" w:lineRule="exact"/>
        <w:jc w:val="right"/>
        <w:rPr>
          <w:rFonts w:ascii="宋体" w:hAnsi="宋体" w:cs="宋体" w:eastAsia="宋体" w:hint="default"/>
          <w:sz w:val="24"/>
          <w:szCs w:val="24"/>
        </w:rPr>
        <w:sectPr>
          <w:type w:val="continuous"/>
          <w:pgSz w:w="11910" w:h="16840"/>
          <w:pgMar w:top="1120" w:bottom="1380" w:left="880" w:right="15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pStyle w:val="BodyText"/>
        <w:spacing w:line="313" w:lineRule="exact" w:before="26"/>
        <w:ind w:left="236" w:right="4250"/>
        <w:jc w:val="left"/>
      </w:pPr>
      <w:r>
        <w:rPr/>
        <w:t>其他说明：</w:t>
      </w:r>
    </w:p>
    <w:p>
      <w:pPr>
        <w:pStyle w:val="BodyText"/>
        <w:spacing w:line="313" w:lineRule="exact"/>
        <w:ind w:left="236" w:right="4250"/>
        <w:jc w:val="left"/>
      </w:pPr>
      <w:r>
        <w:rPr/>
        <w:t>□适用 √不适用</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62"/>
          <w:pgSz w:w="11910" w:h="16840"/>
          <w:pgMar w:footer="1195" w:header="882" w:top="1080" w:bottom="1380" w:left="1040" w:right="1560"/>
        </w:sectPr>
      </w:pPr>
    </w:p>
    <w:p>
      <w:pPr>
        <w:pStyle w:val="Heading2"/>
        <w:spacing w:line="240" w:lineRule="auto" w:before="26"/>
        <w:ind w:left="236" w:right="0"/>
        <w:jc w:val="left"/>
        <w:rPr>
          <w:rFonts w:ascii="宋体" w:hAnsi="宋体" w:cs="宋体" w:eastAsia="宋体" w:hint="default"/>
          <w:b w:val="0"/>
          <w:bCs w:val="0"/>
        </w:rPr>
      </w:pPr>
      <w:r>
        <w:rPr/>
        <w:t>应收利息</w:t>
      </w:r>
      <w:r>
        <w:rPr>
          <w:rFonts w:ascii="宋体" w:hAnsi="宋体" w:cs="宋体" w:eastAsia="宋体" w:hint="default"/>
          <w:w w:val="99"/>
        </w:rPr>
        <w:t> </w:t>
      </w:r>
      <w:r>
        <w:rPr>
          <w:rFonts w:ascii="宋体" w:hAnsi="宋体" w:cs="宋体" w:eastAsia="宋体" w:hint="default"/>
          <w:b w:val="0"/>
          <w:bCs w:val="0"/>
        </w:rPr>
      </w:r>
    </w:p>
    <w:p>
      <w:pPr>
        <w:pStyle w:val="Heading2"/>
        <w:tabs>
          <w:tab w:pos="1077" w:val="left" w:leader="none"/>
        </w:tabs>
        <w:spacing w:line="240" w:lineRule="auto" w:before="58"/>
        <w:ind w:left="236" w:right="0"/>
        <w:jc w:val="left"/>
        <w:rPr>
          <w:rFonts w:ascii="宋体" w:hAnsi="宋体" w:cs="宋体" w:eastAsia="宋体" w:hint="default"/>
          <w:b w:val="0"/>
          <w:bCs w:val="0"/>
        </w:rPr>
      </w:pPr>
      <w:r>
        <w:rPr>
          <w:rFonts w:ascii="宋体" w:hAnsi="宋体" w:cs="宋体" w:eastAsia="宋体" w:hint="default"/>
        </w:rPr>
        <w:t>(1).</w:t>
        <w:tab/>
      </w:r>
      <w:r>
        <w:rPr/>
        <w:t>应收利息分类</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643" w:space="3551"/>
            <w:col w:w="3116"/>
          </w:cols>
        </w:sectPr>
      </w:pPr>
    </w:p>
    <w:p>
      <w:pPr>
        <w:spacing w:line="240" w:lineRule="auto" w:before="12"/>
        <w:rPr>
          <w:rFonts w:ascii="宋体" w:hAnsi="宋体" w:cs="宋体" w:eastAsia="宋体" w:hint="default"/>
          <w:sz w:val="2"/>
          <w:szCs w:val="2"/>
        </w:rPr>
      </w:pPr>
    </w:p>
    <w:tbl>
      <w:tblPr>
        <w:tblW w:w="0" w:type="auto"/>
        <w:jc w:val="left"/>
        <w:tblInd w:w="200" w:type="dxa"/>
        <w:tblLayout w:type="fixed"/>
        <w:tblCellMar>
          <w:top w:w="0" w:type="dxa"/>
          <w:left w:w="0" w:type="dxa"/>
          <w:bottom w:w="0" w:type="dxa"/>
          <w:right w:w="0" w:type="dxa"/>
        </w:tblCellMar>
        <w:tblLook w:val="01E0"/>
      </w:tblPr>
      <w:tblGrid>
        <w:gridCol w:w="2780"/>
        <w:gridCol w:w="3048"/>
        <w:gridCol w:w="3068"/>
      </w:tblGrid>
      <w:tr>
        <w:trPr>
          <w:trHeight w:val="322"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143"/>
              <w:jc w:val="right"/>
              <w:rPr>
                <w:rFonts w:ascii="宋体" w:hAnsi="宋体" w:cs="宋体" w:eastAsia="宋体" w:hint="default"/>
                <w:sz w:val="24"/>
                <w:szCs w:val="24"/>
              </w:rPr>
            </w:pPr>
            <w:r>
              <w:rPr>
                <w:rFonts w:ascii="宋体" w:hAnsi="宋体" w:cs="宋体" w:eastAsia="宋体" w:hint="default"/>
                <w:sz w:val="24"/>
                <w:szCs w:val="24"/>
              </w:rPr>
              <w:t>项目</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定期存款</w:t>
            </w: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3"/>
              <w:jc w:val="right"/>
              <w:rPr>
                <w:rFonts w:ascii="宋体" w:hAnsi="宋体" w:cs="宋体" w:eastAsia="宋体" w:hint="default"/>
                <w:sz w:val="24"/>
                <w:szCs w:val="24"/>
              </w:rPr>
            </w:pPr>
            <w:r>
              <w:rPr>
                <w:rFonts w:ascii="宋体"/>
                <w:sz w:val="24"/>
              </w:rPr>
              <w:t>2,958,695 </w:t>
            </w:r>
          </w:p>
        </w:tc>
      </w:tr>
      <w:tr>
        <w:trPr>
          <w:trHeight w:val="322"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委托贷款</w:t>
            </w: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3"/>
              <w:jc w:val="right"/>
              <w:rPr>
                <w:rFonts w:ascii="宋体" w:hAnsi="宋体" w:cs="宋体" w:eastAsia="宋体" w:hint="default"/>
                <w:sz w:val="24"/>
                <w:szCs w:val="24"/>
              </w:rPr>
            </w:pPr>
            <w:r>
              <w:rPr>
                <w:rFonts w:ascii="宋体"/>
                <w:sz w:val="24"/>
              </w:rPr>
              <w:t> </w:t>
            </w:r>
          </w:p>
        </w:tc>
      </w:tr>
      <w:tr>
        <w:trPr>
          <w:trHeight w:val="322"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债券投资</w:t>
            </w: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3"/>
              <w:jc w:val="right"/>
              <w:rPr>
                <w:rFonts w:ascii="宋体" w:hAnsi="宋体" w:cs="宋体" w:eastAsia="宋体" w:hint="default"/>
                <w:sz w:val="24"/>
                <w:szCs w:val="24"/>
              </w:rPr>
            </w:pPr>
            <w:r>
              <w:rPr>
                <w:rFonts w:ascii="宋体"/>
                <w:sz w:val="24"/>
              </w:rPr>
              <w:t> </w:t>
            </w:r>
          </w:p>
        </w:tc>
      </w:tr>
      <w:tr>
        <w:trPr>
          <w:trHeight w:val="319" w:hRule="exact"/>
        </w:trPr>
        <w:tc>
          <w:tcPr>
            <w:tcW w:w="2780" w:type="dxa"/>
            <w:tcBorders>
              <w:top w:val="single" w:sz="4" w:space="0" w:color="000000"/>
              <w:left w:val="single" w:sz="4" w:space="0" w:color="000000"/>
              <w:bottom w:val="single" w:sz="4" w:space="0" w:color="000000"/>
              <w:right w:val="single" w:sz="4" w:space="0" w:color="000000"/>
            </w:tcBorders>
          </w:tcPr>
          <w:p>
            <w:pP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3"/>
              <w:jc w:val="right"/>
              <w:rPr>
                <w:rFonts w:ascii="宋体" w:hAnsi="宋体" w:cs="宋体" w:eastAsia="宋体" w:hint="default"/>
                <w:sz w:val="24"/>
                <w:szCs w:val="24"/>
              </w:rPr>
            </w:pPr>
            <w:r>
              <w:rPr>
                <w:rFonts w:ascii="宋体"/>
                <w:sz w:val="24"/>
              </w:rPr>
              <w:t> </w:t>
            </w:r>
          </w:p>
        </w:tc>
      </w:tr>
      <w:tr>
        <w:trPr>
          <w:trHeight w:val="322" w:hRule="exact"/>
        </w:trPr>
        <w:tc>
          <w:tcPr>
            <w:tcW w:w="2780" w:type="dxa"/>
            <w:tcBorders>
              <w:top w:val="single" w:sz="4" w:space="0" w:color="000000"/>
              <w:left w:val="single" w:sz="4" w:space="0" w:color="000000"/>
              <w:bottom w:val="single" w:sz="4" w:space="0" w:color="000000"/>
              <w:right w:val="single" w:sz="4" w:space="0" w:color="000000"/>
            </w:tcBorders>
          </w:tcPr>
          <w:p>
            <w:pP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3"/>
              <w:jc w:val="right"/>
              <w:rPr>
                <w:rFonts w:ascii="宋体" w:hAnsi="宋体" w:cs="宋体" w:eastAsia="宋体" w:hint="default"/>
                <w:sz w:val="24"/>
                <w:szCs w:val="24"/>
              </w:rPr>
            </w:pPr>
            <w:r>
              <w:rPr>
                <w:rFonts w:ascii="宋体"/>
                <w:sz w:val="24"/>
              </w:rPr>
              <w:t> </w:t>
            </w:r>
          </w:p>
        </w:tc>
      </w:tr>
      <w:tr>
        <w:trPr>
          <w:trHeight w:val="322"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143"/>
              <w:jc w:val="right"/>
              <w:rPr>
                <w:rFonts w:ascii="宋体" w:hAnsi="宋体" w:cs="宋体" w:eastAsia="宋体" w:hint="default"/>
                <w:sz w:val="24"/>
                <w:szCs w:val="24"/>
              </w:rPr>
            </w:pPr>
            <w:r>
              <w:rPr>
                <w:rFonts w:ascii="宋体" w:hAnsi="宋体" w:cs="宋体" w:eastAsia="宋体" w:hint="default"/>
                <w:sz w:val="24"/>
                <w:szCs w:val="24"/>
              </w:rPr>
              <w:t>合计</w:t>
            </w:r>
          </w:p>
        </w:tc>
        <w:tc>
          <w:tcPr>
            <w:tcW w:w="3048" w:type="dxa"/>
            <w:tcBorders>
              <w:top w:val="single" w:sz="4" w:space="0" w:color="000000"/>
              <w:left w:val="single" w:sz="4" w:space="0" w:color="000000"/>
              <w:bottom w:val="single" w:sz="4" w:space="0" w:color="000000"/>
              <w:right w:val="single" w:sz="4" w:space="0" w:color="000000"/>
            </w:tcBorders>
          </w:tcPr>
          <w:p>
            <w:pPr/>
          </w:p>
        </w:tc>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3"/>
              <w:jc w:val="right"/>
              <w:rPr>
                <w:rFonts w:ascii="宋体" w:hAnsi="宋体" w:cs="宋体" w:eastAsia="宋体" w:hint="default"/>
                <w:sz w:val="24"/>
                <w:szCs w:val="24"/>
              </w:rPr>
            </w:pPr>
            <w:r>
              <w:rPr>
                <w:rFonts w:ascii="宋体"/>
                <w:sz w:val="24"/>
              </w:rPr>
              <w:t>2,958,695 </w:t>
            </w:r>
          </w:p>
        </w:tc>
      </w:tr>
    </w:tbl>
    <w:p>
      <w:pPr>
        <w:spacing w:line="240" w:lineRule="auto" w:before="8"/>
        <w:rPr>
          <w:rFonts w:ascii="宋体" w:hAnsi="宋体" w:cs="宋体" w:eastAsia="宋体" w:hint="default"/>
          <w:sz w:val="20"/>
          <w:szCs w:val="20"/>
        </w:rPr>
      </w:pPr>
    </w:p>
    <w:p>
      <w:pPr>
        <w:pStyle w:val="Heading2"/>
        <w:tabs>
          <w:tab w:pos="1077" w:val="left" w:leader="none"/>
        </w:tabs>
        <w:spacing w:line="240" w:lineRule="auto" w:before="26"/>
        <w:ind w:left="236" w:right="4250"/>
        <w:jc w:val="left"/>
        <w:rPr>
          <w:rFonts w:ascii="宋体" w:hAnsi="宋体" w:cs="宋体" w:eastAsia="宋体" w:hint="default"/>
          <w:b w:val="0"/>
          <w:bCs w:val="0"/>
        </w:rPr>
      </w:pPr>
      <w:r>
        <w:rPr>
          <w:rFonts w:ascii="宋体" w:hAnsi="宋体" w:cs="宋体" w:eastAsia="宋体" w:hint="default"/>
        </w:rPr>
        <w:t>(2).</w:t>
        <w:tab/>
      </w:r>
      <w:r>
        <w:rPr/>
        <w:t>重要逾期利息</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t>□适用 √不适用</w:t>
      </w:r>
    </w:p>
    <w:p>
      <w:pPr>
        <w:pStyle w:val="Heading2"/>
        <w:tabs>
          <w:tab w:pos="1077" w:val="left" w:leader="none"/>
        </w:tabs>
        <w:spacing w:line="240" w:lineRule="auto" w:before="58"/>
        <w:ind w:left="236" w:right="4250"/>
        <w:jc w:val="left"/>
        <w:rPr>
          <w:rFonts w:ascii="宋体" w:hAnsi="宋体" w:cs="宋体" w:eastAsia="宋体" w:hint="default"/>
          <w:b w:val="0"/>
          <w:bCs w:val="0"/>
        </w:rPr>
      </w:pPr>
      <w:r>
        <w:rPr>
          <w:rFonts w:ascii="宋体" w:hAnsi="宋体" w:cs="宋体" w:eastAsia="宋体" w:hint="default"/>
        </w:rPr>
        <w:t>(3).</w:t>
        <w:tab/>
      </w:r>
      <w:r>
        <w:rPr/>
        <w:t>坏账准备计提情况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4250"/>
        <w:jc w:val="left"/>
      </w:pPr>
      <w:r>
        <w:rPr/>
        <w:t>□适用 √不适用</w:t>
      </w:r>
    </w:p>
    <w:p>
      <w:pPr>
        <w:spacing w:line="240" w:lineRule="auto" w:before="12"/>
        <w:rPr>
          <w:rFonts w:ascii="宋体" w:hAnsi="宋体" w:cs="宋体" w:eastAsia="宋体" w:hint="default"/>
          <w:sz w:val="20"/>
          <w:szCs w:val="20"/>
        </w:rPr>
      </w:pPr>
    </w:p>
    <w:p>
      <w:pPr>
        <w:pStyle w:val="BodyText"/>
        <w:spacing w:line="313" w:lineRule="exact"/>
        <w:ind w:left="236" w:right="4250"/>
        <w:jc w:val="left"/>
      </w:pPr>
      <w:r>
        <w:rPr/>
        <w:t>其他说明：</w:t>
      </w:r>
    </w:p>
    <w:p>
      <w:pPr>
        <w:pStyle w:val="BodyText"/>
        <w:tabs>
          <w:tab w:pos="1197" w:val="left" w:leader="none"/>
        </w:tabs>
        <w:spacing w:line="313" w:lineRule="exact"/>
        <w:ind w:left="236" w:right="4250"/>
        <w:jc w:val="left"/>
      </w:pPr>
      <w:r>
        <w:rPr/>
        <w:t>□适用</w:t>
        <w:tab/>
        <w:t>√不适用</w:t>
      </w:r>
    </w:p>
    <w:p>
      <w:pPr>
        <w:spacing w:line="240" w:lineRule="auto" w:before="4"/>
        <w:rPr>
          <w:rFonts w:ascii="宋体" w:hAnsi="宋体" w:cs="宋体" w:eastAsia="宋体" w:hint="default"/>
          <w:sz w:val="25"/>
          <w:szCs w:val="25"/>
        </w:rPr>
      </w:pPr>
    </w:p>
    <w:p>
      <w:pPr>
        <w:pStyle w:val="Heading2"/>
        <w:tabs>
          <w:tab w:pos="1077" w:val="left" w:leader="none"/>
        </w:tabs>
        <w:spacing w:line="240" w:lineRule="auto"/>
        <w:ind w:left="236" w:right="4250"/>
        <w:jc w:val="left"/>
        <w:rPr>
          <w:rFonts w:ascii="宋体" w:hAnsi="宋体" w:cs="宋体" w:eastAsia="宋体" w:hint="default"/>
          <w:b w:val="0"/>
          <w:bCs w:val="0"/>
        </w:rPr>
      </w:pPr>
      <w:r>
        <w:rPr>
          <w:rFonts w:ascii="宋体" w:hAnsi="宋体" w:cs="宋体" w:eastAsia="宋体" w:hint="default"/>
        </w:rPr>
        <w:t>(4).</w:t>
        <w:tab/>
      </w:r>
      <w:r>
        <w:rPr/>
        <w:t>应收股利</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t>□适用 √不适用</w:t>
      </w:r>
    </w:p>
    <w:p>
      <w:pPr>
        <w:pStyle w:val="Heading2"/>
        <w:tabs>
          <w:tab w:pos="1077" w:val="left" w:leader="none"/>
        </w:tabs>
        <w:spacing w:line="240" w:lineRule="auto" w:before="58"/>
        <w:ind w:left="236" w:right="4250"/>
        <w:jc w:val="left"/>
        <w:rPr>
          <w:rFonts w:ascii="宋体" w:hAnsi="宋体" w:cs="宋体" w:eastAsia="宋体" w:hint="default"/>
          <w:b w:val="0"/>
          <w:bCs w:val="0"/>
        </w:rPr>
      </w:pPr>
      <w:r>
        <w:rPr>
          <w:rFonts w:ascii="宋体" w:hAnsi="宋体" w:cs="宋体" w:eastAsia="宋体" w:hint="default"/>
        </w:rPr>
        <w:t>(5).</w:t>
        <w:tab/>
      </w:r>
      <w:r>
        <w:rPr/>
        <w:t>重要的账龄超过</w:t>
      </w:r>
      <w:r>
        <w:rPr>
          <w:spacing w:val="-63"/>
        </w:rPr>
        <w:t> </w:t>
      </w:r>
      <w:r>
        <w:rPr>
          <w:rFonts w:ascii="宋体" w:hAnsi="宋体" w:cs="宋体" w:eastAsia="宋体" w:hint="default"/>
        </w:rPr>
        <w:t>1</w:t>
      </w:r>
      <w:r>
        <w:rPr>
          <w:rFonts w:ascii="宋体" w:hAnsi="宋体" w:cs="宋体" w:eastAsia="宋体" w:hint="default"/>
          <w:spacing w:val="-60"/>
        </w:rPr>
        <w:t> </w:t>
      </w:r>
      <w:r>
        <w:rPr/>
        <w:t>年的应收股利</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4250"/>
        <w:jc w:val="left"/>
      </w:pPr>
      <w:r>
        <w:rPr/>
        <w:t>□适用 √不适用</w:t>
      </w:r>
    </w:p>
    <w:p>
      <w:pPr>
        <w:pStyle w:val="Heading2"/>
        <w:tabs>
          <w:tab w:pos="1077" w:val="left" w:leader="none"/>
        </w:tabs>
        <w:spacing w:line="240" w:lineRule="auto" w:before="58"/>
        <w:ind w:left="236" w:right="4250"/>
        <w:jc w:val="left"/>
        <w:rPr>
          <w:rFonts w:ascii="宋体" w:hAnsi="宋体" w:cs="宋体" w:eastAsia="宋体" w:hint="default"/>
          <w:b w:val="0"/>
          <w:bCs w:val="0"/>
        </w:rPr>
      </w:pPr>
      <w:r>
        <w:rPr>
          <w:rFonts w:ascii="宋体" w:hAnsi="宋体" w:cs="宋体" w:eastAsia="宋体" w:hint="default"/>
        </w:rPr>
        <w:t>(6).</w:t>
        <w:tab/>
      </w:r>
      <w:r>
        <w:rPr/>
        <w:t>坏账准备计提情况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t>□适用 √不适用</w:t>
      </w:r>
    </w:p>
    <w:p>
      <w:pPr>
        <w:spacing w:line="240" w:lineRule="auto" w:before="10"/>
        <w:rPr>
          <w:rFonts w:ascii="宋体" w:hAnsi="宋体" w:cs="宋体" w:eastAsia="宋体" w:hint="default"/>
          <w:sz w:val="20"/>
          <w:szCs w:val="20"/>
        </w:rPr>
      </w:pPr>
    </w:p>
    <w:p>
      <w:pPr>
        <w:pStyle w:val="BodyText"/>
        <w:spacing w:line="313" w:lineRule="exact"/>
        <w:ind w:left="236" w:right="4250"/>
        <w:jc w:val="left"/>
      </w:pPr>
      <w:r>
        <w:rPr/>
        <w:t>其他说明：</w:t>
      </w:r>
    </w:p>
    <w:p>
      <w:pPr>
        <w:pStyle w:val="BodyText"/>
        <w:spacing w:line="313" w:lineRule="exact"/>
        <w:ind w:left="236" w:right="425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40" w:right="1560"/>
        </w:sectPr>
      </w:pPr>
    </w:p>
    <w:p>
      <w:pPr>
        <w:pStyle w:val="Heading2"/>
        <w:spacing w:line="240" w:lineRule="auto" w:before="26"/>
        <w:ind w:left="236" w:right="0"/>
        <w:jc w:val="left"/>
        <w:rPr>
          <w:rFonts w:ascii="宋体" w:hAnsi="宋体" w:cs="宋体" w:eastAsia="宋体" w:hint="default"/>
          <w:b w:val="0"/>
          <w:bCs w:val="0"/>
        </w:rPr>
      </w:pPr>
      <w:r>
        <w:rPr/>
        <w:t>其他应收款</w:t>
      </w:r>
      <w:r>
        <w:rPr>
          <w:rFonts w:ascii="宋体" w:hAnsi="宋体" w:cs="宋体" w:eastAsia="宋体" w:hint="default"/>
          <w:w w:val="99"/>
        </w:rPr>
        <w:t> </w:t>
      </w:r>
      <w:r>
        <w:rPr>
          <w:rFonts w:ascii="宋体" w:hAnsi="宋体" w:cs="宋体" w:eastAsia="宋体" w:hint="default"/>
          <w:b w:val="0"/>
          <w:bCs w:val="0"/>
        </w:rPr>
      </w:r>
    </w:p>
    <w:p>
      <w:pPr>
        <w:pStyle w:val="Heading2"/>
        <w:tabs>
          <w:tab w:pos="1077" w:val="left" w:leader="none"/>
        </w:tabs>
        <w:spacing w:line="240" w:lineRule="auto" w:before="58"/>
        <w:ind w:left="236" w:right="0"/>
        <w:jc w:val="left"/>
        <w:rPr>
          <w:rFonts w:ascii="宋体" w:hAnsi="宋体" w:cs="宋体" w:eastAsia="宋体" w:hint="default"/>
          <w:b w:val="0"/>
          <w:bCs w:val="0"/>
        </w:rPr>
      </w:pPr>
      <w:r>
        <w:rPr>
          <w:rFonts w:ascii="宋体" w:hAnsi="宋体" w:cs="宋体" w:eastAsia="宋体" w:hint="default"/>
        </w:rPr>
        <w:t>(7).</w:t>
        <w:tab/>
      </w:r>
      <w:r>
        <w:rPr/>
        <w:t>按账龄披露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403" w:space="3791"/>
            <w:col w:w="3116"/>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590"/>
        <w:gridCol w:w="4472"/>
      </w:tblGrid>
      <w:tr>
        <w:trPr>
          <w:trHeight w:val="319"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账龄</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期末账面余额</w:t>
            </w:r>
          </w:p>
        </w:tc>
      </w:tr>
      <w:tr>
        <w:trPr>
          <w:trHeight w:val="322" w:hRule="exact"/>
        </w:trPr>
        <w:tc>
          <w:tcPr>
            <w:tcW w:w="9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r>
      <w:tr>
        <w:trPr>
          <w:trHeight w:val="322" w:hRule="exact"/>
        </w:trPr>
        <w:tc>
          <w:tcPr>
            <w:tcW w:w="9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宋体" w:hAnsi="宋体" w:cs="宋体" w:eastAsia="宋体" w:hint="default"/>
                <w:sz w:val="24"/>
                <w:szCs w:val="24"/>
              </w:rPr>
              <w:t>其中：</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年以内分项</w:t>
            </w:r>
          </w:p>
        </w:tc>
      </w:tr>
    </w:tbl>
    <w:p>
      <w:pPr>
        <w:spacing w:after="0" w:line="292" w:lineRule="exact"/>
        <w:jc w:val="left"/>
        <w:rPr>
          <w:rFonts w:ascii="宋体" w:hAnsi="宋体" w:cs="宋体" w:eastAsia="宋体" w:hint="default"/>
          <w:sz w:val="24"/>
          <w:szCs w:val="24"/>
        </w:rPr>
        <w:sectPr>
          <w:type w:val="continuous"/>
          <w:pgSz w:w="11910" w:h="16840"/>
          <w:pgMar w:top="1120" w:bottom="1380" w:left="1040" w:right="1560"/>
        </w:sectPr>
      </w:pPr>
    </w:p>
    <w:p>
      <w:pPr>
        <w:spacing w:line="240" w:lineRule="auto" w:before="5"/>
        <w:rPr>
          <w:rFonts w:ascii="宋体" w:hAnsi="宋体" w:cs="宋体" w:eastAsia="宋体" w:hint="default"/>
          <w:sz w:val="27"/>
          <w:szCs w:val="27"/>
        </w:rPr>
      </w:pPr>
    </w:p>
    <w:tbl>
      <w:tblPr>
        <w:tblW w:w="0" w:type="auto"/>
        <w:jc w:val="left"/>
        <w:tblInd w:w="119" w:type="dxa"/>
        <w:tblLayout w:type="fixed"/>
        <w:tblCellMar>
          <w:top w:w="0" w:type="dxa"/>
          <w:left w:w="0" w:type="dxa"/>
          <w:bottom w:w="0" w:type="dxa"/>
          <w:right w:w="0" w:type="dxa"/>
        </w:tblCellMar>
        <w:tblLook w:val="01E0"/>
      </w:tblPr>
      <w:tblGrid>
        <w:gridCol w:w="4590"/>
        <w:gridCol w:w="4472"/>
      </w:tblGrid>
      <w:tr>
        <w:trPr>
          <w:trHeight w:val="322"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419,005,475</w:t>
            </w:r>
          </w:p>
        </w:tc>
      </w:tr>
      <w:tr>
        <w:trPr>
          <w:trHeight w:val="286" w:hRule="exact"/>
        </w:trPr>
        <w:tc>
          <w:tcPr>
            <w:tcW w:w="4590" w:type="dxa"/>
            <w:tcBorders>
              <w:top w:val="single" w:sz="4" w:space="0" w:color="000000"/>
              <w:left w:val="single" w:sz="4" w:space="0" w:color="000000"/>
              <w:bottom w:val="single" w:sz="4" w:space="0" w:color="000000"/>
              <w:right w:val="single" w:sz="4" w:space="0" w:color="000000"/>
            </w:tcBorders>
          </w:tcPr>
          <w:p>
            <w:pPr/>
          </w:p>
        </w:tc>
        <w:tc>
          <w:tcPr>
            <w:tcW w:w="447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年以内小计</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419,005,475</w:t>
            </w:r>
          </w:p>
        </w:tc>
      </w:tr>
      <w:tr>
        <w:trPr>
          <w:trHeight w:val="322"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 </w:t>
            </w:r>
            <w:r>
              <w:rPr>
                <w:rFonts w:ascii="宋体" w:hAnsi="宋体" w:cs="宋体" w:eastAsia="宋体" w:hint="default"/>
                <w:sz w:val="24"/>
                <w:szCs w:val="24"/>
              </w:rPr>
              <w:t>年</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32,556,616</w:t>
            </w:r>
          </w:p>
        </w:tc>
      </w:tr>
      <w:tr>
        <w:trPr>
          <w:trHeight w:val="322"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 </w:t>
            </w:r>
            <w:r>
              <w:rPr>
                <w:rFonts w:ascii="宋体" w:hAnsi="宋体" w:cs="宋体" w:eastAsia="宋体" w:hint="default"/>
                <w:sz w:val="24"/>
                <w:szCs w:val="24"/>
              </w:rPr>
              <w:t>年</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26,029,355</w:t>
            </w:r>
          </w:p>
        </w:tc>
      </w:tr>
      <w:tr>
        <w:trPr>
          <w:trHeight w:val="319"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年以上</w:t>
            </w:r>
          </w:p>
        </w:tc>
        <w:tc>
          <w:tcPr>
            <w:tcW w:w="447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 </w:t>
            </w:r>
            <w:r>
              <w:rPr>
                <w:rFonts w:ascii="宋体" w:hAnsi="宋体" w:cs="宋体" w:eastAsia="宋体" w:hint="default"/>
                <w:sz w:val="24"/>
                <w:szCs w:val="24"/>
              </w:rPr>
              <w:t>年</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0"/>
              <w:jc w:val="right"/>
              <w:rPr>
                <w:rFonts w:ascii="Times New Roman" w:hAnsi="Times New Roman" w:cs="Times New Roman" w:eastAsia="Times New Roman" w:hint="default"/>
                <w:sz w:val="24"/>
                <w:szCs w:val="24"/>
              </w:rPr>
            </w:pPr>
            <w:r>
              <w:rPr>
                <w:rFonts w:ascii="Times New Roman"/>
                <w:sz w:val="24"/>
              </w:rPr>
              <w:t>13,755,774</w:t>
            </w:r>
          </w:p>
        </w:tc>
      </w:tr>
      <w:tr>
        <w:trPr>
          <w:trHeight w:val="322"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 </w:t>
            </w:r>
            <w:r>
              <w:rPr>
                <w:rFonts w:ascii="宋体" w:hAnsi="宋体" w:cs="宋体" w:eastAsia="宋体" w:hint="default"/>
                <w:sz w:val="24"/>
                <w:szCs w:val="24"/>
              </w:rPr>
              <w:t>年</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702,994</w:t>
            </w:r>
          </w:p>
        </w:tc>
      </w:tr>
      <w:tr>
        <w:trPr>
          <w:trHeight w:val="322"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5 </w:t>
            </w:r>
            <w:r>
              <w:rPr>
                <w:rFonts w:ascii="宋体" w:hAnsi="宋体" w:cs="宋体" w:eastAsia="宋体" w:hint="default"/>
                <w:sz w:val="24"/>
                <w:szCs w:val="24"/>
              </w:rPr>
              <w:t>年以上</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20,510,840</w:t>
            </w:r>
          </w:p>
        </w:tc>
      </w:tr>
      <w:tr>
        <w:trPr>
          <w:trHeight w:val="286" w:hRule="exact"/>
        </w:trPr>
        <w:tc>
          <w:tcPr>
            <w:tcW w:w="4590" w:type="dxa"/>
            <w:tcBorders>
              <w:top w:val="single" w:sz="4" w:space="0" w:color="000000"/>
              <w:left w:val="single" w:sz="4" w:space="0" w:color="000000"/>
              <w:bottom w:val="single" w:sz="4" w:space="0" w:color="000000"/>
              <w:right w:val="single" w:sz="4" w:space="0" w:color="000000"/>
            </w:tcBorders>
          </w:tcPr>
          <w:p>
            <w:pPr/>
          </w:p>
        </w:tc>
        <w:tc>
          <w:tcPr>
            <w:tcW w:w="447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4590" w:type="dxa"/>
            <w:tcBorders>
              <w:top w:val="single" w:sz="4" w:space="0" w:color="000000"/>
              <w:left w:val="single" w:sz="4" w:space="0" w:color="000000"/>
              <w:bottom w:val="single" w:sz="4" w:space="0" w:color="000000"/>
              <w:right w:val="single" w:sz="4" w:space="0" w:color="000000"/>
            </w:tcBorders>
          </w:tcPr>
          <w:p>
            <w:pPr/>
          </w:p>
        </w:tc>
        <w:tc>
          <w:tcPr>
            <w:tcW w:w="447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512,561,054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pStyle w:val="BodyText"/>
        <w:spacing w:line="313" w:lineRule="exact" w:before="26"/>
        <w:ind w:left="236" w:right="4250"/>
        <w:jc w:val="left"/>
      </w:pPr>
      <w:r>
        <w:rPr/>
        <w:t>按款项性质分类情况</w:t>
      </w:r>
    </w:p>
    <w:p>
      <w:pPr>
        <w:pStyle w:val="BodyText"/>
        <w:tabs>
          <w:tab w:pos="1437" w:val="left" w:leader="none"/>
        </w:tabs>
        <w:spacing w:line="312" w:lineRule="exact" w:before="29"/>
        <w:ind w:left="236" w:right="6427"/>
        <w:jc w:val="left"/>
      </w:pPr>
      <w:r>
        <w:rPr/>
        <w:t>√适用 □不适用 单位：元</w:t>
        <w:tab/>
        <w:t>币种：人民币</w:t>
      </w:r>
    </w:p>
    <w:tbl>
      <w:tblPr>
        <w:tblW w:w="0" w:type="auto"/>
        <w:jc w:val="left"/>
        <w:tblInd w:w="123" w:type="dxa"/>
        <w:tblLayout w:type="fixed"/>
        <w:tblCellMar>
          <w:top w:w="0" w:type="dxa"/>
          <w:left w:w="0" w:type="dxa"/>
          <w:bottom w:w="0" w:type="dxa"/>
          <w:right w:w="0" w:type="dxa"/>
        </w:tblCellMar>
        <w:tblLook w:val="01E0"/>
      </w:tblPr>
      <w:tblGrid>
        <w:gridCol w:w="3078"/>
        <w:gridCol w:w="2981"/>
        <w:gridCol w:w="2991"/>
      </w:tblGrid>
      <w:tr>
        <w:trPr>
          <w:trHeight w:val="322"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款项性质</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63" w:right="0"/>
              <w:jc w:val="left"/>
              <w:rPr>
                <w:rFonts w:ascii="宋体" w:hAnsi="宋体" w:cs="宋体" w:eastAsia="宋体" w:hint="default"/>
                <w:sz w:val="24"/>
                <w:szCs w:val="24"/>
              </w:rPr>
            </w:pPr>
            <w:r>
              <w:rPr>
                <w:rFonts w:ascii="宋体" w:hAnsi="宋体" w:cs="宋体" w:eastAsia="宋体" w:hint="default"/>
                <w:sz w:val="24"/>
                <w:szCs w:val="24"/>
              </w:rPr>
              <w:t>期末账面余额</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68" w:right="0"/>
              <w:jc w:val="left"/>
              <w:rPr>
                <w:rFonts w:ascii="宋体" w:hAnsi="宋体" w:cs="宋体" w:eastAsia="宋体" w:hint="default"/>
                <w:sz w:val="24"/>
                <w:szCs w:val="24"/>
              </w:rPr>
            </w:pPr>
            <w:r>
              <w:rPr>
                <w:rFonts w:ascii="宋体" w:hAnsi="宋体" w:cs="宋体" w:eastAsia="宋体" w:hint="default"/>
                <w:sz w:val="24"/>
                <w:szCs w:val="24"/>
              </w:rPr>
              <w:t>期初账面余额</w:t>
            </w:r>
          </w:p>
        </w:tc>
      </w:tr>
      <w:tr>
        <w:trPr>
          <w:trHeight w:val="322"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押金及保证金</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389,428,136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315,564,925 </w:t>
            </w:r>
          </w:p>
        </w:tc>
      </w:tr>
      <w:tr>
        <w:trPr>
          <w:trHeight w:val="322"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员工备用金</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16,765,420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20,095,860 </w:t>
            </w:r>
          </w:p>
        </w:tc>
      </w:tr>
      <w:tr>
        <w:trPr>
          <w:trHeight w:val="322"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增值税退税款</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34,462,989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71,904,509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97,700,282 </w:t>
            </w:r>
          </w:p>
        </w:tc>
      </w:tr>
      <w:tr>
        <w:trPr>
          <w:trHeight w:val="322"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512,561,054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433,361,067 </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63"/>
          <w:pgSz w:w="11910" w:h="16840"/>
          <w:pgMar w:footer="1195" w:header="882" w:top="1080" w:bottom="1380" w:left="1040" w:right="1560"/>
          <w:pgNumType w:start="81"/>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(8).</w:t>
        <w:tab/>
      </w:r>
      <w:r>
        <w:rPr/>
        <w:t>坏账准备计提情况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3126" w:space="2948"/>
            <w:col w:w="3236"/>
          </w:cols>
        </w:sectPr>
      </w:pPr>
    </w:p>
    <w:p>
      <w:pPr>
        <w:spacing w:line="240" w:lineRule="auto" w:before="12"/>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1812"/>
        <w:gridCol w:w="1561"/>
        <w:gridCol w:w="1985"/>
        <w:gridCol w:w="1985"/>
        <w:gridCol w:w="1707"/>
      </w:tblGrid>
      <w:tr>
        <w:trPr>
          <w:trHeight w:val="281" w:hRule="exact"/>
        </w:trPr>
        <w:tc>
          <w:tcPr>
            <w:tcW w:w="181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left="480"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5" w:right="0"/>
              <w:jc w:val="left"/>
              <w:rPr>
                <w:rFonts w:ascii="宋体" w:hAnsi="宋体" w:cs="宋体" w:eastAsia="宋体" w:hint="default"/>
                <w:sz w:val="21"/>
                <w:szCs w:val="21"/>
              </w:rPr>
            </w:pPr>
            <w:r>
              <w:rPr>
                <w:rFonts w:ascii="宋体" w:hAnsi="宋体" w:cs="宋体" w:eastAsia="宋体" w:hint="default"/>
                <w:sz w:val="21"/>
                <w:szCs w:val="21"/>
              </w:rPr>
              <w:t>第一阶段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第二阶段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第三阶段</w:t>
            </w:r>
            <w:r>
              <w:rPr>
                <w:rFonts w:ascii="宋体" w:hAnsi="宋体" w:cs="宋体" w:eastAsia="宋体" w:hint="default"/>
                <w:sz w:val="21"/>
                <w:szCs w:val="21"/>
              </w:rPr>
              <w:t> </w:t>
            </w:r>
          </w:p>
        </w:tc>
        <w:tc>
          <w:tcPr>
            <w:tcW w:w="170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left="638"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r>
      <w:tr>
        <w:trPr>
          <w:trHeight w:val="828" w:hRule="exact"/>
        </w:trPr>
        <w:tc>
          <w:tcPr>
            <w:tcW w:w="1812"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9" w:right="143" w:hanging="106"/>
              <w:jc w:val="left"/>
              <w:rPr>
                <w:rFonts w:ascii="宋体" w:hAnsi="宋体" w:cs="宋体" w:eastAsia="宋体" w:hint="default"/>
                <w:sz w:val="21"/>
                <w:szCs w:val="21"/>
              </w:rPr>
            </w:pPr>
            <w:r>
              <w:rPr>
                <w:rFonts w:ascii="宋体" w:hAnsi="宋体" w:cs="宋体" w:eastAsia="宋体" w:hint="default"/>
                <w:sz w:val="21"/>
                <w:szCs w:val="21"/>
              </w:rPr>
              <w:t>未来</w:t>
            </w:r>
            <w:r>
              <w:rPr>
                <w:rFonts w:ascii="宋体" w:hAnsi="宋体" w:cs="宋体" w:eastAsia="宋体" w:hint="default"/>
                <w:sz w:val="21"/>
                <w:szCs w:val="21"/>
              </w:rPr>
              <w:t>12</w:t>
            </w:r>
            <w:r>
              <w:rPr>
                <w:rFonts w:ascii="宋体" w:hAnsi="宋体" w:cs="宋体" w:eastAsia="宋体" w:hint="default"/>
                <w:sz w:val="21"/>
                <w:szCs w:val="21"/>
              </w:rPr>
              <w:t>个月预</w:t>
            </w:r>
            <w:r>
              <w:rPr>
                <w:rFonts w:ascii="宋体" w:hAnsi="宋体" w:cs="宋体" w:eastAsia="宋体" w:hint="default"/>
                <w:w w:val="100"/>
                <w:sz w:val="21"/>
                <w:szCs w:val="21"/>
              </w:rPr>
              <w:t> </w:t>
            </w:r>
            <w:r>
              <w:rPr>
                <w:rFonts w:ascii="宋体" w:hAnsi="宋体" w:cs="宋体" w:eastAsia="宋体" w:hint="default"/>
                <w:sz w:val="21"/>
                <w:szCs w:val="21"/>
              </w:rPr>
              <w:t>期信用损失</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72" w:lineRule="exact" w:before="26"/>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未发生信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72" w:lineRule="exact" w:before="26"/>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已发生信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707" w:type="dxa"/>
            <w:vMerge/>
            <w:tcBorders>
              <w:left w:val="single" w:sz="4" w:space="0" w:color="000000"/>
              <w:bottom w:val="single" w:sz="4" w:space="0" w:color="000000"/>
              <w:right w:val="single" w:sz="4" w:space="0" w:color="000000"/>
            </w:tcBorders>
          </w:tcPr>
          <w:p>
            <w:pPr/>
          </w:p>
        </w:tc>
      </w:tr>
      <w:tr>
        <w:trPr>
          <w:trHeight w:val="55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2"/>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99"/>
              <w:jc w:val="right"/>
              <w:rPr>
                <w:rFonts w:ascii="Times New Roman" w:hAnsi="Times New Roman" w:cs="Times New Roman" w:eastAsia="Times New Roman" w:hint="default"/>
                <w:sz w:val="21"/>
                <w:szCs w:val="21"/>
              </w:rPr>
            </w:pPr>
            <w:r>
              <w:rPr>
                <w:rFonts w:ascii="Times New Roman"/>
                <w:spacing w:val="-1"/>
                <w:sz w:val="21"/>
              </w:rPr>
              <w:t>15,113,145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right"/>
              <w:rPr>
                <w:rFonts w:ascii="宋体" w:hAnsi="宋体" w:cs="宋体" w:eastAsia="宋体" w:hint="default"/>
                <w:sz w:val="21"/>
                <w:szCs w:val="21"/>
              </w:rPr>
            </w:pPr>
            <w:r>
              <w:rPr>
                <w:rFonts w:ascii="宋体"/>
                <w:spacing w:val="-1"/>
                <w:sz w:val="21"/>
              </w:rPr>
              <w:t>16,018,428</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right"/>
              <w:rPr>
                <w:rFonts w:ascii="宋体" w:hAnsi="宋体" w:cs="宋体" w:eastAsia="宋体" w:hint="default"/>
                <w:sz w:val="21"/>
                <w:szCs w:val="21"/>
              </w:rPr>
            </w:pPr>
            <w:r>
              <w:rPr>
                <w:rFonts w:ascii="宋体"/>
                <w:spacing w:val="-1"/>
                <w:sz w:val="21"/>
              </w:rPr>
              <w:t>10,212,336</w:t>
            </w:r>
            <w:r>
              <w:rPr>
                <w:rFonts w:ascii="宋体"/>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right"/>
              <w:rPr>
                <w:rFonts w:ascii="宋体" w:hAnsi="宋体" w:cs="宋体" w:eastAsia="宋体" w:hint="default"/>
                <w:sz w:val="21"/>
                <w:szCs w:val="21"/>
              </w:rPr>
            </w:pPr>
            <w:r>
              <w:rPr>
                <w:rFonts w:ascii="宋体"/>
                <w:spacing w:val="-1"/>
                <w:sz w:val="21"/>
              </w:rPr>
              <w:t>41,343,909</w:t>
            </w:r>
            <w:r>
              <w:rPr>
                <w:rFonts w:ascii="宋体"/>
                <w:sz w:val="21"/>
              </w:rPr>
              <w:t> </w:t>
            </w:r>
          </w:p>
        </w:tc>
      </w:tr>
      <w:tr>
        <w:trPr>
          <w:trHeight w:val="555"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2"/>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额在本期</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转入第三阶段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转回第一阶段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本期计提</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940,070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15,678,525</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2,316,874</w:t>
            </w:r>
            <w:r>
              <w:rPr>
                <w:rFonts w:ascii="宋体"/>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18,935,469</w:t>
            </w:r>
            <w:r>
              <w:rPr>
                <w:rFonts w:ascii="宋体"/>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本期转回</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3,658,291</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3,658,291</w:t>
            </w:r>
            <w:r>
              <w:rPr>
                <w:rFonts w:ascii="宋体"/>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本期核销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349,468</w:t>
            </w:r>
            <w:r>
              <w:rPr>
                <w:rFonts w:ascii="宋体"/>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57" w:right="0"/>
              <w:jc w:val="left"/>
              <w:rPr>
                <w:rFonts w:ascii="宋体" w:hAnsi="宋体" w:cs="宋体" w:eastAsia="宋体" w:hint="default"/>
                <w:sz w:val="21"/>
                <w:szCs w:val="21"/>
              </w:rPr>
            </w:pPr>
            <w:r>
              <w:rPr>
                <w:rFonts w:ascii="宋体"/>
                <w:sz w:val="21"/>
              </w:rPr>
              <w:t>349,468</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其他变动</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type w:val="continuous"/>
          <w:pgSz w:w="11910" w:h="16840"/>
          <w:pgMar w:top="1120" w:bottom="1380" w:left="1040" w:right="1560"/>
        </w:sectPr>
      </w:pPr>
    </w:p>
    <w:p>
      <w:pPr>
        <w:spacing w:line="240" w:lineRule="auto" w:before="5"/>
        <w:rPr>
          <w:rFonts w:ascii="宋体" w:hAnsi="宋体" w:cs="宋体" w:eastAsia="宋体" w:hint="default"/>
          <w:sz w:val="27"/>
          <w:szCs w:val="27"/>
        </w:rPr>
      </w:pPr>
    </w:p>
    <w:tbl>
      <w:tblPr>
        <w:tblW w:w="0" w:type="auto"/>
        <w:jc w:val="left"/>
        <w:tblInd w:w="123" w:type="dxa"/>
        <w:tblLayout w:type="fixed"/>
        <w:tblCellMar>
          <w:top w:w="0" w:type="dxa"/>
          <w:left w:w="0" w:type="dxa"/>
          <w:bottom w:w="0" w:type="dxa"/>
          <w:right w:w="0" w:type="dxa"/>
        </w:tblCellMar>
        <w:tblLook w:val="01E0"/>
      </w:tblPr>
      <w:tblGrid>
        <w:gridCol w:w="1812"/>
        <w:gridCol w:w="1561"/>
        <w:gridCol w:w="1985"/>
        <w:gridCol w:w="1985"/>
        <w:gridCol w:w="1707"/>
      </w:tblGrid>
      <w:tr>
        <w:trPr>
          <w:trHeight w:val="555"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w:t>
            </w:r>
            <w:r>
              <w:rPr>
                <w:rFonts w:ascii="宋体" w:hAnsi="宋体" w:cs="宋体" w:eastAsia="宋体" w:hint="default"/>
                <w:sz w:val="21"/>
                <w:szCs w:val="21"/>
              </w:rPr>
              <w:t>12</w:t>
            </w:r>
            <w:r>
              <w:rPr>
                <w:rFonts w:ascii="宋体" w:hAnsi="宋体" w:cs="宋体" w:eastAsia="宋体" w:hint="default"/>
                <w:sz w:val="21"/>
                <w:szCs w:val="21"/>
              </w:rPr>
              <w:t>月</w:t>
            </w:r>
            <w:r>
              <w:rPr>
                <w:rFonts w:ascii="宋体" w:hAnsi="宋体" w:cs="宋体" w:eastAsia="宋体" w:hint="default"/>
                <w:sz w:val="21"/>
                <w:szCs w:val="21"/>
              </w:rPr>
              <w:t>31</w:t>
            </w:r>
            <w:r>
              <w:rPr>
                <w:rFonts w:ascii="宋体" w:hAnsi="宋体" w:cs="宋体" w:eastAsia="宋体" w:hint="default"/>
                <w:sz w:val="21"/>
                <w:szCs w:val="21"/>
              </w:rPr>
              <w:t>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余额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left="501" w:right="0"/>
              <w:jc w:val="left"/>
              <w:rPr>
                <w:rFonts w:ascii="Times New Roman" w:hAnsi="Times New Roman" w:cs="Times New Roman" w:eastAsia="Times New Roman" w:hint="default"/>
                <w:sz w:val="21"/>
                <w:szCs w:val="21"/>
              </w:rPr>
            </w:pPr>
            <w:r>
              <w:rPr>
                <w:rFonts w:ascii="Times New Roman"/>
                <w:sz w:val="21"/>
              </w:rPr>
              <w:t>16,053,215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820" w:right="-3"/>
              <w:jc w:val="left"/>
              <w:rPr>
                <w:rFonts w:ascii="宋体" w:hAnsi="宋体" w:cs="宋体" w:eastAsia="宋体" w:hint="default"/>
                <w:sz w:val="21"/>
                <w:szCs w:val="21"/>
              </w:rPr>
            </w:pPr>
            <w:r>
              <w:rPr>
                <w:rFonts w:ascii="宋体"/>
                <w:sz w:val="21"/>
              </w:rPr>
              <w:t>28,038,662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820" w:right="-3"/>
              <w:jc w:val="left"/>
              <w:rPr>
                <w:rFonts w:ascii="宋体" w:hAnsi="宋体" w:cs="宋体" w:eastAsia="宋体" w:hint="default"/>
                <w:sz w:val="21"/>
                <w:szCs w:val="21"/>
              </w:rPr>
            </w:pPr>
            <w:r>
              <w:rPr>
                <w:rFonts w:ascii="宋体"/>
                <w:sz w:val="21"/>
              </w:rPr>
              <w:t>12,179,742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542" w:right="-3"/>
              <w:jc w:val="left"/>
              <w:rPr>
                <w:rFonts w:ascii="宋体" w:hAnsi="宋体" w:cs="宋体" w:eastAsia="宋体" w:hint="default"/>
                <w:sz w:val="21"/>
                <w:szCs w:val="21"/>
              </w:rPr>
            </w:pPr>
            <w:r>
              <w:rPr>
                <w:rFonts w:ascii="宋体"/>
                <w:sz w:val="21"/>
              </w:rPr>
              <w:t>56,271,619 </w:t>
            </w:r>
          </w:p>
        </w:tc>
      </w:tr>
    </w:tbl>
    <w:p>
      <w:pPr>
        <w:spacing w:line="240" w:lineRule="auto" w:before="0"/>
        <w:rPr>
          <w:rFonts w:ascii="宋体" w:hAnsi="宋体" w:cs="宋体" w:eastAsia="宋体" w:hint="default"/>
          <w:sz w:val="16"/>
          <w:szCs w:val="16"/>
        </w:rPr>
      </w:pPr>
    </w:p>
    <w:p>
      <w:pPr>
        <w:pStyle w:val="BodyText"/>
        <w:spacing w:line="313" w:lineRule="exact" w:before="26"/>
        <w:ind w:left="236" w:right="0"/>
        <w:jc w:val="left"/>
      </w:pPr>
      <w:r>
        <w:rPr/>
        <w:t>对本期发生损失准备变动的其他应收款账面余额显著变动的情况说明：</w:t>
      </w:r>
    </w:p>
    <w:p>
      <w:pPr>
        <w:pStyle w:val="BodyText"/>
        <w:spacing w:line="313" w:lineRule="exact"/>
        <w:ind w:left="236" w:right="4250"/>
        <w:jc w:val="left"/>
      </w:pPr>
      <w:r>
        <w:rPr/>
        <w:t>□适用 √不适用</w:t>
      </w:r>
    </w:p>
    <w:p>
      <w:pPr>
        <w:spacing w:line="240" w:lineRule="auto" w:before="12"/>
        <w:rPr>
          <w:rFonts w:ascii="宋体" w:hAnsi="宋体" w:cs="宋体" w:eastAsia="宋体" w:hint="default"/>
          <w:sz w:val="20"/>
          <w:szCs w:val="20"/>
        </w:rPr>
      </w:pPr>
    </w:p>
    <w:p>
      <w:pPr>
        <w:pStyle w:val="BodyText"/>
        <w:spacing w:line="312" w:lineRule="exact"/>
        <w:ind w:left="236" w:right="0"/>
        <w:jc w:val="left"/>
      </w:pPr>
      <w:r>
        <w:rPr/>
        <w:t>本期坏账准备计提金额以及评估金融工具的信用风险是否显著增加的采用依据：</w:t>
      </w:r>
    </w:p>
    <w:p>
      <w:pPr>
        <w:pStyle w:val="BodyText"/>
        <w:spacing w:line="312" w:lineRule="exact"/>
        <w:ind w:left="236" w:right="425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2" w:footer="1195" w:top="1080" w:bottom="1380" w:left="1040" w:right="1560"/>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(9).</w:t>
        <w:tab/>
      </w:r>
      <w:r>
        <w:rPr/>
        <w:t>坏账准备的情况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885" w:space="3308"/>
            <w:col w:w="3117"/>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424"/>
        <w:gridCol w:w="1342"/>
        <w:gridCol w:w="1339"/>
        <w:gridCol w:w="1342"/>
        <w:gridCol w:w="1390"/>
        <w:gridCol w:w="883"/>
        <w:gridCol w:w="1342"/>
      </w:tblGrid>
      <w:tr>
        <w:trPr>
          <w:trHeight w:val="322" w:hRule="exact"/>
        </w:trPr>
        <w:tc>
          <w:tcPr>
            <w:tcW w:w="1424"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466" w:right="0"/>
              <w:jc w:val="left"/>
              <w:rPr>
                <w:rFonts w:ascii="宋体" w:hAnsi="宋体" w:cs="宋体" w:eastAsia="宋体" w:hint="default"/>
                <w:sz w:val="24"/>
                <w:szCs w:val="24"/>
              </w:rPr>
            </w:pPr>
            <w:r>
              <w:rPr>
                <w:rFonts w:ascii="宋体" w:hAnsi="宋体" w:cs="宋体" w:eastAsia="宋体" w:hint="default"/>
                <w:sz w:val="24"/>
                <w:szCs w:val="24"/>
              </w:rPr>
              <w:t>类别</w:t>
            </w:r>
          </w:p>
        </w:tc>
        <w:tc>
          <w:tcPr>
            <w:tcW w:w="1342"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84"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4954"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本期变动金额</w:t>
            </w:r>
          </w:p>
        </w:tc>
        <w:tc>
          <w:tcPr>
            <w:tcW w:w="1342"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82"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631" w:hRule="exact"/>
        </w:trPr>
        <w:tc>
          <w:tcPr>
            <w:tcW w:w="1424" w:type="dxa"/>
            <w:vMerge/>
            <w:tcBorders>
              <w:left w:val="single" w:sz="4" w:space="0" w:color="000000"/>
              <w:bottom w:val="single" w:sz="4" w:space="0" w:color="000000"/>
              <w:right w:val="single" w:sz="4" w:space="0" w:color="000000"/>
            </w:tcBorders>
          </w:tcPr>
          <w:p>
            <w:pPr/>
          </w:p>
        </w:tc>
        <w:tc>
          <w:tcPr>
            <w:tcW w:w="1342" w:type="dxa"/>
            <w:vMerge/>
            <w:tcBorders>
              <w:left w:val="single" w:sz="4" w:space="0" w:color="000000"/>
              <w:bottom w:val="single" w:sz="4" w:space="0" w:color="000000"/>
              <w:right w:val="single" w:sz="4" w:space="0" w:color="000000"/>
            </w:tcBorders>
          </w:tcPr>
          <w:p>
            <w:pP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2"/>
              <w:jc w:val="center"/>
              <w:rPr>
                <w:rFonts w:ascii="宋体" w:hAnsi="宋体" w:cs="宋体" w:eastAsia="宋体" w:hint="default"/>
                <w:sz w:val="24"/>
                <w:szCs w:val="24"/>
              </w:rPr>
            </w:pPr>
            <w:r>
              <w:rPr>
                <w:rFonts w:ascii="宋体" w:hAnsi="宋体" w:cs="宋体" w:eastAsia="宋体" w:hint="default"/>
                <w:sz w:val="24"/>
                <w:szCs w:val="24"/>
              </w:rPr>
              <w:t>计提</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收回或转</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回</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转销或核</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销</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83" w:right="0"/>
              <w:jc w:val="left"/>
              <w:rPr>
                <w:rFonts w:ascii="宋体" w:hAnsi="宋体" w:cs="宋体" w:eastAsia="宋体" w:hint="default"/>
                <w:sz w:val="24"/>
                <w:szCs w:val="24"/>
              </w:rPr>
            </w:pPr>
            <w:r>
              <w:rPr>
                <w:rFonts w:ascii="宋体" w:hAnsi="宋体" w:cs="宋体" w:eastAsia="宋体" w:hint="default"/>
                <w:sz w:val="24"/>
                <w:szCs w:val="24"/>
              </w:rPr>
              <w:t>其他</w:t>
            </w:r>
          </w:p>
          <w:p>
            <w:pPr>
              <w:pStyle w:val="TableParagraph"/>
              <w:spacing w:line="313" w:lineRule="exact"/>
              <w:ind w:left="283" w:right="0"/>
              <w:jc w:val="left"/>
              <w:rPr>
                <w:rFonts w:ascii="宋体" w:hAnsi="宋体" w:cs="宋体" w:eastAsia="宋体" w:hint="default"/>
                <w:sz w:val="24"/>
                <w:szCs w:val="24"/>
              </w:rPr>
            </w:pPr>
            <w:r>
              <w:rPr>
                <w:rFonts w:ascii="宋体" w:hAnsi="宋体" w:cs="宋体" w:eastAsia="宋体" w:hint="default"/>
                <w:sz w:val="24"/>
                <w:szCs w:val="24"/>
              </w:rPr>
              <w:t>变动</w:t>
            </w:r>
          </w:p>
        </w:tc>
        <w:tc>
          <w:tcPr>
            <w:tcW w:w="1342" w:type="dxa"/>
            <w:vMerge/>
            <w:tcBorders>
              <w:left w:val="single" w:sz="4" w:space="0" w:color="000000"/>
              <w:bottom w:val="single" w:sz="4" w:space="0" w:color="000000"/>
              <w:right w:val="single" w:sz="4" w:space="0" w:color="000000"/>
            </w:tcBorders>
          </w:tcPr>
          <w:p>
            <w:pPr/>
          </w:p>
        </w:tc>
      </w:tr>
      <w:tr>
        <w:trPr>
          <w:trHeight w:val="634" w:hRule="exact"/>
        </w:trPr>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其他应收</w:t>
            </w:r>
          </w:p>
          <w:p>
            <w:pPr>
              <w:pStyle w:val="TableParagraph"/>
              <w:spacing w:line="312" w:lineRule="exact"/>
              <w:ind w:left="108" w:right="0"/>
              <w:jc w:val="left"/>
              <w:rPr>
                <w:rFonts w:ascii="宋体" w:hAnsi="宋体" w:cs="宋体" w:eastAsia="宋体" w:hint="default"/>
                <w:sz w:val="24"/>
                <w:szCs w:val="24"/>
              </w:rPr>
            </w:pPr>
            <w:r>
              <w:rPr>
                <w:rFonts w:ascii="宋体" w:hAnsi="宋体" w:cs="宋体" w:eastAsia="宋体" w:hint="default"/>
                <w:sz w:val="24"/>
                <w:szCs w:val="24"/>
              </w:rPr>
              <w:t>款</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6"/>
              <w:jc w:val="right"/>
              <w:rPr>
                <w:rFonts w:ascii="Times New Roman" w:hAnsi="Times New Roman" w:cs="Times New Roman" w:eastAsia="Times New Roman" w:hint="default"/>
                <w:sz w:val="24"/>
                <w:szCs w:val="24"/>
              </w:rPr>
            </w:pPr>
            <w:r>
              <w:rPr>
                <w:rFonts w:ascii="Times New Roman"/>
                <w:sz w:val="24"/>
              </w:rPr>
              <w:t>41,343,909</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3" w:right="0"/>
              <w:jc w:val="center"/>
              <w:rPr>
                <w:rFonts w:ascii="Times New Roman" w:hAnsi="Times New Roman" w:cs="Times New Roman" w:eastAsia="Times New Roman" w:hint="default"/>
                <w:sz w:val="24"/>
                <w:szCs w:val="24"/>
              </w:rPr>
            </w:pPr>
            <w:r>
              <w:rPr>
                <w:rFonts w:ascii="Times New Roman"/>
                <w:sz w:val="24"/>
              </w:rPr>
              <w:t>18,935,469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6"/>
              <w:jc w:val="right"/>
              <w:rPr>
                <w:rFonts w:ascii="Times New Roman" w:hAnsi="Times New Roman" w:cs="Times New Roman" w:eastAsia="Times New Roman" w:hint="default"/>
                <w:sz w:val="24"/>
                <w:szCs w:val="24"/>
              </w:rPr>
            </w:pPr>
            <w:r>
              <w:rPr>
                <w:rFonts w:ascii="Times New Roman"/>
                <w:sz w:val="24"/>
              </w:rPr>
              <w:t>3,658,291</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72" w:right="0"/>
              <w:jc w:val="left"/>
              <w:rPr>
                <w:rFonts w:ascii="Times New Roman" w:hAnsi="Times New Roman" w:cs="Times New Roman" w:eastAsia="Times New Roman" w:hint="default"/>
                <w:sz w:val="24"/>
                <w:szCs w:val="24"/>
              </w:rPr>
            </w:pPr>
            <w:r>
              <w:rPr>
                <w:rFonts w:ascii="Times New Roman"/>
                <w:sz w:val="24"/>
              </w:rPr>
              <w:t>349,468</w:t>
            </w:r>
          </w:p>
        </w:tc>
        <w:tc>
          <w:tcPr>
            <w:tcW w:w="883"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0" w:right="0"/>
              <w:jc w:val="center"/>
              <w:rPr>
                <w:rFonts w:ascii="Times New Roman" w:hAnsi="Times New Roman" w:cs="Times New Roman" w:eastAsia="Times New Roman" w:hint="default"/>
                <w:sz w:val="24"/>
                <w:szCs w:val="24"/>
              </w:rPr>
            </w:pPr>
            <w:r>
              <w:rPr>
                <w:rFonts w:ascii="Times New Roman"/>
                <w:sz w:val="24"/>
              </w:rPr>
              <w:t>56,271,619</w:t>
            </w:r>
          </w:p>
        </w:tc>
      </w:tr>
      <w:tr>
        <w:trPr>
          <w:trHeight w:val="286" w:hRule="exact"/>
        </w:trPr>
        <w:tc>
          <w:tcPr>
            <w:tcW w:w="1424"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339"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66"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6"/>
              <w:jc w:val="right"/>
              <w:rPr>
                <w:rFonts w:ascii="Times New Roman" w:hAnsi="Times New Roman" w:cs="Times New Roman" w:eastAsia="Times New Roman" w:hint="default"/>
                <w:sz w:val="24"/>
                <w:szCs w:val="24"/>
              </w:rPr>
            </w:pPr>
            <w:r>
              <w:rPr>
                <w:rFonts w:ascii="Times New Roman"/>
                <w:sz w:val="24"/>
              </w:rPr>
              <w:t>41,343,909</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3" w:right="0"/>
              <w:jc w:val="center"/>
              <w:rPr>
                <w:rFonts w:ascii="Times New Roman" w:hAnsi="Times New Roman" w:cs="Times New Roman" w:eastAsia="Times New Roman" w:hint="default"/>
                <w:sz w:val="24"/>
                <w:szCs w:val="24"/>
              </w:rPr>
            </w:pPr>
            <w:r>
              <w:rPr>
                <w:rFonts w:ascii="Times New Roman"/>
                <w:sz w:val="24"/>
              </w:rPr>
              <w:t>18,935,469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6"/>
              <w:jc w:val="right"/>
              <w:rPr>
                <w:rFonts w:ascii="Times New Roman" w:hAnsi="Times New Roman" w:cs="Times New Roman" w:eastAsia="Times New Roman" w:hint="default"/>
                <w:sz w:val="24"/>
                <w:szCs w:val="24"/>
              </w:rPr>
            </w:pPr>
            <w:r>
              <w:rPr>
                <w:rFonts w:ascii="Times New Roman"/>
                <w:sz w:val="24"/>
              </w:rPr>
              <w:t>3,658,291</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92" w:right="0"/>
              <w:jc w:val="left"/>
              <w:rPr>
                <w:rFonts w:ascii="Times New Roman" w:hAnsi="Times New Roman" w:cs="Times New Roman" w:eastAsia="Times New Roman" w:hint="default"/>
                <w:sz w:val="24"/>
                <w:szCs w:val="24"/>
              </w:rPr>
            </w:pPr>
            <w:r>
              <w:rPr>
                <w:rFonts w:ascii="Times New Roman"/>
                <w:sz w:val="24"/>
              </w:rPr>
              <w:t>349,468</w:t>
            </w:r>
          </w:p>
        </w:tc>
        <w:tc>
          <w:tcPr>
            <w:tcW w:w="883"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0" w:right="0"/>
              <w:jc w:val="center"/>
              <w:rPr>
                <w:rFonts w:ascii="Times New Roman" w:hAnsi="Times New Roman" w:cs="Times New Roman" w:eastAsia="Times New Roman" w:hint="default"/>
                <w:sz w:val="24"/>
                <w:szCs w:val="24"/>
              </w:rPr>
            </w:pPr>
            <w:r>
              <w:rPr>
                <w:rFonts w:ascii="Times New Roman"/>
                <w:sz w:val="24"/>
              </w:rPr>
              <w:t>56,271,619</w:t>
            </w:r>
          </w:p>
        </w:tc>
      </w:tr>
    </w:tbl>
    <w:p>
      <w:pPr>
        <w:pStyle w:val="BodyText"/>
        <w:spacing w:line="273" w:lineRule="exact"/>
        <w:ind w:left="236" w:right="0"/>
        <w:jc w:val="left"/>
        <w:rPr>
          <w:rFonts w:ascii="宋体" w:hAnsi="宋体" w:cs="宋体" w:eastAsia="宋体" w:hint="default"/>
        </w:rPr>
      </w:pPr>
      <w:r>
        <w:rPr>
          <w:rFonts w:ascii="宋体"/>
        </w:rPr>
        <w:t> </w:t>
      </w:r>
    </w:p>
    <w:p>
      <w:pPr>
        <w:pStyle w:val="BodyText"/>
        <w:spacing w:line="312" w:lineRule="exact" w:before="29"/>
        <w:ind w:left="236" w:right="4370"/>
        <w:jc w:val="left"/>
      </w:pPr>
      <w:r>
        <w:rPr>
          <w:rFonts w:ascii="宋体" w:hAnsi="宋体" w:cs="宋体" w:eastAsia="宋体" w:hint="default"/>
        </w:rPr>
        <w:t> </w:t>
      </w:r>
      <w:r>
        <w:rPr/>
        <w:t>其中本期坏账准备转回或收回金额重要的：</w:t>
      </w:r>
    </w:p>
    <w:p>
      <w:pPr>
        <w:pStyle w:val="BodyText"/>
        <w:spacing w:line="281" w:lineRule="exact"/>
        <w:ind w:left="236" w:right="4250"/>
        <w:jc w:val="left"/>
      </w:pPr>
      <w:r>
        <w:rPr/>
        <w:t>□适用 √不适用</w:t>
      </w:r>
    </w:p>
    <w:p>
      <w:pPr>
        <w:pStyle w:val="Heading2"/>
        <w:tabs>
          <w:tab w:pos="1077" w:val="left" w:leader="none"/>
        </w:tabs>
        <w:spacing w:line="240" w:lineRule="auto" w:before="58"/>
        <w:ind w:left="236" w:right="4250"/>
        <w:jc w:val="left"/>
        <w:rPr>
          <w:rFonts w:ascii="宋体" w:hAnsi="宋体" w:cs="宋体" w:eastAsia="宋体" w:hint="default"/>
          <w:b w:val="0"/>
          <w:bCs w:val="0"/>
        </w:rPr>
      </w:pPr>
      <w:r>
        <w:rPr>
          <w:rFonts w:ascii="宋体" w:hAnsi="宋体" w:cs="宋体" w:eastAsia="宋体" w:hint="default"/>
          <w:w w:val="95"/>
        </w:rPr>
        <w:t>(10).</w:t>
        <w:tab/>
      </w:r>
      <w:r>
        <w:rPr/>
        <w:t>本期实际核销的其他应收款情况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t>□适用 √不适用</w:t>
      </w:r>
    </w:p>
    <w:p>
      <w:pPr>
        <w:spacing w:line="240" w:lineRule="auto" w:before="10"/>
        <w:rPr>
          <w:rFonts w:ascii="宋体" w:hAnsi="宋体" w:cs="宋体" w:eastAsia="宋体" w:hint="default"/>
          <w:sz w:val="20"/>
          <w:szCs w:val="20"/>
        </w:rPr>
      </w:pPr>
    </w:p>
    <w:p>
      <w:pPr>
        <w:pStyle w:val="BodyText"/>
        <w:spacing w:line="313" w:lineRule="exact"/>
        <w:ind w:left="236" w:right="0"/>
        <w:jc w:val="left"/>
      </w:pPr>
      <w:r>
        <w:rPr/>
        <w:t>按欠款方归集的期末余额前五名的其他应收款情况</w:t>
      </w:r>
    </w:p>
    <w:p>
      <w:pPr>
        <w:pStyle w:val="BodyText"/>
        <w:tabs>
          <w:tab w:pos="1437" w:val="left" w:leader="none"/>
        </w:tabs>
        <w:spacing w:line="312" w:lineRule="exact" w:before="29"/>
        <w:ind w:left="236" w:right="6427"/>
        <w:jc w:val="left"/>
      </w:pPr>
      <w:r>
        <w:rPr/>
        <w:t>√适用 □不适用 单位：元</w:t>
        <w:tab/>
        <w:t>币种：人民币</w:t>
      </w:r>
    </w:p>
    <w:tbl>
      <w:tblPr>
        <w:tblW w:w="0" w:type="auto"/>
        <w:jc w:val="left"/>
        <w:tblInd w:w="200" w:type="dxa"/>
        <w:tblLayout w:type="fixed"/>
        <w:tblCellMar>
          <w:top w:w="0" w:type="dxa"/>
          <w:left w:w="0" w:type="dxa"/>
          <w:bottom w:w="0" w:type="dxa"/>
          <w:right w:w="0" w:type="dxa"/>
        </w:tblCellMar>
        <w:tblLook w:val="01E0"/>
      </w:tblPr>
      <w:tblGrid>
        <w:gridCol w:w="1532"/>
        <w:gridCol w:w="1349"/>
        <w:gridCol w:w="1262"/>
        <w:gridCol w:w="1325"/>
        <w:gridCol w:w="1757"/>
        <w:gridCol w:w="1671"/>
      </w:tblGrid>
      <w:tr>
        <w:trPr>
          <w:trHeight w:val="946" w:hRule="exact"/>
        </w:trPr>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26" w:right="0"/>
              <w:jc w:val="left"/>
              <w:rPr>
                <w:rFonts w:ascii="宋体" w:hAnsi="宋体" w:cs="宋体" w:eastAsia="宋体" w:hint="default"/>
                <w:sz w:val="24"/>
                <w:szCs w:val="24"/>
              </w:rPr>
            </w:pPr>
            <w:r>
              <w:rPr>
                <w:rFonts w:ascii="宋体" w:hAnsi="宋体" w:cs="宋体" w:eastAsia="宋体" w:hint="default"/>
                <w:sz w:val="24"/>
                <w:szCs w:val="24"/>
              </w:rPr>
              <w:t>单位名称</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86"/>
              <w:jc w:val="center"/>
              <w:rPr>
                <w:rFonts w:ascii="宋体" w:hAnsi="宋体" w:cs="宋体" w:eastAsia="宋体" w:hint="default"/>
                <w:sz w:val="24"/>
                <w:szCs w:val="24"/>
              </w:rPr>
            </w:pPr>
            <w:r>
              <w:rPr>
                <w:rFonts w:ascii="宋体" w:hAnsi="宋体" w:cs="宋体" w:eastAsia="宋体" w:hint="default"/>
                <w:sz w:val="24"/>
                <w:szCs w:val="24"/>
              </w:rPr>
              <w:t>款项的性质</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26"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26" w:right="0"/>
              <w:jc w:val="left"/>
              <w:rPr>
                <w:rFonts w:ascii="宋体" w:hAnsi="宋体" w:cs="宋体" w:eastAsia="宋体" w:hint="default"/>
                <w:sz w:val="24"/>
                <w:szCs w:val="24"/>
              </w:rPr>
            </w:pPr>
            <w:r>
              <w:rPr>
                <w:rFonts w:ascii="宋体" w:hAnsi="宋体" w:cs="宋体" w:eastAsia="宋体" w:hint="default"/>
                <w:sz w:val="24"/>
                <w:szCs w:val="24"/>
              </w:rPr>
              <w:t>账龄</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占其他应收款期</w:t>
            </w:r>
          </w:p>
          <w:p>
            <w:pPr>
              <w:pStyle w:val="TableParagraph"/>
              <w:spacing w:line="312" w:lineRule="exact" w:before="28"/>
              <w:ind w:left="24" w:right="41"/>
              <w:jc w:val="left"/>
              <w:rPr>
                <w:rFonts w:ascii="Times New Roman" w:hAnsi="Times New Roman" w:cs="Times New Roman" w:eastAsia="Times New Roman" w:hint="default"/>
                <w:sz w:val="24"/>
                <w:szCs w:val="24"/>
              </w:rPr>
            </w:pPr>
            <w:r>
              <w:rPr>
                <w:rFonts w:ascii="宋体" w:hAnsi="宋体" w:cs="宋体" w:eastAsia="宋体" w:hint="default"/>
                <w:sz w:val="24"/>
                <w:szCs w:val="24"/>
              </w:rPr>
              <w:t>末余额合计数的 比例</w:t>
            </w:r>
            <w:r>
              <w:rPr>
                <w:rFonts w:ascii="Times New Roman" w:hAnsi="Times New Roman" w:cs="Times New Roman" w:eastAsia="Times New Roman" w:hint="default"/>
                <w:sz w:val="24"/>
                <w:szCs w:val="24"/>
              </w:rPr>
              <w:t>(%)</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26" w:right="674"/>
              <w:jc w:val="left"/>
              <w:rPr>
                <w:rFonts w:ascii="宋体" w:hAnsi="宋体" w:cs="宋体" w:eastAsia="宋体" w:hint="default"/>
                <w:sz w:val="24"/>
                <w:szCs w:val="24"/>
              </w:rPr>
            </w:pPr>
            <w:r>
              <w:rPr>
                <w:rFonts w:ascii="宋体" w:hAnsi="宋体" w:cs="宋体" w:eastAsia="宋体" w:hint="default"/>
                <w:sz w:val="24"/>
                <w:szCs w:val="24"/>
              </w:rPr>
              <w:t>坏账准备 期末余额</w:t>
            </w:r>
          </w:p>
        </w:tc>
      </w:tr>
      <w:tr>
        <w:trPr>
          <w:trHeight w:val="319" w:hRule="exact"/>
        </w:trPr>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保证金</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83,812,713</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207"/>
              <w:jc w:val="righ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16</w:t>
            </w: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保证金</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Times New Roman" w:hAnsi="Times New Roman" w:cs="Times New Roman" w:eastAsia="Times New Roman" w:hint="default"/>
                <w:sz w:val="24"/>
                <w:szCs w:val="24"/>
              </w:rPr>
            </w:pPr>
            <w:r>
              <w:rPr>
                <w:rFonts w:ascii="Times New Roman"/>
                <w:sz w:val="24"/>
              </w:rPr>
              <w:t>46,150,000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right="207"/>
              <w:jc w:val="righ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Times New Roman" w:hAnsi="Times New Roman" w:cs="Times New Roman" w:eastAsia="Times New Roman" w:hint="default"/>
                <w:sz w:val="24"/>
                <w:szCs w:val="24"/>
              </w:rPr>
            </w:pPr>
            <w:r>
              <w:rPr>
                <w:rFonts w:ascii="Times New Roman"/>
                <w:sz w:val="24"/>
              </w:rPr>
              <w:t>9</w:t>
            </w: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保证金</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24"/>
              <w:jc w:val="right"/>
              <w:rPr>
                <w:rFonts w:ascii="Times New Roman" w:hAnsi="Times New Roman" w:cs="Times New Roman" w:eastAsia="Times New Roman" w:hint="default"/>
                <w:sz w:val="24"/>
                <w:szCs w:val="24"/>
              </w:rPr>
            </w:pPr>
            <w:r>
              <w:rPr>
                <w:rFonts w:ascii="Times New Roman"/>
                <w:sz w:val="24"/>
              </w:rPr>
              <w:t>45,000,000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right="207"/>
              <w:jc w:val="righ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24"/>
              <w:jc w:val="right"/>
              <w:rPr>
                <w:rFonts w:ascii="Times New Roman" w:hAnsi="Times New Roman" w:cs="Times New Roman" w:eastAsia="Times New Roman" w:hint="default"/>
                <w:sz w:val="24"/>
                <w:szCs w:val="24"/>
              </w:rPr>
            </w:pPr>
            <w:r>
              <w:rPr>
                <w:rFonts w:ascii="Times New Roman"/>
                <w:sz w:val="24"/>
              </w:rPr>
              <w:t>9</w:t>
            </w: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往来款</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30,000,000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207"/>
              <w:jc w:val="righ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6</w:t>
            </w: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保证金</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14,000,000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207"/>
              <w:jc w:val="righ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3</w:t>
            </w:r>
          </w:p>
        </w:tc>
        <w:tc>
          <w:tcPr>
            <w:tcW w:w="167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sz w:val="24"/>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6" w:right="0"/>
              <w:jc w:val="left"/>
              <w:rPr>
                <w:rFonts w:ascii="Times New Roman" w:hAnsi="Times New Roman" w:cs="Times New Roman" w:eastAsia="Times New Roman" w:hint="default"/>
                <w:sz w:val="24"/>
                <w:szCs w:val="24"/>
              </w:rPr>
            </w:pPr>
            <w:r>
              <w:rPr>
                <w:rFonts w:ascii="Times New Roman"/>
                <w:sz w:val="24"/>
              </w:rPr>
              <w:t>218,962,713</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43</w:t>
            </w:r>
          </w:p>
        </w:tc>
        <w:tc>
          <w:tcPr>
            <w:tcW w:w="167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21"/>
          <w:szCs w:val="21"/>
        </w:rPr>
      </w:pPr>
    </w:p>
    <w:p>
      <w:pPr>
        <w:pStyle w:val="Heading2"/>
        <w:tabs>
          <w:tab w:pos="1077" w:val="left" w:leader="none"/>
        </w:tabs>
        <w:spacing w:line="240" w:lineRule="auto" w:before="26"/>
        <w:ind w:left="236" w:right="4250"/>
        <w:jc w:val="left"/>
        <w:rPr>
          <w:rFonts w:ascii="宋体" w:hAnsi="宋体" w:cs="宋体" w:eastAsia="宋体" w:hint="default"/>
          <w:b w:val="0"/>
          <w:bCs w:val="0"/>
        </w:rPr>
      </w:pPr>
      <w:r>
        <w:rPr>
          <w:rFonts w:ascii="宋体" w:hAnsi="宋体" w:cs="宋体" w:eastAsia="宋体" w:hint="default"/>
          <w:w w:val="95"/>
        </w:rPr>
        <w:t>(11).</w:t>
        <w:tab/>
      </w:r>
      <w:r>
        <w:rPr/>
        <w:t>涉及政府补助的应收款项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t>□适用 √不适用</w:t>
      </w:r>
    </w:p>
    <w:p>
      <w:pPr>
        <w:spacing w:after="0" w:line="240" w:lineRule="auto"/>
        <w:jc w:val="left"/>
        <w:sectPr>
          <w:type w:val="continuous"/>
          <w:pgSz w:w="11910" w:h="16840"/>
          <w:pgMar w:top="1120" w:bottom="1380" w:left="1040" w:right="1560"/>
        </w:sectPr>
      </w:pPr>
    </w:p>
    <w:p>
      <w:pPr>
        <w:spacing w:line="240" w:lineRule="auto" w:before="4"/>
        <w:rPr>
          <w:rFonts w:ascii="宋体" w:hAnsi="宋体" w:cs="宋体" w:eastAsia="宋体" w:hint="default"/>
          <w:sz w:val="22"/>
          <w:szCs w:val="22"/>
        </w:r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w w:val="95"/>
        </w:rPr>
        <w:t>(12).</w:t>
        <w:tab/>
      </w:r>
      <w:r>
        <w:rPr/>
        <w:t>因金融资产转移而终止确认的其他应收款</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8"/>
        <w:ind w:left="216" w:right="4250"/>
        <w:jc w:val="left"/>
      </w:pPr>
      <w:r>
        <w:rPr/>
        <w:t>□适用</w:t>
        <w:tab/>
        <w:t>√不适用</w:t>
      </w:r>
    </w:p>
    <w:p>
      <w:pPr>
        <w:spacing w:line="240" w:lineRule="auto" w:before="4"/>
        <w:rPr>
          <w:rFonts w:ascii="宋体" w:hAnsi="宋体" w:cs="宋体" w:eastAsia="宋体" w:hint="default"/>
          <w:sz w:val="25"/>
          <w:szCs w:val="25"/>
        </w:rPr>
      </w:pPr>
    </w:p>
    <w:p>
      <w:pPr>
        <w:pStyle w:val="Heading2"/>
        <w:tabs>
          <w:tab w:pos="1057" w:val="left" w:leader="none"/>
        </w:tabs>
        <w:spacing w:line="240" w:lineRule="auto"/>
        <w:ind w:right="0"/>
        <w:jc w:val="left"/>
        <w:rPr>
          <w:rFonts w:ascii="宋体" w:hAnsi="宋体" w:cs="宋体" w:eastAsia="宋体" w:hint="default"/>
          <w:b w:val="0"/>
          <w:bCs w:val="0"/>
        </w:rPr>
      </w:pPr>
      <w:r>
        <w:rPr>
          <w:rFonts w:ascii="宋体" w:hAnsi="宋体" w:cs="宋体" w:eastAsia="宋体" w:hint="default"/>
          <w:w w:val="95"/>
        </w:rPr>
        <w:t>(13).</w:t>
        <w:tab/>
      </w:r>
      <w:r>
        <w:rPr/>
        <w:t>转移其他应收款且继续涉入形成的资产、负债的金额</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8"/>
        <w:ind w:left="216" w:right="4250"/>
        <w:jc w:val="left"/>
      </w:pPr>
      <w:r>
        <w:rPr/>
        <w:t>□适用</w:t>
        <w:tab/>
        <w:t>√不适用</w:t>
      </w:r>
    </w:p>
    <w:p>
      <w:pPr>
        <w:spacing w:line="240" w:lineRule="auto" w:before="12"/>
        <w:rPr>
          <w:rFonts w:ascii="宋体" w:hAnsi="宋体" w:cs="宋体" w:eastAsia="宋体" w:hint="default"/>
          <w:sz w:val="20"/>
          <w:szCs w:val="20"/>
        </w:rPr>
      </w:pPr>
    </w:p>
    <w:p>
      <w:pPr>
        <w:pStyle w:val="BodyText"/>
        <w:spacing w:line="312" w:lineRule="exact"/>
        <w:ind w:left="216" w:right="4250"/>
        <w:jc w:val="left"/>
      </w:pPr>
      <w:r>
        <w:rPr/>
        <w:t>其他说明：</w:t>
      </w:r>
    </w:p>
    <w:p>
      <w:pPr>
        <w:pStyle w:val="BodyText"/>
        <w:tabs>
          <w:tab w:pos="1177" w:val="left" w:leader="none"/>
        </w:tabs>
        <w:spacing w:line="312" w:lineRule="exact"/>
        <w:ind w:left="216" w:right="4250"/>
        <w:jc w:val="left"/>
      </w:pPr>
      <w:r>
        <w:rPr/>
        <w:t>□适用</w:t>
        <w:tab/>
        <w:t>√不适用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2" w:footer="1195" w:top="1080" w:bottom="1380" w:left="1060" w:right="1540"/>
        </w:sectPr>
      </w:pPr>
    </w:p>
    <w:p>
      <w:pPr>
        <w:pStyle w:val="Heading2"/>
        <w:spacing w:line="240" w:lineRule="auto" w:before="26"/>
        <w:ind w:right="0"/>
        <w:jc w:val="left"/>
        <w:rPr>
          <w:b w:val="0"/>
          <w:bCs w:val="0"/>
        </w:rPr>
      </w:pPr>
      <w:r>
        <w:rPr>
          <w:rFonts w:ascii="宋体" w:hAnsi="宋体" w:cs="宋体" w:eastAsia="宋体" w:hint="default"/>
        </w:rPr>
        <w:t>9</w:t>
      </w:r>
      <w:r>
        <w:rPr/>
        <w:t>、</w:t>
      </w:r>
      <w:r>
        <w:rPr>
          <w:spacing w:val="-62"/>
        </w:rPr>
        <w:t> </w:t>
      </w:r>
      <w:r>
        <w:rPr/>
        <w:t>存货</w:t>
      </w:r>
      <w:r>
        <w:rPr>
          <w:b w:val="0"/>
          <w:bCs w:val="0"/>
        </w:rPr>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rPr>
        <w:t>(1).</w:t>
        <w:tab/>
      </w:r>
      <w:r>
        <w:rPr/>
        <w:t>存货分类</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40"/>
          <w:cols w:num="2" w:equalWidth="0">
            <w:col w:w="2143" w:space="4051"/>
            <w:col w:w="3116"/>
          </w:cols>
        </w:sectPr>
      </w:pPr>
    </w:p>
    <w:p>
      <w:pPr>
        <w:spacing w:line="240" w:lineRule="auto" w:before="0"/>
        <w:rPr>
          <w:rFonts w:ascii="宋体" w:hAnsi="宋体" w:cs="宋体" w:eastAsia="宋体" w:hint="default"/>
          <w:sz w:val="24"/>
          <w:szCs w:val="24"/>
        </w:rPr>
      </w:pPr>
    </w:p>
    <w:tbl>
      <w:tblPr>
        <w:tblW w:w="0" w:type="auto"/>
        <w:jc w:val="left"/>
        <w:tblInd w:w="180" w:type="dxa"/>
        <w:tblLayout w:type="fixed"/>
        <w:tblCellMar>
          <w:top w:w="0" w:type="dxa"/>
          <w:left w:w="0" w:type="dxa"/>
          <w:bottom w:w="0" w:type="dxa"/>
          <w:right w:w="0" w:type="dxa"/>
        </w:tblCellMar>
        <w:tblLook w:val="01E0"/>
      </w:tblPr>
      <w:tblGrid>
        <w:gridCol w:w="1232"/>
        <w:gridCol w:w="1279"/>
        <w:gridCol w:w="1277"/>
        <w:gridCol w:w="1279"/>
        <w:gridCol w:w="1277"/>
        <w:gridCol w:w="1370"/>
        <w:gridCol w:w="1285"/>
      </w:tblGrid>
      <w:tr>
        <w:trPr>
          <w:trHeight w:val="322" w:hRule="exact"/>
        </w:trPr>
        <w:tc>
          <w:tcPr>
            <w:tcW w:w="1232" w:type="dxa"/>
            <w:vMerge w:val="restart"/>
            <w:tcBorders>
              <w:top w:val="single" w:sz="4" w:space="0" w:color="000000"/>
              <w:left w:val="single" w:sz="4" w:space="0" w:color="000000"/>
              <w:right w:val="single" w:sz="4" w:space="0" w:color="000000"/>
            </w:tcBorders>
          </w:tcPr>
          <w:p>
            <w:pPr>
              <w:pStyle w:val="TableParagraph"/>
              <w:spacing w:line="240" w:lineRule="auto" w:before="120"/>
              <w:ind w:left="372" w:right="0"/>
              <w:jc w:val="left"/>
              <w:rPr>
                <w:rFonts w:ascii="宋体" w:hAnsi="宋体" w:cs="宋体" w:eastAsia="宋体" w:hint="default"/>
                <w:sz w:val="24"/>
                <w:szCs w:val="24"/>
              </w:rPr>
            </w:pPr>
            <w:r>
              <w:rPr>
                <w:rFonts w:ascii="宋体" w:hAnsi="宋体" w:cs="宋体" w:eastAsia="宋体" w:hint="default"/>
                <w:sz w:val="24"/>
                <w:szCs w:val="24"/>
              </w:rPr>
              <w:t>项目</w:t>
            </w:r>
          </w:p>
        </w:tc>
        <w:tc>
          <w:tcPr>
            <w:tcW w:w="38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932"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1232" w:type="dxa"/>
            <w:vMerge/>
            <w:tcBorders>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1" w:right="0"/>
              <w:jc w:val="left"/>
              <w:rPr>
                <w:rFonts w:ascii="宋体" w:hAnsi="宋体" w:cs="宋体" w:eastAsia="宋体" w:hint="default"/>
                <w:sz w:val="24"/>
                <w:szCs w:val="24"/>
              </w:rPr>
            </w:pPr>
            <w:r>
              <w:rPr>
                <w:rFonts w:ascii="宋体" w:hAnsi="宋体" w:cs="宋体" w:eastAsia="宋体" w:hint="default"/>
                <w:sz w:val="24"/>
                <w:szCs w:val="24"/>
              </w:rPr>
              <w:t>账面余额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1" w:right="0"/>
              <w:jc w:val="left"/>
              <w:rPr>
                <w:rFonts w:ascii="宋体" w:hAnsi="宋体" w:cs="宋体" w:eastAsia="宋体" w:hint="default"/>
                <w:sz w:val="24"/>
                <w:szCs w:val="24"/>
              </w:rPr>
            </w:pPr>
            <w:r>
              <w:rPr>
                <w:rFonts w:ascii="宋体" w:hAnsi="宋体" w:cs="宋体" w:eastAsia="宋体" w:hint="default"/>
                <w:sz w:val="24"/>
                <w:szCs w:val="24"/>
              </w:rPr>
              <w:t>跌价准备</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1" w:right="0"/>
              <w:jc w:val="left"/>
              <w:rPr>
                <w:rFonts w:ascii="宋体" w:hAnsi="宋体" w:cs="宋体" w:eastAsia="宋体" w:hint="default"/>
                <w:sz w:val="24"/>
                <w:szCs w:val="24"/>
              </w:rPr>
            </w:pPr>
            <w:r>
              <w:rPr>
                <w:rFonts w:ascii="宋体" w:hAnsi="宋体" w:cs="宋体" w:eastAsia="宋体" w:hint="default"/>
                <w:sz w:val="24"/>
                <w:szCs w:val="24"/>
              </w:rPr>
              <w:t>账面价值</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1" w:right="0"/>
              <w:jc w:val="left"/>
              <w:rPr>
                <w:rFonts w:ascii="宋体" w:hAnsi="宋体" w:cs="宋体" w:eastAsia="宋体" w:hint="default"/>
                <w:sz w:val="24"/>
                <w:szCs w:val="24"/>
              </w:rPr>
            </w:pPr>
            <w:r>
              <w:rPr>
                <w:rFonts w:ascii="宋体" w:hAnsi="宋体" w:cs="宋体" w:eastAsia="宋体" w:hint="default"/>
                <w:sz w:val="24"/>
                <w:szCs w:val="24"/>
              </w:rPr>
              <w:t>账面余额</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96" w:right="0"/>
              <w:jc w:val="left"/>
              <w:rPr>
                <w:rFonts w:ascii="宋体" w:hAnsi="宋体" w:cs="宋体" w:eastAsia="宋体" w:hint="default"/>
                <w:sz w:val="24"/>
                <w:szCs w:val="24"/>
              </w:rPr>
            </w:pPr>
            <w:r>
              <w:rPr>
                <w:rFonts w:ascii="宋体" w:hAnsi="宋体" w:cs="宋体" w:eastAsia="宋体" w:hint="default"/>
                <w:sz w:val="24"/>
                <w:szCs w:val="24"/>
              </w:rPr>
              <w:t>跌价准备</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1" w:right="0"/>
              <w:jc w:val="left"/>
              <w:rPr>
                <w:rFonts w:ascii="宋体" w:hAnsi="宋体" w:cs="宋体" w:eastAsia="宋体" w:hint="default"/>
                <w:sz w:val="24"/>
                <w:szCs w:val="24"/>
              </w:rPr>
            </w:pPr>
            <w:r>
              <w:rPr>
                <w:rFonts w:ascii="宋体" w:hAnsi="宋体" w:cs="宋体" w:eastAsia="宋体" w:hint="default"/>
                <w:sz w:val="24"/>
                <w:szCs w:val="24"/>
              </w:rPr>
              <w:t>账面价值</w:t>
            </w:r>
          </w:p>
        </w:tc>
      </w:tr>
      <w:tr>
        <w:trPr>
          <w:trHeight w:val="319"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原材料</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6"/>
              <w:jc w:val="right"/>
              <w:rPr>
                <w:rFonts w:ascii="宋体" w:hAnsi="宋体" w:cs="宋体" w:eastAsia="宋体" w:hint="default"/>
                <w:sz w:val="21"/>
                <w:szCs w:val="21"/>
              </w:rPr>
            </w:pPr>
            <w:r>
              <w:rPr>
                <w:rFonts w:ascii="宋体"/>
                <w:spacing w:val="-1"/>
                <w:sz w:val="21"/>
              </w:rPr>
              <w:t>5,812,737</w:t>
            </w:r>
          </w:p>
        </w:tc>
        <w:tc>
          <w:tcPr>
            <w:tcW w:w="1277"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6"/>
              <w:jc w:val="right"/>
              <w:rPr>
                <w:rFonts w:ascii="宋体" w:hAnsi="宋体" w:cs="宋体" w:eastAsia="宋体" w:hint="default"/>
                <w:sz w:val="21"/>
                <w:szCs w:val="21"/>
              </w:rPr>
            </w:pPr>
            <w:r>
              <w:rPr>
                <w:rFonts w:ascii="宋体"/>
                <w:spacing w:val="-1"/>
                <w:sz w:val="21"/>
              </w:rPr>
              <w:t>5,812,737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4"/>
              <w:jc w:val="right"/>
              <w:rPr>
                <w:rFonts w:ascii="宋体" w:hAnsi="宋体" w:cs="宋体" w:eastAsia="宋体" w:hint="default"/>
                <w:sz w:val="21"/>
                <w:szCs w:val="21"/>
              </w:rPr>
            </w:pPr>
            <w:r>
              <w:rPr>
                <w:rFonts w:ascii="宋体"/>
                <w:spacing w:val="-1"/>
                <w:sz w:val="21"/>
              </w:rPr>
              <w:t>4,055,505</w:t>
            </w:r>
          </w:p>
        </w:tc>
        <w:tc>
          <w:tcPr>
            <w:tcW w:w="1370"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9"/>
              <w:jc w:val="right"/>
              <w:rPr>
                <w:rFonts w:ascii="宋体" w:hAnsi="宋体" w:cs="宋体" w:eastAsia="宋体" w:hint="default"/>
                <w:sz w:val="21"/>
                <w:szCs w:val="21"/>
              </w:rPr>
            </w:pPr>
            <w:r>
              <w:rPr>
                <w:rFonts w:ascii="宋体"/>
                <w:spacing w:val="-1"/>
                <w:sz w:val="21"/>
              </w:rPr>
              <w:t>4,055,505</w:t>
            </w:r>
          </w:p>
        </w:tc>
      </w:tr>
      <w:tr>
        <w:trPr>
          <w:trHeight w:val="322"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在产品</w:t>
            </w: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9"/>
              <w:jc w:val="right"/>
              <w:rPr>
                <w:rFonts w:ascii="宋体" w:hAnsi="宋体" w:cs="宋体" w:eastAsia="宋体" w:hint="default"/>
                <w:sz w:val="21"/>
                <w:szCs w:val="21"/>
              </w:rPr>
            </w:pPr>
            <w:r>
              <w:rPr>
                <w:rFonts w:ascii="宋体"/>
                <w:w w:val="100"/>
                <w:sz w:val="21"/>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库存商品</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27,656,551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sz w:val="21"/>
              </w:rPr>
              <w:t>10,609,820</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17,046,731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pacing w:val="-1"/>
                <w:sz w:val="21"/>
              </w:rPr>
              <w:t>28,322,304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10,609,820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
              <w:jc w:val="right"/>
              <w:rPr>
                <w:rFonts w:ascii="宋体" w:hAnsi="宋体" w:cs="宋体" w:eastAsia="宋体" w:hint="default"/>
                <w:sz w:val="21"/>
                <w:szCs w:val="21"/>
              </w:rPr>
            </w:pPr>
            <w:r>
              <w:rPr>
                <w:rFonts w:ascii="宋体"/>
                <w:spacing w:val="-1"/>
                <w:sz w:val="21"/>
              </w:rPr>
              <w:t>17,712,484</w:t>
            </w:r>
          </w:p>
        </w:tc>
      </w:tr>
      <w:tr>
        <w:trPr>
          <w:trHeight w:val="322"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周转材料</w:t>
            </w: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6" w:right="0"/>
              <w:jc w:val="left"/>
              <w:rPr>
                <w:rFonts w:ascii="宋体" w:hAnsi="宋体" w:cs="宋体" w:eastAsia="宋体" w:hint="default"/>
                <w:sz w:val="24"/>
                <w:szCs w:val="24"/>
              </w:rPr>
            </w:pPr>
            <w:r>
              <w:rPr>
                <w:rFonts w:ascii="宋体" w:hAnsi="宋体" w:cs="宋体" w:eastAsia="宋体" w:hint="default"/>
                <w:sz w:val="24"/>
                <w:szCs w:val="24"/>
              </w:rPr>
              <w:t>消耗性生</w:t>
            </w:r>
          </w:p>
          <w:p>
            <w:pPr>
              <w:pStyle w:val="TableParagraph"/>
              <w:spacing w:line="313" w:lineRule="exact"/>
              <w:ind w:left="26" w:right="0"/>
              <w:jc w:val="left"/>
              <w:rPr>
                <w:rFonts w:ascii="宋体" w:hAnsi="宋体" w:cs="宋体" w:eastAsia="宋体" w:hint="default"/>
                <w:sz w:val="24"/>
                <w:szCs w:val="24"/>
              </w:rPr>
            </w:pPr>
            <w:r>
              <w:rPr>
                <w:rFonts w:ascii="宋体" w:hAnsi="宋体" w:cs="宋体" w:eastAsia="宋体" w:hint="default"/>
                <w:sz w:val="24"/>
                <w:szCs w:val="24"/>
              </w:rPr>
              <w:t>物资产</w:t>
            </w: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
        </w:tc>
      </w:tr>
      <w:tr>
        <w:trPr>
          <w:trHeight w:val="1253"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6" w:right="0"/>
              <w:jc w:val="both"/>
              <w:rPr>
                <w:rFonts w:ascii="宋体" w:hAnsi="宋体" w:cs="宋体" w:eastAsia="宋体" w:hint="default"/>
                <w:sz w:val="24"/>
                <w:szCs w:val="24"/>
              </w:rPr>
            </w:pPr>
            <w:r>
              <w:rPr>
                <w:rFonts w:ascii="宋体" w:hAnsi="宋体" w:cs="宋体" w:eastAsia="宋体" w:hint="default"/>
                <w:sz w:val="24"/>
                <w:szCs w:val="24"/>
              </w:rPr>
              <w:t>建造合同</w:t>
            </w:r>
          </w:p>
          <w:p>
            <w:pPr>
              <w:pStyle w:val="TableParagraph"/>
              <w:spacing w:line="312" w:lineRule="exact" w:before="28"/>
              <w:ind w:left="26" w:right="233"/>
              <w:jc w:val="both"/>
              <w:rPr>
                <w:rFonts w:ascii="宋体" w:hAnsi="宋体" w:cs="宋体" w:eastAsia="宋体" w:hint="default"/>
                <w:sz w:val="24"/>
                <w:szCs w:val="24"/>
              </w:rPr>
            </w:pPr>
            <w:r>
              <w:rPr>
                <w:rFonts w:ascii="宋体" w:hAnsi="宋体" w:cs="宋体" w:eastAsia="宋体" w:hint="default"/>
                <w:sz w:val="24"/>
                <w:szCs w:val="24"/>
              </w:rPr>
              <w:t>形成的已 完工未结 算资产</w:t>
            </w: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1232"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232"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28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67"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6"/>
              <w:jc w:val="right"/>
              <w:rPr>
                <w:rFonts w:ascii="宋体" w:hAnsi="宋体" w:cs="宋体" w:eastAsia="宋体" w:hint="default"/>
                <w:sz w:val="21"/>
                <w:szCs w:val="21"/>
              </w:rPr>
            </w:pPr>
            <w:r>
              <w:rPr>
                <w:rFonts w:ascii="宋体"/>
                <w:spacing w:val="-1"/>
                <w:sz w:val="21"/>
              </w:rPr>
              <w:t>33,469,288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87" w:right="0"/>
              <w:jc w:val="left"/>
              <w:rPr>
                <w:rFonts w:ascii="宋体" w:hAnsi="宋体" w:cs="宋体" w:eastAsia="宋体" w:hint="default"/>
                <w:sz w:val="21"/>
                <w:szCs w:val="21"/>
              </w:rPr>
            </w:pPr>
            <w:r>
              <w:rPr>
                <w:rFonts w:ascii="宋体"/>
                <w:sz w:val="21"/>
              </w:rPr>
              <w:t>10,609,820</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6"/>
              <w:jc w:val="right"/>
              <w:rPr>
                <w:rFonts w:ascii="宋体" w:hAnsi="宋体" w:cs="宋体" w:eastAsia="宋体" w:hint="default"/>
                <w:sz w:val="21"/>
                <w:szCs w:val="21"/>
              </w:rPr>
            </w:pPr>
            <w:r>
              <w:rPr>
                <w:rFonts w:ascii="宋体"/>
                <w:spacing w:val="-1"/>
                <w:sz w:val="21"/>
              </w:rPr>
              <w:t>22,859,468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4"/>
              <w:jc w:val="right"/>
              <w:rPr>
                <w:rFonts w:ascii="宋体" w:hAnsi="宋体" w:cs="宋体" w:eastAsia="宋体" w:hint="default"/>
                <w:sz w:val="21"/>
                <w:szCs w:val="21"/>
              </w:rPr>
            </w:pPr>
            <w:r>
              <w:rPr>
                <w:rFonts w:ascii="宋体"/>
                <w:spacing w:val="-1"/>
                <w:sz w:val="21"/>
              </w:rPr>
              <w:t>32,377,809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6"/>
              <w:jc w:val="right"/>
              <w:rPr>
                <w:rFonts w:ascii="宋体" w:hAnsi="宋体" w:cs="宋体" w:eastAsia="宋体" w:hint="default"/>
                <w:sz w:val="21"/>
                <w:szCs w:val="21"/>
              </w:rPr>
            </w:pPr>
            <w:r>
              <w:rPr>
                <w:rFonts w:ascii="宋体"/>
                <w:spacing w:val="-1"/>
                <w:sz w:val="21"/>
              </w:rPr>
              <w:t>10,609,820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9"/>
              <w:jc w:val="right"/>
              <w:rPr>
                <w:rFonts w:ascii="宋体" w:hAnsi="宋体" w:cs="宋体" w:eastAsia="宋体" w:hint="default"/>
                <w:sz w:val="21"/>
                <w:szCs w:val="21"/>
              </w:rPr>
            </w:pPr>
            <w:r>
              <w:rPr>
                <w:rFonts w:ascii="宋体"/>
                <w:spacing w:val="-1"/>
                <w:sz w:val="21"/>
              </w:rPr>
              <w:t>21,767,989</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120" w:bottom="1380" w:left="1060" w:right="154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(2).</w:t>
        <w:tab/>
      </w:r>
      <w:r>
        <w:rPr/>
        <w:t>存货跌价准备</w:t>
      </w:r>
      <w:r>
        <w:rPr>
          <w:rFonts w:ascii="宋体" w:hAnsi="宋体" w:cs="宋体" w:eastAsia="宋体" w:hint="default"/>
          <w:b w:val="0"/>
          <w:bCs w:val="0"/>
        </w:rPr>
        <w:t> </w:t>
      </w:r>
    </w:p>
    <w:p>
      <w:pPr>
        <w:pStyle w:val="BodyText"/>
        <w:spacing w:line="240" w:lineRule="auto" w:before="55"/>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40"/>
          <w:cols w:num="2" w:equalWidth="0">
            <w:col w:w="2623" w:space="3571"/>
            <w:col w:w="311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738"/>
        <w:gridCol w:w="1604"/>
        <w:gridCol w:w="1164"/>
        <w:gridCol w:w="872"/>
        <w:gridCol w:w="1018"/>
        <w:gridCol w:w="1162"/>
        <w:gridCol w:w="1493"/>
      </w:tblGrid>
      <w:tr>
        <w:trPr>
          <w:trHeight w:val="322" w:hRule="exact"/>
        </w:trPr>
        <w:tc>
          <w:tcPr>
            <w:tcW w:w="1738"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1604"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316"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20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90" w:right="0"/>
              <w:jc w:val="left"/>
              <w:rPr>
                <w:rFonts w:ascii="宋体" w:hAnsi="宋体" w:cs="宋体" w:eastAsia="宋体" w:hint="default"/>
                <w:sz w:val="24"/>
                <w:szCs w:val="24"/>
              </w:rPr>
            </w:pPr>
            <w:r>
              <w:rPr>
                <w:rFonts w:ascii="宋体" w:hAnsi="宋体" w:cs="宋体" w:eastAsia="宋体" w:hint="default"/>
                <w:sz w:val="24"/>
                <w:szCs w:val="24"/>
              </w:rPr>
              <w:t>本期增加金额</w:t>
            </w:r>
          </w:p>
        </w:tc>
        <w:tc>
          <w:tcPr>
            <w:tcW w:w="21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62" w:right="0"/>
              <w:jc w:val="left"/>
              <w:rPr>
                <w:rFonts w:ascii="宋体" w:hAnsi="宋体" w:cs="宋体" w:eastAsia="宋体" w:hint="default"/>
                <w:sz w:val="24"/>
                <w:szCs w:val="24"/>
              </w:rPr>
            </w:pPr>
            <w:r>
              <w:rPr>
                <w:rFonts w:ascii="宋体" w:hAnsi="宋体" w:cs="宋体" w:eastAsia="宋体" w:hint="default"/>
                <w:sz w:val="24"/>
                <w:szCs w:val="24"/>
              </w:rPr>
              <w:t>本期减少金额</w:t>
            </w:r>
          </w:p>
        </w:tc>
        <w:tc>
          <w:tcPr>
            <w:tcW w:w="1493"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61"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631" w:hRule="exact"/>
        </w:trPr>
        <w:tc>
          <w:tcPr>
            <w:tcW w:w="1738" w:type="dxa"/>
            <w:vMerge/>
            <w:tcBorders>
              <w:left w:val="single" w:sz="4" w:space="0" w:color="000000"/>
              <w:bottom w:val="single" w:sz="4" w:space="0" w:color="000000"/>
              <w:right w:val="single" w:sz="4" w:space="0" w:color="000000"/>
            </w:tcBorders>
          </w:tcPr>
          <w:p>
            <w:pPr/>
          </w:p>
        </w:tc>
        <w:tc>
          <w:tcPr>
            <w:tcW w:w="1604" w:type="dxa"/>
            <w:vMerge/>
            <w:tcBorders>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333" w:right="0"/>
              <w:jc w:val="left"/>
              <w:rPr>
                <w:rFonts w:ascii="宋体" w:hAnsi="宋体" w:cs="宋体" w:eastAsia="宋体" w:hint="default"/>
                <w:sz w:val="24"/>
                <w:szCs w:val="24"/>
              </w:rPr>
            </w:pPr>
            <w:r>
              <w:rPr>
                <w:rFonts w:ascii="宋体" w:hAnsi="宋体" w:cs="宋体" w:eastAsia="宋体" w:hint="default"/>
                <w:sz w:val="24"/>
                <w:szCs w:val="24"/>
              </w:rPr>
              <w:t>计提</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87"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
              <w:jc w:val="center"/>
              <w:rPr>
                <w:rFonts w:ascii="宋体" w:hAnsi="宋体" w:cs="宋体" w:eastAsia="宋体" w:hint="default"/>
                <w:sz w:val="24"/>
                <w:szCs w:val="24"/>
              </w:rPr>
            </w:pPr>
            <w:r>
              <w:rPr>
                <w:rFonts w:ascii="宋体" w:hAnsi="宋体" w:cs="宋体" w:eastAsia="宋体" w:hint="default"/>
                <w:sz w:val="24"/>
                <w:szCs w:val="24"/>
              </w:rPr>
              <w:t>转回或</w:t>
            </w:r>
          </w:p>
          <w:p>
            <w:pPr>
              <w:pStyle w:val="TableParagraph"/>
              <w:spacing w:line="313" w:lineRule="exact"/>
              <w:ind w:right="2"/>
              <w:jc w:val="center"/>
              <w:rPr>
                <w:rFonts w:ascii="宋体" w:hAnsi="宋体" w:cs="宋体" w:eastAsia="宋体" w:hint="default"/>
                <w:sz w:val="24"/>
                <w:szCs w:val="24"/>
              </w:rPr>
            </w:pPr>
            <w:r>
              <w:rPr>
                <w:rFonts w:ascii="宋体" w:hAnsi="宋体" w:cs="宋体" w:eastAsia="宋体" w:hint="default"/>
                <w:sz w:val="24"/>
                <w:szCs w:val="24"/>
              </w:rPr>
              <w:t>转销</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335"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1493" w:type="dxa"/>
            <w:vMerge/>
            <w:tcBorders>
              <w:left w:val="single" w:sz="4" w:space="0" w:color="000000"/>
              <w:bottom w:val="single" w:sz="4" w:space="0" w:color="000000"/>
              <w:right w:val="single" w:sz="4" w:space="0" w:color="000000"/>
            </w:tcBorders>
          </w:tcPr>
          <w:p>
            <w:pP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原材料</w:t>
            </w:r>
          </w:p>
        </w:tc>
        <w:tc>
          <w:tcPr>
            <w:tcW w:w="1604"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1018"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在产品</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
              <w:jc w:val="right"/>
              <w:rPr>
                <w:rFonts w:ascii="宋体" w:hAnsi="宋体" w:cs="宋体" w:eastAsia="宋体" w:hint="default"/>
                <w:sz w:val="24"/>
                <w:szCs w:val="24"/>
              </w:rPr>
            </w:pPr>
            <w:r>
              <w:rPr>
                <w:rFonts w:ascii="宋体"/>
                <w:sz w:val="24"/>
              </w:rPr>
              <w:t> </w:t>
            </w: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库存商品</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63" w:right="0"/>
              <w:jc w:val="left"/>
              <w:rPr>
                <w:rFonts w:ascii="宋体" w:hAnsi="宋体" w:cs="宋体" w:eastAsia="宋体" w:hint="default"/>
                <w:sz w:val="24"/>
                <w:szCs w:val="24"/>
              </w:rPr>
            </w:pPr>
            <w:r>
              <w:rPr>
                <w:rFonts w:ascii="宋体"/>
                <w:sz w:val="24"/>
              </w:rPr>
              <w:t>10,609,820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873,355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873,355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
              <w:jc w:val="right"/>
              <w:rPr>
                <w:rFonts w:ascii="宋体" w:hAnsi="宋体" w:cs="宋体" w:eastAsia="宋体" w:hint="default"/>
                <w:sz w:val="24"/>
                <w:szCs w:val="24"/>
              </w:rPr>
            </w:pPr>
            <w:r>
              <w:rPr>
                <w:rFonts w:ascii="宋体"/>
                <w:sz w:val="24"/>
              </w:rPr>
              <w:t>10,609,820 </w:t>
            </w: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周转材料</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631"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03" w:right="0"/>
              <w:jc w:val="left"/>
              <w:rPr>
                <w:rFonts w:ascii="宋体" w:hAnsi="宋体" w:cs="宋体" w:eastAsia="宋体" w:hint="default"/>
                <w:sz w:val="24"/>
                <w:szCs w:val="24"/>
              </w:rPr>
            </w:pPr>
            <w:r>
              <w:rPr>
                <w:rFonts w:ascii="宋体" w:hAnsi="宋体" w:cs="宋体" w:eastAsia="宋体" w:hint="default"/>
                <w:sz w:val="24"/>
                <w:szCs w:val="24"/>
              </w:rPr>
              <w:t>消耗性生物资</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产</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bl>
    <w:p>
      <w:pPr>
        <w:spacing w:after="0" w:line="274" w:lineRule="exact"/>
        <w:jc w:val="right"/>
        <w:rPr>
          <w:rFonts w:ascii="宋体" w:hAnsi="宋体" w:cs="宋体" w:eastAsia="宋体" w:hint="default"/>
          <w:sz w:val="24"/>
          <w:szCs w:val="24"/>
        </w:rPr>
        <w:sectPr>
          <w:type w:val="continuous"/>
          <w:pgSz w:w="11910" w:h="16840"/>
          <w:pgMar w:top="1120" w:bottom="1380" w:left="1060" w:right="154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1738"/>
        <w:gridCol w:w="1604"/>
        <w:gridCol w:w="1164"/>
        <w:gridCol w:w="872"/>
        <w:gridCol w:w="1018"/>
        <w:gridCol w:w="1162"/>
        <w:gridCol w:w="1493"/>
      </w:tblGrid>
      <w:tr>
        <w:trPr>
          <w:trHeight w:val="944"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建造合同形成</w:t>
            </w:r>
          </w:p>
          <w:p>
            <w:pPr>
              <w:pStyle w:val="TableParagraph"/>
              <w:spacing w:line="312" w:lineRule="exact" w:before="30"/>
              <w:ind w:left="103" w:right="183"/>
              <w:jc w:val="left"/>
              <w:rPr>
                <w:rFonts w:ascii="宋体" w:hAnsi="宋体" w:cs="宋体" w:eastAsia="宋体" w:hint="default"/>
                <w:sz w:val="24"/>
                <w:szCs w:val="24"/>
              </w:rPr>
            </w:pPr>
            <w:r>
              <w:rPr>
                <w:rFonts w:ascii="宋体" w:hAnsi="宋体" w:cs="宋体" w:eastAsia="宋体" w:hint="default"/>
                <w:sz w:val="24"/>
                <w:szCs w:val="24"/>
              </w:rPr>
              <w:t>的已完工未结 算资产</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
              <w:jc w:val="right"/>
              <w:rPr>
                <w:rFonts w:ascii="宋体" w:hAnsi="宋体" w:cs="宋体" w:eastAsia="宋体" w:hint="default"/>
                <w:sz w:val="24"/>
                <w:szCs w:val="24"/>
              </w:rPr>
            </w:pPr>
            <w:r>
              <w:rPr>
                <w:rFonts w:ascii="宋体"/>
                <w:sz w:val="24"/>
              </w:rPr>
              <w:t> </w:t>
            </w: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
              <w:jc w:val="right"/>
              <w:rPr>
                <w:rFonts w:ascii="宋体" w:hAnsi="宋体" w:cs="宋体" w:eastAsia="宋体" w:hint="default"/>
                <w:sz w:val="24"/>
                <w:szCs w:val="24"/>
              </w:rPr>
            </w:pPr>
            <w:r>
              <w:rPr>
                <w:rFonts w:ascii="宋体"/>
                <w:sz w:val="24"/>
              </w:rPr>
              <w:t> </w:t>
            </w: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
              <w:jc w:val="right"/>
              <w:rPr>
                <w:rFonts w:ascii="宋体" w:hAnsi="宋体" w:cs="宋体" w:eastAsia="宋体" w:hint="default"/>
                <w:sz w:val="24"/>
                <w:szCs w:val="24"/>
              </w:rPr>
            </w:pPr>
            <w:r>
              <w:rPr>
                <w:rFonts w:ascii="宋体"/>
                <w:sz w:val="24"/>
              </w:rPr>
              <w:t>10,609,820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873,355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
              <w:jc w:val="right"/>
              <w:rPr>
                <w:rFonts w:ascii="宋体" w:hAnsi="宋体" w:cs="宋体" w:eastAsia="宋体" w:hint="default"/>
                <w:sz w:val="24"/>
                <w:szCs w:val="24"/>
              </w:rPr>
            </w:pPr>
            <w:r>
              <w:rPr>
                <w:rFonts w:ascii="宋体"/>
                <w:sz w:val="24"/>
              </w:rPr>
              <w:t> </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right"/>
              <w:rPr>
                <w:rFonts w:ascii="宋体" w:hAnsi="宋体" w:cs="宋体" w:eastAsia="宋体" w:hint="default"/>
                <w:sz w:val="24"/>
                <w:szCs w:val="24"/>
              </w:rPr>
            </w:pPr>
            <w:r>
              <w:rPr>
                <w:rFonts w:ascii="宋体"/>
                <w:sz w:val="24"/>
              </w:rPr>
              <w:t>873,355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
              <w:jc w:val="right"/>
              <w:rPr>
                <w:rFonts w:ascii="宋体" w:hAnsi="宋体" w:cs="宋体" w:eastAsia="宋体" w:hint="default"/>
                <w:sz w:val="24"/>
                <w:szCs w:val="24"/>
              </w:rPr>
            </w:pPr>
            <w:r>
              <w:rPr>
                <w:rFonts w:ascii="宋体"/>
                <w:sz w:val="24"/>
              </w:rPr>
              <w:t>10,609,820 </w:t>
            </w:r>
          </w:p>
        </w:tc>
      </w:tr>
    </w:tbl>
    <w:p>
      <w:pPr>
        <w:spacing w:line="240" w:lineRule="auto" w:before="8"/>
        <w:rPr>
          <w:rFonts w:ascii="宋体" w:hAnsi="宋体" w:cs="宋体" w:eastAsia="宋体" w:hint="default"/>
          <w:sz w:val="20"/>
          <w:szCs w:val="20"/>
        </w:r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(3).</w:t>
        <w:tab/>
      </w:r>
      <w:r>
        <w:rPr/>
        <w:t>存货期末余额含有借款费用资本化金额的说明</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8"/>
        <w:ind w:left="216" w:right="0"/>
        <w:jc w:val="left"/>
      </w:pPr>
      <w:r>
        <w:rPr/>
        <w:t>□适用</w:t>
        <w:tab/>
        <w:t>√不适用</w:t>
      </w:r>
    </w:p>
    <w:p>
      <w:pPr>
        <w:spacing w:line="240" w:lineRule="auto" w:before="4"/>
        <w:rPr>
          <w:rFonts w:ascii="宋体" w:hAnsi="宋体" w:cs="宋体" w:eastAsia="宋体" w:hint="default"/>
          <w:sz w:val="25"/>
          <w:szCs w:val="25"/>
        </w:rPr>
      </w:pPr>
    </w:p>
    <w:p>
      <w:pPr>
        <w:pStyle w:val="Heading2"/>
        <w:tabs>
          <w:tab w:pos="1057" w:val="left" w:leader="none"/>
        </w:tabs>
        <w:spacing w:line="240" w:lineRule="auto"/>
        <w:ind w:right="0"/>
        <w:jc w:val="left"/>
        <w:rPr>
          <w:rFonts w:ascii="宋体" w:hAnsi="宋体" w:cs="宋体" w:eastAsia="宋体" w:hint="default"/>
          <w:b w:val="0"/>
          <w:bCs w:val="0"/>
        </w:rPr>
      </w:pPr>
      <w:r>
        <w:rPr>
          <w:rFonts w:ascii="宋体" w:hAnsi="宋体" w:cs="宋体" w:eastAsia="宋体" w:hint="default"/>
        </w:rPr>
        <w:t>(4).</w:t>
        <w:tab/>
      </w:r>
      <w:r>
        <w:rPr/>
        <w:t>期末建造合同形成的已完工未结算资产情况</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89"/>
        <w:ind w:left="216" w:right="7250"/>
        <w:jc w:val="left"/>
      </w:pPr>
      <w:r>
        <w:rPr/>
        <w:t>□适用 √不适用 其他说明</w:t>
      </w:r>
    </w:p>
    <w:p>
      <w:pPr>
        <w:pStyle w:val="BodyText"/>
        <w:tabs>
          <w:tab w:pos="1177" w:val="left" w:leader="none"/>
        </w:tabs>
        <w:spacing w:line="281" w:lineRule="exact"/>
        <w:ind w:left="216" w:right="0"/>
        <w:jc w:val="left"/>
      </w:pPr>
      <w:r>
        <w:rPr/>
        <w:t>□适用</w:t>
        <w:tab/>
        <w:t>√不适用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2" w:footer="1195" w:top="1080" w:bottom="1380" w:left="1060" w:right="1560"/>
        </w:sectPr>
      </w:pPr>
    </w:p>
    <w:p>
      <w:pPr>
        <w:pStyle w:val="Heading2"/>
        <w:spacing w:line="240" w:lineRule="auto" w:before="26"/>
        <w:ind w:right="-17"/>
        <w:jc w:val="left"/>
        <w:rPr>
          <w:b w:val="0"/>
          <w:bCs w:val="0"/>
        </w:rPr>
      </w:pPr>
      <w:r>
        <w:rPr>
          <w:rFonts w:ascii="宋体" w:hAnsi="宋体" w:cs="宋体" w:eastAsia="宋体" w:hint="default"/>
        </w:rPr>
        <w:t>10</w:t>
      </w:r>
      <w:r>
        <w:rPr/>
        <w:t>、</w:t>
      </w:r>
      <w:r>
        <w:rPr>
          <w:spacing w:val="-103"/>
        </w:rPr>
        <w:t> </w:t>
      </w:r>
      <w:r>
        <w:rPr/>
        <w:t>持有待售资产</w:t>
      </w:r>
      <w:r>
        <w:rPr>
          <w:b w:val="0"/>
          <w:bCs w:val="0"/>
        </w:rPr>
      </w:r>
    </w:p>
    <w:p>
      <w:pPr>
        <w:pStyle w:val="BodyText"/>
        <w:tabs>
          <w:tab w:pos="1069" w:val="left" w:leader="none"/>
        </w:tabs>
        <w:spacing w:line="240" w:lineRule="auto" w:before="58"/>
        <w:ind w:left="216" w:right="-17"/>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166" w:space="4027"/>
            <w:col w:w="3097"/>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618"/>
        <w:gridCol w:w="1297"/>
        <w:gridCol w:w="1210"/>
        <w:gridCol w:w="1296"/>
        <w:gridCol w:w="1183"/>
        <w:gridCol w:w="1193"/>
        <w:gridCol w:w="1253"/>
      </w:tblGrid>
      <w:tr>
        <w:trPr>
          <w:trHeight w:val="634"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561"/>
              <w:jc w:val="right"/>
              <w:rPr>
                <w:rFonts w:ascii="宋体" w:hAnsi="宋体" w:cs="宋体" w:eastAsia="宋体" w:hint="default"/>
                <w:sz w:val="24"/>
                <w:szCs w:val="24"/>
              </w:rPr>
            </w:pPr>
            <w:r>
              <w:rPr>
                <w:rFonts w:ascii="宋体" w:hAnsi="宋体" w:cs="宋体" w:eastAsia="宋体" w:hint="default"/>
                <w:sz w:val="24"/>
                <w:szCs w:val="24"/>
              </w:rPr>
              <w:t>项目</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63"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19" w:right="0"/>
              <w:jc w:val="left"/>
              <w:rPr>
                <w:rFonts w:ascii="宋体" w:hAnsi="宋体" w:cs="宋体" w:eastAsia="宋体" w:hint="default"/>
                <w:sz w:val="24"/>
                <w:szCs w:val="24"/>
              </w:rPr>
            </w:pPr>
            <w:r>
              <w:rPr>
                <w:rFonts w:ascii="宋体" w:hAnsi="宋体" w:cs="宋体" w:eastAsia="宋体" w:hint="default"/>
                <w:sz w:val="24"/>
                <w:szCs w:val="24"/>
              </w:rPr>
              <w:t>减值准备</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期末账面</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价值</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5" w:right="0"/>
              <w:jc w:val="left"/>
              <w:rPr>
                <w:rFonts w:ascii="宋体" w:hAnsi="宋体" w:cs="宋体" w:eastAsia="宋体" w:hint="default"/>
                <w:sz w:val="24"/>
                <w:szCs w:val="24"/>
              </w:rPr>
            </w:pPr>
            <w:r>
              <w:rPr>
                <w:rFonts w:ascii="宋体" w:hAnsi="宋体" w:cs="宋体" w:eastAsia="宋体" w:hint="default"/>
                <w:sz w:val="24"/>
                <w:szCs w:val="24"/>
              </w:rPr>
              <w:t>公允价值</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预计处置</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费用</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预计处置</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时间</w:t>
            </w:r>
          </w:p>
        </w:tc>
      </w:tr>
      <w:tr>
        <w:trPr>
          <w:trHeight w:val="322"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43"/>
              <w:jc w:val="right"/>
              <w:rPr>
                <w:rFonts w:ascii="宋体" w:hAnsi="宋体" w:cs="宋体" w:eastAsia="宋体" w:hint="default"/>
                <w:sz w:val="24"/>
                <w:szCs w:val="24"/>
              </w:rPr>
            </w:pPr>
            <w:r>
              <w:rPr>
                <w:rFonts w:ascii="宋体" w:hAnsi="宋体" w:cs="宋体" w:eastAsia="宋体" w:hint="default"/>
                <w:sz w:val="24"/>
                <w:szCs w:val="24"/>
              </w:rPr>
              <w:t>固定资产</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Times New Roman" w:hAnsi="Times New Roman" w:cs="Times New Roman" w:eastAsia="Times New Roman" w:hint="default"/>
                <w:sz w:val="24"/>
                <w:szCs w:val="24"/>
              </w:rPr>
            </w:pPr>
            <w:r>
              <w:rPr>
                <w:rFonts w:ascii="Times New Roman"/>
                <w:sz w:val="24"/>
              </w:rPr>
              <w:t>42,242,964</w:t>
            </w:r>
          </w:p>
        </w:tc>
        <w:tc>
          <w:tcPr>
            <w:tcW w:w="121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42,242,964</w:t>
            </w:r>
          </w:p>
        </w:tc>
        <w:tc>
          <w:tcPr>
            <w:tcW w:w="1183"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43"/>
              <w:jc w:val="right"/>
              <w:rPr>
                <w:rFonts w:ascii="宋体" w:hAnsi="宋体" w:cs="宋体" w:eastAsia="宋体" w:hint="default"/>
                <w:sz w:val="24"/>
                <w:szCs w:val="24"/>
              </w:rPr>
            </w:pPr>
            <w:r>
              <w:rPr>
                <w:rFonts w:ascii="宋体" w:hAnsi="宋体" w:cs="宋体" w:eastAsia="宋体" w:hint="default"/>
                <w:sz w:val="24"/>
                <w:szCs w:val="24"/>
              </w:rPr>
              <w:t>无形资产</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7,642,056</w:t>
            </w:r>
          </w:p>
        </w:tc>
        <w:tc>
          <w:tcPr>
            <w:tcW w:w="121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7,642,056</w:t>
            </w:r>
          </w:p>
        </w:tc>
        <w:tc>
          <w:tcPr>
            <w:tcW w:w="1183"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其他流动资</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产</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01"/>
              <w:jc w:val="right"/>
              <w:rPr>
                <w:rFonts w:ascii="Times New Roman" w:hAnsi="Times New Roman" w:cs="Times New Roman" w:eastAsia="Times New Roman" w:hint="default"/>
                <w:sz w:val="24"/>
                <w:szCs w:val="24"/>
              </w:rPr>
            </w:pPr>
            <w:r>
              <w:rPr>
                <w:rFonts w:ascii="Times New Roman"/>
                <w:sz w:val="24"/>
              </w:rPr>
              <w:t>3,672,287</w:t>
            </w:r>
          </w:p>
        </w:tc>
        <w:tc>
          <w:tcPr>
            <w:tcW w:w="121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01"/>
              <w:jc w:val="right"/>
              <w:rPr>
                <w:rFonts w:ascii="Times New Roman" w:hAnsi="Times New Roman" w:cs="Times New Roman" w:eastAsia="Times New Roman" w:hint="default"/>
                <w:sz w:val="24"/>
                <w:szCs w:val="24"/>
              </w:rPr>
            </w:pPr>
            <w:r>
              <w:rPr>
                <w:rFonts w:ascii="Times New Roman"/>
                <w:sz w:val="24"/>
              </w:rPr>
              <w:t>3,672,287</w:t>
            </w:r>
          </w:p>
        </w:tc>
        <w:tc>
          <w:tcPr>
            <w:tcW w:w="1183"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02"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Times New Roman" w:hAnsi="Times New Roman" w:cs="Times New Roman" w:eastAsia="Times New Roman" w:hint="default"/>
                <w:sz w:val="24"/>
                <w:szCs w:val="24"/>
              </w:rPr>
            </w:pPr>
            <w:r>
              <w:rPr>
                <w:rFonts w:ascii="Times New Roman"/>
                <w:sz w:val="24"/>
              </w:rPr>
              <w:t>53,557,307</w:t>
            </w:r>
          </w:p>
        </w:tc>
        <w:tc>
          <w:tcPr>
            <w:tcW w:w="1210"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53,557,307</w:t>
            </w:r>
          </w:p>
        </w:tc>
        <w:tc>
          <w:tcPr>
            <w:tcW w:w="1183"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w:t>
            </w:r>
          </w:p>
        </w:tc>
      </w:tr>
    </w:tbl>
    <w:p>
      <w:pPr>
        <w:pStyle w:val="BodyText"/>
        <w:spacing w:line="274" w:lineRule="exact"/>
        <w:ind w:left="216" w:right="0"/>
        <w:jc w:val="both"/>
      </w:pPr>
      <w:r>
        <w:rPr/>
        <w:t>其他说明：</w:t>
      </w:r>
    </w:p>
    <w:p>
      <w:pPr>
        <w:spacing w:line="240" w:lineRule="auto" w:before="3"/>
        <w:rPr>
          <w:rFonts w:ascii="宋体" w:hAnsi="宋体" w:cs="宋体" w:eastAsia="宋体" w:hint="default"/>
          <w:sz w:val="22"/>
          <w:szCs w:val="22"/>
        </w:rPr>
      </w:pPr>
    </w:p>
    <w:p>
      <w:pPr>
        <w:pStyle w:val="BodyText"/>
        <w:spacing w:line="225" w:lineRule="auto"/>
        <w:ind w:left="216" w:right="267"/>
        <w:jc w:val="both"/>
      </w:pPr>
      <w:r>
        <w:rPr/>
        <w:t>于</w:t>
      </w:r>
      <w:r>
        <w:rPr>
          <w:spacing w:val="-6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20 </w:t>
      </w:r>
      <w:r>
        <w:rPr/>
        <w:t>日，本公司已经签署了具有法律约束力的转让协议，因而将子公 司三亚用友软件科技有限公司</w:t>
      </w:r>
      <w:r>
        <w:rPr>
          <w:rFonts w:ascii="Times New Roman" w:hAnsi="Times New Roman" w:cs="Times New Roman" w:eastAsia="Times New Roman" w:hint="default"/>
        </w:rPr>
        <w:t>(</w:t>
      </w:r>
      <w:r>
        <w:rPr/>
        <w:t>以下简称“三亚用友”</w:t>
      </w:r>
      <w:r>
        <w:rPr>
          <w:rFonts w:ascii="Times New Roman" w:hAnsi="Times New Roman" w:cs="Times New Roman" w:eastAsia="Times New Roman" w:hint="default"/>
        </w:rPr>
        <w:t>)</w:t>
      </w:r>
      <w:r>
        <w:rPr/>
        <w:t>持有的部分写字楼划分为持有 待售类别。上述持有待售资产未来出售费用不重大。</w:t>
      </w:r>
    </w:p>
    <w:p>
      <w:pPr>
        <w:spacing w:line="240" w:lineRule="auto" w:before="9"/>
        <w:rPr>
          <w:rFonts w:ascii="宋体" w:hAnsi="宋体" w:cs="宋体" w:eastAsia="宋体" w:hint="default"/>
          <w:sz w:val="25"/>
          <w:szCs w:val="25"/>
        </w:rPr>
      </w:pPr>
    </w:p>
    <w:p>
      <w:pPr>
        <w:pStyle w:val="Heading2"/>
        <w:spacing w:line="240" w:lineRule="auto"/>
        <w:ind w:right="0"/>
        <w:jc w:val="both"/>
        <w:rPr>
          <w:b w:val="0"/>
          <w:bCs w:val="0"/>
        </w:rPr>
      </w:pPr>
      <w:r>
        <w:rPr>
          <w:rFonts w:ascii="宋体" w:hAnsi="宋体" w:cs="宋体" w:eastAsia="宋体" w:hint="default"/>
        </w:rPr>
        <w:t>11</w:t>
      </w:r>
      <w:r>
        <w:rPr/>
        <w:t>、</w:t>
      </w:r>
      <w:r>
        <w:rPr>
          <w:spacing w:val="-104"/>
        </w:rPr>
        <w:t> </w:t>
      </w:r>
      <w:r>
        <w:rPr/>
        <w:t>一年内到期的非流动资产</w:t>
      </w:r>
      <w:r>
        <w:rPr>
          <w:b w:val="0"/>
          <w:bCs w:val="0"/>
        </w:rPr>
      </w:r>
    </w:p>
    <w:p>
      <w:pPr>
        <w:pStyle w:val="BodyText"/>
        <w:spacing w:line="240" w:lineRule="auto" w:before="55"/>
        <w:ind w:left="216" w:right="4970"/>
        <w:jc w:val="left"/>
      </w:pPr>
      <w:r>
        <w:rPr/>
        <w:t>□适用 √不适用 期末重要的债权投资和其他债权投资：</w:t>
      </w:r>
    </w:p>
    <w:p>
      <w:pPr>
        <w:pStyle w:val="BodyText"/>
        <w:spacing w:line="310" w:lineRule="exact" w:before="30"/>
        <w:ind w:left="216" w:right="7250"/>
        <w:jc w:val="left"/>
      </w:pPr>
      <w:r>
        <w:rPr/>
        <w:t>□适用 √不适用 其他说明</w:t>
      </w:r>
    </w:p>
    <w:p>
      <w:pPr>
        <w:pStyle w:val="BodyText"/>
        <w:spacing w:line="284" w:lineRule="exact"/>
        <w:ind w:left="216" w:right="0"/>
        <w:jc w:val="both"/>
      </w:pPr>
      <w:r>
        <w:rPr/>
        <w:t>无</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spacing w:line="240" w:lineRule="auto" w:before="26"/>
        <w:ind w:right="-17"/>
        <w:jc w:val="left"/>
        <w:rPr>
          <w:b w:val="0"/>
          <w:bCs w:val="0"/>
        </w:rPr>
      </w:pPr>
      <w:r>
        <w:rPr>
          <w:rFonts w:ascii="宋体" w:hAnsi="宋体" w:cs="宋体" w:eastAsia="宋体" w:hint="default"/>
        </w:rPr>
        <w:t>12</w:t>
      </w:r>
      <w:r>
        <w:rPr/>
        <w:t>、</w:t>
      </w:r>
      <w:r>
        <w:rPr>
          <w:spacing w:val="-103"/>
        </w:rPr>
        <w:t> </w:t>
      </w:r>
      <w:r>
        <w:rPr/>
        <w:t>其他流动资产</w:t>
      </w:r>
      <w:r>
        <w:rPr>
          <w:b w:val="0"/>
          <w:bCs w:val="0"/>
        </w:rPr>
      </w:r>
    </w:p>
    <w:p>
      <w:pPr>
        <w:pStyle w:val="BodyText"/>
        <w:tabs>
          <w:tab w:pos="1177" w:val="left" w:leader="none"/>
        </w:tabs>
        <w:spacing w:line="240" w:lineRule="auto" w:before="55"/>
        <w:ind w:left="216" w:right="-17"/>
        <w:jc w:val="left"/>
      </w:pPr>
      <w:r>
        <w:rPr/>
        <w:t>√适用</w:t>
        <w:tab/>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166" w:space="4027"/>
            <w:col w:w="3097"/>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289"/>
        <w:gridCol w:w="2916"/>
        <w:gridCol w:w="2845"/>
      </w:tblGrid>
      <w:tr>
        <w:trPr>
          <w:trHeight w:val="322"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36" w:right="0"/>
              <w:jc w:val="left"/>
              <w:rPr>
                <w:rFonts w:ascii="宋体" w:hAnsi="宋体" w:cs="宋体" w:eastAsia="宋体" w:hint="default"/>
                <w:sz w:val="24"/>
                <w:szCs w:val="24"/>
              </w:rPr>
            </w:pPr>
            <w:r>
              <w:rPr>
                <w:rFonts w:ascii="宋体" w:hAnsi="宋体" w:cs="宋体" w:eastAsia="宋体" w:hint="default"/>
                <w:sz w:val="24"/>
                <w:szCs w:val="24"/>
              </w:rPr>
              <w:t>期初余额</w:t>
            </w:r>
          </w:p>
        </w:tc>
      </w:tr>
    </w:tbl>
    <w:p>
      <w:pPr>
        <w:spacing w:after="0" w:line="274" w:lineRule="exact"/>
        <w:jc w:val="left"/>
        <w:rPr>
          <w:rFonts w:ascii="宋体" w:hAnsi="宋体" w:cs="宋体" w:eastAsia="宋体" w:hint="default"/>
          <w:sz w:val="24"/>
          <w:szCs w:val="24"/>
        </w:rPr>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3289"/>
        <w:gridCol w:w="2916"/>
        <w:gridCol w:w="2845"/>
      </w:tblGrid>
      <w:tr>
        <w:trPr>
          <w:trHeight w:val="322"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0" w:right="0"/>
              <w:jc w:val="left"/>
              <w:rPr>
                <w:rFonts w:ascii="宋体" w:hAnsi="宋体" w:cs="宋体" w:eastAsia="宋体" w:hint="default"/>
                <w:sz w:val="24"/>
                <w:szCs w:val="24"/>
              </w:rPr>
            </w:pPr>
            <w:r>
              <w:rPr>
                <w:rFonts w:ascii="宋体" w:hAnsi="宋体" w:cs="宋体" w:eastAsia="宋体" w:hint="default"/>
                <w:sz w:val="24"/>
                <w:szCs w:val="24"/>
              </w:rPr>
              <w:t>理财产品</w:t>
            </w:r>
          </w:p>
        </w:tc>
        <w:tc>
          <w:tcPr>
            <w:tcW w:w="2916" w:type="dxa"/>
            <w:tcBorders>
              <w:top w:val="single" w:sz="4" w:space="0" w:color="000000"/>
              <w:left w:val="single" w:sz="4" w:space="0" w:color="000000"/>
              <w:bottom w:val="single" w:sz="4" w:space="0" w:color="000000"/>
              <w:right w:val="single" w:sz="4" w:space="0" w:color="000000"/>
            </w:tcBorders>
          </w:tcPr>
          <w:p>
            <w:pP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120,000,000</w:t>
            </w:r>
          </w:p>
        </w:tc>
      </w:tr>
      <w:tr>
        <w:trPr>
          <w:trHeight w:val="322"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0" w:right="0"/>
              <w:jc w:val="left"/>
              <w:rPr>
                <w:rFonts w:ascii="宋体" w:hAnsi="宋体" w:cs="宋体" w:eastAsia="宋体" w:hint="default"/>
                <w:sz w:val="24"/>
                <w:szCs w:val="24"/>
              </w:rPr>
            </w:pPr>
            <w:r>
              <w:rPr>
                <w:rFonts w:ascii="宋体" w:hAnsi="宋体" w:cs="宋体" w:eastAsia="宋体" w:hint="default"/>
                <w:sz w:val="24"/>
                <w:szCs w:val="24"/>
              </w:rPr>
              <w:t>备付金款项</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791,395,781</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264,622,799</w:t>
            </w:r>
          </w:p>
        </w:tc>
      </w:tr>
      <w:tr>
        <w:trPr>
          <w:trHeight w:val="322"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0" w:right="0"/>
              <w:jc w:val="left"/>
              <w:rPr>
                <w:rFonts w:ascii="宋体" w:hAnsi="宋体" w:cs="宋体" w:eastAsia="宋体" w:hint="default"/>
                <w:sz w:val="24"/>
                <w:szCs w:val="24"/>
              </w:rPr>
            </w:pPr>
            <w:r>
              <w:rPr>
                <w:rFonts w:ascii="宋体" w:hAnsi="宋体" w:cs="宋体" w:eastAsia="宋体" w:hint="default"/>
                <w:sz w:val="24"/>
                <w:szCs w:val="24"/>
              </w:rPr>
              <w:t>待摊房租费用</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4,983,645</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7,214,148</w:t>
            </w:r>
          </w:p>
        </w:tc>
      </w:tr>
      <w:tr>
        <w:trPr>
          <w:trHeight w:val="319"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0" w:right="0"/>
              <w:jc w:val="left"/>
              <w:rPr>
                <w:rFonts w:ascii="宋体" w:hAnsi="宋体" w:cs="宋体" w:eastAsia="宋体" w:hint="default"/>
                <w:sz w:val="24"/>
                <w:szCs w:val="24"/>
              </w:rPr>
            </w:pPr>
            <w:r>
              <w:rPr>
                <w:rFonts w:ascii="宋体" w:hAnsi="宋体" w:cs="宋体" w:eastAsia="宋体" w:hint="default"/>
                <w:sz w:val="24"/>
                <w:szCs w:val="24"/>
              </w:rPr>
              <w:t>套期工具</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5"/>
              <w:jc w:val="right"/>
              <w:rPr>
                <w:rFonts w:ascii="宋体" w:hAnsi="宋体" w:cs="宋体" w:eastAsia="宋体" w:hint="default"/>
                <w:sz w:val="24"/>
                <w:szCs w:val="24"/>
              </w:rPr>
            </w:pPr>
            <w:r>
              <w:rPr>
                <w:rFonts w:ascii="宋体"/>
                <w:sz w:val="24"/>
              </w:rPr>
              <w:t> </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9,549,542</w:t>
            </w:r>
          </w:p>
        </w:tc>
      </w:tr>
      <w:tr>
        <w:trPr>
          <w:trHeight w:val="322"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0" w:right="0"/>
              <w:jc w:val="left"/>
              <w:rPr>
                <w:rFonts w:ascii="宋体" w:hAnsi="宋体" w:cs="宋体" w:eastAsia="宋体" w:hint="default"/>
                <w:sz w:val="24"/>
                <w:szCs w:val="24"/>
              </w:rPr>
            </w:pPr>
            <w:r>
              <w:rPr>
                <w:rFonts w:ascii="宋体" w:hAnsi="宋体" w:cs="宋体" w:eastAsia="宋体" w:hint="default"/>
                <w:sz w:val="24"/>
                <w:szCs w:val="24"/>
              </w:rPr>
              <w:t>其他待摊费用</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12,747,798</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10,678,724</w:t>
            </w:r>
          </w:p>
        </w:tc>
      </w:tr>
      <w:tr>
        <w:trPr>
          <w:trHeight w:val="322"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4"/>
              <w:jc w:val="center"/>
              <w:rPr>
                <w:rFonts w:ascii="宋体" w:hAnsi="宋体" w:cs="宋体" w:eastAsia="宋体" w:hint="default"/>
                <w:sz w:val="24"/>
                <w:szCs w:val="24"/>
              </w:rPr>
            </w:pPr>
            <w:r>
              <w:rPr>
                <w:rFonts w:ascii="宋体" w:hAnsi="宋体" w:cs="宋体" w:eastAsia="宋体" w:hint="default"/>
                <w:sz w:val="24"/>
                <w:szCs w:val="24"/>
              </w:rPr>
              <w:t>合计</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809,127,224</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412,065,213</w:t>
            </w:r>
          </w:p>
        </w:tc>
      </w:tr>
    </w:tbl>
    <w:p>
      <w:pPr>
        <w:spacing w:line="240" w:lineRule="auto" w:before="0"/>
        <w:rPr>
          <w:rFonts w:ascii="宋体" w:hAnsi="宋体" w:cs="宋体" w:eastAsia="宋体" w:hint="default"/>
          <w:sz w:val="16"/>
          <w:szCs w:val="16"/>
        </w:rPr>
      </w:pPr>
    </w:p>
    <w:p>
      <w:pPr>
        <w:pStyle w:val="BodyText"/>
        <w:spacing w:line="312" w:lineRule="exact" w:before="56"/>
        <w:ind w:left="216" w:right="8090"/>
        <w:jc w:val="left"/>
      </w:pPr>
      <w:r>
        <w:rPr/>
        <w:t>其他说明 无。</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0"/>
          <w:szCs w:val="20"/>
        </w:rPr>
      </w:pPr>
    </w:p>
    <w:p>
      <w:pPr>
        <w:pStyle w:val="Heading2"/>
        <w:spacing w:line="240" w:lineRule="auto"/>
        <w:ind w:right="0"/>
        <w:jc w:val="left"/>
        <w:rPr>
          <w:b w:val="0"/>
          <w:bCs w:val="0"/>
        </w:rPr>
      </w:pPr>
      <w:r>
        <w:rPr>
          <w:rFonts w:ascii="宋体" w:hAnsi="宋体" w:cs="宋体" w:eastAsia="宋体" w:hint="default"/>
        </w:rPr>
        <w:t>13</w:t>
      </w:r>
      <w:r>
        <w:rPr/>
        <w:t>、</w:t>
      </w:r>
      <w:r>
        <w:rPr>
          <w:spacing w:val="-101"/>
        </w:rPr>
        <w:t> </w:t>
      </w:r>
      <w:r>
        <w:rPr/>
        <w:t>债权投资</w:t>
      </w:r>
      <w:r>
        <w:rPr>
          <w:b w:val="0"/>
          <w:bCs w:val="0"/>
        </w:rPr>
      </w:r>
    </w:p>
    <w:p>
      <w:pPr>
        <w:pStyle w:val="Heading2"/>
        <w:tabs>
          <w:tab w:pos="1057" w:val="left" w:leader="none"/>
        </w:tabs>
        <w:spacing w:line="240" w:lineRule="auto" w:before="56"/>
        <w:ind w:right="0"/>
        <w:jc w:val="left"/>
        <w:rPr>
          <w:rFonts w:ascii="宋体" w:hAnsi="宋体" w:cs="宋体" w:eastAsia="宋体" w:hint="default"/>
          <w:b w:val="0"/>
          <w:bCs w:val="0"/>
        </w:rPr>
      </w:pPr>
      <w:r>
        <w:rPr>
          <w:rFonts w:ascii="宋体" w:hAnsi="宋体" w:cs="宋体" w:eastAsia="宋体" w:hint="default"/>
        </w:rPr>
        <w:t>(1).</w:t>
        <w:tab/>
      </w:r>
      <w:r>
        <w:rPr/>
        <w:t>债权投资情况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rPr>
        <w:t>(2).</w:t>
        <w:tab/>
      </w:r>
      <w:r>
        <w:rPr/>
        <w:t>期末重要的债权投资</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16" w:right="0"/>
        <w:jc w:val="left"/>
      </w:pPr>
      <w:r>
        <w:rPr/>
        <w:t>□适用 √不适用</w:t>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rPr>
        <w:t>(3).</w:t>
        <w:tab/>
      </w:r>
      <w:r>
        <w:rPr/>
        <w:t>减值准备计提情况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8"/>
          <w:szCs w:val="18"/>
        </w:rPr>
      </w:pPr>
    </w:p>
    <w:p>
      <w:pPr>
        <w:spacing w:line="271" w:lineRule="exact" w:before="0"/>
        <w:ind w:left="216" w:right="0" w:firstLine="0"/>
        <w:jc w:val="left"/>
        <w:rPr>
          <w:rFonts w:ascii="宋体" w:hAnsi="宋体" w:cs="宋体" w:eastAsia="宋体" w:hint="default"/>
          <w:sz w:val="21"/>
          <w:szCs w:val="21"/>
        </w:rPr>
      </w:pPr>
      <w:r>
        <w:rPr>
          <w:rFonts w:ascii="宋体" w:hAnsi="宋体" w:cs="宋体" w:eastAsia="宋体" w:hint="default"/>
          <w:sz w:val="21"/>
          <w:szCs w:val="21"/>
        </w:rPr>
        <w:t>本期减值准备计提金额以及评估金融工具的信用风险是否显著增加的采用依据</w:t>
      </w:r>
    </w:p>
    <w:p>
      <w:pPr>
        <w:pStyle w:val="BodyText"/>
        <w:spacing w:line="310" w:lineRule="exact"/>
        <w:ind w:left="216" w:right="0"/>
        <w:jc w:val="left"/>
      </w:pPr>
      <w:r>
        <w:rPr/>
        <w:t>□适用 √不适用</w:t>
      </w:r>
    </w:p>
    <w:p>
      <w:pPr>
        <w:spacing w:line="240" w:lineRule="auto" w:before="13"/>
        <w:rPr>
          <w:rFonts w:ascii="宋体" w:hAnsi="宋体" w:cs="宋体" w:eastAsia="宋体" w:hint="default"/>
          <w:sz w:val="20"/>
          <w:szCs w:val="20"/>
        </w:rPr>
      </w:pPr>
    </w:p>
    <w:p>
      <w:pPr>
        <w:pStyle w:val="BodyText"/>
        <w:spacing w:line="312" w:lineRule="exact"/>
        <w:ind w:left="216" w:right="0"/>
        <w:jc w:val="left"/>
      </w:pPr>
      <w:r>
        <w:rPr/>
        <w:t>其他说明</w:t>
      </w:r>
    </w:p>
    <w:p>
      <w:pPr>
        <w:pStyle w:val="BodyText"/>
        <w:spacing w:line="312" w:lineRule="exact"/>
        <w:ind w:left="216" w:right="0"/>
        <w:jc w:val="left"/>
      </w:pPr>
      <w:r>
        <w:rPr/>
        <w:t>□适用 √不适用</w:t>
      </w:r>
    </w:p>
    <w:p>
      <w:pPr>
        <w:spacing w:line="240" w:lineRule="auto" w:before="7"/>
        <w:rPr>
          <w:rFonts w:ascii="宋体" w:hAnsi="宋体" w:cs="宋体" w:eastAsia="宋体" w:hint="default"/>
          <w:sz w:val="25"/>
          <w:szCs w:val="25"/>
        </w:rPr>
      </w:pPr>
    </w:p>
    <w:p>
      <w:pPr>
        <w:pStyle w:val="Heading2"/>
        <w:spacing w:line="240" w:lineRule="auto"/>
        <w:ind w:right="0"/>
        <w:jc w:val="left"/>
        <w:rPr>
          <w:b w:val="0"/>
          <w:bCs w:val="0"/>
        </w:rPr>
      </w:pPr>
      <w:r>
        <w:rPr>
          <w:rFonts w:ascii="宋体" w:hAnsi="宋体" w:cs="宋体" w:eastAsia="宋体" w:hint="default"/>
        </w:rPr>
        <w:t>14</w:t>
      </w:r>
      <w:r>
        <w:rPr/>
        <w:t>、</w:t>
      </w:r>
      <w:r>
        <w:rPr>
          <w:spacing w:val="-103"/>
        </w:rPr>
        <w:t> </w:t>
      </w:r>
      <w:r>
        <w:rPr/>
        <w:t>其他债权投资</w:t>
      </w:r>
      <w:r>
        <w:rPr>
          <w:b w:val="0"/>
          <w:bCs w:val="0"/>
        </w:rPr>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rPr>
        <w:t>(1).</w:t>
        <w:tab/>
      </w:r>
      <w:r>
        <w:rPr/>
        <w:t>其他债权投资情况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16" w:right="0"/>
        <w:jc w:val="left"/>
      </w:pPr>
      <w:r>
        <w:rPr/>
        <w:t>□适用 √不适用</w:t>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rPr>
        <w:t>(2).</w:t>
        <w:tab/>
      </w:r>
      <w:r>
        <w:rPr/>
        <w:t>期末重要的其他债权投资</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pStyle w:val="Heading2"/>
        <w:tabs>
          <w:tab w:pos="1057" w:val="left" w:leader="none"/>
        </w:tabs>
        <w:spacing w:line="240" w:lineRule="auto" w:before="55"/>
        <w:ind w:right="0"/>
        <w:jc w:val="left"/>
        <w:rPr>
          <w:rFonts w:ascii="宋体" w:hAnsi="宋体" w:cs="宋体" w:eastAsia="宋体" w:hint="default"/>
          <w:b w:val="0"/>
          <w:bCs w:val="0"/>
        </w:rPr>
      </w:pPr>
      <w:r>
        <w:rPr>
          <w:rFonts w:ascii="宋体" w:hAnsi="宋体" w:cs="宋体" w:eastAsia="宋体" w:hint="default"/>
        </w:rPr>
        <w:t>(3).</w:t>
        <w:tab/>
      </w:r>
      <w:r>
        <w:rPr/>
        <w:t>减值准备计提情况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12"/>
        <w:rPr>
          <w:rFonts w:ascii="宋体" w:hAnsi="宋体" w:cs="宋体" w:eastAsia="宋体" w:hint="default"/>
          <w:sz w:val="20"/>
          <w:szCs w:val="20"/>
        </w:rPr>
      </w:pPr>
    </w:p>
    <w:p>
      <w:pPr>
        <w:pStyle w:val="BodyText"/>
        <w:spacing w:line="312" w:lineRule="exact"/>
        <w:ind w:left="216" w:right="0"/>
        <w:jc w:val="left"/>
      </w:pPr>
      <w:r>
        <w:rPr/>
        <w:t>本期减值准备计提金额以及评估金融工具的信用风险是否显著增加的采用依据</w:t>
      </w:r>
    </w:p>
    <w:p>
      <w:pPr>
        <w:pStyle w:val="BodyText"/>
        <w:spacing w:line="312" w:lineRule="exact"/>
        <w:ind w:left="216" w:right="0"/>
        <w:jc w:val="left"/>
      </w:pPr>
      <w:r>
        <w:rPr/>
        <w:t>□适用 √不适用</w:t>
      </w:r>
    </w:p>
    <w:p>
      <w:pPr>
        <w:spacing w:line="240" w:lineRule="auto" w:before="12"/>
        <w:rPr>
          <w:rFonts w:ascii="宋体" w:hAnsi="宋体" w:cs="宋体" w:eastAsia="宋体" w:hint="default"/>
          <w:sz w:val="20"/>
          <w:szCs w:val="20"/>
        </w:rPr>
      </w:pPr>
    </w:p>
    <w:p>
      <w:pPr>
        <w:pStyle w:val="BodyText"/>
        <w:spacing w:line="313" w:lineRule="exact"/>
        <w:ind w:left="216" w:right="0"/>
        <w:jc w:val="left"/>
      </w:pPr>
      <w:r>
        <w:rPr/>
        <w:t>其他说明：</w:t>
      </w:r>
    </w:p>
    <w:p>
      <w:pPr>
        <w:pStyle w:val="BodyText"/>
        <w:spacing w:line="313" w:lineRule="exact"/>
        <w:ind w:left="216" w:right="0"/>
        <w:jc w:val="left"/>
      </w:pPr>
      <w:r>
        <w:rPr/>
        <w:t>□适用 √不适用</w:t>
      </w:r>
    </w:p>
    <w:p>
      <w:pPr>
        <w:spacing w:after="0" w:line="313" w:lineRule="exact"/>
        <w:jc w:val="left"/>
        <w:sectPr>
          <w:pgSz w:w="11910" w:h="16840"/>
          <w:pgMar w:header="882" w:footer="1195" w:top="1080" w:bottom="1380" w:left="1060" w:right="1560"/>
        </w:sectPr>
      </w:pPr>
    </w:p>
    <w:p>
      <w:pPr>
        <w:spacing w:line="240" w:lineRule="auto" w:before="4"/>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1060" w:right="1560"/>
        </w:sectPr>
      </w:pPr>
    </w:p>
    <w:p>
      <w:pPr>
        <w:spacing w:line="285" w:lineRule="auto" w:before="26"/>
        <w:ind w:left="216" w:right="0" w:firstLine="0"/>
        <w:jc w:val="left"/>
        <w:rPr>
          <w:rFonts w:ascii="宋体" w:hAnsi="宋体" w:cs="宋体" w:eastAsia="宋体" w:hint="default"/>
          <w:sz w:val="24"/>
          <w:szCs w:val="24"/>
        </w:rPr>
      </w:pPr>
      <w:r>
        <w:rPr>
          <w:rFonts w:ascii="宋体" w:hAnsi="宋体" w:cs="宋体" w:eastAsia="宋体" w:hint="default"/>
          <w:b/>
          <w:bCs/>
          <w:sz w:val="24"/>
          <w:szCs w:val="24"/>
        </w:rPr>
        <w:t>15</w:t>
      </w:r>
      <w:r>
        <w:rPr>
          <w:rFonts w:ascii="宋体" w:hAnsi="宋体" w:cs="宋体" w:eastAsia="宋体" w:hint="default"/>
          <w:b/>
          <w:bCs/>
          <w:sz w:val="24"/>
          <w:szCs w:val="24"/>
        </w:rPr>
        <w:t>、</w:t>
      </w:r>
      <w:r>
        <w:rPr>
          <w:rFonts w:ascii="宋体" w:hAnsi="宋体" w:cs="宋体" w:eastAsia="宋体" w:hint="default"/>
          <w:b/>
          <w:bCs/>
          <w:spacing w:val="-101"/>
          <w:sz w:val="24"/>
          <w:szCs w:val="24"/>
        </w:rPr>
        <w:t> </w:t>
      </w:r>
      <w:r>
        <w:rPr>
          <w:rFonts w:ascii="宋体" w:hAnsi="宋体" w:cs="宋体" w:eastAsia="宋体" w:hint="default"/>
          <w:b/>
          <w:bCs/>
          <w:sz w:val="24"/>
          <w:szCs w:val="24"/>
        </w:rPr>
        <w:t>长期应收款</w:t>
      </w:r>
      <w:r>
        <w:rPr>
          <w:rFonts w:ascii="宋体" w:hAnsi="宋体" w:cs="宋体" w:eastAsia="宋体" w:hint="default"/>
          <w:b/>
          <w:bCs/>
          <w:w w:val="99"/>
          <w:sz w:val="24"/>
          <w:szCs w:val="24"/>
        </w:rPr>
        <w:t> </w:t>
      </w:r>
      <w:r>
        <w:rPr>
          <w:rFonts w:ascii="宋体" w:hAnsi="宋体" w:cs="宋体" w:eastAsia="宋体" w:hint="default"/>
          <w:sz w:val="24"/>
          <w:szCs w:val="24"/>
        </w:rPr>
        <w:t>长期应收款情况</w:t>
      </w:r>
    </w:p>
    <w:p>
      <w:pPr>
        <w:pStyle w:val="BodyText"/>
        <w:spacing w:line="264" w:lineRule="exact"/>
        <w:ind w:left="21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9"/>
          <w:szCs w:val="29"/>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047" w:space="4147"/>
            <w:col w:w="3096"/>
          </w:cols>
        </w:sectPr>
      </w:pPr>
    </w:p>
    <w:p>
      <w:pPr>
        <w:spacing w:line="240" w:lineRule="auto" w:before="12"/>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2019"/>
        <w:gridCol w:w="1145"/>
        <w:gridCol w:w="960"/>
        <w:gridCol w:w="1142"/>
        <w:gridCol w:w="958"/>
        <w:gridCol w:w="962"/>
        <w:gridCol w:w="980"/>
        <w:gridCol w:w="883"/>
      </w:tblGrid>
      <w:tr>
        <w:trPr>
          <w:trHeight w:val="324" w:hRule="exact"/>
        </w:trPr>
        <w:tc>
          <w:tcPr>
            <w:tcW w:w="2019"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项目</w:t>
            </w:r>
          </w:p>
        </w:tc>
        <w:tc>
          <w:tcPr>
            <w:tcW w:w="3248" w:type="dxa"/>
            <w:gridSpan w:val="3"/>
            <w:tcBorders>
              <w:top w:val="single" w:sz="4" w:space="0" w:color="000000"/>
              <w:left w:val="single" w:sz="4" w:space="0" w:color="000000"/>
              <w:bottom w:val="single" w:sz="6" w:space="0" w:color="000000"/>
              <w:right w:val="single" w:sz="4" w:space="0" w:color="000000"/>
            </w:tcBorders>
          </w:tcPr>
          <w:p>
            <w:pPr>
              <w:pStyle w:val="TableParagraph"/>
              <w:spacing w:line="274" w:lineRule="exact"/>
              <w:ind w:right="4"/>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900" w:type="dxa"/>
            <w:gridSpan w:val="3"/>
            <w:tcBorders>
              <w:top w:val="single" w:sz="4" w:space="0" w:color="000000"/>
              <w:left w:val="single" w:sz="4" w:space="0" w:color="000000"/>
              <w:bottom w:val="single" w:sz="6" w:space="0" w:color="000000"/>
              <w:right w:val="single" w:sz="4" w:space="0" w:color="000000"/>
            </w:tcBorders>
          </w:tcPr>
          <w:p>
            <w:pPr>
              <w:pStyle w:val="TableParagraph"/>
              <w:spacing w:line="274" w:lineRule="exact"/>
              <w:ind w:left="962"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883" w:type="dxa"/>
            <w:vMerge w:val="restart"/>
            <w:tcBorders>
              <w:top w:val="single" w:sz="4" w:space="0" w:color="000000"/>
              <w:left w:val="single" w:sz="4" w:space="0" w:color="000000"/>
              <w:right w:val="single" w:sz="4" w:space="0" w:color="000000"/>
            </w:tcBorders>
          </w:tcPr>
          <w:p>
            <w:pPr>
              <w:pStyle w:val="TableParagraph"/>
              <w:spacing w:line="280" w:lineRule="exact"/>
              <w:ind w:left="194" w:right="0"/>
              <w:jc w:val="left"/>
              <w:rPr>
                <w:rFonts w:ascii="宋体" w:hAnsi="宋体" w:cs="宋体" w:eastAsia="宋体" w:hint="default"/>
                <w:sz w:val="24"/>
                <w:szCs w:val="24"/>
              </w:rPr>
            </w:pPr>
            <w:r>
              <w:rPr>
                <w:rFonts w:ascii="宋体" w:hAnsi="宋体" w:cs="宋体" w:eastAsia="宋体" w:hint="default"/>
                <w:sz w:val="24"/>
                <w:szCs w:val="24"/>
              </w:rPr>
              <w:t>折现</w:t>
            </w:r>
          </w:p>
          <w:p>
            <w:pPr>
              <w:pStyle w:val="TableParagraph"/>
              <w:spacing w:line="310" w:lineRule="exact" w:before="31"/>
              <w:ind w:left="314" w:right="197" w:hanging="120"/>
              <w:jc w:val="left"/>
              <w:rPr>
                <w:rFonts w:ascii="宋体" w:hAnsi="宋体" w:cs="宋体" w:eastAsia="宋体" w:hint="default"/>
                <w:sz w:val="24"/>
                <w:szCs w:val="24"/>
              </w:rPr>
            </w:pPr>
            <w:r>
              <w:rPr>
                <w:rFonts w:ascii="宋体" w:hAnsi="宋体" w:cs="宋体" w:eastAsia="宋体" w:hint="default"/>
                <w:sz w:val="24"/>
                <w:szCs w:val="24"/>
              </w:rPr>
              <w:t>率区 间</w:t>
            </w:r>
          </w:p>
        </w:tc>
      </w:tr>
      <w:tr>
        <w:trPr>
          <w:trHeight w:val="636" w:hRule="exact"/>
        </w:trPr>
        <w:tc>
          <w:tcPr>
            <w:tcW w:w="2019" w:type="dxa"/>
            <w:vMerge/>
            <w:tcBorders>
              <w:left w:val="single" w:sz="4" w:space="0" w:color="000000"/>
              <w:bottom w:val="single" w:sz="6" w:space="0" w:color="000000"/>
              <w:right w:val="single" w:sz="4" w:space="0" w:color="000000"/>
            </w:tcBorders>
          </w:tcPr>
          <w:p>
            <w:pPr/>
          </w:p>
        </w:tc>
        <w:tc>
          <w:tcPr>
            <w:tcW w:w="1145"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15"/>
              <w:ind w:right="0"/>
              <w:jc w:val="center"/>
              <w:rPr>
                <w:rFonts w:ascii="宋体" w:hAnsi="宋体" w:cs="宋体" w:eastAsia="宋体" w:hint="default"/>
                <w:sz w:val="24"/>
                <w:szCs w:val="24"/>
              </w:rPr>
            </w:pPr>
            <w:r>
              <w:rPr>
                <w:rFonts w:ascii="宋体" w:hAnsi="宋体" w:cs="宋体" w:eastAsia="宋体" w:hint="default"/>
                <w:sz w:val="24"/>
                <w:szCs w:val="24"/>
              </w:rPr>
              <w:t>账面余额</w:t>
            </w:r>
          </w:p>
        </w:tc>
        <w:tc>
          <w:tcPr>
            <w:tcW w:w="960"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坏账准</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备</w:t>
            </w: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83" w:right="0"/>
              <w:jc w:val="left"/>
              <w:rPr>
                <w:rFonts w:ascii="宋体" w:hAnsi="宋体" w:cs="宋体" w:eastAsia="宋体" w:hint="default"/>
                <w:sz w:val="24"/>
                <w:szCs w:val="24"/>
              </w:rPr>
            </w:pPr>
            <w:r>
              <w:rPr>
                <w:rFonts w:ascii="宋体" w:hAnsi="宋体" w:cs="宋体" w:eastAsia="宋体" w:hint="default"/>
                <w:sz w:val="24"/>
                <w:szCs w:val="24"/>
              </w:rPr>
              <w:t>账面价值</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1"/>
              <w:jc w:val="center"/>
              <w:rPr>
                <w:rFonts w:ascii="宋体" w:hAnsi="宋体" w:cs="宋体" w:eastAsia="宋体" w:hint="default"/>
                <w:sz w:val="24"/>
                <w:szCs w:val="24"/>
              </w:rPr>
            </w:pPr>
            <w:r>
              <w:rPr>
                <w:rFonts w:ascii="宋体" w:hAnsi="宋体" w:cs="宋体" w:eastAsia="宋体" w:hint="default"/>
                <w:sz w:val="24"/>
                <w:szCs w:val="24"/>
              </w:rPr>
              <w:t>账面余</w:t>
            </w:r>
          </w:p>
          <w:p>
            <w:pPr>
              <w:pStyle w:val="TableParagraph"/>
              <w:spacing w:line="313" w:lineRule="exact"/>
              <w:ind w:right="1"/>
              <w:jc w:val="center"/>
              <w:rPr>
                <w:rFonts w:ascii="宋体" w:hAnsi="宋体" w:cs="宋体" w:eastAsia="宋体" w:hint="default"/>
                <w:sz w:val="24"/>
                <w:szCs w:val="24"/>
              </w:rPr>
            </w:pPr>
            <w:r>
              <w:rPr>
                <w:rFonts w:ascii="宋体" w:hAnsi="宋体" w:cs="宋体" w:eastAsia="宋体" w:hint="default"/>
                <w:sz w:val="24"/>
                <w:szCs w:val="24"/>
              </w:rPr>
              <w:t>额</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坏账准</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备</w:t>
            </w:r>
          </w:p>
        </w:tc>
        <w:tc>
          <w:tcPr>
            <w:tcW w:w="980" w:type="dxa"/>
            <w:tcBorders>
              <w:top w:val="single" w:sz="6" w:space="0" w:color="000000"/>
              <w:left w:val="single" w:sz="6" w:space="0" w:color="000000"/>
              <w:bottom w:val="single" w:sz="6" w:space="0" w:color="000000"/>
              <w:right w:val="single" w:sz="4" w:space="0" w:color="000000"/>
            </w:tcBorders>
          </w:tcPr>
          <w:p>
            <w:pPr>
              <w:pStyle w:val="TableParagraph"/>
              <w:spacing w:line="273" w:lineRule="exact"/>
              <w:ind w:right="5"/>
              <w:jc w:val="center"/>
              <w:rPr>
                <w:rFonts w:ascii="宋体" w:hAnsi="宋体" w:cs="宋体" w:eastAsia="宋体" w:hint="default"/>
                <w:sz w:val="24"/>
                <w:szCs w:val="24"/>
              </w:rPr>
            </w:pPr>
            <w:r>
              <w:rPr>
                <w:rFonts w:ascii="宋体" w:hAnsi="宋体" w:cs="宋体" w:eastAsia="宋体" w:hint="default"/>
                <w:sz w:val="24"/>
                <w:szCs w:val="24"/>
              </w:rPr>
              <w:t>账面价</w:t>
            </w:r>
          </w:p>
          <w:p>
            <w:pPr>
              <w:pStyle w:val="TableParagraph"/>
              <w:spacing w:line="313" w:lineRule="exact"/>
              <w:ind w:right="5"/>
              <w:jc w:val="center"/>
              <w:rPr>
                <w:rFonts w:ascii="宋体" w:hAnsi="宋体" w:cs="宋体" w:eastAsia="宋体" w:hint="default"/>
                <w:sz w:val="24"/>
                <w:szCs w:val="24"/>
              </w:rPr>
            </w:pPr>
            <w:r>
              <w:rPr>
                <w:rFonts w:ascii="宋体" w:hAnsi="宋体" w:cs="宋体" w:eastAsia="宋体" w:hint="default"/>
                <w:sz w:val="24"/>
                <w:szCs w:val="24"/>
              </w:rPr>
              <w:t>值</w:t>
            </w:r>
          </w:p>
        </w:tc>
        <w:tc>
          <w:tcPr>
            <w:tcW w:w="883" w:type="dxa"/>
            <w:vMerge/>
            <w:tcBorders>
              <w:left w:val="single" w:sz="4" w:space="0" w:color="000000"/>
              <w:bottom w:val="single" w:sz="6" w:space="0" w:color="000000"/>
              <w:right w:val="single" w:sz="4" w:space="0" w:color="000000"/>
            </w:tcBorders>
          </w:tcPr>
          <w:p>
            <w:pPr/>
          </w:p>
        </w:tc>
      </w:tr>
      <w:tr>
        <w:trPr>
          <w:trHeight w:val="326" w:hRule="exact"/>
        </w:trPr>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融资租赁款</w:t>
            </w:r>
          </w:p>
        </w:tc>
        <w:tc>
          <w:tcPr>
            <w:tcW w:w="1145" w:type="dxa"/>
            <w:tcBorders>
              <w:top w:val="single" w:sz="6" w:space="0" w:color="000000"/>
              <w:left w:val="single" w:sz="6" w:space="0" w:color="000000"/>
              <w:bottom w:val="single" w:sz="6" w:space="0" w:color="000000"/>
              <w:right w:val="single" w:sz="6" w:space="0" w:color="000000"/>
            </w:tcBorders>
          </w:tcPr>
          <w:p>
            <w:pPr/>
          </w:p>
        </w:tc>
        <w:tc>
          <w:tcPr>
            <w:tcW w:w="960" w:type="dxa"/>
            <w:tcBorders>
              <w:top w:val="single" w:sz="6" w:space="0" w:color="000000"/>
              <w:left w:val="single" w:sz="6" w:space="0" w:color="000000"/>
              <w:bottom w:val="single" w:sz="6"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4" w:space="0" w:color="000000"/>
            </w:tcBorders>
          </w:tcPr>
          <w:p>
            <w:pPr/>
          </w:p>
        </w:tc>
        <w:tc>
          <w:tcPr>
            <w:tcW w:w="883" w:type="dxa"/>
            <w:tcBorders>
              <w:top w:val="single" w:sz="6" w:space="0" w:color="000000"/>
              <w:left w:val="single" w:sz="4" w:space="0" w:color="000000"/>
              <w:bottom w:val="single" w:sz="6" w:space="0" w:color="000000"/>
              <w:right w:val="single" w:sz="6" w:space="0" w:color="000000"/>
            </w:tcBorders>
          </w:tcPr>
          <w:p>
            <w:pPr/>
          </w:p>
        </w:tc>
      </w:tr>
      <w:tr>
        <w:trPr>
          <w:trHeight w:val="638" w:hRule="exact"/>
        </w:trPr>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504" w:right="0"/>
              <w:jc w:val="left"/>
              <w:rPr>
                <w:rFonts w:ascii="宋体" w:hAnsi="宋体" w:cs="宋体" w:eastAsia="宋体" w:hint="default"/>
                <w:sz w:val="24"/>
                <w:szCs w:val="24"/>
              </w:rPr>
            </w:pPr>
            <w:r>
              <w:rPr>
                <w:rFonts w:ascii="宋体" w:hAnsi="宋体" w:cs="宋体" w:eastAsia="宋体" w:hint="default"/>
                <w:sz w:val="24"/>
                <w:szCs w:val="24"/>
              </w:rPr>
              <w:t>其中：未实现</w:t>
            </w:r>
          </w:p>
          <w:p>
            <w:pPr>
              <w:pStyle w:val="TableParagraph"/>
              <w:spacing w:line="313" w:lineRule="exact"/>
              <w:ind w:left="24" w:right="0"/>
              <w:jc w:val="left"/>
              <w:rPr>
                <w:rFonts w:ascii="宋体" w:hAnsi="宋体" w:cs="宋体" w:eastAsia="宋体" w:hint="default"/>
                <w:sz w:val="24"/>
                <w:szCs w:val="24"/>
              </w:rPr>
            </w:pPr>
            <w:r>
              <w:rPr>
                <w:rFonts w:ascii="宋体" w:hAnsi="宋体" w:cs="宋体" w:eastAsia="宋体" w:hint="default"/>
                <w:sz w:val="24"/>
                <w:szCs w:val="24"/>
              </w:rPr>
              <w:t>融资收益</w:t>
            </w:r>
          </w:p>
        </w:tc>
        <w:tc>
          <w:tcPr>
            <w:tcW w:w="1145" w:type="dxa"/>
            <w:tcBorders>
              <w:top w:val="single" w:sz="6" w:space="0" w:color="000000"/>
              <w:left w:val="single" w:sz="6" w:space="0" w:color="000000"/>
              <w:bottom w:val="single" w:sz="6" w:space="0" w:color="000000"/>
              <w:right w:val="single" w:sz="6" w:space="0" w:color="000000"/>
            </w:tcBorders>
          </w:tcPr>
          <w:p>
            <w:pPr/>
          </w:p>
        </w:tc>
        <w:tc>
          <w:tcPr>
            <w:tcW w:w="960" w:type="dxa"/>
            <w:tcBorders>
              <w:top w:val="single" w:sz="6" w:space="0" w:color="000000"/>
              <w:left w:val="single" w:sz="6" w:space="0" w:color="000000"/>
              <w:bottom w:val="single" w:sz="6"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4" w:space="0" w:color="000000"/>
            </w:tcBorders>
          </w:tcPr>
          <w:p>
            <w:pPr/>
          </w:p>
        </w:tc>
        <w:tc>
          <w:tcPr>
            <w:tcW w:w="883" w:type="dxa"/>
            <w:tcBorders>
              <w:top w:val="single" w:sz="6" w:space="0" w:color="000000"/>
              <w:left w:val="single" w:sz="4" w:space="0" w:color="000000"/>
              <w:bottom w:val="single" w:sz="6" w:space="0" w:color="000000"/>
              <w:right w:val="single" w:sz="6" w:space="0" w:color="000000"/>
            </w:tcBorders>
          </w:tcPr>
          <w:p>
            <w:pPr/>
          </w:p>
        </w:tc>
      </w:tr>
      <w:tr>
        <w:trPr>
          <w:trHeight w:val="326" w:hRule="exact"/>
        </w:trPr>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分期收款销售商品</w:t>
            </w:r>
          </w:p>
        </w:tc>
        <w:tc>
          <w:tcPr>
            <w:tcW w:w="1145" w:type="dxa"/>
            <w:tcBorders>
              <w:top w:val="single" w:sz="6" w:space="0" w:color="000000"/>
              <w:left w:val="single" w:sz="6" w:space="0" w:color="000000"/>
              <w:bottom w:val="single" w:sz="6" w:space="0" w:color="000000"/>
              <w:right w:val="single" w:sz="6" w:space="0" w:color="000000"/>
            </w:tcBorders>
          </w:tcPr>
          <w:p>
            <w:pPr/>
          </w:p>
        </w:tc>
        <w:tc>
          <w:tcPr>
            <w:tcW w:w="960" w:type="dxa"/>
            <w:tcBorders>
              <w:top w:val="single" w:sz="6" w:space="0" w:color="000000"/>
              <w:left w:val="single" w:sz="6" w:space="0" w:color="000000"/>
              <w:bottom w:val="single" w:sz="6"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4" w:space="0" w:color="000000"/>
            </w:tcBorders>
          </w:tcPr>
          <w:p>
            <w:pPr/>
          </w:p>
        </w:tc>
        <w:tc>
          <w:tcPr>
            <w:tcW w:w="883" w:type="dxa"/>
            <w:tcBorders>
              <w:top w:val="single" w:sz="6" w:space="0" w:color="000000"/>
              <w:left w:val="single" w:sz="4" w:space="0" w:color="000000"/>
              <w:bottom w:val="single" w:sz="6" w:space="0" w:color="000000"/>
              <w:right w:val="single" w:sz="6" w:space="0" w:color="000000"/>
            </w:tcBorders>
          </w:tcPr>
          <w:p>
            <w:pPr/>
          </w:p>
        </w:tc>
      </w:tr>
      <w:tr>
        <w:trPr>
          <w:trHeight w:val="327" w:hRule="exact"/>
        </w:trPr>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分期收款提供劳务</w:t>
            </w:r>
          </w:p>
        </w:tc>
        <w:tc>
          <w:tcPr>
            <w:tcW w:w="1145" w:type="dxa"/>
            <w:tcBorders>
              <w:top w:val="single" w:sz="6" w:space="0" w:color="000000"/>
              <w:left w:val="single" w:sz="6" w:space="0" w:color="000000"/>
              <w:bottom w:val="single" w:sz="6" w:space="0" w:color="000000"/>
              <w:right w:val="single" w:sz="6" w:space="0" w:color="000000"/>
            </w:tcBorders>
          </w:tcPr>
          <w:p>
            <w:pPr/>
          </w:p>
        </w:tc>
        <w:tc>
          <w:tcPr>
            <w:tcW w:w="960" w:type="dxa"/>
            <w:tcBorders>
              <w:top w:val="single" w:sz="6" w:space="0" w:color="000000"/>
              <w:left w:val="single" w:sz="6" w:space="0" w:color="000000"/>
              <w:bottom w:val="single" w:sz="6"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4" w:space="0" w:color="000000"/>
            </w:tcBorders>
          </w:tcPr>
          <w:p>
            <w:pPr/>
          </w:p>
        </w:tc>
        <w:tc>
          <w:tcPr>
            <w:tcW w:w="883" w:type="dxa"/>
            <w:tcBorders>
              <w:top w:val="single" w:sz="6" w:space="0" w:color="000000"/>
              <w:left w:val="single" w:sz="4" w:space="0" w:color="000000"/>
              <w:bottom w:val="single" w:sz="6" w:space="0" w:color="000000"/>
              <w:right w:val="single" w:sz="6" w:space="0" w:color="000000"/>
            </w:tcBorders>
          </w:tcPr>
          <w:p>
            <w:pPr/>
          </w:p>
        </w:tc>
      </w:tr>
      <w:tr>
        <w:trPr>
          <w:trHeight w:val="326" w:hRule="exact"/>
        </w:trPr>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处置子公司应收款</w:t>
            </w:r>
          </w:p>
        </w:tc>
        <w:tc>
          <w:tcPr>
            <w:tcW w:w="114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left="1" w:right="0"/>
              <w:jc w:val="center"/>
              <w:rPr>
                <w:rFonts w:ascii="Times New Roman" w:hAnsi="Times New Roman" w:cs="Times New Roman" w:eastAsia="Times New Roman" w:hint="default"/>
                <w:sz w:val="24"/>
                <w:szCs w:val="24"/>
              </w:rPr>
            </w:pPr>
            <w:r>
              <w:rPr>
                <w:rFonts w:ascii="Times New Roman"/>
                <w:sz w:val="24"/>
              </w:rPr>
              <w:t>19,740,000</w:t>
            </w:r>
          </w:p>
        </w:tc>
        <w:tc>
          <w:tcPr>
            <w:tcW w:w="960" w:type="dxa"/>
            <w:tcBorders>
              <w:top w:val="single" w:sz="6" w:space="0" w:color="000000"/>
              <w:left w:val="single" w:sz="6" w:space="0" w:color="000000"/>
              <w:bottom w:val="single" w:sz="6"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19,740,000</w:t>
            </w:r>
          </w:p>
        </w:tc>
        <w:tc>
          <w:tcPr>
            <w:tcW w:w="958" w:type="dxa"/>
            <w:tcBorders>
              <w:top w:val="single" w:sz="6" w:space="0" w:color="000000"/>
              <w:left w:val="single" w:sz="6"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4" w:space="0" w:color="000000"/>
            </w:tcBorders>
          </w:tcPr>
          <w:p>
            <w:pPr/>
          </w:p>
        </w:tc>
        <w:tc>
          <w:tcPr>
            <w:tcW w:w="883" w:type="dxa"/>
            <w:tcBorders>
              <w:top w:val="single" w:sz="6" w:space="0" w:color="000000"/>
              <w:left w:val="single" w:sz="4" w:space="0" w:color="000000"/>
              <w:bottom w:val="single" w:sz="6" w:space="0" w:color="000000"/>
              <w:right w:val="single" w:sz="6" w:space="0" w:color="000000"/>
            </w:tcBorders>
          </w:tcPr>
          <w:p>
            <w:pPr/>
          </w:p>
        </w:tc>
      </w:tr>
      <w:tr>
        <w:trPr>
          <w:trHeight w:val="636" w:hRule="exact"/>
        </w:trPr>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24" w:right="0"/>
              <w:jc w:val="left"/>
              <w:rPr>
                <w:rFonts w:ascii="宋体" w:hAnsi="宋体" w:cs="宋体" w:eastAsia="宋体" w:hint="default"/>
                <w:sz w:val="24"/>
                <w:szCs w:val="24"/>
              </w:rPr>
            </w:pPr>
            <w:r>
              <w:rPr>
                <w:rFonts w:ascii="宋体" w:hAnsi="宋体" w:cs="宋体" w:eastAsia="宋体" w:hint="default"/>
                <w:sz w:val="24"/>
                <w:szCs w:val="24"/>
              </w:rPr>
              <w:t>股份支付下信托机</w:t>
            </w:r>
          </w:p>
          <w:p>
            <w:pPr>
              <w:pStyle w:val="TableParagraph"/>
              <w:spacing w:line="313" w:lineRule="exact"/>
              <w:ind w:left="24" w:right="0"/>
              <w:jc w:val="left"/>
              <w:rPr>
                <w:rFonts w:ascii="宋体" w:hAnsi="宋体" w:cs="宋体" w:eastAsia="宋体" w:hint="default"/>
                <w:sz w:val="24"/>
                <w:szCs w:val="24"/>
              </w:rPr>
            </w:pPr>
            <w:r>
              <w:rPr>
                <w:rFonts w:ascii="宋体" w:hAnsi="宋体" w:cs="宋体" w:eastAsia="宋体" w:hint="default"/>
                <w:sz w:val="24"/>
                <w:szCs w:val="24"/>
              </w:rPr>
              <w:t>构持有款项</w:t>
            </w:r>
          </w:p>
        </w:tc>
        <w:tc>
          <w:tcPr>
            <w:tcW w:w="114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left="121" w:right="0"/>
              <w:jc w:val="center"/>
              <w:rPr>
                <w:rFonts w:ascii="Times New Roman" w:hAnsi="Times New Roman" w:cs="Times New Roman" w:eastAsia="Times New Roman" w:hint="default"/>
                <w:sz w:val="24"/>
                <w:szCs w:val="24"/>
              </w:rPr>
            </w:pPr>
            <w:r>
              <w:rPr>
                <w:rFonts w:ascii="Times New Roman"/>
                <w:sz w:val="24"/>
              </w:rPr>
              <w:t>6,289,129</w:t>
            </w:r>
          </w:p>
        </w:tc>
        <w:tc>
          <w:tcPr>
            <w:tcW w:w="960" w:type="dxa"/>
            <w:tcBorders>
              <w:top w:val="single" w:sz="6" w:space="0" w:color="000000"/>
              <w:left w:val="single" w:sz="6" w:space="0" w:color="000000"/>
              <w:bottom w:val="single" w:sz="6"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6,289,129</w:t>
            </w:r>
          </w:p>
        </w:tc>
        <w:tc>
          <w:tcPr>
            <w:tcW w:w="958" w:type="dxa"/>
            <w:tcBorders>
              <w:top w:val="single" w:sz="6" w:space="0" w:color="000000"/>
              <w:left w:val="single" w:sz="6"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4" w:space="0" w:color="000000"/>
            </w:tcBorders>
          </w:tcPr>
          <w:p>
            <w:pPr/>
          </w:p>
        </w:tc>
        <w:tc>
          <w:tcPr>
            <w:tcW w:w="883" w:type="dxa"/>
            <w:tcBorders>
              <w:top w:val="single" w:sz="6" w:space="0" w:color="000000"/>
              <w:left w:val="single" w:sz="4" w:space="0" w:color="000000"/>
              <w:bottom w:val="single" w:sz="6" w:space="0" w:color="000000"/>
              <w:right w:val="single" w:sz="6" w:space="0" w:color="000000"/>
            </w:tcBorders>
          </w:tcPr>
          <w:p>
            <w:pPr/>
          </w:p>
        </w:tc>
      </w:tr>
      <w:tr>
        <w:trPr>
          <w:trHeight w:val="326" w:hRule="exact"/>
        </w:trPr>
        <w:tc>
          <w:tcPr>
            <w:tcW w:w="201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合计</w:t>
            </w:r>
          </w:p>
        </w:tc>
        <w:tc>
          <w:tcPr>
            <w:tcW w:w="114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left="1" w:right="0"/>
              <w:jc w:val="center"/>
              <w:rPr>
                <w:rFonts w:ascii="Times New Roman" w:hAnsi="Times New Roman" w:cs="Times New Roman" w:eastAsia="Times New Roman" w:hint="default"/>
                <w:sz w:val="24"/>
                <w:szCs w:val="24"/>
              </w:rPr>
            </w:pPr>
            <w:r>
              <w:rPr>
                <w:rFonts w:ascii="Times New Roman"/>
                <w:sz w:val="24"/>
              </w:rPr>
              <w:t>26,029,129</w:t>
            </w:r>
          </w:p>
        </w:tc>
        <w:tc>
          <w:tcPr>
            <w:tcW w:w="960" w:type="dxa"/>
            <w:tcBorders>
              <w:top w:val="single" w:sz="6" w:space="0" w:color="000000"/>
              <w:left w:val="single" w:sz="6" w:space="0" w:color="000000"/>
              <w:bottom w:val="single" w:sz="6" w:space="0" w:color="000000"/>
              <w:right w:val="single" w:sz="6"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26,029,129</w:t>
            </w:r>
          </w:p>
        </w:tc>
        <w:tc>
          <w:tcPr>
            <w:tcW w:w="958" w:type="dxa"/>
            <w:tcBorders>
              <w:top w:val="single" w:sz="6" w:space="0" w:color="000000"/>
              <w:left w:val="single" w:sz="6"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4" w:space="0" w:color="000000"/>
            </w:tcBorders>
          </w:tcPr>
          <w:p>
            <w:pPr/>
          </w:p>
        </w:tc>
        <w:tc>
          <w:tcPr>
            <w:tcW w:w="883" w:type="dxa"/>
            <w:tcBorders>
              <w:top w:val="single" w:sz="6" w:space="0" w:color="000000"/>
              <w:left w:val="single" w:sz="4" w:space="0" w:color="000000"/>
              <w:bottom w:val="single" w:sz="6" w:space="0" w:color="000000"/>
              <w:right w:val="single" w:sz="6"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w:t>
            </w:r>
          </w:p>
        </w:tc>
      </w:tr>
    </w:tbl>
    <w:p>
      <w:pPr>
        <w:spacing w:line="240" w:lineRule="auto" w:before="8"/>
        <w:rPr>
          <w:rFonts w:ascii="宋体" w:hAnsi="宋体" w:cs="宋体" w:eastAsia="宋体" w:hint="default"/>
          <w:sz w:val="20"/>
          <w:szCs w:val="20"/>
        </w:r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(1).</w:t>
        <w:tab/>
      </w:r>
      <w:r>
        <w:rPr/>
        <w:t>坏账准备计提情况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12"/>
        <w:rPr>
          <w:rFonts w:ascii="宋体" w:hAnsi="宋体" w:cs="宋体" w:eastAsia="宋体" w:hint="default"/>
          <w:sz w:val="20"/>
          <w:szCs w:val="20"/>
        </w:rPr>
      </w:pPr>
    </w:p>
    <w:p>
      <w:pPr>
        <w:pStyle w:val="BodyText"/>
        <w:spacing w:line="312" w:lineRule="exact"/>
        <w:ind w:left="216" w:right="0"/>
        <w:jc w:val="left"/>
      </w:pPr>
      <w:r>
        <w:rPr/>
        <w:t>本期坏账准备计提金额以及评估金融工具的信用风险是否显著增加的采用依据</w:t>
      </w:r>
    </w:p>
    <w:p>
      <w:pPr>
        <w:pStyle w:val="BodyText"/>
        <w:spacing w:line="312" w:lineRule="exact"/>
        <w:ind w:left="216" w:right="0"/>
        <w:jc w:val="left"/>
      </w:pPr>
      <w:r>
        <w:rPr/>
        <w:t>□适用 √不适用</w:t>
      </w:r>
    </w:p>
    <w:p>
      <w:pPr>
        <w:spacing w:line="240" w:lineRule="auto" w:before="7"/>
        <w:rPr>
          <w:rFonts w:ascii="宋体" w:hAnsi="宋体" w:cs="宋体" w:eastAsia="宋体" w:hint="default"/>
          <w:sz w:val="25"/>
          <w:szCs w:val="25"/>
        </w:rPr>
      </w:pPr>
    </w:p>
    <w:p>
      <w:pPr>
        <w:pStyle w:val="Heading2"/>
        <w:tabs>
          <w:tab w:pos="1057" w:val="left" w:leader="none"/>
        </w:tabs>
        <w:spacing w:line="240" w:lineRule="auto"/>
        <w:ind w:right="0"/>
        <w:jc w:val="left"/>
        <w:rPr>
          <w:rFonts w:ascii="宋体" w:hAnsi="宋体" w:cs="宋体" w:eastAsia="宋体" w:hint="default"/>
          <w:b w:val="0"/>
          <w:bCs w:val="0"/>
        </w:rPr>
      </w:pPr>
      <w:r>
        <w:rPr>
          <w:rFonts w:ascii="宋体" w:hAnsi="宋体" w:cs="宋体" w:eastAsia="宋体" w:hint="default"/>
        </w:rPr>
        <w:t>(2).</w:t>
        <w:tab/>
      </w:r>
      <w:r>
        <w:rPr/>
        <w:t>因金融资产转移而终止确认的长期应收款</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8"/>
        <w:ind w:left="216" w:right="0"/>
        <w:jc w:val="left"/>
      </w:pPr>
      <w:r>
        <w:rPr/>
        <w:t>□适用</w:t>
        <w:tab/>
        <w:t>√不适用</w:t>
      </w:r>
    </w:p>
    <w:p>
      <w:pPr>
        <w:spacing w:line="240" w:lineRule="auto" w:before="7"/>
        <w:rPr>
          <w:rFonts w:ascii="宋体" w:hAnsi="宋体" w:cs="宋体" w:eastAsia="宋体" w:hint="default"/>
          <w:sz w:val="25"/>
          <w:szCs w:val="25"/>
        </w:rPr>
      </w:pPr>
    </w:p>
    <w:p>
      <w:pPr>
        <w:pStyle w:val="Heading2"/>
        <w:tabs>
          <w:tab w:pos="1057" w:val="left" w:leader="none"/>
        </w:tabs>
        <w:spacing w:line="240" w:lineRule="auto"/>
        <w:ind w:right="0"/>
        <w:jc w:val="left"/>
        <w:rPr>
          <w:rFonts w:ascii="宋体" w:hAnsi="宋体" w:cs="宋体" w:eastAsia="宋体" w:hint="default"/>
          <w:b w:val="0"/>
          <w:bCs w:val="0"/>
        </w:rPr>
      </w:pPr>
      <w:r>
        <w:rPr>
          <w:rFonts w:ascii="宋体" w:hAnsi="宋体" w:cs="宋体" w:eastAsia="宋体" w:hint="default"/>
        </w:rPr>
        <w:t>(3).</w:t>
        <w:tab/>
      </w:r>
      <w:r>
        <w:rPr/>
        <w:t>转移长期应收款且继续涉入形成的资产、负债金额</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5"/>
        <w:ind w:left="216" w:right="0"/>
        <w:jc w:val="left"/>
      </w:pPr>
      <w:r>
        <w:rPr/>
        <w:t>□适用</w:t>
        <w:tab/>
        <w:t>√不适用</w:t>
      </w:r>
    </w:p>
    <w:p>
      <w:pPr>
        <w:spacing w:line="240" w:lineRule="auto" w:before="12"/>
        <w:rPr>
          <w:rFonts w:ascii="宋体" w:hAnsi="宋体" w:cs="宋体" w:eastAsia="宋体" w:hint="default"/>
          <w:sz w:val="20"/>
          <w:szCs w:val="20"/>
        </w:rPr>
      </w:pPr>
    </w:p>
    <w:p>
      <w:pPr>
        <w:pStyle w:val="BodyText"/>
        <w:spacing w:line="313" w:lineRule="exact"/>
        <w:ind w:left="216" w:right="0"/>
        <w:jc w:val="left"/>
      </w:pPr>
      <w:r>
        <w:rPr/>
        <w:t>其他说明</w:t>
      </w:r>
    </w:p>
    <w:p>
      <w:pPr>
        <w:pStyle w:val="BodyText"/>
        <w:spacing w:line="313" w:lineRule="exact"/>
        <w:ind w:left="216" w:right="0"/>
        <w:jc w:val="left"/>
      </w:pPr>
      <w:r>
        <w:rPr/>
        <w:t>□适用 √不适用</w:t>
      </w:r>
    </w:p>
    <w:p>
      <w:pPr>
        <w:spacing w:line="240" w:lineRule="auto" w:before="4"/>
        <w:rPr>
          <w:rFonts w:ascii="宋体" w:hAnsi="宋体" w:cs="宋体" w:eastAsia="宋体" w:hint="default"/>
          <w:sz w:val="25"/>
          <w:szCs w:val="25"/>
        </w:rPr>
      </w:pPr>
    </w:p>
    <w:p>
      <w:pPr>
        <w:pStyle w:val="Heading2"/>
        <w:spacing w:line="240" w:lineRule="auto"/>
        <w:ind w:right="0"/>
        <w:jc w:val="left"/>
        <w:rPr>
          <w:rFonts w:ascii="宋体" w:hAnsi="宋体" w:cs="宋体" w:eastAsia="宋体" w:hint="default"/>
          <w:b w:val="0"/>
          <w:bCs w:val="0"/>
        </w:rPr>
      </w:pPr>
      <w:r>
        <w:rPr>
          <w:rFonts w:ascii="宋体" w:hAnsi="宋体" w:cs="宋体" w:eastAsia="宋体" w:hint="default"/>
        </w:rPr>
        <w:t>16</w:t>
      </w:r>
      <w:r>
        <w:rPr/>
        <w:t>、</w:t>
      </w:r>
      <w:r>
        <w:rPr>
          <w:spacing w:val="-103"/>
        </w:rPr>
        <w:t> </w:t>
      </w:r>
      <w:r>
        <w:rPr/>
        <w:t>长期股权投资</w:t>
      </w:r>
      <w:r>
        <w:rPr>
          <w:rFonts w:ascii="宋体" w:hAnsi="宋体" w:cs="宋体" w:eastAsia="宋体" w:hint="default"/>
          <w:w w:val="99"/>
        </w:rPr>
        <w:t> </w:t>
      </w:r>
      <w:r>
        <w:rPr>
          <w:rFonts w:ascii="宋体" w:hAnsi="宋体" w:cs="宋体" w:eastAsia="宋体" w:hint="default"/>
          <w:b w:val="0"/>
          <w:bCs w:val="0"/>
        </w:rPr>
      </w:r>
    </w:p>
    <w:p>
      <w:pPr>
        <w:pStyle w:val="BodyText"/>
        <w:tabs>
          <w:tab w:pos="1417" w:val="left" w:leader="none"/>
        </w:tabs>
        <w:spacing w:line="312" w:lineRule="exact" w:before="89"/>
        <w:ind w:left="216" w:right="6427"/>
        <w:jc w:val="left"/>
      </w:pPr>
      <w:r>
        <w:rPr/>
        <w:t>√适用</w:t>
      </w:r>
      <w:r>
        <w:rPr>
          <w:spacing w:val="-1"/>
        </w:rPr>
        <w:t> </w:t>
      </w:r>
      <w:r>
        <w:rPr>
          <w:rFonts w:ascii="Times New Roman" w:hAnsi="Times New Roman" w:cs="Times New Roman" w:eastAsia="Times New Roman" w:hint="default"/>
        </w:rPr>
        <w:t>□</w:t>
      </w:r>
      <w:r>
        <w:rPr/>
        <w:t>不适用 单位：元</w:t>
        <w:tab/>
        <w:t>币种：人民币</w:t>
      </w:r>
    </w:p>
    <w:tbl>
      <w:tblPr>
        <w:tblW w:w="0" w:type="auto"/>
        <w:jc w:val="left"/>
        <w:tblInd w:w="103" w:type="dxa"/>
        <w:tblLayout w:type="fixed"/>
        <w:tblCellMar>
          <w:top w:w="0" w:type="dxa"/>
          <w:left w:w="0" w:type="dxa"/>
          <w:bottom w:w="0" w:type="dxa"/>
          <w:right w:w="0" w:type="dxa"/>
        </w:tblCellMar>
        <w:tblLook w:val="01E0"/>
      </w:tblPr>
      <w:tblGrid>
        <w:gridCol w:w="819"/>
        <w:gridCol w:w="758"/>
        <w:gridCol w:w="758"/>
        <w:gridCol w:w="670"/>
        <w:gridCol w:w="787"/>
        <w:gridCol w:w="850"/>
        <w:gridCol w:w="566"/>
        <w:gridCol w:w="785"/>
        <w:gridCol w:w="835"/>
        <w:gridCol w:w="701"/>
        <w:gridCol w:w="771"/>
        <w:gridCol w:w="749"/>
      </w:tblGrid>
      <w:tr>
        <w:trPr>
          <w:trHeight w:val="322" w:hRule="exact"/>
        </w:trPr>
        <w:tc>
          <w:tcPr>
            <w:tcW w:w="81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37" w:lineRule="auto"/>
              <w:ind w:left="103" w:right="224"/>
              <w:jc w:val="both"/>
              <w:rPr>
                <w:rFonts w:ascii="宋体" w:hAnsi="宋体" w:cs="宋体" w:eastAsia="宋体" w:hint="default"/>
                <w:sz w:val="24"/>
                <w:szCs w:val="24"/>
              </w:rPr>
            </w:pPr>
            <w:r>
              <w:rPr>
                <w:rFonts w:ascii="宋体" w:hAnsi="宋体" w:cs="宋体" w:eastAsia="宋体" w:hint="default"/>
                <w:sz w:val="24"/>
                <w:szCs w:val="24"/>
              </w:rPr>
              <w:t>被投 资单 位</w:t>
            </w:r>
          </w:p>
        </w:tc>
        <w:tc>
          <w:tcPr>
            <w:tcW w:w="75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5"/>
              <w:ind w:right="0"/>
              <w:jc w:val="left"/>
              <w:rPr>
                <w:rFonts w:ascii="宋体" w:hAnsi="宋体" w:cs="宋体" w:eastAsia="宋体" w:hint="default"/>
                <w:sz w:val="35"/>
                <w:szCs w:val="35"/>
              </w:rPr>
            </w:pPr>
          </w:p>
          <w:p>
            <w:pPr>
              <w:pStyle w:val="TableParagraph"/>
              <w:spacing w:line="310" w:lineRule="exact"/>
              <w:ind w:left="103" w:right="163"/>
              <w:jc w:val="left"/>
              <w:rPr>
                <w:rFonts w:ascii="宋体" w:hAnsi="宋体" w:cs="宋体" w:eastAsia="宋体" w:hint="default"/>
                <w:sz w:val="24"/>
                <w:szCs w:val="24"/>
              </w:rPr>
            </w:pPr>
            <w:r>
              <w:rPr>
                <w:rFonts w:ascii="宋体" w:hAnsi="宋体" w:cs="宋体" w:eastAsia="宋体" w:hint="default"/>
                <w:sz w:val="24"/>
                <w:szCs w:val="24"/>
              </w:rPr>
              <w:t>期初 余额</w:t>
            </w:r>
          </w:p>
        </w:tc>
        <w:tc>
          <w:tcPr>
            <w:tcW w:w="5953" w:type="dxa"/>
            <w:gridSpan w:val="8"/>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本期增减变动</w:t>
            </w:r>
          </w:p>
        </w:tc>
        <w:tc>
          <w:tcPr>
            <w:tcW w:w="77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5"/>
              <w:ind w:right="0"/>
              <w:jc w:val="left"/>
              <w:rPr>
                <w:rFonts w:ascii="宋体" w:hAnsi="宋体" w:cs="宋体" w:eastAsia="宋体" w:hint="default"/>
                <w:sz w:val="35"/>
                <w:szCs w:val="35"/>
              </w:rPr>
            </w:pPr>
          </w:p>
          <w:p>
            <w:pPr>
              <w:pStyle w:val="TableParagraph"/>
              <w:spacing w:line="310" w:lineRule="exact"/>
              <w:ind w:left="103" w:right="176"/>
              <w:jc w:val="left"/>
              <w:rPr>
                <w:rFonts w:ascii="宋体" w:hAnsi="宋体" w:cs="宋体" w:eastAsia="宋体" w:hint="default"/>
                <w:sz w:val="24"/>
                <w:szCs w:val="24"/>
              </w:rPr>
            </w:pPr>
            <w:r>
              <w:rPr>
                <w:rFonts w:ascii="宋体" w:hAnsi="宋体" w:cs="宋体" w:eastAsia="宋体" w:hint="default"/>
                <w:sz w:val="24"/>
                <w:szCs w:val="24"/>
              </w:rPr>
              <w:t>期末 余额</w:t>
            </w:r>
          </w:p>
        </w:tc>
        <w:tc>
          <w:tcPr>
            <w:tcW w:w="749"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33"/>
                <w:szCs w:val="33"/>
              </w:rPr>
            </w:pPr>
          </w:p>
          <w:p>
            <w:pPr>
              <w:pStyle w:val="TableParagraph"/>
              <w:spacing w:line="237" w:lineRule="auto"/>
              <w:ind w:left="103" w:right="155"/>
              <w:jc w:val="both"/>
              <w:rPr>
                <w:rFonts w:ascii="宋体" w:hAnsi="宋体" w:cs="宋体" w:eastAsia="宋体" w:hint="default"/>
                <w:sz w:val="24"/>
                <w:szCs w:val="24"/>
              </w:rPr>
            </w:pPr>
            <w:r>
              <w:rPr>
                <w:rFonts w:ascii="宋体" w:hAnsi="宋体" w:cs="宋体" w:eastAsia="宋体" w:hint="default"/>
                <w:sz w:val="24"/>
                <w:szCs w:val="24"/>
              </w:rPr>
              <w:t>减值 准备 期末 余额</w:t>
            </w:r>
          </w:p>
        </w:tc>
      </w:tr>
      <w:tr>
        <w:trPr>
          <w:trHeight w:val="1879" w:hRule="exact"/>
        </w:trPr>
        <w:tc>
          <w:tcPr>
            <w:tcW w:w="819" w:type="dxa"/>
            <w:vMerge/>
            <w:tcBorders>
              <w:left w:val="single" w:sz="4" w:space="0" w:color="000000"/>
              <w:bottom w:val="single" w:sz="4" w:space="0" w:color="000000"/>
              <w:right w:val="single" w:sz="4" w:space="0" w:color="000000"/>
            </w:tcBorders>
          </w:tcPr>
          <w:p>
            <w:pPr/>
          </w:p>
        </w:tc>
        <w:tc>
          <w:tcPr>
            <w:tcW w:w="758" w:type="dxa"/>
            <w:vMerge/>
            <w:tcBorders>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310" w:lineRule="exact"/>
              <w:ind w:left="100" w:right="167"/>
              <w:jc w:val="left"/>
              <w:rPr>
                <w:rFonts w:ascii="宋体" w:hAnsi="宋体" w:cs="宋体" w:eastAsia="宋体" w:hint="default"/>
                <w:sz w:val="24"/>
                <w:szCs w:val="24"/>
              </w:rPr>
            </w:pPr>
            <w:r>
              <w:rPr>
                <w:rFonts w:ascii="宋体" w:hAnsi="宋体" w:cs="宋体" w:eastAsia="宋体" w:hint="default"/>
                <w:sz w:val="24"/>
                <w:szCs w:val="24"/>
              </w:rPr>
              <w:t>追加 投资</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37" w:lineRule="auto"/>
              <w:ind w:left="100" w:right="317"/>
              <w:jc w:val="both"/>
              <w:rPr>
                <w:rFonts w:ascii="宋体" w:hAnsi="宋体" w:cs="宋体" w:eastAsia="宋体" w:hint="default"/>
                <w:sz w:val="24"/>
                <w:szCs w:val="24"/>
              </w:rPr>
            </w:pPr>
            <w:r>
              <w:rPr>
                <w:rFonts w:ascii="宋体" w:hAnsi="宋体" w:cs="宋体" w:eastAsia="宋体" w:hint="default"/>
                <w:sz w:val="24"/>
                <w:szCs w:val="24"/>
              </w:rPr>
              <w:t>减 少 投 资</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权益</w:t>
            </w:r>
          </w:p>
          <w:p>
            <w:pPr>
              <w:pStyle w:val="TableParagraph"/>
              <w:spacing w:line="237" w:lineRule="auto" w:before="1"/>
              <w:ind w:left="103" w:right="192"/>
              <w:jc w:val="both"/>
              <w:rPr>
                <w:rFonts w:ascii="宋体" w:hAnsi="宋体" w:cs="宋体" w:eastAsia="宋体" w:hint="default"/>
                <w:sz w:val="24"/>
                <w:szCs w:val="24"/>
              </w:rPr>
            </w:pPr>
            <w:r>
              <w:rPr>
                <w:rFonts w:ascii="宋体" w:hAnsi="宋体" w:cs="宋体" w:eastAsia="宋体" w:hint="default"/>
                <w:sz w:val="24"/>
                <w:szCs w:val="24"/>
              </w:rPr>
              <w:t>法下 确认 的投 资损 益</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37" w:lineRule="auto"/>
              <w:ind w:left="103" w:right="254"/>
              <w:jc w:val="both"/>
              <w:rPr>
                <w:rFonts w:ascii="宋体" w:hAnsi="宋体" w:cs="宋体" w:eastAsia="宋体" w:hint="default"/>
                <w:sz w:val="24"/>
                <w:szCs w:val="24"/>
              </w:rPr>
            </w:pPr>
            <w:r>
              <w:rPr>
                <w:rFonts w:ascii="宋体" w:hAnsi="宋体" w:cs="宋体" w:eastAsia="宋体" w:hint="default"/>
                <w:sz w:val="24"/>
                <w:szCs w:val="24"/>
              </w:rPr>
              <w:t>其他 综合 收益 调整</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z w:val="24"/>
                <w:szCs w:val="24"/>
              </w:rPr>
              <w:t>其</w:t>
            </w:r>
          </w:p>
          <w:p>
            <w:pPr>
              <w:pStyle w:val="TableParagraph"/>
              <w:spacing w:line="237" w:lineRule="auto" w:before="1"/>
              <w:ind w:left="100" w:right="215"/>
              <w:jc w:val="both"/>
              <w:rPr>
                <w:rFonts w:ascii="宋体" w:hAnsi="宋体" w:cs="宋体" w:eastAsia="宋体" w:hint="default"/>
                <w:sz w:val="24"/>
                <w:szCs w:val="24"/>
              </w:rPr>
            </w:pPr>
            <w:r>
              <w:rPr>
                <w:rFonts w:ascii="宋体" w:hAnsi="宋体" w:cs="宋体" w:eastAsia="宋体" w:hint="default"/>
                <w:sz w:val="24"/>
                <w:szCs w:val="24"/>
              </w:rPr>
              <w:t>他 权 益 变 动</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宣告</w:t>
            </w:r>
          </w:p>
          <w:p>
            <w:pPr>
              <w:pStyle w:val="TableParagraph"/>
              <w:spacing w:line="237" w:lineRule="auto" w:before="1"/>
              <w:ind w:left="103" w:right="191"/>
              <w:jc w:val="both"/>
              <w:rPr>
                <w:rFonts w:ascii="宋体" w:hAnsi="宋体" w:cs="宋体" w:eastAsia="宋体" w:hint="default"/>
                <w:sz w:val="24"/>
                <w:szCs w:val="24"/>
              </w:rPr>
            </w:pPr>
            <w:r>
              <w:rPr>
                <w:rFonts w:ascii="宋体" w:hAnsi="宋体" w:cs="宋体" w:eastAsia="宋体" w:hint="default"/>
                <w:sz w:val="24"/>
                <w:szCs w:val="24"/>
              </w:rPr>
              <w:t>发放 现金 股利 或利 润</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32"/>
                <w:szCs w:val="32"/>
              </w:rPr>
            </w:pPr>
          </w:p>
          <w:p>
            <w:pPr>
              <w:pStyle w:val="TableParagraph"/>
              <w:spacing w:line="237" w:lineRule="auto"/>
              <w:ind w:left="103" w:right="240"/>
              <w:jc w:val="both"/>
              <w:rPr>
                <w:rFonts w:ascii="宋体" w:hAnsi="宋体" w:cs="宋体" w:eastAsia="宋体" w:hint="default"/>
                <w:sz w:val="24"/>
                <w:szCs w:val="24"/>
              </w:rPr>
            </w:pPr>
            <w:r>
              <w:rPr>
                <w:rFonts w:ascii="宋体" w:hAnsi="宋体" w:cs="宋体" w:eastAsia="宋体" w:hint="default"/>
                <w:sz w:val="24"/>
                <w:szCs w:val="24"/>
              </w:rPr>
              <w:t>计提 减值 准备</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7"/>
              <w:ind w:right="0"/>
              <w:jc w:val="left"/>
              <w:rPr>
                <w:rFonts w:ascii="宋体" w:hAnsi="宋体" w:cs="宋体" w:eastAsia="宋体" w:hint="default"/>
                <w:sz w:val="32"/>
                <w:szCs w:val="32"/>
              </w:rPr>
            </w:pPr>
          </w:p>
          <w:p>
            <w:pPr>
              <w:pStyle w:val="TableParagraph"/>
              <w:spacing w:line="240" w:lineRule="auto"/>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771" w:type="dxa"/>
            <w:vMerge/>
            <w:tcBorders>
              <w:left w:val="single" w:sz="4" w:space="0" w:color="000000"/>
              <w:bottom w:val="single" w:sz="4" w:space="0" w:color="000000"/>
              <w:right w:val="single" w:sz="4" w:space="0" w:color="000000"/>
            </w:tcBorders>
          </w:tcPr>
          <w:p>
            <w:pPr/>
          </w:p>
        </w:tc>
        <w:tc>
          <w:tcPr>
            <w:tcW w:w="749" w:type="dxa"/>
            <w:vMerge/>
            <w:tcBorders>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819"/>
        <w:gridCol w:w="758"/>
        <w:gridCol w:w="758"/>
        <w:gridCol w:w="670"/>
        <w:gridCol w:w="787"/>
        <w:gridCol w:w="850"/>
        <w:gridCol w:w="566"/>
        <w:gridCol w:w="785"/>
        <w:gridCol w:w="835"/>
        <w:gridCol w:w="701"/>
        <w:gridCol w:w="771"/>
        <w:gridCol w:w="749"/>
      </w:tblGrid>
      <w:tr>
        <w:trPr>
          <w:trHeight w:val="322" w:hRule="exact"/>
        </w:trPr>
        <w:tc>
          <w:tcPr>
            <w:tcW w:w="905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一、合营企业</w:t>
            </w:r>
          </w:p>
        </w:tc>
      </w:tr>
      <w:tr>
        <w:trPr>
          <w:trHeight w:val="286" w:hRule="exact"/>
        </w:trPr>
        <w:tc>
          <w:tcPr>
            <w:tcW w:w="819"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819"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小计</w:t>
            </w: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5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二、联营企业</w:t>
            </w:r>
          </w:p>
        </w:tc>
      </w:tr>
      <w:tr>
        <w:trPr>
          <w:trHeight w:val="2158"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37" w:lineRule="auto"/>
              <w:ind w:left="103" w:right="281"/>
              <w:jc w:val="both"/>
              <w:rPr>
                <w:rFonts w:ascii="宋体" w:hAnsi="宋体" w:cs="宋体" w:eastAsia="宋体" w:hint="default"/>
                <w:sz w:val="21"/>
                <w:szCs w:val="21"/>
              </w:rPr>
            </w:pPr>
            <w:r>
              <w:rPr>
                <w:rFonts w:ascii="宋体" w:hAnsi="宋体" w:cs="宋体" w:eastAsia="宋体" w:hint="default"/>
                <w:sz w:val="21"/>
                <w:szCs w:val="21"/>
              </w:rPr>
              <w:t>北京</w:t>
            </w:r>
            <w:r>
              <w:rPr>
                <w:rFonts w:ascii="宋体" w:hAnsi="宋体" w:cs="宋体" w:eastAsia="宋体" w:hint="default"/>
                <w:spacing w:val="-103"/>
                <w:sz w:val="21"/>
                <w:szCs w:val="21"/>
              </w:rPr>
              <w:t> </w:t>
            </w:r>
            <w:r>
              <w:rPr>
                <w:rFonts w:ascii="宋体" w:hAnsi="宋体" w:cs="宋体" w:eastAsia="宋体" w:hint="default"/>
                <w:sz w:val="21"/>
                <w:szCs w:val="21"/>
              </w:rPr>
              <w:t>中关</w:t>
            </w:r>
            <w:r>
              <w:rPr>
                <w:rFonts w:ascii="宋体" w:hAnsi="宋体" w:cs="宋体" w:eastAsia="宋体" w:hint="default"/>
                <w:spacing w:val="-103"/>
                <w:sz w:val="21"/>
                <w:szCs w:val="21"/>
              </w:rPr>
              <w:t> </w:t>
            </w:r>
            <w:r>
              <w:rPr>
                <w:rFonts w:ascii="宋体" w:hAnsi="宋体" w:cs="宋体" w:eastAsia="宋体" w:hint="default"/>
                <w:sz w:val="21"/>
                <w:szCs w:val="21"/>
              </w:rPr>
              <w:t>村银</w:t>
            </w:r>
            <w:r>
              <w:rPr>
                <w:rFonts w:ascii="宋体" w:hAnsi="宋体" w:cs="宋体" w:eastAsia="宋体" w:hint="default"/>
                <w:spacing w:val="-103"/>
                <w:sz w:val="21"/>
                <w:szCs w:val="21"/>
              </w:rPr>
              <w:t> </w:t>
            </w:r>
            <w:r>
              <w:rPr>
                <w:rFonts w:ascii="宋体" w:hAnsi="宋体" w:cs="宋体" w:eastAsia="宋体" w:hint="default"/>
                <w:sz w:val="21"/>
                <w:szCs w:val="21"/>
              </w:rPr>
              <w:t>行股</w:t>
            </w:r>
            <w:r>
              <w:rPr>
                <w:rFonts w:ascii="宋体" w:hAnsi="宋体" w:cs="宋体" w:eastAsia="宋体" w:hint="default"/>
                <w:spacing w:val="-103"/>
                <w:sz w:val="21"/>
                <w:szCs w:val="21"/>
              </w:rPr>
              <w:t> </w:t>
            </w:r>
            <w:r>
              <w:rPr>
                <w:rFonts w:ascii="宋体" w:hAnsi="宋体" w:cs="宋体" w:eastAsia="宋体" w:hint="default"/>
                <w:sz w:val="21"/>
                <w:szCs w:val="21"/>
              </w:rPr>
              <w:t>份有</w:t>
            </w:r>
            <w:r>
              <w:rPr>
                <w:rFonts w:ascii="宋体" w:hAnsi="宋体" w:cs="宋体" w:eastAsia="宋体" w:hint="default"/>
                <w:spacing w:val="-103"/>
                <w:sz w:val="21"/>
                <w:szCs w:val="21"/>
              </w:rPr>
              <w:t> </w:t>
            </w:r>
            <w:r>
              <w:rPr>
                <w:rFonts w:ascii="宋体" w:hAnsi="宋体" w:cs="宋体" w:eastAsia="宋体" w:hint="default"/>
                <w:sz w:val="21"/>
                <w:szCs w:val="21"/>
              </w:rPr>
              <w:t>限公</w:t>
            </w:r>
            <w:r>
              <w:rPr>
                <w:rFonts w:ascii="宋体" w:hAnsi="宋体" w:cs="宋体" w:eastAsia="宋体" w:hint="default"/>
                <w:spacing w:val="-103"/>
                <w:sz w:val="21"/>
                <w:szCs w:val="21"/>
              </w:rPr>
              <w:t> </w:t>
            </w:r>
            <w:r>
              <w:rPr>
                <w:rFonts w:ascii="宋体" w:hAnsi="宋体" w:cs="宋体" w:eastAsia="宋体" w:hint="default"/>
                <w:sz w:val="21"/>
                <w:szCs w:val="21"/>
              </w:rPr>
              <w:t>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1" w:lineRule="exact"/>
              <w:ind w:left="117" w:right="0"/>
              <w:jc w:val="left"/>
              <w:rPr>
                <w:rFonts w:ascii="Times New Roman" w:hAnsi="Times New Roman" w:cs="Times New Roman" w:eastAsia="Times New Roman" w:hint="default"/>
                <w:sz w:val="21"/>
                <w:szCs w:val="21"/>
              </w:rPr>
            </w:pPr>
            <w:r>
              <w:rPr>
                <w:rFonts w:ascii="Times New Roman"/>
                <w:sz w:val="21"/>
              </w:rPr>
              <w:t>1,219,</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928,9</w:t>
            </w:r>
          </w:p>
          <w:p>
            <w:pPr>
              <w:pStyle w:val="TableParagraph"/>
              <w:spacing w:line="240" w:lineRule="auto" w:before="1"/>
              <w:ind w:left="431" w:right="0"/>
              <w:jc w:val="left"/>
              <w:rPr>
                <w:rFonts w:ascii="Times New Roman" w:hAnsi="Times New Roman" w:cs="Times New Roman" w:eastAsia="Times New Roman" w:hint="default"/>
                <w:sz w:val="21"/>
                <w:szCs w:val="21"/>
              </w:rPr>
            </w:pPr>
            <w:r>
              <w:rPr>
                <w:rFonts w:ascii="Times New Roman"/>
                <w:sz w:val="21"/>
              </w:rPr>
              <w:t>06</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6"/>
              <w:ind w:left="201" w:right="0"/>
              <w:jc w:val="left"/>
              <w:rPr>
                <w:rFonts w:ascii="Times New Roman" w:hAnsi="Times New Roman" w:cs="Times New Roman" w:eastAsia="Times New Roman" w:hint="default"/>
                <w:sz w:val="21"/>
                <w:szCs w:val="21"/>
              </w:rPr>
            </w:pPr>
            <w:r>
              <w:rPr>
                <w:rFonts w:ascii="Times New Roman"/>
                <w:sz w:val="21"/>
              </w:rPr>
              <w:t>13,42</w:t>
            </w:r>
          </w:p>
          <w:p>
            <w:pPr>
              <w:pStyle w:val="TableParagraph"/>
              <w:spacing w:line="240" w:lineRule="auto" w:before="1"/>
              <w:ind w:left="201" w:right="0"/>
              <w:jc w:val="left"/>
              <w:rPr>
                <w:rFonts w:ascii="Times New Roman" w:hAnsi="Times New Roman" w:cs="Times New Roman" w:eastAsia="Times New Roman" w:hint="default"/>
                <w:sz w:val="21"/>
                <w:szCs w:val="21"/>
              </w:rPr>
            </w:pPr>
            <w:r>
              <w:rPr>
                <w:rFonts w:ascii="Times New Roman"/>
                <w:sz w:val="21"/>
              </w:rPr>
              <w:t>3,956</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6"/>
              <w:ind w:left="47" w:right="0"/>
              <w:jc w:val="center"/>
              <w:rPr>
                <w:rFonts w:ascii="Times New Roman" w:hAnsi="Times New Roman" w:cs="Times New Roman" w:eastAsia="Times New Roman" w:hint="default"/>
                <w:sz w:val="21"/>
                <w:szCs w:val="21"/>
              </w:rPr>
            </w:pPr>
            <w:r>
              <w:rPr>
                <w:rFonts w:ascii="Times New Roman"/>
                <w:sz w:val="21"/>
              </w:rPr>
              <w:t>-178,</w:t>
            </w:r>
          </w:p>
          <w:p>
            <w:pPr>
              <w:pStyle w:val="TableParagraph"/>
              <w:spacing w:line="240" w:lineRule="auto" w:before="1"/>
              <w:ind w:left="172" w:right="0"/>
              <w:jc w:val="center"/>
              <w:rPr>
                <w:rFonts w:ascii="Times New Roman" w:hAnsi="Times New Roman" w:cs="Times New Roman" w:eastAsia="Times New Roman" w:hint="default"/>
                <w:sz w:val="21"/>
                <w:szCs w:val="21"/>
              </w:rPr>
            </w:pPr>
            <w:r>
              <w:rPr>
                <w:rFonts w:ascii="Times New Roman"/>
                <w:sz w:val="21"/>
              </w:rPr>
              <w:t>702</w:t>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1" w:lineRule="exact"/>
              <w:ind w:left="131" w:right="0"/>
              <w:jc w:val="left"/>
              <w:rPr>
                <w:rFonts w:ascii="Times New Roman" w:hAnsi="Times New Roman" w:cs="Times New Roman" w:eastAsia="Times New Roman" w:hint="default"/>
                <w:sz w:val="21"/>
                <w:szCs w:val="21"/>
              </w:rPr>
            </w:pPr>
            <w:r>
              <w:rPr>
                <w:rFonts w:ascii="Times New Roman"/>
                <w:sz w:val="21"/>
              </w:rPr>
              <w:t>1,233,</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174,1</w:t>
            </w:r>
          </w:p>
          <w:p>
            <w:pPr>
              <w:pStyle w:val="TableParagraph"/>
              <w:spacing w:line="240" w:lineRule="auto" w:before="1"/>
              <w:ind w:left="446" w:right="0"/>
              <w:jc w:val="left"/>
              <w:rPr>
                <w:rFonts w:ascii="Times New Roman" w:hAnsi="Times New Roman" w:cs="Times New Roman" w:eastAsia="Times New Roman" w:hint="default"/>
                <w:sz w:val="21"/>
                <w:szCs w:val="21"/>
              </w:rPr>
            </w:pPr>
            <w:r>
              <w:rPr>
                <w:rFonts w:ascii="Times New Roman"/>
                <w:sz w:val="21"/>
              </w:rPr>
              <w:t>60</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3279"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汉唐</w:t>
            </w:r>
          </w:p>
          <w:p>
            <w:pPr>
              <w:pStyle w:val="TableParagraph"/>
              <w:spacing w:line="235" w:lineRule="auto" w:before="4"/>
              <w:ind w:left="103" w:right="141"/>
              <w:jc w:val="left"/>
              <w:rPr>
                <w:rFonts w:ascii="Times New Roman" w:hAnsi="Times New Roman" w:cs="Times New Roman" w:eastAsia="Times New Roman" w:hint="default"/>
                <w:sz w:val="21"/>
                <w:szCs w:val="21"/>
              </w:rPr>
            </w:pPr>
            <w:r>
              <w:rPr>
                <w:rFonts w:ascii="宋体" w:hAnsi="宋体" w:cs="宋体" w:eastAsia="宋体" w:hint="default"/>
                <w:sz w:val="21"/>
                <w:szCs w:val="21"/>
              </w:rPr>
              <w:t>信通</w:t>
            </w:r>
            <w:r>
              <w:rPr>
                <w:rFonts w:ascii="宋体" w:hAnsi="宋体" w:cs="宋体" w:eastAsia="宋体" w:hint="default"/>
                <w:spacing w:val="-103"/>
                <w:sz w:val="21"/>
                <w:szCs w:val="21"/>
              </w:rPr>
              <w:t> </w:t>
            </w:r>
            <w:r>
              <w:rPr>
                <w:rFonts w:ascii="Times New Roman" w:hAnsi="Times New Roman" w:cs="Times New Roman" w:eastAsia="Times New Roman" w:hint="default"/>
                <w:sz w:val="21"/>
                <w:szCs w:val="21"/>
              </w:rPr>
              <w:t>(</w:t>
            </w:r>
            <w:r>
              <w:rPr>
                <w:rFonts w:ascii="宋体" w:hAnsi="宋体" w:cs="宋体" w:eastAsia="宋体" w:hint="default"/>
                <w:sz w:val="21"/>
                <w:szCs w:val="21"/>
              </w:rPr>
              <w:t>北京</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咨询</w:t>
            </w:r>
            <w:r>
              <w:rPr>
                <w:rFonts w:ascii="宋体" w:hAnsi="宋体" w:cs="宋体" w:eastAsia="宋体" w:hint="default"/>
                <w:spacing w:val="-103"/>
                <w:sz w:val="21"/>
                <w:szCs w:val="21"/>
              </w:rPr>
              <w:t> </w:t>
            </w:r>
            <w:r>
              <w:rPr>
                <w:rFonts w:ascii="宋体" w:hAnsi="宋体" w:cs="宋体" w:eastAsia="宋体" w:hint="default"/>
                <w:sz w:val="21"/>
                <w:szCs w:val="21"/>
              </w:rPr>
              <w:t>股份</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r>
              <w:rPr>
                <w:rFonts w:ascii="宋体" w:hAnsi="宋体" w:cs="宋体" w:eastAsia="宋体" w:hint="default"/>
                <w:spacing w:val="-103"/>
                <w:sz w:val="21"/>
                <w:szCs w:val="21"/>
              </w:rPr>
              <w:t> </w:t>
            </w:r>
            <w:r>
              <w:rPr>
                <w:rFonts w:ascii="Times New Roman" w:hAnsi="Times New Roman" w:cs="Times New Roman" w:eastAsia="Times New Roman" w:hint="default"/>
                <w:sz w:val="21"/>
                <w:szCs w:val="21"/>
              </w:rPr>
              <w:t>(</w:t>
            </w:r>
            <w:r>
              <w:rPr>
                <w:rFonts w:ascii="宋体" w:hAnsi="宋体" w:cs="宋体" w:eastAsia="宋体" w:hint="default"/>
                <w:sz w:val="21"/>
                <w:szCs w:val="21"/>
              </w:rPr>
              <w:t>以下</w:t>
            </w:r>
            <w:r>
              <w:rPr>
                <w:rFonts w:ascii="宋体" w:hAnsi="宋体" w:cs="宋体" w:eastAsia="宋体" w:hint="default"/>
                <w:w w:val="100"/>
                <w:sz w:val="21"/>
                <w:szCs w:val="21"/>
              </w:rPr>
              <w:t> </w:t>
            </w:r>
            <w:r>
              <w:rPr>
                <w:rFonts w:ascii="宋体" w:hAnsi="宋体" w:cs="宋体" w:eastAsia="宋体" w:hint="default"/>
                <w:sz w:val="21"/>
                <w:szCs w:val="21"/>
              </w:rPr>
              <w:t>简称</w:t>
            </w:r>
            <w:r>
              <w:rPr>
                <w:rFonts w:ascii="宋体" w:hAnsi="宋体" w:cs="宋体" w:eastAsia="宋体" w:hint="default"/>
                <w:spacing w:val="-103"/>
                <w:sz w:val="21"/>
                <w:szCs w:val="21"/>
              </w:rPr>
              <w:t> </w:t>
            </w:r>
            <w:r>
              <w:rPr>
                <w:rFonts w:ascii="宋体" w:hAnsi="宋体" w:cs="宋体" w:eastAsia="宋体" w:hint="default"/>
                <w:sz w:val="21"/>
                <w:szCs w:val="21"/>
              </w:rPr>
              <w:t>“汉</w:t>
            </w:r>
            <w:r>
              <w:rPr>
                <w:rFonts w:ascii="宋体" w:hAnsi="宋体" w:cs="宋体" w:eastAsia="宋体" w:hint="default"/>
                <w:spacing w:val="-103"/>
                <w:sz w:val="21"/>
                <w:szCs w:val="21"/>
              </w:rPr>
              <w:t> </w:t>
            </w:r>
            <w:r>
              <w:rPr>
                <w:rFonts w:ascii="宋体" w:hAnsi="宋体" w:cs="宋体" w:eastAsia="宋体" w:hint="default"/>
                <w:sz w:val="21"/>
                <w:szCs w:val="21"/>
              </w:rPr>
              <w:t>唐信</w:t>
            </w:r>
            <w:r>
              <w:rPr>
                <w:rFonts w:ascii="宋体" w:hAnsi="宋体" w:cs="宋体" w:eastAsia="宋体" w:hint="default"/>
                <w:spacing w:val="-103"/>
                <w:sz w:val="21"/>
                <w:szCs w:val="21"/>
              </w:rPr>
              <w:t> </w:t>
            </w:r>
            <w:r>
              <w:rPr>
                <w:rFonts w:ascii="宋体" w:hAnsi="宋体" w:cs="宋体" w:eastAsia="宋体" w:hint="default"/>
                <w:sz w:val="21"/>
                <w:szCs w:val="21"/>
              </w:rPr>
              <w:t>通”</w:t>
            </w:r>
            <w:r>
              <w:rPr>
                <w:rFonts w:ascii="Times New Roman" w:hAnsi="Times New Roman" w:cs="Times New Roman" w:eastAsia="Times New Roman" w:hint="default"/>
                <w:sz w:val="21"/>
                <w:szCs w:val="21"/>
              </w:rPr>
              <w:t>)</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79,93</w:t>
            </w:r>
          </w:p>
          <w:p>
            <w:pPr>
              <w:pStyle w:val="TableParagraph"/>
              <w:spacing w:line="240" w:lineRule="auto" w:before="1"/>
              <w:ind w:left="170" w:right="0"/>
              <w:jc w:val="left"/>
              <w:rPr>
                <w:rFonts w:ascii="Times New Roman" w:hAnsi="Times New Roman" w:cs="Times New Roman" w:eastAsia="Times New Roman" w:hint="default"/>
                <w:sz w:val="21"/>
                <w:szCs w:val="21"/>
              </w:rPr>
            </w:pPr>
            <w:r>
              <w:rPr>
                <w:rFonts w:ascii="Times New Roman"/>
                <w:sz w:val="21"/>
              </w:rPr>
              <w:t>2,533</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201" w:right="0"/>
              <w:jc w:val="left"/>
              <w:rPr>
                <w:rFonts w:ascii="Times New Roman" w:hAnsi="Times New Roman" w:cs="Times New Roman" w:eastAsia="Times New Roman" w:hint="default"/>
                <w:sz w:val="21"/>
                <w:szCs w:val="21"/>
              </w:rPr>
            </w:pPr>
            <w:r>
              <w:rPr>
                <w:rFonts w:ascii="Times New Roman"/>
                <w:sz w:val="21"/>
              </w:rPr>
              <w:t>677,1</w:t>
            </w:r>
          </w:p>
          <w:p>
            <w:pPr>
              <w:pStyle w:val="TableParagraph"/>
              <w:spacing w:line="240" w:lineRule="auto" w:before="1"/>
              <w:ind w:left="463" w:right="0"/>
              <w:jc w:val="left"/>
              <w:rPr>
                <w:rFonts w:ascii="Times New Roman" w:hAnsi="Times New Roman" w:cs="Times New Roman" w:eastAsia="Times New Roman" w:hint="default"/>
                <w:sz w:val="21"/>
                <w:szCs w:val="21"/>
              </w:rPr>
            </w:pPr>
            <w:r>
              <w:rPr>
                <w:rFonts w:ascii="Times New Roman"/>
                <w:sz w:val="21"/>
              </w:rPr>
              <w:t>66</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84" w:right="0"/>
              <w:jc w:val="left"/>
              <w:rPr>
                <w:rFonts w:ascii="Times New Roman" w:hAnsi="Times New Roman" w:cs="Times New Roman" w:eastAsia="Times New Roman" w:hint="default"/>
                <w:sz w:val="21"/>
                <w:szCs w:val="21"/>
              </w:rPr>
            </w:pPr>
            <w:r>
              <w:rPr>
                <w:rFonts w:ascii="Times New Roman"/>
                <w:sz w:val="21"/>
              </w:rPr>
              <w:t>80,60</w:t>
            </w:r>
          </w:p>
          <w:p>
            <w:pPr>
              <w:pStyle w:val="TableParagraph"/>
              <w:spacing w:line="240" w:lineRule="auto" w:before="1"/>
              <w:ind w:left="184" w:right="0"/>
              <w:jc w:val="left"/>
              <w:rPr>
                <w:rFonts w:ascii="Times New Roman" w:hAnsi="Times New Roman" w:cs="Times New Roman" w:eastAsia="Times New Roman" w:hint="default"/>
                <w:sz w:val="21"/>
                <w:szCs w:val="21"/>
              </w:rPr>
            </w:pPr>
            <w:r>
              <w:rPr>
                <w:rFonts w:ascii="Times New Roman"/>
                <w:sz w:val="21"/>
              </w:rPr>
              <w:t>9,699</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916"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上海</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大易</w:t>
            </w:r>
            <w:r>
              <w:rPr>
                <w:rFonts w:ascii="宋体" w:hAnsi="宋体" w:cs="宋体" w:eastAsia="宋体" w:hint="default"/>
                <w:spacing w:val="-103"/>
                <w:sz w:val="21"/>
                <w:szCs w:val="21"/>
              </w:rPr>
              <w:t> </w:t>
            </w:r>
            <w:r>
              <w:rPr>
                <w:rFonts w:ascii="宋体" w:hAnsi="宋体" w:cs="宋体" w:eastAsia="宋体" w:hint="default"/>
                <w:sz w:val="21"/>
                <w:szCs w:val="21"/>
              </w:rPr>
              <w:t>云计</w:t>
            </w:r>
            <w:r>
              <w:rPr>
                <w:rFonts w:ascii="宋体" w:hAnsi="宋体" w:cs="宋体" w:eastAsia="宋体" w:hint="default"/>
                <w:spacing w:val="-103"/>
                <w:sz w:val="21"/>
                <w:szCs w:val="21"/>
              </w:rPr>
              <w:t> </w:t>
            </w:r>
            <w:r>
              <w:rPr>
                <w:rFonts w:ascii="宋体" w:hAnsi="宋体" w:cs="宋体" w:eastAsia="宋体" w:hint="default"/>
                <w:sz w:val="21"/>
                <w:szCs w:val="21"/>
              </w:rPr>
              <w:t>算股</w:t>
            </w:r>
            <w:r>
              <w:rPr>
                <w:rFonts w:ascii="宋体" w:hAnsi="宋体" w:cs="宋体" w:eastAsia="宋体" w:hint="default"/>
                <w:spacing w:val="-103"/>
                <w:sz w:val="21"/>
                <w:szCs w:val="21"/>
              </w:rPr>
              <w:t> </w:t>
            </w:r>
            <w:r>
              <w:rPr>
                <w:rFonts w:ascii="宋体" w:hAnsi="宋体" w:cs="宋体" w:eastAsia="宋体" w:hint="default"/>
                <w:sz w:val="21"/>
                <w:szCs w:val="21"/>
              </w:rPr>
              <w:t>份有</w:t>
            </w:r>
            <w:r>
              <w:rPr>
                <w:rFonts w:ascii="宋体" w:hAnsi="宋体" w:cs="宋体" w:eastAsia="宋体" w:hint="default"/>
                <w:spacing w:val="-103"/>
                <w:sz w:val="21"/>
                <w:szCs w:val="21"/>
              </w:rPr>
              <w:t> </w:t>
            </w:r>
            <w:r>
              <w:rPr>
                <w:rFonts w:ascii="宋体" w:hAnsi="宋体" w:cs="宋体" w:eastAsia="宋体" w:hint="default"/>
                <w:sz w:val="21"/>
                <w:szCs w:val="21"/>
              </w:rPr>
              <w:t>限公</w:t>
            </w:r>
            <w:r>
              <w:rPr>
                <w:rFonts w:ascii="宋体" w:hAnsi="宋体" w:cs="宋体" w:eastAsia="宋体" w:hint="default"/>
                <w:spacing w:val="-103"/>
                <w:sz w:val="21"/>
                <w:szCs w:val="21"/>
              </w:rPr>
              <w:t> </w:t>
            </w:r>
            <w:r>
              <w:rPr>
                <w:rFonts w:ascii="宋体" w:hAnsi="宋体" w:cs="宋体" w:eastAsia="宋体" w:hint="default"/>
                <w:sz w:val="21"/>
                <w:szCs w:val="21"/>
              </w:rPr>
              <w:t>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65,55</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5,810</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1" w:lineRule="exact"/>
              <w:ind w:left="28" w:right="0"/>
              <w:jc w:val="center"/>
              <w:rPr>
                <w:rFonts w:ascii="Times New Roman" w:hAnsi="Times New Roman" w:cs="Times New Roman" w:eastAsia="Times New Roman" w:hint="default"/>
                <w:sz w:val="21"/>
                <w:szCs w:val="21"/>
              </w:rPr>
            </w:pPr>
            <w:r>
              <w:rPr>
                <w:rFonts w:ascii="Times New Roman"/>
                <w:sz w:val="21"/>
              </w:rPr>
              <w:t>-3,491</w:t>
            </w:r>
          </w:p>
          <w:p>
            <w:pPr>
              <w:pStyle w:val="TableParagraph"/>
              <w:spacing w:line="241" w:lineRule="exact"/>
              <w:ind w:left="206" w:right="0"/>
              <w:jc w:val="center"/>
              <w:rPr>
                <w:rFonts w:ascii="Times New Roman" w:hAnsi="Times New Roman" w:cs="Times New Roman" w:eastAsia="Times New Roman" w:hint="default"/>
                <w:sz w:val="21"/>
                <w:szCs w:val="21"/>
              </w:rPr>
            </w:pPr>
            <w:r>
              <w:rPr>
                <w:rFonts w:ascii="Times New Roman"/>
                <w:sz w:val="21"/>
              </w:rPr>
              <w:t>,910</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62,06</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3,900</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ind w:left="103" w:right="281"/>
              <w:jc w:val="both"/>
              <w:rPr>
                <w:rFonts w:ascii="宋体" w:hAnsi="宋体" w:cs="宋体" w:eastAsia="宋体" w:hint="default"/>
                <w:sz w:val="21"/>
                <w:szCs w:val="21"/>
              </w:rPr>
            </w:pPr>
            <w:r>
              <w:rPr>
                <w:rFonts w:ascii="宋体" w:hAnsi="宋体" w:cs="宋体" w:eastAsia="宋体" w:hint="default"/>
                <w:sz w:val="21"/>
                <w:szCs w:val="21"/>
              </w:rPr>
              <w:t>用友</w:t>
            </w:r>
            <w:r>
              <w:rPr>
                <w:rFonts w:ascii="宋体" w:hAnsi="宋体" w:cs="宋体" w:eastAsia="宋体" w:hint="default"/>
                <w:spacing w:val="-103"/>
                <w:sz w:val="21"/>
                <w:szCs w:val="21"/>
              </w:rPr>
              <w:t> </w:t>
            </w:r>
            <w:r>
              <w:rPr>
                <w:rFonts w:ascii="宋体" w:hAnsi="宋体" w:cs="宋体" w:eastAsia="宋体" w:hint="default"/>
                <w:sz w:val="21"/>
                <w:szCs w:val="21"/>
              </w:rPr>
              <w:t>幸福</w:t>
            </w:r>
            <w:r>
              <w:rPr>
                <w:rFonts w:ascii="宋体" w:hAnsi="宋体" w:cs="宋体" w:eastAsia="宋体" w:hint="default"/>
                <w:spacing w:val="-103"/>
                <w:sz w:val="21"/>
                <w:szCs w:val="21"/>
              </w:rPr>
              <w:t> </w:t>
            </w:r>
            <w:r>
              <w:rPr>
                <w:rFonts w:ascii="宋体" w:hAnsi="宋体" w:cs="宋体" w:eastAsia="宋体" w:hint="default"/>
                <w:sz w:val="21"/>
                <w:szCs w:val="21"/>
              </w:rPr>
              <w:t>联创</w:t>
            </w:r>
            <w:r>
              <w:rPr>
                <w:rFonts w:ascii="宋体" w:hAnsi="宋体" w:cs="宋体" w:eastAsia="宋体" w:hint="default"/>
                <w:spacing w:val="-103"/>
                <w:sz w:val="21"/>
                <w:szCs w:val="21"/>
              </w:rPr>
              <w:t> </w:t>
            </w:r>
            <w:r>
              <w:rPr>
                <w:rFonts w:ascii="宋体" w:hAnsi="宋体" w:cs="宋体" w:eastAsia="宋体" w:hint="default"/>
                <w:sz w:val="21"/>
                <w:szCs w:val="21"/>
              </w:rPr>
              <w:t>投资</w:t>
            </w:r>
            <w:r>
              <w:rPr>
                <w:rFonts w:ascii="宋体" w:hAnsi="宋体" w:cs="宋体" w:eastAsia="宋体" w:hint="default"/>
                <w:spacing w:val="-103"/>
                <w:sz w:val="21"/>
                <w:szCs w:val="21"/>
              </w:rPr>
              <w:t> </w:t>
            </w:r>
            <w:r>
              <w:rPr>
                <w:rFonts w:ascii="宋体" w:hAnsi="宋体" w:cs="宋体" w:eastAsia="宋体" w:hint="default"/>
                <w:sz w:val="21"/>
                <w:szCs w:val="21"/>
              </w:rPr>
              <w:t>中心</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68,60</w:t>
            </w:r>
          </w:p>
          <w:p>
            <w:pPr>
              <w:pStyle w:val="TableParagraph"/>
              <w:spacing w:line="240" w:lineRule="auto" w:before="1"/>
              <w:ind w:left="170" w:right="0"/>
              <w:jc w:val="left"/>
              <w:rPr>
                <w:rFonts w:ascii="Times New Roman" w:hAnsi="Times New Roman" w:cs="Times New Roman" w:eastAsia="Times New Roman" w:hint="default"/>
                <w:sz w:val="21"/>
                <w:szCs w:val="21"/>
              </w:rPr>
            </w:pPr>
            <w:r>
              <w:rPr>
                <w:rFonts w:ascii="Times New Roman"/>
                <w:sz w:val="21"/>
              </w:rPr>
              <w:t>6,788</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201" w:right="98" w:firstLine="405"/>
              <w:jc w:val="left"/>
              <w:rPr>
                <w:rFonts w:ascii="Times New Roman" w:hAnsi="Times New Roman" w:cs="Times New Roman" w:eastAsia="Times New Roman" w:hint="default"/>
                <w:sz w:val="21"/>
                <w:szCs w:val="21"/>
              </w:rPr>
            </w:pPr>
            <w:r>
              <w:rPr>
                <w:rFonts w:ascii="Times New Roman"/>
                <w:sz w:val="21"/>
              </w:rPr>
              <w:t>-</w:t>
            </w:r>
            <w:r>
              <w:rPr>
                <w:rFonts w:ascii="Times New Roman"/>
                <w:w w:val="100"/>
                <w:sz w:val="21"/>
              </w:rPr>
              <w:t> </w:t>
            </w:r>
            <w:r>
              <w:rPr>
                <w:rFonts w:ascii="Times New Roman"/>
                <w:sz w:val="21"/>
              </w:rPr>
              <w:t>839,5</w:t>
            </w:r>
          </w:p>
          <w:p>
            <w:pPr>
              <w:pStyle w:val="TableParagraph"/>
              <w:spacing w:line="240" w:lineRule="exact"/>
              <w:ind w:left="463" w:right="0"/>
              <w:jc w:val="left"/>
              <w:rPr>
                <w:rFonts w:ascii="Times New Roman" w:hAnsi="Times New Roman" w:cs="Times New Roman" w:eastAsia="Times New Roman" w:hint="default"/>
                <w:sz w:val="21"/>
                <w:szCs w:val="21"/>
              </w:rPr>
            </w:pPr>
            <w:r>
              <w:rPr>
                <w:rFonts w:ascii="Times New Roman"/>
                <w:sz w:val="21"/>
              </w:rPr>
              <w:t>92</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84" w:right="0"/>
              <w:jc w:val="left"/>
              <w:rPr>
                <w:rFonts w:ascii="Times New Roman" w:hAnsi="Times New Roman" w:cs="Times New Roman" w:eastAsia="Times New Roman" w:hint="default"/>
                <w:sz w:val="21"/>
                <w:szCs w:val="21"/>
              </w:rPr>
            </w:pPr>
            <w:r>
              <w:rPr>
                <w:rFonts w:ascii="Times New Roman"/>
                <w:sz w:val="21"/>
              </w:rPr>
              <w:t>67,76</w:t>
            </w:r>
          </w:p>
          <w:p>
            <w:pPr>
              <w:pStyle w:val="TableParagraph"/>
              <w:spacing w:line="240" w:lineRule="auto" w:before="1"/>
              <w:ind w:left="184" w:right="0"/>
              <w:jc w:val="left"/>
              <w:rPr>
                <w:rFonts w:ascii="Times New Roman" w:hAnsi="Times New Roman" w:cs="Times New Roman" w:eastAsia="Times New Roman" w:hint="default"/>
                <w:sz w:val="21"/>
                <w:szCs w:val="21"/>
              </w:rPr>
            </w:pPr>
            <w:r>
              <w:rPr>
                <w:rFonts w:ascii="Times New Roman"/>
                <w:sz w:val="21"/>
              </w:rPr>
              <w:t>7,196</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918"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both"/>
              <w:rPr>
                <w:rFonts w:ascii="宋体" w:hAnsi="宋体" w:cs="宋体" w:eastAsia="宋体" w:hint="default"/>
                <w:sz w:val="21"/>
                <w:szCs w:val="21"/>
              </w:rPr>
            </w:pPr>
            <w:r>
              <w:rPr>
                <w:rFonts w:ascii="宋体" w:hAnsi="宋体" w:cs="宋体" w:eastAsia="宋体" w:hint="default"/>
                <w:sz w:val="21"/>
                <w:szCs w:val="21"/>
              </w:rPr>
              <w:t>用友</w:t>
            </w:r>
          </w:p>
          <w:p>
            <w:pPr>
              <w:pStyle w:val="TableParagraph"/>
              <w:spacing w:line="237" w:lineRule="auto" w:before="1"/>
              <w:ind w:left="103" w:right="281"/>
              <w:jc w:val="both"/>
              <w:rPr>
                <w:rFonts w:ascii="宋体" w:hAnsi="宋体" w:cs="宋体" w:eastAsia="宋体" w:hint="default"/>
                <w:sz w:val="21"/>
                <w:szCs w:val="21"/>
              </w:rPr>
            </w:pPr>
            <w:r>
              <w:rPr>
                <w:rFonts w:ascii="宋体" w:hAnsi="宋体" w:cs="宋体" w:eastAsia="宋体" w:hint="default"/>
                <w:sz w:val="21"/>
                <w:szCs w:val="21"/>
              </w:rPr>
              <w:t>深圳</w:t>
            </w:r>
            <w:r>
              <w:rPr>
                <w:rFonts w:ascii="宋体" w:hAnsi="宋体" w:cs="宋体" w:eastAsia="宋体" w:hint="default"/>
                <w:spacing w:val="-103"/>
                <w:sz w:val="21"/>
                <w:szCs w:val="21"/>
              </w:rPr>
              <w:t> </w:t>
            </w:r>
            <w:r>
              <w:rPr>
                <w:rFonts w:ascii="宋体" w:hAnsi="宋体" w:cs="宋体" w:eastAsia="宋体" w:hint="default"/>
                <w:sz w:val="21"/>
                <w:szCs w:val="21"/>
              </w:rPr>
              <w:t>商业</w:t>
            </w:r>
            <w:r>
              <w:rPr>
                <w:rFonts w:ascii="宋体" w:hAnsi="宋体" w:cs="宋体" w:eastAsia="宋体" w:hint="default"/>
                <w:spacing w:val="-103"/>
                <w:sz w:val="21"/>
                <w:szCs w:val="21"/>
              </w:rPr>
              <w:t> </w:t>
            </w:r>
            <w:r>
              <w:rPr>
                <w:rFonts w:ascii="宋体" w:hAnsi="宋体" w:cs="宋体" w:eastAsia="宋体" w:hint="default"/>
                <w:sz w:val="21"/>
                <w:szCs w:val="21"/>
              </w:rPr>
              <w:t>保理</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责任</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1" w:lineRule="exact" w:before="127"/>
              <w:ind w:left="170" w:right="0"/>
              <w:jc w:val="left"/>
              <w:rPr>
                <w:rFonts w:ascii="Times New Roman" w:hAnsi="Times New Roman" w:cs="Times New Roman" w:eastAsia="Times New Roman" w:hint="default"/>
                <w:sz w:val="21"/>
                <w:szCs w:val="21"/>
              </w:rPr>
            </w:pPr>
            <w:r>
              <w:rPr>
                <w:rFonts w:ascii="Times New Roman"/>
                <w:sz w:val="21"/>
              </w:rPr>
              <w:t>43,40</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6,387</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1" w:lineRule="exact" w:before="127"/>
              <w:ind w:left="148" w:right="0"/>
              <w:jc w:val="left"/>
              <w:rPr>
                <w:rFonts w:ascii="Times New Roman" w:hAnsi="Times New Roman" w:cs="Times New Roman" w:eastAsia="Times New Roman" w:hint="default"/>
                <w:sz w:val="21"/>
                <w:szCs w:val="21"/>
              </w:rPr>
            </w:pPr>
            <w:r>
              <w:rPr>
                <w:rFonts w:ascii="Times New Roman"/>
                <w:sz w:val="21"/>
              </w:rPr>
              <w:t>1,356,</w:t>
            </w:r>
          </w:p>
          <w:p>
            <w:pPr>
              <w:pStyle w:val="TableParagraph"/>
              <w:spacing w:line="241" w:lineRule="exact"/>
              <w:ind w:left="359" w:right="0"/>
              <w:jc w:val="left"/>
              <w:rPr>
                <w:rFonts w:ascii="Times New Roman" w:hAnsi="Times New Roman" w:cs="Times New Roman" w:eastAsia="Times New Roman" w:hint="default"/>
                <w:sz w:val="21"/>
                <w:szCs w:val="21"/>
              </w:rPr>
            </w:pPr>
            <w:r>
              <w:rPr>
                <w:rFonts w:ascii="Times New Roman"/>
                <w:sz w:val="21"/>
              </w:rPr>
              <w:t>078</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1" w:lineRule="exact" w:before="127"/>
              <w:ind w:left="184" w:right="0"/>
              <w:jc w:val="left"/>
              <w:rPr>
                <w:rFonts w:ascii="Times New Roman" w:hAnsi="Times New Roman" w:cs="Times New Roman" w:eastAsia="Times New Roman" w:hint="default"/>
                <w:sz w:val="21"/>
                <w:szCs w:val="21"/>
              </w:rPr>
            </w:pPr>
            <w:r>
              <w:rPr>
                <w:rFonts w:ascii="Times New Roman"/>
                <w:sz w:val="21"/>
              </w:rPr>
              <w:t>44,76</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2,465</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373"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博晨</w:t>
            </w:r>
            <w:r>
              <w:rPr>
                <w:rFonts w:ascii="宋体" w:hAnsi="宋体" w:cs="宋体" w:eastAsia="宋体" w:hint="default"/>
                <w:spacing w:val="-103"/>
                <w:sz w:val="21"/>
                <w:szCs w:val="21"/>
              </w:rPr>
              <w:t> </w:t>
            </w:r>
            <w:r>
              <w:rPr>
                <w:rFonts w:ascii="宋体" w:hAnsi="宋体" w:cs="宋体" w:eastAsia="宋体" w:hint="default"/>
                <w:sz w:val="21"/>
                <w:szCs w:val="21"/>
              </w:rPr>
              <w:t>技术</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7"/>
                <w:szCs w:val="27"/>
              </w:rPr>
            </w:pPr>
          </w:p>
          <w:p>
            <w:pPr>
              <w:pStyle w:val="TableParagraph"/>
              <w:spacing w:line="241" w:lineRule="exact"/>
              <w:ind w:left="117" w:right="0"/>
              <w:jc w:val="left"/>
              <w:rPr>
                <w:rFonts w:ascii="Times New Roman" w:hAnsi="Times New Roman" w:cs="Times New Roman" w:eastAsia="Times New Roman" w:hint="default"/>
                <w:sz w:val="21"/>
                <w:szCs w:val="21"/>
              </w:rPr>
            </w:pPr>
            <w:r>
              <w:rPr>
                <w:rFonts w:ascii="Times New Roman"/>
                <w:sz w:val="21"/>
              </w:rPr>
              <w:t>7,556,</w:t>
            </w:r>
          </w:p>
          <w:p>
            <w:pPr>
              <w:pStyle w:val="TableParagraph"/>
              <w:spacing w:line="241" w:lineRule="exact"/>
              <w:ind w:left="328" w:right="0"/>
              <w:jc w:val="left"/>
              <w:rPr>
                <w:rFonts w:ascii="Times New Roman" w:hAnsi="Times New Roman" w:cs="Times New Roman" w:eastAsia="Times New Roman" w:hint="default"/>
                <w:sz w:val="21"/>
                <w:szCs w:val="21"/>
              </w:rPr>
            </w:pPr>
            <w:r>
              <w:rPr>
                <w:rFonts w:ascii="Times New Roman"/>
                <w:sz w:val="21"/>
              </w:rPr>
              <w:t>730</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1" w:lineRule="exact"/>
              <w:ind w:right="99"/>
              <w:jc w:val="right"/>
              <w:rPr>
                <w:rFonts w:ascii="Times New Roman" w:hAnsi="Times New Roman" w:cs="Times New Roman" w:eastAsia="Times New Roman" w:hint="default"/>
                <w:sz w:val="21"/>
                <w:szCs w:val="21"/>
              </w:rPr>
            </w:pPr>
            <w:r>
              <w:rPr>
                <w:rFonts w:ascii="Times New Roman"/>
                <w:sz w:val="21"/>
              </w:rPr>
              <w:t>7,55</w:t>
            </w:r>
          </w:p>
          <w:p>
            <w:pPr>
              <w:pStyle w:val="TableParagraph"/>
              <w:spacing w:line="241" w:lineRule="exact"/>
              <w:ind w:right="99"/>
              <w:jc w:val="right"/>
              <w:rPr>
                <w:rFonts w:ascii="Times New Roman" w:hAnsi="Times New Roman" w:cs="Times New Roman" w:eastAsia="Times New Roman" w:hint="default"/>
                <w:sz w:val="21"/>
                <w:szCs w:val="21"/>
              </w:rPr>
            </w:pPr>
            <w:r>
              <w:rPr>
                <w:rFonts w:ascii="Times New Roman"/>
                <w:sz w:val="21"/>
              </w:rPr>
              <w:t>6,73</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0</w:t>
            </w: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2" w:footer="1195" w:top="1080" w:bottom="1380" w:left="1060" w:right="15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819"/>
        <w:gridCol w:w="758"/>
        <w:gridCol w:w="758"/>
        <w:gridCol w:w="670"/>
        <w:gridCol w:w="787"/>
        <w:gridCol w:w="850"/>
        <w:gridCol w:w="566"/>
        <w:gridCol w:w="785"/>
        <w:gridCol w:w="835"/>
        <w:gridCol w:w="701"/>
        <w:gridCol w:w="771"/>
        <w:gridCol w:w="749"/>
      </w:tblGrid>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西玛</w:t>
            </w:r>
            <w:r>
              <w:rPr>
                <w:rFonts w:ascii="宋体" w:hAnsi="宋体" w:cs="宋体" w:eastAsia="宋体" w:hint="default"/>
                <w:spacing w:val="-103"/>
                <w:sz w:val="21"/>
                <w:szCs w:val="21"/>
              </w:rPr>
              <w:t> </w:t>
            </w:r>
            <w:r>
              <w:rPr>
                <w:rFonts w:ascii="宋体" w:hAnsi="宋体" w:cs="宋体" w:eastAsia="宋体" w:hint="default"/>
                <w:sz w:val="21"/>
                <w:szCs w:val="21"/>
              </w:rPr>
              <w:t>国正</w:t>
            </w:r>
            <w:r>
              <w:rPr>
                <w:rFonts w:ascii="宋体" w:hAnsi="宋体" w:cs="宋体" w:eastAsia="宋体" w:hint="default"/>
                <w:spacing w:val="-103"/>
                <w:sz w:val="21"/>
                <w:szCs w:val="21"/>
              </w:rPr>
              <w:t> </w:t>
            </w:r>
            <w:r>
              <w:rPr>
                <w:rFonts w:ascii="宋体" w:hAnsi="宋体" w:cs="宋体" w:eastAsia="宋体" w:hint="default"/>
                <w:sz w:val="21"/>
                <w:szCs w:val="21"/>
              </w:rPr>
              <w:t>商用</w:t>
            </w:r>
            <w:r>
              <w:rPr>
                <w:rFonts w:ascii="宋体" w:hAnsi="宋体" w:cs="宋体" w:eastAsia="宋体" w:hint="default"/>
                <w:spacing w:val="-103"/>
                <w:sz w:val="21"/>
                <w:szCs w:val="21"/>
              </w:rPr>
              <w:t> </w:t>
            </w:r>
            <w:r>
              <w:rPr>
                <w:rFonts w:ascii="宋体" w:hAnsi="宋体" w:cs="宋体" w:eastAsia="宋体" w:hint="default"/>
                <w:sz w:val="21"/>
                <w:szCs w:val="21"/>
              </w:rPr>
              <w:t>表单</w:t>
            </w:r>
            <w:r>
              <w:rPr>
                <w:rFonts w:ascii="宋体" w:hAnsi="宋体" w:cs="宋体" w:eastAsia="宋体" w:hint="default"/>
                <w:spacing w:val="-103"/>
                <w:sz w:val="21"/>
                <w:szCs w:val="21"/>
              </w:rPr>
              <w:t> </w:t>
            </w:r>
            <w:r>
              <w:rPr>
                <w:rFonts w:ascii="宋体" w:hAnsi="宋体" w:cs="宋体" w:eastAsia="宋体" w:hint="default"/>
                <w:sz w:val="21"/>
                <w:szCs w:val="21"/>
              </w:rPr>
              <w:t>技术</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1" w:lineRule="exact"/>
              <w:ind w:left="117" w:right="0"/>
              <w:jc w:val="left"/>
              <w:rPr>
                <w:rFonts w:ascii="Times New Roman" w:hAnsi="Times New Roman" w:cs="Times New Roman" w:eastAsia="Times New Roman" w:hint="default"/>
                <w:sz w:val="21"/>
                <w:szCs w:val="21"/>
              </w:rPr>
            </w:pPr>
            <w:r>
              <w:rPr>
                <w:rFonts w:ascii="Times New Roman"/>
                <w:sz w:val="21"/>
              </w:rPr>
              <w:t>8,979,</w:t>
            </w:r>
          </w:p>
          <w:p>
            <w:pPr>
              <w:pStyle w:val="TableParagraph"/>
              <w:spacing w:line="241" w:lineRule="exact"/>
              <w:ind w:left="328" w:right="0"/>
              <w:jc w:val="left"/>
              <w:rPr>
                <w:rFonts w:ascii="Times New Roman" w:hAnsi="Times New Roman" w:cs="Times New Roman" w:eastAsia="Times New Roman" w:hint="default"/>
                <w:sz w:val="21"/>
                <w:szCs w:val="21"/>
              </w:rPr>
            </w:pPr>
            <w:r>
              <w:rPr>
                <w:rFonts w:ascii="Times New Roman"/>
                <w:sz w:val="21"/>
              </w:rPr>
              <w:t>327</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8"/>
                <w:szCs w:val="2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3,49</w:t>
            </w:r>
          </w:p>
          <w:p>
            <w:pPr>
              <w:pStyle w:val="TableParagraph"/>
              <w:spacing w:line="240" w:lineRule="auto" w:before="1"/>
              <w:ind w:right="99"/>
              <w:jc w:val="right"/>
              <w:rPr>
                <w:rFonts w:ascii="Times New Roman" w:hAnsi="Times New Roman" w:cs="Times New Roman" w:eastAsia="Times New Roman" w:hint="default"/>
                <w:sz w:val="21"/>
                <w:szCs w:val="21"/>
              </w:rPr>
            </w:pPr>
            <w:r>
              <w:rPr>
                <w:rFonts w:ascii="Times New Roman"/>
                <w:sz w:val="21"/>
              </w:rPr>
              <w:t>0,75</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1" w:lineRule="exact"/>
              <w:ind w:left="201" w:right="0"/>
              <w:jc w:val="left"/>
              <w:rPr>
                <w:rFonts w:ascii="Times New Roman" w:hAnsi="Times New Roman" w:cs="Times New Roman" w:eastAsia="Times New Roman" w:hint="default"/>
                <w:sz w:val="21"/>
                <w:szCs w:val="21"/>
              </w:rPr>
            </w:pPr>
            <w:r>
              <w:rPr>
                <w:rFonts w:ascii="Times New Roman"/>
                <w:sz w:val="21"/>
              </w:rPr>
              <w:t>909,4</w:t>
            </w:r>
          </w:p>
          <w:p>
            <w:pPr>
              <w:pStyle w:val="TableParagraph"/>
              <w:spacing w:line="241" w:lineRule="exact"/>
              <w:ind w:left="463" w:right="0"/>
              <w:jc w:val="left"/>
              <w:rPr>
                <w:rFonts w:ascii="Times New Roman" w:hAnsi="Times New Roman" w:cs="Times New Roman" w:eastAsia="Times New Roman" w:hint="default"/>
                <w:sz w:val="21"/>
                <w:szCs w:val="21"/>
              </w:rPr>
            </w:pPr>
            <w:r>
              <w:rPr>
                <w:rFonts w:ascii="Times New Roman"/>
                <w:sz w:val="21"/>
              </w:rPr>
              <w:t>75</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1" w:lineRule="exact"/>
              <w:ind w:left="131" w:right="0"/>
              <w:jc w:val="left"/>
              <w:rPr>
                <w:rFonts w:ascii="Times New Roman" w:hAnsi="Times New Roman" w:cs="Times New Roman" w:eastAsia="Times New Roman" w:hint="default"/>
                <w:sz w:val="21"/>
                <w:szCs w:val="21"/>
              </w:rPr>
            </w:pPr>
            <w:r>
              <w:rPr>
                <w:rFonts w:ascii="Times New Roman"/>
                <w:sz w:val="21"/>
              </w:rPr>
              <w:t>6,398,</w:t>
            </w:r>
          </w:p>
          <w:p>
            <w:pPr>
              <w:pStyle w:val="TableParagraph"/>
              <w:spacing w:line="241" w:lineRule="exact"/>
              <w:ind w:left="343" w:right="0"/>
              <w:jc w:val="left"/>
              <w:rPr>
                <w:rFonts w:ascii="Times New Roman" w:hAnsi="Times New Roman" w:cs="Times New Roman" w:eastAsia="Times New Roman" w:hint="default"/>
                <w:sz w:val="21"/>
                <w:szCs w:val="21"/>
              </w:rPr>
            </w:pPr>
            <w:r>
              <w:rPr>
                <w:rFonts w:ascii="Times New Roman"/>
                <w:sz w:val="21"/>
              </w:rPr>
              <w:t>051</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众享</w:t>
            </w:r>
            <w:r>
              <w:rPr>
                <w:rFonts w:ascii="宋体" w:hAnsi="宋体" w:cs="宋体" w:eastAsia="宋体" w:hint="default"/>
                <w:spacing w:val="-103"/>
                <w:sz w:val="21"/>
                <w:szCs w:val="21"/>
              </w:rPr>
              <w:t> </w:t>
            </w:r>
            <w:r>
              <w:rPr>
                <w:rFonts w:ascii="宋体" w:hAnsi="宋体" w:cs="宋体" w:eastAsia="宋体" w:hint="default"/>
                <w:sz w:val="21"/>
                <w:szCs w:val="21"/>
              </w:rPr>
              <w:t>比特</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18,30</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1,560</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1" w:lineRule="exact"/>
              <w:ind w:left="201" w:right="0"/>
              <w:jc w:val="left"/>
              <w:rPr>
                <w:rFonts w:ascii="Times New Roman" w:hAnsi="Times New Roman" w:cs="Times New Roman" w:eastAsia="Times New Roman" w:hint="default"/>
                <w:sz w:val="21"/>
                <w:szCs w:val="21"/>
              </w:rPr>
            </w:pPr>
            <w:r>
              <w:rPr>
                <w:rFonts w:ascii="Times New Roman"/>
                <w:sz w:val="21"/>
              </w:rPr>
              <w:t>298,9</w:t>
            </w:r>
          </w:p>
          <w:p>
            <w:pPr>
              <w:pStyle w:val="TableParagraph"/>
              <w:spacing w:line="241" w:lineRule="exact"/>
              <w:ind w:left="463" w:right="0"/>
              <w:jc w:val="left"/>
              <w:rPr>
                <w:rFonts w:ascii="Times New Roman" w:hAnsi="Times New Roman" w:cs="Times New Roman" w:eastAsia="Times New Roman" w:hint="default"/>
                <w:sz w:val="21"/>
                <w:szCs w:val="21"/>
              </w:rPr>
            </w:pPr>
            <w:r>
              <w:rPr>
                <w:rFonts w:ascii="Times New Roman"/>
                <w:sz w:val="21"/>
              </w:rPr>
              <w:t>08</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18,60</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0,468</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918"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传奇</w:t>
            </w:r>
            <w:r>
              <w:rPr>
                <w:rFonts w:ascii="宋体" w:hAnsi="宋体" w:cs="宋体" w:eastAsia="宋体" w:hint="default"/>
                <w:spacing w:val="-103"/>
                <w:sz w:val="21"/>
                <w:szCs w:val="21"/>
              </w:rPr>
              <w:t> </w:t>
            </w:r>
            <w:r>
              <w:rPr>
                <w:rFonts w:ascii="宋体" w:hAnsi="宋体" w:cs="宋体" w:eastAsia="宋体" w:hint="default"/>
                <w:sz w:val="21"/>
                <w:szCs w:val="21"/>
              </w:rPr>
              <w:t>极客</w:t>
            </w:r>
            <w:r>
              <w:rPr>
                <w:rFonts w:ascii="宋体" w:hAnsi="宋体" w:cs="宋体" w:eastAsia="宋体" w:hint="default"/>
                <w:spacing w:val="-103"/>
                <w:sz w:val="21"/>
                <w:szCs w:val="21"/>
              </w:rPr>
              <w:t> </w:t>
            </w:r>
            <w:r>
              <w:rPr>
                <w:rFonts w:ascii="宋体" w:hAnsi="宋体" w:cs="宋体" w:eastAsia="宋体" w:hint="default"/>
                <w:sz w:val="21"/>
                <w:szCs w:val="21"/>
              </w:rPr>
              <w:t>管理</w:t>
            </w:r>
            <w:r>
              <w:rPr>
                <w:rFonts w:ascii="宋体" w:hAnsi="宋体" w:cs="宋体" w:eastAsia="宋体" w:hint="default"/>
                <w:spacing w:val="-103"/>
                <w:sz w:val="21"/>
                <w:szCs w:val="21"/>
              </w:rPr>
              <w:t> </w:t>
            </w:r>
            <w:r>
              <w:rPr>
                <w:rFonts w:ascii="宋体" w:hAnsi="宋体" w:cs="宋体" w:eastAsia="宋体" w:hint="default"/>
                <w:sz w:val="21"/>
                <w:szCs w:val="21"/>
              </w:rPr>
              <w:t>咨询</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1" w:lineRule="exact"/>
              <w:ind w:left="117" w:right="0"/>
              <w:jc w:val="left"/>
              <w:rPr>
                <w:rFonts w:ascii="Times New Roman" w:hAnsi="Times New Roman" w:cs="Times New Roman" w:eastAsia="Times New Roman" w:hint="default"/>
                <w:sz w:val="21"/>
                <w:szCs w:val="21"/>
              </w:rPr>
            </w:pPr>
            <w:r>
              <w:rPr>
                <w:rFonts w:ascii="Times New Roman"/>
                <w:sz w:val="21"/>
              </w:rPr>
              <w:t>5,317,</w:t>
            </w:r>
          </w:p>
          <w:p>
            <w:pPr>
              <w:pStyle w:val="TableParagraph"/>
              <w:spacing w:line="241" w:lineRule="exact"/>
              <w:ind w:left="328" w:right="0"/>
              <w:jc w:val="left"/>
              <w:rPr>
                <w:rFonts w:ascii="Times New Roman" w:hAnsi="Times New Roman" w:cs="Times New Roman" w:eastAsia="Times New Roman" w:hint="default"/>
                <w:sz w:val="21"/>
                <w:szCs w:val="21"/>
              </w:rPr>
            </w:pPr>
            <w:r>
              <w:rPr>
                <w:rFonts w:ascii="Times New Roman"/>
                <w:sz w:val="21"/>
              </w:rPr>
              <w:t>188</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1" w:lineRule="exact"/>
              <w:ind w:left="117" w:right="0"/>
              <w:jc w:val="left"/>
              <w:rPr>
                <w:rFonts w:ascii="Times New Roman" w:hAnsi="Times New Roman" w:cs="Times New Roman" w:eastAsia="Times New Roman" w:hint="default"/>
                <w:sz w:val="21"/>
                <w:szCs w:val="21"/>
              </w:rPr>
            </w:pPr>
            <w:r>
              <w:rPr>
                <w:rFonts w:ascii="Times New Roman"/>
                <w:sz w:val="21"/>
              </w:rPr>
              <w:t>1,131,</w:t>
            </w:r>
          </w:p>
          <w:p>
            <w:pPr>
              <w:pStyle w:val="TableParagraph"/>
              <w:spacing w:line="241" w:lineRule="exact"/>
              <w:ind w:left="328" w:right="0"/>
              <w:jc w:val="left"/>
              <w:rPr>
                <w:rFonts w:ascii="Times New Roman" w:hAnsi="Times New Roman" w:cs="Times New Roman" w:eastAsia="Times New Roman" w:hint="default"/>
                <w:sz w:val="21"/>
                <w:szCs w:val="21"/>
              </w:rPr>
            </w:pPr>
            <w:r>
              <w:rPr>
                <w:rFonts w:ascii="Times New Roman"/>
                <w:sz w:val="21"/>
              </w:rPr>
              <w:t>387</w:t>
            </w: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1" w:lineRule="exact"/>
              <w:ind w:left="131" w:right="0"/>
              <w:jc w:val="left"/>
              <w:rPr>
                <w:rFonts w:ascii="Times New Roman" w:hAnsi="Times New Roman" w:cs="Times New Roman" w:eastAsia="Times New Roman" w:hint="default"/>
                <w:sz w:val="21"/>
                <w:szCs w:val="21"/>
              </w:rPr>
            </w:pPr>
            <w:r>
              <w:rPr>
                <w:rFonts w:ascii="Times New Roman"/>
                <w:sz w:val="21"/>
              </w:rPr>
              <w:t>-567,9</w:t>
            </w:r>
          </w:p>
          <w:p>
            <w:pPr>
              <w:pStyle w:val="TableParagraph"/>
              <w:spacing w:line="241" w:lineRule="exact"/>
              <w:ind w:left="463" w:right="0"/>
              <w:jc w:val="left"/>
              <w:rPr>
                <w:rFonts w:ascii="Times New Roman" w:hAnsi="Times New Roman" w:cs="Times New Roman" w:eastAsia="Times New Roman" w:hint="default"/>
                <w:sz w:val="21"/>
                <w:szCs w:val="21"/>
              </w:rPr>
            </w:pPr>
            <w:r>
              <w:rPr>
                <w:rFonts w:ascii="Times New Roman"/>
                <w:sz w:val="21"/>
              </w:rPr>
              <w:t>04</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4"/>
              <w:ind w:left="131" w:right="0"/>
              <w:jc w:val="left"/>
              <w:rPr>
                <w:rFonts w:ascii="Times New Roman" w:hAnsi="Times New Roman" w:cs="Times New Roman" w:eastAsia="Times New Roman" w:hint="default"/>
                <w:sz w:val="21"/>
                <w:szCs w:val="21"/>
              </w:rPr>
            </w:pPr>
            <w:r>
              <w:rPr>
                <w:rFonts w:ascii="Times New Roman"/>
                <w:sz w:val="21"/>
              </w:rPr>
              <w:t>5,880,</w:t>
            </w:r>
          </w:p>
          <w:p>
            <w:pPr>
              <w:pStyle w:val="TableParagraph"/>
              <w:spacing w:line="240" w:lineRule="auto" w:before="1"/>
              <w:ind w:left="343" w:right="0"/>
              <w:jc w:val="left"/>
              <w:rPr>
                <w:rFonts w:ascii="Times New Roman" w:hAnsi="Times New Roman" w:cs="Times New Roman" w:eastAsia="Times New Roman" w:hint="default"/>
                <w:sz w:val="21"/>
                <w:szCs w:val="21"/>
              </w:rPr>
            </w:pPr>
            <w:r>
              <w:rPr>
                <w:rFonts w:ascii="Times New Roman"/>
                <w:sz w:val="21"/>
              </w:rPr>
              <w:t>671</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915"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深圳</w:t>
            </w:r>
          </w:p>
          <w:p>
            <w:pPr>
              <w:pStyle w:val="TableParagraph"/>
              <w:spacing w:line="237" w:lineRule="auto"/>
              <w:ind w:left="103" w:right="281"/>
              <w:jc w:val="both"/>
              <w:rPr>
                <w:rFonts w:ascii="宋体" w:hAnsi="宋体" w:cs="宋体" w:eastAsia="宋体" w:hint="default"/>
                <w:sz w:val="21"/>
                <w:szCs w:val="21"/>
              </w:rPr>
            </w:pPr>
            <w:r>
              <w:rPr>
                <w:rFonts w:ascii="宋体" w:hAnsi="宋体" w:cs="宋体" w:eastAsia="宋体" w:hint="default"/>
                <w:sz w:val="21"/>
                <w:szCs w:val="21"/>
              </w:rPr>
              <w:t>市华</w:t>
            </w:r>
            <w:r>
              <w:rPr>
                <w:rFonts w:ascii="宋体" w:hAnsi="宋体" w:cs="宋体" w:eastAsia="宋体" w:hint="default"/>
                <w:spacing w:val="-103"/>
                <w:sz w:val="21"/>
                <w:szCs w:val="21"/>
              </w:rPr>
              <w:t> </w:t>
            </w:r>
            <w:r>
              <w:rPr>
                <w:rFonts w:ascii="宋体" w:hAnsi="宋体" w:cs="宋体" w:eastAsia="宋体" w:hint="default"/>
                <w:sz w:val="21"/>
                <w:szCs w:val="21"/>
              </w:rPr>
              <w:t>傲数</w:t>
            </w:r>
            <w:r>
              <w:rPr>
                <w:rFonts w:ascii="宋体" w:hAnsi="宋体" w:cs="宋体" w:eastAsia="宋体" w:hint="default"/>
                <w:spacing w:val="-103"/>
                <w:sz w:val="21"/>
                <w:szCs w:val="21"/>
              </w:rPr>
              <w:t> </w:t>
            </w:r>
            <w:r>
              <w:rPr>
                <w:rFonts w:ascii="宋体" w:hAnsi="宋体" w:cs="宋体" w:eastAsia="宋体" w:hint="default"/>
                <w:sz w:val="21"/>
                <w:szCs w:val="21"/>
              </w:rPr>
              <w:t>据技</w:t>
            </w:r>
            <w:r>
              <w:rPr>
                <w:rFonts w:ascii="宋体" w:hAnsi="宋体" w:cs="宋体" w:eastAsia="宋体" w:hint="default"/>
                <w:spacing w:val="-103"/>
                <w:sz w:val="21"/>
                <w:szCs w:val="21"/>
              </w:rPr>
              <w:t> </w:t>
            </w:r>
            <w:r>
              <w:rPr>
                <w:rFonts w:ascii="宋体" w:hAnsi="宋体" w:cs="宋体" w:eastAsia="宋体" w:hint="default"/>
                <w:sz w:val="21"/>
                <w:szCs w:val="21"/>
              </w:rPr>
              <w:t>术有</w:t>
            </w:r>
            <w:r>
              <w:rPr>
                <w:rFonts w:ascii="宋体" w:hAnsi="宋体" w:cs="宋体" w:eastAsia="宋体" w:hint="default"/>
                <w:spacing w:val="-103"/>
                <w:sz w:val="21"/>
                <w:szCs w:val="21"/>
              </w:rPr>
              <w:t> </w:t>
            </w:r>
            <w:r>
              <w:rPr>
                <w:rFonts w:ascii="宋体" w:hAnsi="宋体" w:cs="宋体" w:eastAsia="宋体" w:hint="default"/>
                <w:sz w:val="21"/>
                <w:szCs w:val="21"/>
              </w:rPr>
              <w:t>限公</w:t>
            </w:r>
            <w:r>
              <w:rPr>
                <w:rFonts w:ascii="宋体" w:hAnsi="宋体" w:cs="宋体" w:eastAsia="宋体" w:hint="default"/>
                <w:spacing w:val="-103"/>
                <w:sz w:val="21"/>
                <w:szCs w:val="21"/>
              </w:rPr>
              <w:t> </w:t>
            </w:r>
            <w:r>
              <w:rPr>
                <w:rFonts w:ascii="宋体" w:hAnsi="宋体" w:cs="宋体" w:eastAsia="宋体" w:hint="default"/>
                <w:sz w:val="21"/>
                <w:szCs w:val="21"/>
              </w:rPr>
              <w:t>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17" w:right="0"/>
              <w:jc w:val="left"/>
              <w:rPr>
                <w:rFonts w:ascii="Times New Roman" w:hAnsi="Times New Roman" w:cs="Times New Roman" w:eastAsia="Times New Roman" w:hint="default"/>
                <w:sz w:val="21"/>
                <w:szCs w:val="21"/>
              </w:rPr>
            </w:pPr>
            <w:r>
              <w:rPr>
                <w:rFonts w:ascii="Times New Roman"/>
                <w:sz w:val="21"/>
              </w:rPr>
              <w:t>8,272,</w:t>
            </w:r>
          </w:p>
          <w:p>
            <w:pPr>
              <w:pStyle w:val="TableParagraph"/>
              <w:spacing w:line="240" w:lineRule="auto" w:before="1"/>
              <w:ind w:left="328" w:right="0"/>
              <w:jc w:val="left"/>
              <w:rPr>
                <w:rFonts w:ascii="Times New Roman" w:hAnsi="Times New Roman" w:cs="Times New Roman" w:eastAsia="Times New Roman" w:hint="default"/>
                <w:sz w:val="21"/>
                <w:szCs w:val="21"/>
              </w:rPr>
            </w:pPr>
            <w:r>
              <w:rPr>
                <w:rFonts w:ascii="Times New Roman"/>
                <w:sz w:val="21"/>
              </w:rPr>
              <w:t>119</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31" w:right="0"/>
              <w:jc w:val="left"/>
              <w:rPr>
                <w:rFonts w:ascii="Times New Roman" w:hAnsi="Times New Roman" w:cs="Times New Roman" w:eastAsia="Times New Roman" w:hint="default"/>
                <w:sz w:val="21"/>
                <w:szCs w:val="21"/>
              </w:rPr>
            </w:pPr>
            <w:r>
              <w:rPr>
                <w:rFonts w:ascii="Times New Roman"/>
                <w:sz w:val="21"/>
              </w:rPr>
              <w:t>-510,6</w:t>
            </w:r>
          </w:p>
          <w:p>
            <w:pPr>
              <w:pStyle w:val="TableParagraph"/>
              <w:spacing w:line="240" w:lineRule="auto" w:before="1"/>
              <w:ind w:left="463" w:right="0"/>
              <w:jc w:val="left"/>
              <w:rPr>
                <w:rFonts w:ascii="Times New Roman" w:hAnsi="Times New Roman" w:cs="Times New Roman" w:eastAsia="Times New Roman" w:hint="default"/>
                <w:sz w:val="21"/>
                <w:szCs w:val="21"/>
              </w:rPr>
            </w:pPr>
            <w:r>
              <w:rPr>
                <w:rFonts w:ascii="Times New Roman"/>
                <w:sz w:val="21"/>
              </w:rPr>
              <w:t>74</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31" w:right="0"/>
              <w:jc w:val="left"/>
              <w:rPr>
                <w:rFonts w:ascii="Times New Roman" w:hAnsi="Times New Roman" w:cs="Times New Roman" w:eastAsia="Times New Roman" w:hint="default"/>
                <w:sz w:val="21"/>
                <w:szCs w:val="21"/>
              </w:rPr>
            </w:pPr>
            <w:r>
              <w:rPr>
                <w:rFonts w:ascii="Times New Roman"/>
                <w:sz w:val="21"/>
              </w:rPr>
              <w:t>7,761,</w:t>
            </w:r>
          </w:p>
          <w:p>
            <w:pPr>
              <w:pStyle w:val="TableParagraph"/>
              <w:spacing w:line="240" w:lineRule="auto" w:before="1"/>
              <w:ind w:left="343" w:right="0"/>
              <w:jc w:val="left"/>
              <w:rPr>
                <w:rFonts w:ascii="Times New Roman" w:hAnsi="Times New Roman" w:cs="Times New Roman" w:eastAsia="Times New Roman" w:hint="default"/>
                <w:sz w:val="21"/>
                <w:szCs w:val="21"/>
              </w:rPr>
            </w:pPr>
            <w:r>
              <w:rPr>
                <w:rFonts w:ascii="Times New Roman"/>
                <w:sz w:val="21"/>
              </w:rPr>
              <w:t>445</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慧友</w:t>
            </w:r>
            <w:r>
              <w:rPr>
                <w:rFonts w:ascii="宋体" w:hAnsi="宋体" w:cs="宋体" w:eastAsia="宋体" w:hint="default"/>
                <w:spacing w:val="-103"/>
                <w:sz w:val="21"/>
                <w:szCs w:val="21"/>
              </w:rPr>
              <w:t> </w:t>
            </w:r>
            <w:r>
              <w:rPr>
                <w:rFonts w:ascii="宋体" w:hAnsi="宋体" w:cs="宋体" w:eastAsia="宋体" w:hint="default"/>
                <w:sz w:val="21"/>
                <w:szCs w:val="21"/>
              </w:rPr>
              <w:t>云商</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11,80</w:t>
            </w:r>
          </w:p>
          <w:p>
            <w:pPr>
              <w:pStyle w:val="TableParagraph"/>
              <w:spacing w:line="240" w:lineRule="auto" w:before="1"/>
              <w:ind w:left="170" w:right="0"/>
              <w:jc w:val="left"/>
              <w:rPr>
                <w:rFonts w:ascii="Times New Roman" w:hAnsi="Times New Roman" w:cs="Times New Roman" w:eastAsia="Times New Roman" w:hint="default"/>
                <w:sz w:val="21"/>
                <w:szCs w:val="21"/>
              </w:rPr>
            </w:pPr>
            <w:r>
              <w:rPr>
                <w:rFonts w:ascii="Times New Roman"/>
                <w:sz w:val="21"/>
              </w:rPr>
              <w:t>0,680</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43,18</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5</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84" w:right="0"/>
              <w:jc w:val="left"/>
              <w:rPr>
                <w:rFonts w:ascii="Times New Roman" w:hAnsi="Times New Roman" w:cs="Times New Roman" w:eastAsia="Times New Roman" w:hint="default"/>
                <w:sz w:val="21"/>
                <w:szCs w:val="21"/>
              </w:rPr>
            </w:pPr>
            <w:r>
              <w:rPr>
                <w:rFonts w:ascii="Times New Roman"/>
                <w:sz w:val="21"/>
              </w:rPr>
              <w:t>11,84</w:t>
            </w:r>
          </w:p>
          <w:p>
            <w:pPr>
              <w:pStyle w:val="TableParagraph"/>
              <w:spacing w:line="240" w:lineRule="auto" w:before="1"/>
              <w:ind w:left="184" w:right="0"/>
              <w:jc w:val="left"/>
              <w:rPr>
                <w:rFonts w:ascii="Times New Roman" w:hAnsi="Times New Roman" w:cs="Times New Roman" w:eastAsia="Times New Roman" w:hint="default"/>
                <w:sz w:val="21"/>
                <w:szCs w:val="21"/>
              </w:rPr>
            </w:pPr>
            <w:r>
              <w:rPr>
                <w:rFonts w:ascii="Times New Roman"/>
                <w:sz w:val="21"/>
              </w:rPr>
              <w:t>3,865</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珊瑚</w:t>
            </w:r>
            <w:r>
              <w:rPr>
                <w:rFonts w:ascii="宋体" w:hAnsi="宋体" w:cs="宋体" w:eastAsia="宋体" w:hint="default"/>
                <w:spacing w:val="-103"/>
                <w:sz w:val="21"/>
                <w:szCs w:val="21"/>
              </w:rPr>
              <w:t> </w:t>
            </w:r>
            <w:r>
              <w:rPr>
                <w:rFonts w:ascii="宋体" w:hAnsi="宋体" w:cs="宋体" w:eastAsia="宋体" w:hint="default"/>
                <w:sz w:val="21"/>
                <w:szCs w:val="21"/>
              </w:rPr>
              <w:t>灵御</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z w:val="21"/>
              </w:rPr>
              <w:t>55,44</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1</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131" w:right="0"/>
              <w:jc w:val="left"/>
              <w:rPr>
                <w:rFonts w:ascii="Times New Roman" w:hAnsi="Times New Roman" w:cs="Times New Roman" w:eastAsia="Times New Roman" w:hint="default"/>
                <w:sz w:val="21"/>
                <w:szCs w:val="21"/>
              </w:rPr>
            </w:pPr>
            <w:r>
              <w:rPr>
                <w:rFonts w:ascii="Times New Roman"/>
                <w:sz w:val="21"/>
              </w:rPr>
              <w:t>-2,344</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53,09</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7</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99" w:right="0"/>
              <w:jc w:val="left"/>
              <w:rPr>
                <w:rFonts w:ascii="Times New Roman" w:hAnsi="Times New Roman" w:cs="Times New Roman" w:eastAsia="Times New Roman" w:hint="default"/>
                <w:sz w:val="21"/>
                <w:szCs w:val="21"/>
              </w:rPr>
            </w:pPr>
            <w:r>
              <w:rPr>
                <w:rFonts w:ascii="Times New Roman"/>
                <w:sz w:val="21"/>
              </w:rPr>
              <w:t>-9,02</w:t>
            </w:r>
          </w:p>
          <w:p>
            <w:pPr>
              <w:pStyle w:val="TableParagraph"/>
              <w:spacing w:line="240" w:lineRule="auto" w:before="1"/>
              <w:ind w:left="163" w:right="0"/>
              <w:jc w:val="left"/>
              <w:rPr>
                <w:rFonts w:ascii="Times New Roman" w:hAnsi="Times New Roman" w:cs="Times New Roman" w:eastAsia="Times New Roman" w:hint="default"/>
                <w:sz w:val="21"/>
                <w:szCs w:val="21"/>
              </w:rPr>
            </w:pPr>
            <w:r>
              <w:rPr>
                <w:rFonts w:ascii="Times New Roman"/>
                <w:sz w:val="21"/>
              </w:rPr>
              <w:t>0,365</w:t>
            </w:r>
          </w:p>
        </w:tc>
      </w:tr>
      <w:tr>
        <w:trPr>
          <w:trHeight w:val="1645"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易特</w:t>
            </w:r>
            <w:r>
              <w:rPr>
                <w:rFonts w:ascii="宋体" w:hAnsi="宋体" w:cs="宋体" w:eastAsia="宋体" w:hint="default"/>
                <w:spacing w:val="-103"/>
                <w:sz w:val="21"/>
                <w:szCs w:val="21"/>
              </w:rPr>
              <w:t> </w:t>
            </w:r>
            <w:r>
              <w:rPr>
                <w:rFonts w:ascii="宋体" w:hAnsi="宋体" w:cs="宋体" w:eastAsia="宋体" w:hint="default"/>
                <w:sz w:val="21"/>
                <w:szCs w:val="21"/>
              </w:rPr>
              <w:t>创思</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10,28</w:t>
            </w:r>
          </w:p>
          <w:p>
            <w:pPr>
              <w:pStyle w:val="TableParagraph"/>
              <w:spacing w:line="240" w:lineRule="auto" w:before="1"/>
              <w:ind w:left="170" w:right="0"/>
              <w:jc w:val="left"/>
              <w:rPr>
                <w:rFonts w:ascii="Times New Roman" w:hAnsi="Times New Roman" w:cs="Times New Roman" w:eastAsia="Times New Roman" w:hint="default"/>
                <w:sz w:val="21"/>
                <w:szCs w:val="21"/>
              </w:rPr>
            </w:pPr>
            <w:r>
              <w:rPr>
                <w:rFonts w:ascii="Times New Roman"/>
                <w:sz w:val="21"/>
              </w:rPr>
              <w:t>0,905</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201" w:right="0"/>
              <w:jc w:val="left"/>
              <w:rPr>
                <w:rFonts w:ascii="Times New Roman" w:hAnsi="Times New Roman" w:cs="Times New Roman" w:eastAsia="Times New Roman" w:hint="default"/>
                <w:sz w:val="21"/>
                <w:szCs w:val="21"/>
              </w:rPr>
            </w:pPr>
            <w:r>
              <w:rPr>
                <w:rFonts w:ascii="Times New Roman"/>
                <w:sz w:val="21"/>
              </w:rPr>
              <w:t>649,7</w:t>
            </w:r>
          </w:p>
          <w:p>
            <w:pPr>
              <w:pStyle w:val="TableParagraph"/>
              <w:spacing w:line="240" w:lineRule="auto" w:before="1"/>
              <w:ind w:left="463" w:right="0"/>
              <w:jc w:val="left"/>
              <w:rPr>
                <w:rFonts w:ascii="Times New Roman" w:hAnsi="Times New Roman" w:cs="Times New Roman" w:eastAsia="Times New Roman" w:hint="default"/>
                <w:sz w:val="21"/>
                <w:szCs w:val="21"/>
              </w:rPr>
            </w:pPr>
            <w:r>
              <w:rPr>
                <w:rFonts w:ascii="Times New Roman"/>
                <w:sz w:val="21"/>
              </w:rPr>
              <w:t>40</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84" w:right="0"/>
              <w:jc w:val="left"/>
              <w:rPr>
                <w:rFonts w:ascii="Times New Roman" w:hAnsi="Times New Roman" w:cs="Times New Roman" w:eastAsia="Times New Roman" w:hint="default"/>
                <w:sz w:val="21"/>
                <w:szCs w:val="21"/>
              </w:rPr>
            </w:pPr>
            <w:r>
              <w:rPr>
                <w:rFonts w:ascii="Times New Roman"/>
                <w:sz w:val="21"/>
              </w:rPr>
              <w:t>10,93</w:t>
            </w:r>
          </w:p>
          <w:p>
            <w:pPr>
              <w:pStyle w:val="TableParagraph"/>
              <w:spacing w:line="240" w:lineRule="auto" w:before="1"/>
              <w:ind w:left="184" w:right="0"/>
              <w:jc w:val="left"/>
              <w:rPr>
                <w:rFonts w:ascii="Times New Roman" w:hAnsi="Times New Roman" w:cs="Times New Roman" w:eastAsia="Times New Roman" w:hint="default"/>
                <w:sz w:val="21"/>
                <w:szCs w:val="21"/>
              </w:rPr>
            </w:pPr>
            <w:r>
              <w:rPr>
                <w:rFonts w:ascii="Times New Roman"/>
                <w:sz w:val="21"/>
              </w:rPr>
              <w:t>0,645</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智启</w:t>
            </w:r>
            <w:r>
              <w:rPr>
                <w:rFonts w:ascii="宋体" w:hAnsi="宋体" w:cs="宋体" w:eastAsia="宋体" w:hint="default"/>
                <w:spacing w:val="-103"/>
                <w:sz w:val="21"/>
                <w:szCs w:val="21"/>
              </w:rPr>
              <w:t> </w:t>
            </w:r>
            <w:r>
              <w:rPr>
                <w:rFonts w:ascii="宋体" w:hAnsi="宋体" w:cs="宋体" w:eastAsia="宋体" w:hint="default"/>
                <w:sz w:val="21"/>
                <w:szCs w:val="21"/>
              </w:rPr>
              <w:t>蓝墨</w:t>
            </w:r>
            <w:r>
              <w:rPr>
                <w:rFonts w:ascii="宋体" w:hAnsi="宋体" w:cs="宋体" w:eastAsia="宋体" w:hint="default"/>
                <w:spacing w:val="-103"/>
                <w:sz w:val="21"/>
                <w:szCs w:val="21"/>
              </w:rPr>
              <w:t> </w:t>
            </w:r>
            <w:r>
              <w:rPr>
                <w:rFonts w:ascii="宋体" w:hAnsi="宋体" w:cs="宋体" w:eastAsia="宋体" w:hint="default"/>
                <w:sz w:val="21"/>
                <w:szCs w:val="21"/>
              </w:rPr>
              <w:t>信息</w:t>
            </w:r>
            <w:r>
              <w:rPr>
                <w:rFonts w:ascii="宋体" w:hAnsi="宋体" w:cs="宋体" w:eastAsia="宋体" w:hint="default"/>
                <w:spacing w:val="-103"/>
                <w:sz w:val="21"/>
                <w:szCs w:val="21"/>
              </w:rPr>
              <w:t> </w:t>
            </w:r>
            <w:r>
              <w:rPr>
                <w:rFonts w:ascii="宋体" w:hAnsi="宋体" w:cs="宋体" w:eastAsia="宋体" w:hint="default"/>
                <w:sz w:val="21"/>
                <w:szCs w:val="21"/>
              </w:rPr>
              <w:t>技术</w:t>
            </w:r>
            <w:r>
              <w:rPr>
                <w:rFonts w:ascii="宋体" w:hAnsi="宋体" w:cs="宋体" w:eastAsia="宋体" w:hint="default"/>
                <w:spacing w:val="-103"/>
                <w:sz w:val="21"/>
                <w:szCs w:val="21"/>
              </w:rPr>
              <w:t> </w:t>
            </w:r>
            <w:r>
              <w:rPr>
                <w:rFonts w:ascii="宋体" w:hAnsi="宋体" w:cs="宋体" w:eastAsia="宋体" w:hint="default"/>
                <w:sz w:val="21"/>
                <w:szCs w:val="21"/>
              </w:rPr>
              <w:t>有限</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15,54</w:t>
            </w:r>
          </w:p>
          <w:p>
            <w:pPr>
              <w:pStyle w:val="TableParagraph"/>
              <w:spacing w:line="240" w:lineRule="auto" w:before="1"/>
              <w:ind w:left="170" w:right="0"/>
              <w:jc w:val="left"/>
              <w:rPr>
                <w:rFonts w:ascii="Times New Roman" w:hAnsi="Times New Roman" w:cs="Times New Roman" w:eastAsia="Times New Roman" w:hint="default"/>
                <w:sz w:val="21"/>
                <w:szCs w:val="21"/>
              </w:rPr>
            </w:pPr>
            <w:r>
              <w:rPr>
                <w:rFonts w:ascii="Times New Roman"/>
                <w:sz w:val="21"/>
              </w:rPr>
              <w:t>5,435</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31" w:right="0"/>
              <w:jc w:val="left"/>
              <w:rPr>
                <w:rFonts w:ascii="Times New Roman" w:hAnsi="Times New Roman" w:cs="Times New Roman" w:eastAsia="Times New Roman" w:hint="default"/>
                <w:sz w:val="21"/>
                <w:szCs w:val="21"/>
              </w:rPr>
            </w:pPr>
            <w:r>
              <w:rPr>
                <w:rFonts w:ascii="Times New Roman"/>
                <w:sz w:val="21"/>
              </w:rPr>
              <w:t>-122,6</w:t>
            </w:r>
          </w:p>
          <w:p>
            <w:pPr>
              <w:pStyle w:val="TableParagraph"/>
              <w:spacing w:line="240" w:lineRule="auto" w:before="1"/>
              <w:ind w:left="463" w:right="0"/>
              <w:jc w:val="left"/>
              <w:rPr>
                <w:rFonts w:ascii="Times New Roman" w:hAnsi="Times New Roman" w:cs="Times New Roman" w:eastAsia="Times New Roman" w:hint="default"/>
                <w:sz w:val="21"/>
                <w:szCs w:val="21"/>
              </w:rPr>
            </w:pPr>
            <w:r>
              <w:rPr>
                <w:rFonts w:ascii="Times New Roman"/>
                <w:sz w:val="21"/>
              </w:rPr>
              <w:t>25</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84" w:right="0"/>
              <w:jc w:val="left"/>
              <w:rPr>
                <w:rFonts w:ascii="Times New Roman" w:hAnsi="Times New Roman" w:cs="Times New Roman" w:eastAsia="Times New Roman" w:hint="default"/>
                <w:sz w:val="21"/>
                <w:szCs w:val="21"/>
              </w:rPr>
            </w:pPr>
            <w:r>
              <w:rPr>
                <w:rFonts w:ascii="Times New Roman"/>
                <w:sz w:val="21"/>
              </w:rPr>
              <w:t>15,42</w:t>
            </w:r>
          </w:p>
          <w:p>
            <w:pPr>
              <w:pStyle w:val="TableParagraph"/>
              <w:spacing w:line="240" w:lineRule="auto" w:before="1"/>
              <w:ind w:left="184" w:right="0"/>
              <w:jc w:val="left"/>
              <w:rPr>
                <w:rFonts w:ascii="Times New Roman" w:hAnsi="Times New Roman" w:cs="Times New Roman" w:eastAsia="Times New Roman" w:hint="default"/>
                <w:sz w:val="21"/>
                <w:szCs w:val="21"/>
              </w:rPr>
            </w:pPr>
            <w:r>
              <w:rPr>
                <w:rFonts w:ascii="Times New Roman"/>
                <w:sz w:val="21"/>
              </w:rPr>
              <w:t>2,810</w:t>
            </w:r>
          </w:p>
        </w:tc>
        <w:tc>
          <w:tcPr>
            <w:tcW w:w="74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2" w:footer="1195" w:top="1080" w:bottom="1380" w:left="1060" w:right="15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819"/>
        <w:gridCol w:w="758"/>
        <w:gridCol w:w="758"/>
        <w:gridCol w:w="670"/>
        <w:gridCol w:w="787"/>
        <w:gridCol w:w="850"/>
        <w:gridCol w:w="566"/>
        <w:gridCol w:w="785"/>
        <w:gridCol w:w="835"/>
        <w:gridCol w:w="701"/>
        <w:gridCol w:w="771"/>
        <w:gridCol w:w="749"/>
      </w:tblGrid>
      <w:tr>
        <w:trPr>
          <w:trHeight w:val="283"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ind w:left="103" w:right="281"/>
              <w:jc w:val="both"/>
              <w:rPr>
                <w:rFonts w:ascii="宋体" w:hAnsi="宋体" w:cs="宋体" w:eastAsia="宋体" w:hint="default"/>
                <w:sz w:val="21"/>
                <w:szCs w:val="21"/>
              </w:rPr>
            </w:pPr>
            <w:r>
              <w:rPr>
                <w:rFonts w:ascii="宋体" w:hAnsi="宋体" w:cs="宋体" w:eastAsia="宋体" w:hint="default"/>
                <w:sz w:val="21"/>
                <w:szCs w:val="21"/>
              </w:rPr>
              <w:t>智联</w:t>
            </w:r>
            <w:r>
              <w:rPr>
                <w:rFonts w:ascii="宋体" w:hAnsi="宋体" w:cs="宋体" w:eastAsia="宋体" w:hint="default"/>
                <w:spacing w:val="-103"/>
                <w:sz w:val="21"/>
                <w:szCs w:val="21"/>
              </w:rPr>
              <w:t> </w:t>
            </w:r>
            <w:r>
              <w:rPr>
                <w:rFonts w:ascii="宋体" w:hAnsi="宋体" w:cs="宋体" w:eastAsia="宋体" w:hint="default"/>
                <w:sz w:val="21"/>
                <w:szCs w:val="21"/>
              </w:rPr>
              <w:t>友道</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11,29</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3,432</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1" w:lineRule="exact"/>
              <w:ind w:left="189" w:right="0"/>
              <w:jc w:val="left"/>
              <w:rPr>
                <w:rFonts w:ascii="Times New Roman" w:hAnsi="Times New Roman" w:cs="Times New Roman" w:eastAsia="Times New Roman" w:hint="default"/>
                <w:sz w:val="21"/>
                <w:szCs w:val="21"/>
              </w:rPr>
            </w:pPr>
            <w:r>
              <w:rPr>
                <w:rFonts w:ascii="Times New Roman"/>
                <w:sz w:val="21"/>
              </w:rPr>
              <w:t>409,</w:t>
            </w:r>
          </w:p>
          <w:p>
            <w:pPr>
              <w:pStyle w:val="TableParagraph"/>
              <w:spacing w:line="241" w:lineRule="exact"/>
              <w:ind w:left="242" w:right="0"/>
              <w:jc w:val="left"/>
              <w:rPr>
                <w:rFonts w:ascii="Times New Roman" w:hAnsi="Times New Roman" w:cs="Times New Roman" w:eastAsia="Times New Roman" w:hint="default"/>
                <w:sz w:val="21"/>
                <w:szCs w:val="21"/>
              </w:rPr>
            </w:pPr>
            <w:r>
              <w:rPr>
                <w:rFonts w:ascii="Times New Roman"/>
                <w:sz w:val="21"/>
              </w:rPr>
              <w:t>357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1" w:lineRule="exact"/>
              <w:ind w:left="148" w:right="0"/>
              <w:jc w:val="left"/>
              <w:rPr>
                <w:rFonts w:ascii="Times New Roman" w:hAnsi="Times New Roman" w:cs="Times New Roman" w:eastAsia="Times New Roman" w:hint="default"/>
                <w:sz w:val="21"/>
                <w:szCs w:val="21"/>
              </w:rPr>
            </w:pPr>
            <w:r>
              <w:rPr>
                <w:rFonts w:ascii="Times New Roman"/>
                <w:sz w:val="21"/>
              </w:rPr>
              <w:t>5,186,</w:t>
            </w:r>
          </w:p>
          <w:p>
            <w:pPr>
              <w:pStyle w:val="TableParagraph"/>
              <w:spacing w:line="241" w:lineRule="exact"/>
              <w:ind w:left="359" w:right="0"/>
              <w:jc w:val="left"/>
              <w:rPr>
                <w:rFonts w:ascii="Times New Roman" w:hAnsi="Times New Roman" w:cs="Times New Roman" w:eastAsia="Times New Roman" w:hint="default"/>
                <w:sz w:val="21"/>
                <w:szCs w:val="21"/>
              </w:rPr>
            </w:pPr>
            <w:r>
              <w:rPr>
                <w:rFonts w:ascii="Times New Roman"/>
                <w:sz w:val="21"/>
              </w:rPr>
              <w:t>182</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16,07</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0,257</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firstLine="53"/>
              <w:jc w:val="both"/>
              <w:rPr>
                <w:rFonts w:ascii="宋体" w:hAnsi="宋体" w:cs="宋体" w:eastAsia="宋体" w:hint="default"/>
                <w:sz w:val="21"/>
                <w:szCs w:val="21"/>
              </w:rPr>
            </w:pPr>
            <w:r>
              <w:rPr>
                <w:rFonts w:ascii="宋体" w:hAnsi="宋体" w:cs="宋体" w:eastAsia="宋体" w:hint="default"/>
                <w:sz w:val="21"/>
                <w:szCs w:val="21"/>
              </w:rPr>
              <w:t>上海</w:t>
            </w:r>
          </w:p>
          <w:p>
            <w:pPr>
              <w:pStyle w:val="TableParagraph"/>
              <w:spacing w:line="237" w:lineRule="auto"/>
              <w:ind w:left="103" w:right="281"/>
              <w:jc w:val="both"/>
              <w:rPr>
                <w:rFonts w:ascii="宋体" w:hAnsi="宋体" w:cs="宋体" w:eastAsia="宋体" w:hint="default"/>
                <w:sz w:val="21"/>
                <w:szCs w:val="21"/>
              </w:rPr>
            </w:pPr>
            <w:r>
              <w:rPr>
                <w:rFonts w:ascii="宋体" w:hAnsi="宋体" w:cs="宋体" w:eastAsia="宋体" w:hint="default"/>
                <w:sz w:val="21"/>
                <w:szCs w:val="21"/>
              </w:rPr>
              <w:t>画龙</w:t>
            </w:r>
            <w:r>
              <w:rPr>
                <w:rFonts w:ascii="宋体" w:hAnsi="宋体" w:cs="宋体" w:eastAsia="宋体" w:hint="default"/>
                <w:spacing w:val="-103"/>
                <w:sz w:val="21"/>
                <w:szCs w:val="21"/>
              </w:rPr>
              <w:t> </w:t>
            </w:r>
            <w:r>
              <w:rPr>
                <w:rFonts w:ascii="宋体" w:hAnsi="宋体" w:cs="宋体" w:eastAsia="宋体" w:hint="default"/>
                <w:sz w:val="21"/>
                <w:szCs w:val="21"/>
              </w:rPr>
              <w:t>信息</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19,20</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2,139</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1" w:lineRule="exact"/>
              <w:ind w:left="28" w:right="0"/>
              <w:jc w:val="center"/>
              <w:rPr>
                <w:rFonts w:ascii="Times New Roman" w:hAnsi="Times New Roman" w:cs="Times New Roman" w:eastAsia="Times New Roman" w:hint="default"/>
                <w:sz w:val="21"/>
                <w:szCs w:val="21"/>
              </w:rPr>
            </w:pPr>
            <w:r>
              <w:rPr>
                <w:rFonts w:ascii="Times New Roman"/>
                <w:sz w:val="21"/>
              </w:rPr>
              <w:t>-1,354</w:t>
            </w:r>
          </w:p>
          <w:p>
            <w:pPr>
              <w:pStyle w:val="TableParagraph"/>
              <w:spacing w:line="241" w:lineRule="exact"/>
              <w:ind w:left="206" w:right="0"/>
              <w:jc w:val="center"/>
              <w:rPr>
                <w:rFonts w:ascii="Times New Roman" w:hAnsi="Times New Roman" w:cs="Times New Roman" w:eastAsia="Times New Roman" w:hint="default"/>
                <w:sz w:val="21"/>
                <w:szCs w:val="21"/>
              </w:rPr>
            </w:pPr>
            <w:r>
              <w:rPr>
                <w:rFonts w:ascii="Times New Roman"/>
                <w:sz w:val="21"/>
              </w:rPr>
              <w:t>,727</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17,84</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7,412</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2189"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firstLine="53"/>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1"/>
              <w:ind w:left="103" w:right="281"/>
              <w:jc w:val="both"/>
              <w:rPr>
                <w:rFonts w:ascii="宋体" w:hAnsi="宋体" w:cs="宋体" w:eastAsia="宋体" w:hint="default"/>
                <w:sz w:val="21"/>
                <w:szCs w:val="21"/>
              </w:rPr>
            </w:pPr>
            <w:r>
              <w:rPr>
                <w:rFonts w:ascii="宋体" w:hAnsi="宋体" w:cs="宋体" w:eastAsia="宋体" w:hint="default"/>
                <w:sz w:val="21"/>
                <w:szCs w:val="21"/>
              </w:rPr>
              <w:t>华普</w:t>
            </w:r>
            <w:r>
              <w:rPr>
                <w:rFonts w:ascii="宋体" w:hAnsi="宋体" w:cs="宋体" w:eastAsia="宋体" w:hint="default"/>
                <w:spacing w:val="-103"/>
                <w:sz w:val="21"/>
                <w:szCs w:val="21"/>
              </w:rPr>
              <w:t> </w:t>
            </w:r>
            <w:r>
              <w:rPr>
                <w:rFonts w:ascii="宋体" w:hAnsi="宋体" w:cs="宋体" w:eastAsia="宋体" w:hint="default"/>
                <w:sz w:val="21"/>
                <w:szCs w:val="21"/>
              </w:rPr>
              <w:t>亿方</w:t>
            </w:r>
            <w:r>
              <w:rPr>
                <w:rFonts w:ascii="宋体" w:hAnsi="宋体" w:cs="宋体" w:eastAsia="宋体" w:hint="default"/>
                <w:spacing w:val="-103"/>
                <w:sz w:val="21"/>
                <w:szCs w:val="21"/>
              </w:rPr>
              <w:t> </w:t>
            </w:r>
            <w:r>
              <w:rPr>
                <w:rFonts w:ascii="宋体" w:hAnsi="宋体" w:cs="宋体" w:eastAsia="宋体" w:hint="default"/>
                <w:sz w:val="21"/>
                <w:szCs w:val="21"/>
              </w:rPr>
              <w:t>教育</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股份</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1"/>
              <w:ind w:left="117" w:right="0"/>
              <w:jc w:val="left"/>
              <w:rPr>
                <w:rFonts w:ascii="Times New Roman" w:hAnsi="Times New Roman" w:cs="Times New Roman" w:eastAsia="Times New Roman" w:hint="default"/>
                <w:sz w:val="21"/>
                <w:szCs w:val="21"/>
              </w:rPr>
            </w:pPr>
            <w:r>
              <w:rPr>
                <w:rFonts w:ascii="Times New Roman"/>
                <w:sz w:val="21"/>
              </w:rPr>
              <w:t>5,233,</w:t>
            </w:r>
          </w:p>
          <w:p>
            <w:pPr>
              <w:pStyle w:val="TableParagraph"/>
              <w:spacing w:line="240" w:lineRule="auto" w:before="1"/>
              <w:ind w:left="328" w:right="0"/>
              <w:jc w:val="left"/>
              <w:rPr>
                <w:rFonts w:ascii="Times New Roman" w:hAnsi="Times New Roman" w:cs="Times New Roman" w:eastAsia="Times New Roman" w:hint="default"/>
                <w:sz w:val="21"/>
                <w:szCs w:val="21"/>
              </w:rPr>
            </w:pPr>
            <w:r>
              <w:rPr>
                <w:rFonts w:ascii="Times New Roman"/>
                <w:sz w:val="21"/>
              </w:rPr>
              <w:t>333</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1"/>
              <w:ind w:left="201" w:right="0"/>
              <w:jc w:val="left"/>
              <w:rPr>
                <w:rFonts w:ascii="Times New Roman" w:hAnsi="Times New Roman" w:cs="Times New Roman" w:eastAsia="Times New Roman" w:hint="default"/>
                <w:sz w:val="21"/>
                <w:szCs w:val="21"/>
              </w:rPr>
            </w:pPr>
            <w:r>
              <w:rPr>
                <w:rFonts w:ascii="Times New Roman"/>
                <w:sz w:val="21"/>
              </w:rPr>
              <w:t>643,8</w:t>
            </w:r>
          </w:p>
          <w:p>
            <w:pPr>
              <w:pStyle w:val="TableParagraph"/>
              <w:spacing w:line="240" w:lineRule="auto" w:before="1"/>
              <w:ind w:left="463" w:right="0"/>
              <w:jc w:val="left"/>
              <w:rPr>
                <w:rFonts w:ascii="Times New Roman" w:hAnsi="Times New Roman" w:cs="Times New Roman" w:eastAsia="Times New Roman" w:hint="default"/>
                <w:sz w:val="21"/>
                <w:szCs w:val="21"/>
              </w:rPr>
            </w:pPr>
            <w:r>
              <w:rPr>
                <w:rFonts w:ascii="Times New Roman"/>
                <w:sz w:val="21"/>
              </w:rPr>
              <w:t>08</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1"/>
              <w:ind w:left="131" w:right="0"/>
              <w:jc w:val="left"/>
              <w:rPr>
                <w:rFonts w:ascii="Times New Roman" w:hAnsi="Times New Roman" w:cs="Times New Roman" w:eastAsia="Times New Roman" w:hint="default"/>
                <w:sz w:val="21"/>
                <w:szCs w:val="21"/>
              </w:rPr>
            </w:pPr>
            <w:r>
              <w:rPr>
                <w:rFonts w:ascii="Times New Roman"/>
                <w:sz w:val="21"/>
              </w:rPr>
              <w:t>5,877,</w:t>
            </w:r>
          </w:p>
          <w:p>
            <w:pPr>
              <w:pStyle w:val="TableParagraph"/>
              <w:spacing w:line="240" w:lineRule="auto" w:before="1"/>
              <w:ind w:left="343" w:right="0"/>
              <w:jc w:val="left"/>
              <w:rPr>
                <w:rFonts w:ascii="Times New Roman" w:hAnsi="Times New Roman" w:cs="Times New Roman" w:eastAsia="Times New Roman" w:hint="default"/>
                <w:sz w:val="21"/>
                <w:szCs w:val="21"/>
              </w:rPr>
            </w:pPr>
            <w:r>
              <w:rPr>
                <w:rFonts w:ascii="Times New Roman"/>
                <w:sz w:val="21"/>
              </w:rPr>
              <w:t>141</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370"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杭州</w:t>
            </w:r>
          </w:p>
          <w:p>
            <w:pPr>
              <w:pStyle w:val="TableParagraph"/>
              <w:spacing w:line="237" w:lineRule="auto"/>
              <w:ind w:left="103" w:right="281"/>
              <w:jc w:val="both"/>
              <w:rPr>
                <w:rFonts w:ascii="宋体" w:hAnsi="宋体" w:cs="宋体" w:eastAsia="宋体" w:hint="default"/>
                <w:sz w:val="21"/>
                <w:szCs w:val="21"/>
              </w:rPr>
            </w:pPr>
            <w:r>
              <w:rPr>
                <w:rFonts w:ascii="宋体" w:hAnsi="宋体" w:cs="宋体" w:eastAsia="宋体" w:hint="default"/>
                <w:sz w:val="21"/>
                <w:szCs w:val="21"/>
              </w:rPr>
              <w:t>雅顾</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32,50</w:t>
            </w:r>
          </w:p>
          <w:p>
            <w:pPr>
              <w:pStyle w:val="TableParagraph"/>
              <w:spacing w:line="240" w:lineRule="auto" w:before="1"/>
              <w:ind w:left="170" w:right="0"/>
              <w:jc w:val="left"/>
              <w:rPr>
                <w:rFonts w:ascii="Times New Roman" w:hAnsi="Times New Roman" w:cs="Times New Roman" w:eastAsia="Times New Roman" w:hint="default"/>
                <w:sz w:val="21"/>
                <w:szCs w:val="21"/>
              </w:rPr>
            </w:pPr>
            <w:r>
              <w:rPr>
                <w:rFonts w:ascii="Times New Roman"/>
                <w:sz w:val="21"/>
              </w:rPr>
              <w:t>0,000</w:t>
            </w: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84" w:right="0"/>
              <w:jc w:val="left"/>
              <w:rPr>
                <w:rFonts w:ascii="Times New Roman" w:hAnsi="Times New Roman" w:cs="Times New Roman" w:eastAsia="Times New Roman" w:hint="default"/>
                <w:sz w:val="21"/>
                <w:szCs w:val="21"/>
              </w:rPr>
            </w:pPr>
            <w:r>
              <w:rPr>
                <w:rFonts w:ascii="Times New Roman"/>
                <w:sz w:val="21"/>
              </w:rPr>
              <w:t>32,50</w:t>
            </w:r>
          </w:p>
          <w:p>
            <w:pPr>
              <w:pStyle w:val="TableParagraph"/>
              <w:spacing w:line="240" w:lineRule="auto" w:before="1"/>
              <w:ind w:left="184" w:right="0"/>
              <w:jc w:val="left"/>
              <w:rPr>
                <w:rFonts w:ascii="Times New Roman" w:hAnsi="Times New Roman" w:cs="Times New Roman" w:eastAsia="Times New Roman" w:hint="default"/>
                <w:sz w:val="21"/>
                <w:szCs w:val="21"/>
              </w:rPr>
            </w:pPr>
            <w:r>
              <w:rPr>
                <w:rFonts w:ascii="Times New Roman"/>
                <w:sz w:val="21"/>
              </w:rPr>
              <w:t>0,000</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2189"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赛诺</w:t>
            </w:r>
          </w:p>
          <w:p>
            <w:pPr>
              <w:pStyle w:val="TableParagraph"/>
              <w:spacing w:line="235" w:lineRule="auto" w:before="4"/>
              <w:ind w:left="103" w:right="141"/>
              <w:jc w:val="left"/>
              <w:rPr>
                <w:rFonts w:ascii="宋体" w:hAnsi="宋体" w:cs="宋体" w:eastAsia="宋体" w:hint="default"/>
                <w:sz w:val="21"/>
                <w:szCs w:val="21"/>
              </w:rPr>
            </w:pPr>
            <w:r>
              <w:rPr>
                <w:rFonts w:ascii="宋体" w:hAnsi="宋体" w:cs="宋体" w:eastAsia="宋体" w:hint="default"/>
                <w:sz w:val="21"/>
                <w:szCs w:val="21"/>
              </w:rPr>
              <w:t>贝斯</w:t>
            </w:r>
            <w:r>
              <w:rPr>
                <w:rFonts w:ascii="宋体" w:hAnsi="宋体" w:cs="宋体" w:eastAsia="宋体" w:hint="default"/>
                <w:spacing w:val="-103"/>
                <w:sz w:val="21"/>
                <w:szCs w:val="21"/>
              </w:rPr>
              <w:t> </w:t>
            </w:r>
            <w:r>
              <w:rPr>
                <w:rFonts w:ascii="Times New Roman" w:hAnsi="Times New Roman" w:cs="Times New Roman" w:eastAsia="Times New Roman" w:hint="default"/>
                <w:sz w:val="21"/>
                <w:szCs w:val="21"/>
              </w:rPr>
              <w:t>(</w:t>
            </w:r>
            <w:r>
              <w:rPr>
                <w:rFonts w:ascii="宋体" w:hAnsi="宋体" w:cs="宋体" w:eastAsia="宋体" w:hint="default"/>
                <w:sz w:val="21"/>
                <w:szCs w:val="21"/>
              </w:rPr>
              <w:t>北京</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营销</w:t>
            </w:r>
            <w:r>
              <w:rPr>
                <w:rFonts w:ascii="宋体" w:hAnsi="宋体" w:cs="宋体" w:eastAsia="宋体" w:hint="default"/>
                <w:spacing w:val="-103"/>
                <w:sz w:val="21"/>
                <w:szCs w:val="21"/>
              </w:rPr>
              <w:t> </w:t>
            </w:r>
            <w:r>
              <w:rPr>
                <w:rFonts w:ascii="宋体" w:hAnsi="宋体" w:cs="宋体" w:eastAsia="宋体" w:hint="default"/>
                <w:sz w:val="21"/>
                <w:szCs w:val="21"/>
              </w:rPr>
              <w:t>技术</w:t>
            </w:r>
            <w:r>
              <w:rPr>
                <w:rFonts w:ascii="宋体" w:hAnsi="宋体" w:cs="宋体" w:eastAsia="宋体" w:hint="default"/>
                <w:spacing w:val="-103"/>
                <w:sz w:val="21"/>
                <w:szCs w:val="21"/>
              </w:rPr>
              <w:t> </w:t>
            </w:r>
            <w:r>
              <w:rPr>
                <w:rFonts w:ascii="宋体" w:hAnsi="宋体" w:cs="宋体" w:eastAsia="宋体" w:hint="default"/>
                <w:sz w:val="21"/>
                <w:szCs w:val="21"/>
              </w:rPr>
              <w:t>股份</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1" w:lineRule="exact" w:before="153"/>
              <w:ind w:left="170" w:right="0"/>
              <w:jc w:val="left"/>
              <w:rPr>
                <w:rFonts w:ascii="Times New Roman" w:hAnsi="Times New Roman" w:cs="Times New Roman" w:eastAsia="Times New Roman" w:hint="default"/>
                <w:sz w:val="21"/>
                <w:szCs w:val="21"/>
              </w:rPr>
            </w:pPr>
            <w:r>
              <w:rPr>
                <w:rFonts w:ascii="Times New Roman"/>
                <w:sz w:val="21"/>
              </w:rPr>
              <w:t>36,83</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6,013</w:t>
            </w: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1" w:lineRule="exact" w:before="153"/>
              <w:ind w:left="184" w:right="0"/>
              <w:jc w:val="left"/>
              <w:rPr>
                <w:rFonts w:ascii="Times New Roman" w:hAnsi="Times New Roman" w:cs="Times New Roman" w:eastAsia="Times New Roman" w:hint="default"/>
                <w:sz w:val="21"/>
                <w:szCs w:val="21"/>
              </w:rPr>
            </w:pPr>
            <w:r>
              <w:rPr>
                <w:rFonts w:ascii="Times New Roman"/>
                <w:sz w:val="21"/>
              </w:rPr>
              <w:t>36,83</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6,013</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2189"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民太</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安财</w:t>
            </w:r>
            <w:r>
              <w:rPr>
                <w:rFonts w:ascii="宋体" w:hAnsi="宋体" w:cs="宋体" w:eastAsia="宋体" w:hint="default"/>
                <w:spacing w:val="-103"/>
                <w:sz w:val="21"/>
                <w:szCs w:val="21"/>
              </w:rPr>
              <w:t> </w:t>
            </w:r>
            <w:r>
              <w:rPr>
                <w:rFonts w:ascii="宋体" w:hAnsi="宋体" w:cs="宋体" w:eastAsia="宋体" w:hint="default"/>
                <w:sz w:val="21"/>
                <w:szCs w:val="21"/>
              </w:rPr>
              <w:t>产保</w:t>
            </w:r>
            <w:r>
              <w:rPr>
                <w:rFonts w:ascii="宋体" w:hAnsi="宋体" w:cs="宋体" w:eastAsia="宋体" w:hint="default"/>
                <w:spacing w:val="-103"/>
                <w:sz w:val="21"/>
                <w:szCs w:val="21"/>
              </w:rPr>
              <w:t> </w:t>
            </w:r>
            <w:r>
              <w:rPr>
                <w:rFonts w:ascii="宋体" w:hAnsi="宋体" w:cs="宋体" w:eastAsia="宋体" w:hint="default"/>
                <w:sz w:val="21"/>
                <w:szCs w:val="21"/>
              </w:rPr>
              <w:t>险公</w:t>
            </w:r>
            <w:r>
              <w:rPr>
                <w:rFonts w:ascii="宋体" w:hAnsi="宋体" w:cs="宋体" w:eastAsia="宋体" w:hint="default"/>
                <w:spacing w:val="-103"/>
                <w:sz w:val="21"/>
                <w:szCs w:val="21"/>
              </w:rPr>
              <w:t> </w:t>
            </w:r>
            <w:r>
              <w:rPr>
                <w:rFonts w:ascii="宋体" w:hAnsi="宋体" w:cs="宋体" w:eastAsia="宋体" w:hint="default"/>
                <w:sz w:val="21"/>
                <w:szCs w:val="21"/>
              </w:rPr>
              <w:t>估股</w:t>
            </w:r>
            <w:r>
              <w:rPr>
                <w:rFonts w:ascii="宋体" w:hAnsi="宋体" w:cs="宋体" w:eastAsia="宋体" w:hint="default"/>
                <w:spacing w:val="-103"/>
                <w:sz w:val="21"/>
                <w:szCs w:val="21"/>
              </w:rPr>
              <w:t> </w:t>
            </w:r>
            <w:r>
              <w:rPr>
                <w:rFonts w:ascii="宋体" w:hAnsi="宋体" w:cs="宋体" w:eastAsia="宋体" w:hint="default"/>
                <w:sz w:val="21"/>
                <w:szCs w:val="21"/>
              </w:rPr>
              <w:t>份有</w:t>
            </w:r>
            <w:r>
              <w:rPr>
                <w:rFonts w:ascii="宋体" w:hAnsi="宋体" w:cs="宋体" w:eastAsia="宋体" w:hint="default"/>
                <w:spacing w:val="-103"/>
                <w:sz w:val="21"/>
                <w:szCs w:val="21"/>
              </w:rPr>
              <w:t> </w:t>
            </w:r>
            <w:r>
              <w:rPr>
                <w:rFonts w:ascii="宋体" w:hAnsi="宋体" w:cs="宋体" w:eastAsia="宋体" w:hint="default"/>
                <w:sz w:val="21"/>
                <w:szCs w:val="21"/>
              </w:rPr>
              <w:t>限公</w:t>
            </w:r>
            <w:r>
              <w:rPr>
                <w:rFonts w:ascii="宋体" w:hAnsi="宋体" w:cs="宋体" w:eastAsia="宋体" w:hint="default"/>
                <w:spacing w:val="-103"/>
                <w:sz w:val="21"/>
                <w:szCs w:val="21"/>
              </w:rPr>
              <w:t> </w:t>
            </w:r>
            <w:r>
              <w:rPr>
                <w:rFonts w:ascii="宋体" w:hAnsi="宋体" w:cs="宋体" w:eastAsia="宋体" w:hint="default"/>
                <w:sz w:val="21"/>
                <w:szCs w:val="21"/>
              </w:rPr>
              <w:t>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1" w:lineRule="exact" w:before="153"/>
              <w:ind w:left="170" w:right="0"/>
              <w:jc w:val="left"/>
              <w:rPr>
                <w:rFonts w:ascii="Times New Roman" w:hAnsi="Times New Roman" w:cs="Times New Roman" w:eastAsia="Times New Roman" w:hint="default"/>
                <w:sz w:val="21"/>
                <w:szCs w:val="21"/>
              </w:rPr>
            </w:pPr>
            <w:r>
              <w:rPr>
                <w:rFonts w:ascii="Times New Roman"/>
                <w:sz w:val="21"/>
              </w:rPr>
              <w:t>53,81</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2,660</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1" w:lineRule="exact" w:before="153"/>
              <w:ind w:left="117" w:right="0"/>
              <w:jc w:val="left"/>
              <w:rPr>
                <w:rFonts w:ascii="Times New Roman" w:hAnsi="Times New Roman" w:cs="Times New Roman" w:eastAsia="Times New Roman" w:hint="default"/>
                <w:sz w:val="21"/>
                <w:szCs w:val="21"/>
              </w:rPr>
            </w:pPr>
            <w:r>
              <w:rPr>
                <w:rFonts w:ascii="Times New Roman"/>
                <w:sz w:val="21"/>
              </w:rPr>
              <w:t>9,781,</w:t>
            </w:r>
          </w:p>
          <w:p>
            <w:pPr>
              <w:pStyle w:val="TableParagraph"/>
              <w:spacing w:line="241" w:lineRule="exact"/>
              <w:ind w:left="328" w:right="0"/>
              <w:jc w:val="left"/>
              <w:rPr>
                <w:rFonts w:ascii="Times New Roman" w:hAnsi="Times New Roman" w:cs="Times New Roman" w:eastAsia="Times New Roman" w:hint="default"/>
                <w:sz w:val="21"/>
                <w:szCs w:val="21"/>
              </w:rPr>
            </w:pPr>
            <w:r>
              <w:rPr>
                <w:rFonts w:ascii="Times New Roman"/>
                <w:sz w:val="21"/>
              </w:rPr>
              <w:t>239</w:t>
            </w: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1" w:lineRule="exact" w:before="153"/>
              <w:ind w:left="148" w:right="0"/>
              <w:jc w:val="left"/>
              <w:rPr>
                <w:rFonts w:ascii="Times New Roman" w:hAnsi="Times New Roman" w:cs="Times New Roman" w:eastAsia="Times New Roman" w:hint="default"/>
                <w:sz w:val="21"/>
                <w:szCs w:val="21"/>
              </w:rPr>
            </w:pPr>
            <w:r>
              <w:rPr>
                <w:rFonts w:ascii="Times New Roman"/>
                <w:sz w:val="21"/>
              </w:rPr>
              <w:t>1,410,</w:t>
            </w:r>
          </w:p>
          <w:p>
            <w:pPr>
              <w:pStyle w:val="TableParagraph"/>
              <w:spacing w:line="241" w:lineRule="exact"/>
              <w:ind w:left="359" w:right="0"/>
              <w:jc w:val="left"/>
              <w:rPr>
                <w:rFonts w:ascii="Times New Roman" w:hAnsi="Times New Roman" w:cs="Times New Roman" w:eastAsia="Times New Roman" w:hint="default"/>
                <w:sz w:val="21"/>
                <w:szCs w:val="21"/>
              </w:rPr>
            </w:pPr>
            <w:r>
              <w:rPr>
                <w:rFonts w:ascii="Times New Roman"/>
                <w:sz w:val="21"/>
              </w:rPr>
              <w:t>486</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1" w:lineRule="exact" w:before="153"/>
              <w:ind w:left="184" w:right="0"/>
              <w:jc w:val="left"/>
              <w:rPr>
                <w:rFonts w:ascii="Times New Roman" w:hAnsi="Times New Roman" w:cs="Times New Roman" w:eastAsia="Times New Roman" w:hint="default"/>
                <w:sz w:val="21"/>
                <w:szCs w:val="21"/>
              </w:rPr>
            </w:pPr>
            <w:r>
              <w:rPr>
                <w:rFonts w:ascii="Times New Roman"/>
                <w:sz w:val="21"/>
              </w:rPr>
              <w:t>65,00</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4,385</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地厚</w:t>
            </w:r>
            <w:r>
              <w:rPr>
                <w:rFonts w:ascii="宋体" w:hAnsi="宋体" w:cs="宋体" w:eastAsia="宋体" w:hint="default"/>
                <w:spacing w:val="-103"/>
                <w:sz w:val="21"/>
                <w:szCs w:val="21"/>
              </w:rPr>
              <w:t> </w:t>
            </w:r>
            <w:r>
              <w:rPr>
                <w:rFonts w:ascii="宋体" w:hAnsi="宋体" w:cs="宋体" w:eastAsia="宋体" w:hint="default"/>
                <w:sz w:val="21"/>
                <w:szCs w:val="21"/>
              </w:rPr>
              <w:t>云图</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10,80</w:t>
            </w:r>
          </w:p>
          <w:p>
            <w:pPr>
              <w:pStyle w:val="TableParagraph"/>
              <w:spacing w:line="240" w:lineRule="auto" w:before="1"/>
              <w:ind w:left="170" w:right="0"/>
              <w:jc w:val="left"/>
              <w:rPr>
                <w:rFonts w:ascii="Times New Roman" w:hAnsi="Times New Roman" w:cs="Times New Roman" w:eastAsia="Times New Roman" w:hint="default"/>
                <w:sz w:val="21"/>
                <w:szCs w:val="21"/>
              </w:rPr>
            </w:pPr>
            <w:r>
              <w:rPr>
                <w:rFonts w:ascii="Times New Roman"/>
                <w:sz w:val="21"/>
              </w:rPr>
              <w:t>0,000</w:t>
            </w: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left="184" w:right="0"/>
              <w:jc w:val="left"/>
              <w:rPr>
                <w:rFonts w:ascii="Times New Roman" w:hAnsi="Times New Roman" w:cs="Times New Roman" w:eastAsia="Times New Roman" w:hint="default"/>
                <w:sz w:val="21"/>
                <w:szCs w:val="21"/>
              </w:rPr>
            </w:pPr>
            <w:r>
              <w:rPr>
                <w:rFonts w:ascii="Times New Roman"/>
                <w:sz w:val="21"/>
              </w:rPr>
              <w:t>10,80</w:t>
            </w:r>
          </w:p>
          <w:p>
            <w:pPr>
              <w:pStyle w:val="TableParagraph"/>
              <w:spacing w:line="240" w:lineRule="auto" w:before="1"/>
              <w:ind w:left="184" w:right="0"/>
              <w:jc w:val="left"/>
              <w:rPr>
                <w:rFonts w:ascii="Times New Roman" w:hAnsi="Times New Roman" w:cs="Times New Roman" w:eastAsia="Times New Roman" w:hint="default"/>
                <w:sz w:val="21"/>
                <w:szCs w:val="21"/>
              </w:rPr>
            </w:pPr>
            <w:r>
              <w:rPr>
                <w:rFonts w:ascii="Times New Roman"/>
                <w:sz w:val="21"/>
              </w:rPr>
              <w:t>0,000</w:t>
            </w: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学业</w:t>
            </w: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17" w:right="0"/>
              <w:jc w:val="left"/>
              <w:rPr>
                <w:rFonts w:ascii="Times New Roman" w:hAnsi="Times New Roman" w:cs="Times New Roman" w:eastAsia="Times New Roman" w:hint="default"/>
                <w:sz w:val="21"/>
                <w:szCs w:val="21"/>
              </w:rPr>
            </w:pPr>
            <w:r>
              <w:rPr>
                <w:rFonts w:ascii="Times New Roman"/>
                <w:sz w:val="21"/>
              </w:rPr>
              <w:t>9,000,</w:t>
            </w:r>
          </w:p>
          <w:p>
            <w:pPr>
              <w:pStyle w:val="TableParagraph"/>
              <w:spacing w:line="240" w:lineRule="auto" w:before="1"/>
              <w:ind w:left="328" w:right="0"/>
              <w:jc w:val="left"/>
              <w:rPr>
                <w:rFonts w:ascii="Times New Roman" w:hAnsi="Times New Roman" w:cs="Times New Roman" w:eastAsia="Times New Roman" w:hint="default"/>
                <w:sz w:val="21"/>
                <w:szCs w:val="21"/>
              </w:rPr>
            </w:pPr>
            <w:r>
              <w:rPr>
                <w:rFonts w:ascii="Times New Roman"/>
                <w:sz w:val="21"/>
              </w:rPr>
              <w:t>000</w:t>
            </w: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31" w:right="0"/>
              <w:jc w:val="left"/>
              <w:rPr>
                <w:rFonts w:ascii="Times New Roman" w:hAnsi="Times New Roman" w:cs="Times New Roman" w:eastAsia="Times New Roman" w:hint="default"/>
                <w:sz w:val="21"/>
                <w:szCs w:val="21"/>
              </w:rPr>
            </w:pPr>
            <w:r>
              <w:rPr>
                <w:rFonts w:ascii="Times New Roman"/>
                <w:sz w:val="21"/>
              </w:rPr>
              <w:t>-306,0</w:t>
            </w:r>
          </w:p>
          <w:p>
            <w:pPr>
              <w:pStyle w:val="TableParagraph"/>
              <w:spacing w:line="240" w:lineRule="auto" w:before="1"/>
              <w:ind w:left="463" w:right="0"/>
              <w:jc w:val="left"/>
              <w:rPr>
                <w:rFonts w:ascii="Times New Roman" w:hAnsi="Times New Roman" w:cs="Times New Roman" w:eastAsia="Times New Roman" w:hint="default"/>
                <w:sz w:val="21"/>
                <w:szCs w:val="21"/>
              </w:rPr>
            </w:pPr>
            <w:r>
              <w:rPr>
                <w:rFonts w:ascii="Times New Roman"/>
                <w:sz w:val="21"/>
              </w:rPr>
              <w:t>37</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31" w:right="0"/>
              <w:jc w:val="left"/>
              <w:rPr>
                <w:rFonts w:ascii="Times New Roman" w:hAnsi="Times New Roman" w:cs="Times New Roman" w:eastAsia="Times New Roman" w:hint="default"/>
                <w:sz w:val="21"/>
                <w:szCs w:val="21"/>
              </w:rPr>
            </w:pPr>
            <w:r>
              <w:rPr>
                <w:rFonts w:ascii="Times New Roman"/>
                <w:sz w:val="21"/>
              </w:rPr>
              <w:t>8,693,</w:t>
            </w:r>
          </w:p>
          <w:p>
            <w:pPr>
              <w:pStyle w:val="TableParagraph"/>
              <w:spacing w:line="240" w:lineRule="auto" w:before="1"/>
              <w:ind w:left="343" w:right="0"/>
              <w:jc w:val="left"/>
              <w:rPr>
                <w:rFonts w:ascii="Times New Roman" w:hAnsi="Times New Roman" w:cs="Times New Roman" w:eastAsia="Times New Roman" w:hint="default"/>
                <w:sz w:val="21"/>
                <w:szCs w:val="21"/>
              </w:rPr>
            </w:pPr>
            <w:r>
              <w:rPr>
                <w:rFonts w:ascii="Times New Roman"/>
                <w:sz w:val="21"/>
              </w:rPr>
              <w:t>963</w:t>
            </w:r>
          </w:p>
        </w:tc>
        <w:tc>
          <w:tcPr>
            <w:tcW w:w="74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2" w:footer="1195" w:top="1080" w:bottom="1380" w:left="1060" w:right="15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203" w:type="dxa"/>
        <w:tblLayout w:type="fixed"/>
        <w:tblCellMar>
          <w:top w:w="0" w:type="dxa"/>
          <w:left w:w="0" w:type="dxa"/>
          <w:bottom w:w="0" w:type="dxa"/>
          <w:right w:w="0" w:type="dxa"/>
        </w:tblCellMar>
        <w:tblLook w:val="01E0"/>
      </w:tblPr>
      <w:tblGrid>
        <w:gridCol w:w="819"/>
        <w:gridCol w:w="758"/>
        <w:gridCol w:w="758"/>
        <w:gridCol w:w="670"/>
        <w:gridCol w:w="787"/>
        <w:gridCol w:w="850"/>
        <w:gridCol w:w="566"/>
        <w:gridCol w:w="785"/>
        <w:gridCol w:w="835"/>
        <w:gridCol w:w="701"/>
        <w:gridCol w:w="771"/>
        <w:gridCol w:w="749"/>
      </w:tblGrid>
      <w:tr>
        <w:trPr>
          <w:trHeight w:val="1373"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有橙</w:t>
            </w:r>
          </w:p>
          <w:p>
            <w:pPr>
              <w:pStyle w:val="TableParagraph"/>
              <w:spacing w:line="237" w:lineRule="auto" w:before="2"/>
              <w:ind w:left="103" w:right="281"/>
              <w:jc w:val="both"/>
              <w:rPr>
                <w:rFonts w:ascii="宋体" w:hAnsi="宋体" w:cs="宋体" w:eastAsia="宋体" w:hint="default"/>
                <w:sz w:val="21"/>
                <w:szCs w:val="21"/>
              </w:rPr>
            </w:pPr>
            <w:r>
              <w:rPr>
                <w:rFonts w:ascii="宋体" w:hAnsi="宋体" w:cs="宋体" w:eastAsia="宋体" w:hint="default"/>
                <w:sz w:val="21"/>
                <w:szCs w:val="21"/>
              </w:rPr>
              <w:t>教育</w:t>
            </w:r>
            <w:r>
              <w:rPr>
                <w:rFonts w:ascii="宋体" w:hAnsi="宋体" w:cs="宋体" w:eastAsia="宋体" w:hint="default"/>
                <w:spacing w:val="-103"/>
                <w:sz w:val="21"/>
                <w:szCs w:val="21"/>
              </w:rPr>
              <w:t> </w:t>
            </w:r>
            <w:r>
              <w:rPr>
                <w:rFonts w:ascii="宋体" w:hAnsi="宋体" w:cs="宋体" w:eastAsia="宋体" w:hint="default"/>
                <w:sz w:val="21"/>
                <w:szCs w:val="21"/>
              </w:rPr>
              <w:t>科技</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北京</w:t>
            </w:r>
          </w:p>
          <w:p>
            <w:pPr>
              <w:pStyle w:val="TableParagraph"/>
              <w:spacing w:line="237" w:lineRule="auto"/>
              <w:ind w:left="103" w:right="281"/>
              <w:jc w:val="both"/>
              <w:rPr>
                <w:rFonts w:ascii="宋体" w:hAnsi="宋体" w:cs="宋体" w:eastAsia="宋体" w:hint="default"/>
                <w:sz w:val="21"/>
                <w:szCs w:val="21"/>
              </w:rPr>
            </w:pPr>
            <w:r>
              <w:rPr>
                <w:rFonts w:ascii="宋体" w:hAnsi="宋体" w:cs="宋体" w:eastAsia="宋体" w:hint="default"/>
                <w:sz w:val="21"/>
                <w:szCs w:val="21"/>
              </w:rPr>
              <w:t>同联</w:t>
            </w:r>
            <w:r>
              <w:rPr>
                <w:rFonts w:ascii="宋体" w:hAnsi="宋体" w:cs="宋体" w:eastAsia="宋体" w:hint="default"/>
                <w:spacing w:val="-103"/>
                <w:sz w:val="21"/>
                <w:szCs w:val="21"/>
              </w:rPr>
              <w:t> </w:t>
            </w:r>
            <w:r>
              <w:rPr>
                <w:rFonts w:ascii="宋体" w:hAnsi="宋体" w:cs="宋体" w:eastAsia="宋体" w:hint="default"/>
                <w:sz w:val="21"/>
                <w:szCs w:val="21"/>
              </w:rPr>
              <w:t>信息</w:t>
            </w:r>
            <w:r>
              <w:rPr>
                <w:rFonts w:ascii="宋体" w:hAnsi="宋体" w:cs="宋体" w:eastAsia="宋体" w:hint="default"/>
                <w:spacing w:val="-103"/>
                <w:sz w:val="21"/>
                <w:szCs w:val="21"/>
              </w:rPr>
              <w:t> </w:t>
            </w:r>
            <w:r>
              <w:rPr>
                <w:rFonts w:ascii="宋体" w:hAnsi="宋体" w:cs="宋体" w:eastAsia="宋体" w:hint="default"/>
                <w:sz w:val="21"/>
                <w:szCs w:val="21"/>
              </w:rPr>
              <w:t>技术</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1" w:lineRule="exact"/>
              <w:ind w:left="117" w:right="0"/>
              <w:jc w:val="left"/>
              <w:rPr>
                <w:rFonts w:ascii="Times New Roman" w:hAnsi="Times New Roman" w:cs="Times New Roman" w:eastAsia="Times New Roman" w:hint="default"/>
                <w:sz w:val="21"/>
                <w:szCs w:val="21"/>
              </w:rPr>
            </w:pPr>
            <w:r>
              <w:rPr>
                <w:rFonts w:ascii="Times New Roman"/>
                <w:sz w:val="21"/>
              </w:rPr>
              <w:t>1,926,</w:t>
            </w:r>
          </w:p>
          <w:p>
            <w:pPr>
              <w:pStyle w:val="TableParagraph"/>
              <w:spacing w:line="241" w:lineRule="exact"/>
              <w:ind w:left="328" w:right="0"/>
              <w:jc w:val="left"/>
              <w:rPr>
                <w:rFonts w:ascii="Times New Roman" w:hAnsi="Times New Roman" w:cs="Times New Roman" w:eastAsia="Times New Roman" w:hint="default"/>
                <w:sz w:val="21"/>
                <w:szCs w:val="21"/>
              </w:rPr>
            </w:pPr>
            <w:r>
              <w:rPr>
                <w:rFonts w:ascii="Times New Roman"/>
                <w:sz w:val="21"/>
              </w:rPr>
              <w:t>968</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1,92</w:t>
            </w:r>
          </w:p>
          <w:p>
            <w:pPr>
              <w:pStyle w:val="TableParagraph"/>
              <w:spacing w:line="241" w:lineRule="exact" w:before="1"/>
              <w:ind w:right="99"/>
              <w:jc w:val="right"/>
              <w:rPr>
                <w:rFonts w:ascii="Times New Roman" w:hAnsi="Times New Roman" w:cs="Times New Roman" w:eastAsia="Times New Roman" w:hint="default"/>
                <w:sz w:val="21"/>
                <w:szCs w:val="21"/>
              </w:rPr>
            </w:pPr>
            <w:r>
              <w:rPr>
                <w:rFonts w:ascii="Times New Roman"/>
                <w:sz w:val="21"/>
              </w:rPr>
              <w:t>6,96</w:t>
            </w:r>
          </w:p>
          <w:p>
            <w:pPr>
              <w:pStyle w:val="TableParagraph"/>
              <w:spacing w:line="241" w:lineRule="exact"/>
              <w:ind w:right="101"/>
              <w:jc w:val="right"/>
              <w:rPr>
                <w:rFonts w:ascii="Times New Roman" w:hAnsi="Times New Roman" w:cs="Times New Roman" w:eastAsia="Times New Roman" w:hint="default"/>
                <w:sz w:val="21"/>
                <w:szCs w:val="21"/>
              </w:rPr>
            </w:pPr>
            <w:r>
              <w:rPr>
                <w:rFonts w:ascii="Times New Roman"/>
                <w:w w:val="100"/>
                <w:sz w:val="21"/>
              </w:rPr>
              <w:t>8</w:t>
            </w:r>
          </w:p>
        </w:tc>
        <w:tc>
          <w:tcPr>
            <w:tcW w:w="78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r>
      <w:tr>
        <w:trPr>
          <w:trHeight w:val="73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70" w:right="0"/>
              <w:jc w:val="left"/>
              <w:rPr>
                <w:rFonts w:ascii="Times New Roman" w:hAnsi="Times New Roman" w:cs="Times New Roman" w:eastAsia="Times New Roman" w:hint="default"/>
                <w:sz w:val="21"/>
                <w:szCs w:val="21"/>
              </w:rPr>
            </w:pPr>
            <w:r>
              <w:rPr>
                <w:rFonts w:ascii="Times New Roman"/>
                <w:sz w:val="21"/>
              </w:rPr>
              <w:t>47,88</w:t>
            </w:r>
          </w:p>
          <w:p>
            <w:pPr>
              <w:pStyle w:val="TableParagraph"/>
              <w:spacing w:line="240" w:lineRule="auto" w:before="1"/>
              <w:ind w:left="170" w:right="0"/>
              <w:jc w:val="left"/>
              <w:rPr>
                <w:rFonts w:ascii="Times New Roman" w:hAnsi="Times New Roman" w:cs="Times New Roman" w:eastAsia="Times New Roman" w:hint="default"/>
                <w:sz w:val="21"/>
                <w:szCs w:val="21"/>
              </w:rPr>
            </w:pPr>
            <w:r>
              <w:rPr>
                <w:rFonts w:ascii="Times New Roman"/>
                <w:sz w:val="21"/>
              </w:rPr>
              <w:t>4,118</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17" w:right="0"/>
              <w:jc w:val="left"/>
              <w:rPr>
                <w:rFonts w:ascii="Times New Roman" w:hAnsi="Times New Roman" w:cs="Times New Roman" w:eastAsia="Times New Roman" w:hint="default"/>
                <w:sz w:val="21"/>
                <w:szCs w:val="21"/>
              </w:rPr>
            </w:pPr>
            <w:r>
              <w:rPr>
                <w:rFonts w:ascii="Times New Roman"/>
                <w:sz w:val="21"/>
              </w:rPr>
              <w:t>1,650,</w:t>
            </w:r>
          </w:p>
          <w:p>
            <w:pPr>
              <w:pStyle w:val="TableParagraph"/>
              <w:spacing w:line="240" w:lineRule="auto" w:before="1"/>
              <w:ind w:left="328" w:right="0"/>
              <w:jc w:val="left"/>
              <w:rPr>
                <w:rFonts w:ascii="Times New Roman" w:hAnsi="Times New Roman" w:cs="Times New Roman" w:eastAsia="Times New Roman" w:hint="default"/>
                <w:sz w:val="21"/>
                <w:szCs w:val="21"/>
              </w:rPr>
            </w:pPr>
            <w:r>
              <w:rPr>
                <w:rFonts w:ascii="Times New Roman"/>
                <w:sz w:val="21"/>
              </w:rPr>
              <w:t>001</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88" w:right="0"/>
              <w:jc w:val="center"/>
              <w:rPr>
                <w:rFonts w:ascii="Times New Roman" w:hAnsi="Times New Roman" w:cs="Times New Roman" w:eastAsia="Times New Roman" w:hint="default"/>
                <w:sz w:val="21"/>
                <w:szCs w:val="21"/>
              </w:rPr>
            </w:pPr>
            <w:r>
              <w:rPr>
                <w:rFonts w:ascii="Times New Roman"/>
                <w:sz w:val="21"/>
              </w:rPr>
              <w:t>31,5</w:t>
            </w:r>
          </w:p>
          <w:p>
            <w:pPr>
              <w:pStyle w:val="TableParagraph"/>
              <w:spacing w:line="241" w:lineRule="exact"/>
              <w:ind w:left="88" w:right="0"/>
              <w:jc w:val="center"/>
              <w:rPr>
                <w:rFonts w:ascii="Times New Roman" w:hAnsi="Times New Roman" w:cs="Times New Roman" w:eastAsia="Times New Roman" w:hint="default"/>
                <w:sz w:val="21"/>
                <w:szCs w:val="21"/>
              </w:rPr>
            </w:pPr>
            <w:r>
              <w:rPr>
                <w:rFonts w:ascii="Times New Roman"/>
                <w:sz w:val="21"/>
              </w:rPr>
              <w:t>45,7</w:t>
            </w:r>
          </w:p>
          <w:p>
            <w:pPr>
              <w:pStyle w:val="TableParagraph"/>
              <w:spacing w:line="240" w:lineRule="auto" w:before="1"/>
              <w:ind w:left="241" w:right="0"/>
              <w:jc w:val="center"/>
              <w:rPr>
                <w:rFonts w:ascii="Times New Roman" w:hAnsi="Times New Roman" w:cs="Times New Roman" w:eastAsia="Times New Roman" w:hint="default"/>
                <w:sz w:val="21"/>
                <w:szCs w:val="21"/>
              </w:rPr>
            </w:pPr>
            <w:r>
              <w:rPr>
                <w:rFonts w:ascii="Times New Roman"/>
                <w:sz w:val="21"/>
              </w:rPr>
              <w:t>87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48" w:right="0"/>
              <w:jc w:val="left"/>
              <w:rPr>
                <w:rFonts w:ascii="Times New Roman" w:hAnsi="Times New Roman" w:cs="Times New Roman" w:eastAsia="Times New Roman" w:hint="default"/>
                <w:sz w:val="21"/>
                <w:szCs w:val="21"/>
              </w:rPr>
            </w:pPr>
            <w:r>
              <w:rPr>
                <w:rFonts w:ascii="Times New Roman"/>
                <w:sz w:val="21"/>
              </w:rPr>
              <w:t>5,247,</w:t>
            </w:r>
          </w:p>
          <w:p>
            <w:pPr>
              <w:pStyle w:val="TableParagraph"/>
              <w:spacing w:line="240" w:lineRule="auto" w:before="1"/>
              <w:ind w:left="359" w:right="0"/>
              <w:jc w:val="left"/>
              <w:rPr>
                <w:rFonts w:ascii="Times New Roman" w:hAnsi="Times New Roman" w:cs="Times New Roman" w:eastAsia="Times New Roman" w:hint="default"/>
                <w:sz w:val="21"/>
                <w:szCs w:val="21"/>
              </w:rPr>
            </w:pPr>
            <w:r>
              <w:rPr>
                <w:rFonts w:ascii="Times New Roman"/>
                <w:sz w:val="21"/>
              </w:rPr>
              <w:t>627</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99" w:right="0"/>
              <w:jc w:val="left"/>
              <w:rPr>
                <w:rFonts w:ascii="Times New Roman" w:hAnsi="Times New Roman" w:cs="Times New Roman" w:eastAsia="Times New Roman" w:hint="default"/>
                <w:sz w:val="21"/>
                <w:szCs w:val="21"/>
              </w:rPr>
            </w:pPr>
            <w:r>
              <w:rPr>
                <w:rFonts w:ascii="Times New Roman"/>
                <w:sz w:val="21"/>
              </w:rPr>
              <w:t>192,1</w:t>
            </w:r>
          </w:p>
          <w:p>
            <w:pPr>
              <w:pStyle w:val="TableParagraph"/>
              <w:spacing w:line="240" w:lineRule="auto" w:before="1"/>
              <w:ind w:left="461" w:right="0"/>
              <w:jc w:val="left"/>
              <w:rPr>
                <w:rFonts w:ascii="Times New Roman" w:hAnsi="Times New Roman" w:cs="Times New Roman" w:eastAsia="Times New Roman" w:hint="default"/>
                <w:sz w:val="21"/>
                <w:szCs w:val="21"/>
              </w:rPr>
            </w:pPr>
            <w:r>
              <w:rPr>
                <w:rFonts w:ascii="Times New Roman"/>
                <w:sz w:val="21"/>
              </w:rPr>
              <w:t>22</w:t>
            </w: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84" w:right="0"/>
              <w:jc w:val="left"/>
              <w:rPr>
                <w:rFonts w:ascii="Times New Roman" w:hAnsi="Times New Roman" w:cs="Times New Roman" w:eastAsia="Times New Roman" w:hint="default"/>
                <w:sz w:val="21"/>
                <w:szCs w:val="21"/>
              </w:rPr>
            </w:pPr>
            <w:r>
              <w:rPr>
                <w:rFonts w:ascii="Times New Roman"/>
                <w:sz w:val="21"/>
              </w:rPr>
              <w:t>23,04</w:t>
            </w:r>
          </w:p>
          <w:p>
            <w:pPr>
              <w:pStyle w:val="TableParagraph"/>
              <w:spacing w:line="240" w:lineRule="auto" w:before="1"/>
              <w:ind w:left="184" w:right="0"/>
              <w:jc w:val="left"/>
              <w:rPr>
                <w:rFonts w:ascii="Times New Roman" w:hAnsi="Times New Roman" w:cs="Times New Roman" w:eastAsia="Times New Roman" w:hint="default"/>
                <w:sz w:val="21"/>
                <w:szCs w:val="21"/>
              </w:rPr>
            </w:pPr>
            <w:r>
              <w:rPr>
                <w:rFonts w:ascii="Times New Roman"/>
                <w:sz w:val="21"/>
              </w:rPr>
              <w:t>3,837</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101"/>
              <w:jc w:val="right"/>
              <w:rPr>
                <w:rFonts w:ascii="Times New Roman" w:hAnsi="Times New Roman" w:cs="Times New Roman" w:eastAsia="Times New Roman" w:hint="default"/>
                <w:sz w:val="21"/>
                <w:szCs w:val="21"/>
              </w:rPr>
            </w:pPr>
            <w:r>
              <w:rPr>
                <w:rFonts w:ascii="Times New Roman"/>
                <w:spacing w:val="-1"/>
                <w:sz w:val="21"/>
              </w:rPr>
              <w:t>-12,0</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15,95</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2</w:t>
            </w:r>
          </w:p>
        </w:tc>
      </w:tr>
      <w:tr>
        <w:trPr>
          <w:trHeight w:val="735"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17" w:right="0"/>
              <w:jc w:val="left"/>
              <w:rPr>
                <w:rFonts w:ascii="Times New Roman" w:hAnsi="Times New Roman" w:cs="Times New Roman" w:eastAsia="Times New Roman" w:hint="default"/>
                <w:sz w:val="21"/>
                <w:szCs w:val="21"/>
              </w:rPr>
            </w:pPr>
            <w:r>
              <w:rPr>
                <w:rFonts w:ascii="Times New Roman"/>
                <w:sz w:val="21"/>
              </w:rPr>
              <w:t>1,702,</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892,4</w:t>
            </w:r>
          </w:p>
          <w:p>
            <w:pPr>
              <w:pStyle w:val="TableParagraph"/>
              <w:spacing w:line="240" w:lineRule="auto" w:before="1"/>
              <w:ind w:left="431" w:right="0"/>
              <w:jc w:val="left"/>
              <w:rPr>
                <w:rFonts w:ascii="Times New Roman" w:hAnsi="Times New Roman" w:cs="Times New Roman" w:eastAsia="Times New Roman" w:hint="default"/>
                <w:sz w:val="21"/>
                <w:szCs w:val="21"/>
              </w:rPr>
            </w:pPr>
            <w:r>
              <w:rPr>
                <w:rFonts w:ascii="Times New Roman"/>
                <w:sz w:val="21"/>
              </w:rPr>
              <w:t>59</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1"/>
              <w:jc w:val="right"/>
              <w:rPr>
                <w:rFonts w:ascii="Times New Roman" w:hAnsi="Times New Roman" w:cs="Times New Roman" w:eastAsia="Times New Roman" w:hint="default"/>
                <w:sz w:val="21"/>
                <w:szCs w:val="21"/>
              </w:rPr>
            </w:pPr>
            <w:r>
              <w:rPr>
                <w:rFonts w:ascii="Times New Roman"/>
                <w:sz w:val="21"/>
              </w:rPr>
              <w:t>101,6</w:t>
            </w:r>
          </w:p>
          <w:p>
            <w:pPr>
              <w:pStyle w:val="TableParagraph"/>
              <w:spacing w:line="241" w:lineRule="exact"/>
              <w:ind w:right="101"/>
              <w:jc w:val="right"/>
              <w:rPr>
                <w:rFonts w:ascii="Times New Roman" w:hAnsi="Times New Roman" w:cs="Times New Roman" w:eastAsia="Times New Roman" w:hint="default"/>
                <w:sz w:val="21"/>
                <w:szCs w:val="21"/>
              </w:rPr>
            </w:pPr>
            <w:r>
              <w:rPr>
                <w:rFonts w:ascii="Times New Roman"/>
                <w:sz w:val="21"/>
              </w:rPr>
              <w:t>98,64</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0</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88" w:right="0"/>
              <w:jc w:val="center"/>
              <w:rPr>
                <w:rFonts w:ascii="Times New Roman" w:hAnsi="Times New Roman" w:cs="Times New Roman" w:eastAsia="Times New Roman" w:hint="default"/>
                <w:sz w:val="21"/>
                <w:szCs w:val="21"/>
              </w:rPr>
            </w:pPr>
            <w:r>
              <w:rPr>
                <w:rFonts w:ascii="Times New Roman"/>
                <w:sz w:val="21"/>
              </w:rPr>
              <w:t>44,9</w:t>
            </w:r>
          </w:p>
          <w:p>
            <w:pPr>
              <w:pStyle w:val="TableParagraph"/>
              <w:spacing w:line="241" w:lineRule="exact"/>
              <w:ind w:left="88" w:right="0"/>
              <w:jc w:val="center"/>
              <w:rPr>
                <w:rFonts w:ascii="Times New Roman" w:hAnsi="Times New Roman" w:cs="Times New Roman" w:eastAsia="Times New Roman" w:hint="default"/>
                <w:sz w:val="21"/>
                <w:szCs w:val="21"/>
              </w:rPr>
            </w:pPr>
            <w:r>
              <w:rPr>
                <w:rFonts w:ascii="Times New Roman"/>
                <w:sz w:val="21"/>
              </w:rPr>
              <w:t>29,5</w:t>
            </w:r>
          </w:p>
          <w:p>
            <w:pPr>
              <w:pStyle w:val="TableParagraph"/>
              <w:spacing w:line="240" w:lineRule="auto" w:before="1"/>
              <w:ind w:left="241" w:right="0"/>
              <w:jc w:val="center"/>
              <w:rPr>
                <w:rFonts w:ascii="Times New Roman" w:hAnsi="Times New Roman" w:cs="Times New Roman" w:eastAsia="Times New Roman" w:hint="default"/>
                <w:sz w:val="21"/>
                <w:szCs w:val="21"/>
              </w:rPr>
            </w:pPr>
            <w:r>
              <w:rPr>
                <w:rFonts w:ascii="Times New Roman"/>
                <w:sz w:val="21"/>
              </w:rPr>
              <w:t>93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31" w:right="0"/>
              <w:jc w:val="left"/>
              <w:rPr>
                <w:rFonts w:ascii="Times New Roman" w:hAnsi="Times New Roman" w:cs="Times New Roman" w:eastAsia="Times New Roman" w:hint="default"/>
                <w:sz w:val="21"/>
                <w:szCs w:val="21"/>
              </w:rPr>
            </w:pPr>
            <w:r>
              <w:rPr>
                <w:rFonts w:ascii="Times New Roman"/>
                <w:sz w:val="21"/>
              </w:rPr>
              <w:t>-22,65</w:t>
            </w:r>
          </w:p>
          <w:p>
            <w:pPr>
              <w:pStyle w:val="TableParagraph"/>
              <w:spacing w:line="240" w:lineRule="auto" w:before="1"/>
              <w:ind w:left="201" w:right="0"/>
              <w:jc w:val="left"/>
              <w:rPr>
                <w:rFonts w:ascii="Times New Roman" w:hAnsi="Times New Roman" w:cs="Times New Roman" w:eastAsia="Times New Roman" w:hint="default"/>
                <w:sz w:val="21"/>
                <w:szCs w:val="21"/>
              </w:rPr>
            </w:pPr>
            <w:r>
              <w:rPr>
                <w:rFonts w:ascii="Times New Roman"/>
                <w:sz w:val="21"/>
              </w:rPr>
              <w:t>0,798</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99" w:right="0"/>
              <w:jc w:val="left"/>
              <w:rPr>
                <w:rFonts w:ascii="Times New Roman" w:hAnsi="Times New Roman" w:cs="Times New Roman" w:eastAsia="Times New Roman" w:hint="default"/>
                <w:sz w:val="21"/>
                <w:szCs w:val="21"/>
              </w:rPr>
            </w:pPr>
            <w:r>
              <w:rPr>
                <w:rFonts w:ascii="Times New Roman"/>
                <w:sz w:val="21"/>
              </w:rPr>
              <w:t>192,1</w:t>
            </w:r>
          </w:p>
          <w:p>
            <w:pPr>
              <w:pStyle w:val="TableParagraph"/>
              <w:spacing w:line="240" w:lineRule="auto" w:before="1"/>
              <w:ind w:left="461" w:right="0"/>
              <w:jc w:val="left"/>
              <w:rPr>
                <w:rFonts w:ascii="Times New Roman" w:hAnsi="Times New Roman" w:cs="Times New Roman" w:eastAsia="Times New Roman" w:hint="default"/>
                <w:sz w:val="21"/>
                <w:szCs w:val="21"/>
              </w:rPr>
            </w:pPr>
            <w:r>
              <w:rPr>
                <w:rFonts w:ascii="Times New Roman"/>
                <w:sz w:val="21"/>
              </w:rPr>
              <w:t>22</w:t>
            </w: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15" w:right="0"/>
              <w:jc w:val="left"/>
              <w:rPr>
                <w:rFonts w:ascii="Times New Roman" w:hAnsi="Times New Roman" w:cs="Times New Roman" w:eastAsia="Times New Roman" w:hint="default"/>
                <w:sz w:val="21"/>
                <w:szCs w:val="21"/>
              </w:rPr>
            </w:pPr>
            <w:r>
              <w:rPr>
                <w:rFonts w:ascii="Times New Roman"/>
                <w:sz w:val="21"/>
              </w:rPr>
              <w:t>178,7</w:t>
            </w:r>
          </w:p>
          <w:p>
            <w:pPr>
              <w:pStyle w:val="TableParagraph"/>
              <w:spacing w:line="240" w:lineRule="auto" w:before="1"/>
              <w:ind w:left="376" w:right="0"/>
              <w:jc w:val="left"/>
              <w:rPr>
                <w:rFonts w:ascii="Times New Roman" w:hAnsi="Times New Roman" w:cs="Times New Roman" w:eastAsia="Times New Roman" w:hint="default"/>
                <w:sz w:val="21"/>
                <w:szCs w:val="21"/>
              </w:rPr>
            </w:pPr>
            <w:r>
              <w:rPr>
                <w:rFonts w:ascii="Times New Roman"/>
                <w:sz w:val="21"/>
              </w:rPr>
              <w:t>02</w:t>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31" w:right="0"/>
              <w:jc w:val="left"/>
              <w:rPr>
                <w:rFonts w:ascii="Times New Roman" w:hAnsi="Times New Roman" w:cs="Times New Roman" w:eastAsia="Times New Roman" w:hint="default"/>
                <w:sz w:val="21"/>
                <w:szCs w:val="21"/>
              </w:rPr>
            </w:pPr>
            <w:r>
              <w:rPr>
                <w:rFonts w:ascii="Times New Roman"/>
                <w:sz w:val="21"/>
              </w:rPr>
              <w:t>1,781,</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941,4</w:t>
            </w:r>
          </w:p>
          <w:p>
            <w:pPr>
              <w:pStyle w:val="TableParagraph"/>
              <w:spacing w:line="240" w:lineRule="auto" w:before="1"/>
              <w:ind w:left="446" w:right="0"/>
              <w:jc w:val="left"/>
              <w:rPr>
                <w:rFonts w:ascii="Times New Roman" w:hAnsi="Times New Roman" w:cs="Times New Roman" w:eastAsia="Times New Roman" w:hint="default"/>
                <w:sz w:val="21"/>
                <w:szCs w:val="21"/>
              </w:rPr>
            </w:pPr>
            <w:r>
              <w:rPr>
                <w:rFonts w:ascii="Times New Roman"/>
                <w:sz w:val="21"/>
              </w:rPr>
              <w:t>80</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1"/>
              <w:jc w:val="right"/>
              <w:rPr>
                <w:rFonts w:ascii="Times New Roman" w:hAnsi="Times New Roman" w:cs="Times New Roman" w:eastAsia="Times New Roman" w:hint="default"/>
                <w:sz w:val="21"/>
                <w:szCs w:val="21"/>
              </w:rPr>
            </w:pPr>
            <w:r>
              <w:rPr>
                <w:rFonts w:ascii="Times New Roman"/>
                <w:spacing w:val="-1"/>
                <w:sz w:val="21"/>
              </w:rPr>
              <w:t>-21,0</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36,31</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7</w:t>
            </w:r>
          </w:p>
        </w:tc>
      </w:tr>
      <w:tr>
        <w:trPr>
          <w:trHeight w:val="734" w:hRule="exact"/>
        </w:trPr>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17" w:right="0"/>
              <w:jc w:val="left"/>
              <w:rPr>
                <w:rFonts w:ascii="Times New Roman" w:hAnsi="Times New Roman" w:cs="Times New Roman" w:eastAsia="Times New Roman" w:hint="default"/>
                <w:sz w:val="21"/>
                <w:szCs w:val="21"/>
              </w:rPr>
            </w:pPr>
            <w:r>
              <w:rPr>
                <w:rFonts w:ascii="Times New Roman"/>
                <w:sz w:val="21"/>
              </w:rPr>
              <w:t>1,702,</w:t>
            </w:r>
          </w:p>
          <w:p>
            <w:pPr>
              <w:pStyle w:val="TableParagraph"/>
              <w:spacing w:line="241" w:lineRule="exact"/>
              <w:ind w:left="170" w:right="0"/>
              <w:jc w:val="left"/>
              <w:rPr>
                <w:rFonts w:ascii="Times New Roman" w:hAnsi="Times New Roman" w:cs="Times New Roman" w:eastAsia="Times New Roman" w:hint="default"/>
                <w:sz w:val="21"/>
                <w:szCs w:val="21"/>
              </w:rPr>
            </w:pPr>
            <w:r>
              <w:rPr>
                <w:rFonts w:ascii="Times New Roman"/>
                <w:sz w:val="21"/>
              </w:rPr>
              <w:t>892,4</w:t>
            </w:r>
          </w:p>
          <w:p>
            <w:pPr>
              <w:pStyle w:val="TableParagraph"/>
              <w:spacing w:line="240" w:lineRule="auto" w:before="1"/>
              <w:ind w:left="431" w:right="0"/>
              <w:jc w:val="left"/>
              <w:rPr>
                <w:rFonts w:ascii="Times New Roman" w:hAnsi="Times New Roman" w:cs="Times New Roman" w:eastAsia="Times New Roman" w:hint="default"/>
                <w:sz w:val="21"/>
                <w:szCs w:val="21"/>
              </w:rPr>
            </w:pPr>
            <w:r>
              <w:rPr>
                <w:rFonts w:ascii="Times New Roman"/>
                <w:sz w:val="21"/>
              </w:rPr>
              <w:t>59</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101"/>
              <w:jc w:val="right"/>
              <w:rPr>
                <w:rFonts w:ascii="Times New Roman" w:hAnsi="Times New Roman" w:cs="Times New Roman" w:eastAsia="Times New Roman" w:hint="default"/>
                <w:sz w:val="21"/>
                <w:szCs w:val="21"/>
              </w:rPr>
            </w:pPr>
            <w:r>
              <w:rPr>
                <w:rFonts w:ascii="Times New Roman"/>
                <w:sz w:val="21"/>
              </w:rPr>
              <w:t>101,6</w:t>
            </w:r>
          </w:p>
          <w:p>
            <w:pPr>
              <w:pStyle w:val="TableParagraph"/>
              <w:spacing w:line="241" w:lineRule="exact"/>
              <w:ind w:right="101"/>
              <w:jc w:val="right"/>
              <w:rPr>
                <w:rFonts w:ascii="Times New Roman" w:hAnsi="Times New Roman" w:cs="Times New Roman" w:eastAsia="Times New Roman" w:hint="default"/>
                <w:sz w:val="21"/>
                <w:szCs w:val="21"/>
              </w:rPr>
            </w:pPr>
            <w:r>
              <w:rPr>
                <w:rFonts w:ascii="Times New Roman"/>
                <w:sz w:val="21"/>
              </w:rPr>
              <w:t>98,64</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0</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88" w:right="0"/>
              <w:jc w:val="center"/>
              <w:rPr>
                <w:rFonts w:ascii="Times New Roman" w:hAnsi="Times New Roman" w:cs="Times New Roman" w:eastAsia="Times New Roman" w:hint="default"/>
                <w:sz w:val="21"/>
                <w:szCs w:val="21"/>
              </w:rPr>
            </w:pPr>
            <w:r>
              <w:rPr>
                <w:rFonts w:ascii="Times New Roman"/>
                <w:sz w:val="21"/>
              </w:rPr>
              <w:t>44,9</w:t>
            </w:r>
          </w:p>
          <w:p>
            <w:pPr>
              <w:pStyle w:val="TableParagraph"/>
              <w:spacing w:line="241" w:lineRule="exact"/>
              <w:ind w:left="88" w:right="0"/>
              <w:jc w:val="center"/>
              <w:rPr>
                <w:rFonts w:ascii="Times New Roman" w:hAnsi="Times New Roman" w:cs="Times New Roman" w:eastAsia="Times New Roman" w:hint="default"/>
                <w:sz w:val="21"/>
                <w:szCs w:val="21"/>
              </w:rPr>
            </w:pPr>
            <w:r>
              <w:rPr>
                <w:rFonts w:ascii="Times New Roman"/>
                <w:sz w:val="21"/>
              </w:rPr>
              <w:t>29,5</w:t>
            </w:r>
          </w:p>
          <w:p>
            <w:pPr>
              <w:pStyle w:val="TableParagraph"/>
              <w:spacing w:line="240" w:lineRule="auto" w:before="1"/>
              <w:ind w:left="241" w:right="0"/>
              <w:jc w:val="center"/>
              <w:rPr>
                <w:rFonts w:ascii="Times New Roman" w:hAnsi="Times New Roman" w:cs="Times New Roman" w:eastAsia="Times New Roman" w:hint="default"/>
                <w:sz w:val="21"/>
                <w:szCs w:val="21"/>
              </w:rPr>
            </w:pPr>
            <w:r>
              <w:rPr>
                <w:rFonts w:ascii="Times New Roman"/>
                <w:sz w:val="21"/>
              </w:rPr>
              <w:t>93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31" w:right="0"/>
              <w:jc w:val="left"/>
              <w:rPr>
                <w:rFonts w:ascii="Times New Roman" w:hAnsi="Times New Roman" w:cs="Times New Roman" w:eastAsia="Times New Roman" w:hint="default"/>
                <w:sz w:val="21"/>
                <w:szCs w:val="21"/>
              </w:rPr>
            </w:pPr>
            <w:r>
              <w:rPr>
                <w:rFonts w:ascii="Times New Roman"/>
                <w:sz w:val="21"/>
              </w:rPr>
              <w:t>-22,65</w:t>
            </w:r>
          </w:p>
          <w:p>
            <w:pPr>
              <w:pStyle w:val="TableParagraph"/>
              <w:spacing w:line="240" w:lineRule="auto" w:before="1"/>
              <w:ind w:left="201" w:right="0"/>
              <w:jc w:val="left"/>
              <w:rPr>
                <w:rFonts w:ascii="Times New Roman" w:hAnsi="Times New Roman" w:cs="Times New Roman" w:eastAsia="Times New Roman" w:hint="default"/>
                <w:sz w:val="21"/>
                <w:szCs w:val="21"/>
              </w:rPr>
            </w:pPr>
            <w:r>
              <w:rPr>
                <w:rFonts w:ascii="Times New Roman"/>
                <w:sz w:val="21"/>
              </w:rPr>
              <w:t>0,798</w:t>
            </w: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99" w:right="0"/>
              <w:jc w:val="left"/>
              <w:rPr>
                <w:rFonts w:ascii="Times New Roman" w:hAnsi="Times New Roman" w:cs="Times New Roman" w:eastAsia="Times New Roman" w:hint="default"/>
                <w:sz w:val="21"/>
                <w:szCs w:val="21"/>
              </w:rPr>
            </w:pPr>
            <w:r>
              <w:rPr>
                <w:rFonts w:ascii="Times New Roman"/>
                <w:sz w:val="21"/>
              </w:rPr>
              <w:t>192,1</w:t>
            </w:r>
          </w:p>
          <w:p>
            <w:pPr>
              <w:pStyle w:val="TableParagraph"/>
              <w:spacing w:line="240" w:lineRule="auto" w:before="1"/>
              <w:ind w:left="461" w:right="0"/>
              <w:jc w:val="left"/>
              <w:rPr>
                <w:rFonts w:ascii="Times New Roman" w:hAnsi="Times New Roman" w:cs="Times New Roman" w:eastAsia="Times New Roman" w:hint="default"/>
                <w:sz w:val="21"/>
                <w:szCs w:val="21"/>
              </w:rPr>
            </w:pPr>
            <w:r>
              <w:rPr>
                <w:rFonts w:ascii="Times New Roman"/>
                <w:sz w:val="21"/>
              </w:rPr>
              <w:t>22</w:t>
            </w:r>
          </w:p>
        </w:tc>
        <w:tc>
          <w:tcPr>
            <w:tcW w:w="835" w:type="dxa"/>
            <w:tcBorders>
              <w:top w:val="single" w:sz="4" w:space="0" w:color="000000"/>
              <w:left w:val="single" w:sz="4" w:space="0" w:color="000000"/>
              <w:bottom w:val="single" w:sz="4" w:space="0" w:color="000000"/>
              <w:right w:val="single" w:sz="4" w:space="0" w:color="000000"/>
            </w:tcBorders>
          </w:tcPr>
          <w:p>
            <w:pP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15" w:right="0"/>
              <w:jc w:val="left"/>
              <w:rPr>
                <w:rFonts w:ascii="Times New Roman" w:hAnsi="Times New Roman" w:cs="Times New Roman" w:eastAsia="Times New Roman" w:hint="default"/>
                <w:sz w:val="21"/>
                <w:szCs w:val="21"/>
              </w:rPr>
            </w:pPr>
            <w:r>
              <w:rPr>
                <w:rFonts w:ascii="Times New Roman"/>
                <w:sz w:val="21"/>
              </w:rPr>
              <w:t>178,7</w:t>
            </w:r>
          </w:p>
          <w:p>
            <w:pPr>
              <w:pStyle w:val="TableParagraph"/>
              <w:spacing w:line="240" w:lineRule="auto" w:before="1"/>
              <w:ind w:left="376" w:right="0"/>
              <w:jc w:val="left"/>
              <w:rPr>
                <w:rFonts w:ascii="Times New Roman" w:hAnsi="Times New Roman" w:cs="Times New Roman" w:eastAsia="Times New Roman" w:hint="default"/>
                <w:sz w:val="21"/>
                <w:szCs w:val="21"/>
              </w:rPr>
            </w:pPr>
            <w:r>
              <w:rPr>
                <w:rFonts w:ascii="Times New Roman"/>
                <w:sz w:val="21"/>
              </w:rPr>
              <w:t>02</w:t>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31" w:right="0"/>
              <w:jc w:val="left"/>
              <w:rPr>
                <w:rFonts w:ascii="Times New Roman" w:hAnsi="Times New Roman" w:cs="Times New Roman" w:eastAsia="Times New Roman" w:hint="default"/>
                <w:sz w:val="21"/>
                <w:szCs w:val="21"/>
              </w:rPr>
            </w:pPr>
            <w:r>
              <w:rPr>
                <w:rFonts w:ascii="Times New Roman"/>
                <w:sz w:val="21"/>
              </w:rPr>
              <w:t>1,781,</w:t>
            </w:r>
          </w:p>
          <w:p>
            <w:pPr>
              <w:pStyle w:val="TableParagraph"/>
              <w:spacing w:line="241" w:lineRule="exact"/>
              <w:ind w:left="184" w:right="0"/>
              <w:jc w:val="left"/>
              <w:rPr>
                <w:rFonts w:ascii="Times New Roman" w:hAnsi="Times New Roman" w:cs="Times New Roman" w:eastAsia="Times New Roman" w:hint="default"/>
                <w:sz w:val="21"/>
                <w:szCs w:val="21"/>
              </w:rPr>
            </w:pPr>
            <w:r>
              <w:rPr>
                <w:rFonts w:ascii="Times New Roman"/>
                <w:sz w:val="21"/>
              </w:rPr>
              <w:t>941,4</w:t>
            </w:r>
          </w:p>
          <w:p>
            <w:pPr>
              <w:pStyle w:val="TableParagraph"/>
              <w:spacing w:line="240" w:lineRule="auto" w:before="1"/>
              <w:ind w:left="446" w:right="0"/>
              <w:jc w:val="left"/>
              <w:rPr>
                <w:rFonts w:ascii="Times New Roman" w:hAnsi="Times New Roman" w:cs="Times New Roman" w:eastAsia="Times New Roman" w:hint="default"/>
                <w:sz w:val="21"/>
                <w:szCs w:val="21"/>
              </w:rPr>
            </w:pPr>
            <w:r>
              <w:rPr>
                <w:rFonts w:ascii="Times New Roman"/>
                <w:sz w:val="21"/>
              </w:rPr>
              <w:t>80</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101"/>
              <w:jc w:val="right"/>
              <w:rPr>
                <w:rFonts w:ascii="Times New Roman" w:hAnsi="Times New Roman" w:cs="Times New Roman" w:eastAsia="Times New Roman" w:hint="default"/>
                <w:sz w:val="21"/>
                <w:szCs w:val="21"/>
              </w:rPr>
            </w:pPr>
            <w:r>
              <w:rPr>
                <w:rFonts w:ascii="Times New Roman"/>
                <w:spacing w:val="-1"/>
                <w:sz w:val="21"/>
              </w:rPr>
              <w:t>-21,0</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36,31</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7</w:t>
            </w:r>
          </w:p>
        </w:tc>
      </w:tr>
    </w:tbl>
    <w:p>
      <w:pPr>
        <w:spacing w:line="240" w:lineRule="auto" w:before="3"/>
        <w:rPr>
          <w:rFonts w:ascii="Times New Roman" w:hAnsi="Times New Roman" w:cs="Times New Roman" w:eastAsia="Times New Roman" w:hint="default"/>
          <w:sz w:val="18"/>
          <w:szCs w:val="18"/>
        </w:rPr>
      </w:pPr>
    </w:p>
    <w:p>
      <w:pPr>
        <w:pStyle w:val="BodyText"/>
        <w:spacing w:line="314" w:lineRule="exact" w:before="26"/>
        <w:ind w:left="316" w:right="0"/>
        <w:jc w:val="left"/>
      </w:pPr>
      <w:r>
        <w:rPr/>
        <w:t>其他说明</w:t>
      </w:r>
    </w:p>
    <w:p>
      <w:pPr>
        <w:spacing w:line="261" w:lineRule="exact" w:before="0"/>
        <w:ind w:left="316" w:right="0" w:firstLine="0"/>
        <w:jc w:val="left"/>
        <w:rPr>
          <w:rFonts w:ascii="黑体" w:hAnsi="黑体" w:cs="黑体" w:eastAsia="黑体" w:hint="default"/>
          <w:sz w:val="20"/>
          <w:szCs w:val="20"/>
        </w:rPr>
      </w:pPr>
      <w:r>
        <w:rPr>
          <w:rFonts w:ascii="黑体" w:hAnsi="黑体" w:cs="黑体" w:eastAsia="黑体" w:hint="default"/>
          <w:sz w:val="20"/>
          <w:szCs w:val="20"/>
        </w:rPr>
        <w:t>长期股权投资减值准备的情况：</w:t>
      </w:r>
    </w:p>
    <w:p>
      <w:pPr>
        <w:spacing w:line="240" w:lineRule="auto" w:before="5"/>
        <w:rPr>
          <w:rFonts w:ascii="黑体" w:hAnsi="黑体" w:cs="黑体" w:eastAsia="黑体" w:hint="default"/>
          <w:sz w:val="17"/>
          <w:szCs w:val="17"/>
        </w:rPr>
      </w:pPr>
    </w:p>
    <w:p>
      <w:pPr>
        <w:spacing w:before="0"/>
        <w:ind w:left="316" w:right="0" w:firstLine="0"/>
        <w:jc w:val="left"/>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w:t>
      </w:r>
    </w:p>
    <w:p>
      <w:pPr>
        <w:spacing w:line="240" w:lineRule="auto" w:before="6"/>
        <w:rPr>
          <w:rFonts w:ascii="黑体" w:hAnsi="黑体" w:cs="黑体" w:eastAsia="黑体" w:hint="default"/>
          <w:sz w:val="21"/>
          <w:szCs w:val="21"/>
        </w:rPr>
      </w:pPr>
    </w:p>
    <w:tbl>
      <w:tblPr>
        <w:tblW w:w="0" w:type="auto"/>
        <w:jc w:val="left"/>
        <w:tblInd w:w="116" w:type="dxa"/>
        <w:tblLayout w:type="fixed"/>
        <w:tblCellMar>
          <w:top w:w="0" w:type="dxa"/>
          <w:left w:w="0" w:type="dxa"/>
          <w:bottom w:w="0" w:type="dxa"/>
          <w:right w:w="0" w:type="dxa"/>
        </w:tblCellMar>
        <w:tblLook w:val="01E0"/>
      </w:tblPr>
      <w:tblGrid>
        <w:gridCol w:w="5955"/>
        <w:gridCol w:w="2710"/>
      </w:tblGrid>
      <w:tr>
        <w:trPr>
          <w:trHeight w:val="345" w:hRule="exact"/>
        </w:trPr>
        <w:tc>
          <w:tcPr>
            <w:tcW w:w="5955" w:type="dxa"/>
            <w:tcBorders>
              <w:top w:val="nil" w:sz="6" w:space="0" w:color="auto"/>
              <w:left w:val="nil" w:sz="6" w:space="0" w:color="auto"/>
              <w:bottom w:val="nil" w:sz="6" w:space="0" w:color="auto"/>
              <w:right w:val="nil" w:sz="6" w:space="0" w:color="auto"/>
            </w:tcBorders>
          </w:tcPr>
          <w:p>
            <w:pPr/>
          </w:p>
        </w:tc>
        <w:tc>
          <w:tcPr>
            <w:tcW w:w="2710"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黑体" w:hAnsi="黑体" w:cs="黑体" w:eastAsia="黑体" w:hint="default"/>
                <w:sz w:val="20"/>
                <w:szCs w:val="20"/>
              </w:rPr>
            </w:pPr>
            <w:r>
              <w:rPr>
                <w:rFonts w:ascii="黑体" w:hAnsi="黑体" w:cs="黑体" w:eastAsia="黑体" w:hint="default"/>
                <w:w w:val="95"/>
                <w:sz w:val="20"/>
                <w:szCs w:val="20"/>
              </w:rPr>
              <w:t>年末余额</w:t>
            </w:r>
            <w:r>
              <w:rPr>
                <w:rFonts w:ascii="黑体" w:hAnsi="黑体" w:cs="黑体" w:eastAsia="黑体" w:hint="default"/>
                <w:sz w:val="20"/>
                <w:szCs w:val="20"/>
              </w:rPr>
            </w:r>
          </w:p>
        </w:tc>
      </w:tr>
      <w:tr>
        <w:trPr>
          <w:trHeight w:val="385" w:hRule="exact"/>
        </w:trPr>
        <w:tc>
          <w:tcPr>
            <w:tcW w:w="595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黑体" w:hAnsi="黑体" w:cs="黑体" w:eastAsia="黑体" w:hint="default"/>
                <w:sz w:val="20"/>
                <w:szCs w:val="20"/>
              </w:rPr>
            </w:pPr>
            <w:r>
              <w:rPr>
                <w:rFonts w:ascii="黑体" w:hAnsi="黑体" w:cs="黑体" w:eastAsia="黑体" w:hint="default"/>
                <w:sz w:val="20"/>
                <w:szCs w:val="20"/>
              </w:rPr>
              <w:t>珊瑚灵御</w:t>
            </w:r>
          </w:p>
        </w:tc>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00"/>
              <w:jc w:val="right"/>
              <w:rPr>
                <w:rFonts w:ascii="Arial" w:hAnsi="Arial" w:cs="Arial" w:eastAsia="Arial" w:hint="default"/>
                <w:sz w:val="20"/>
                <w:szCs w:val="20"/>
              </w:rPr>
            </w:pPr>
            <w:r>
              <w:rPr>
                <w:rFonts w:ascii="Arial"/>
                <w:w w:val="95"/>
                <w:sz w:val="20"/>
              </w:rPr>
              <w:t>9,020,365</w:t>
            </w:r>
            <w:r>
              <w:rPr>
                <w:rFonts w:ascii="Arial"/>
                <w:sz w:val="20"/>
              </w:rPr>
            </w:r>
          </w:p>
        </w:tc>
      </w:tr>
      <w:tr>
        <w:trPr>
          <w:trHeight w:val="259" w:hRule="exact"/>
        </w:trPr>
        <w:tc>
          <w:tcPr>
            <w:tcW w:w="5955" w:type="dxa"/>
            <w:tcBorders>
              <w:top w:val="nil" w:sz="6" w:space="0" w:color="auto"/>
              <w:left w:val="nil" w:sz="6" w:space="0" w:color="auto"/>
              <w:bottom w:val="nil" w:sz="6" w:space="0" w:color="auto"/>
              <w:right w:val="nil" w:sz="6" w:space="0" w:color="auto"/>
            </w:tcBorders>
          </w:tcPr>
          <w:p>
            <w:pPr>
              <w:pStyle w:val="TableParagraph"/>
              <w:spacing w:line="233" w:lineRule="exact"/>
              <w:ind w:left="200" w:right="0"/>
              <w:jc w:val="left"/>
              <w:rPr>
                <w:rFonts w:ascii="Arial" w:hAnsi="Arial" w:cs="Arial" w:eastAsia="Arial" w:hint="default"/>
                <w:sz w:val="20"/>
                <w:szCs w:val="20"/>
              </w:rPr>
            </w:pPr>
            <w:r>
              <w:rPr>
                <w:rFonts w:ascii="黑体" w:hAnsi="黑体" w:cs="黑体" w:eastAsia="黑体" w:hint="default"/>
                <w:sz w:val="20"/>
                <w:szCs w:val="20"/>
              </w:rPr>
              <w:t>北京爱肌肤科技有限公司</w:t>
            </w:r>
            <w:r>
              <w:rPr>
                <w:rFonts w:ascii="Arial" w:hAnsi="Arial" w:cs="Arial" w:eastAsia="Arial" w:hint="default"/>
                <w:sz w:val="20"/>
                <w:szCs w:val="20"/>
              </w:rPr>
              <w:t>(</w:t>
            </w:r>
            <w:r>
              <w:rPr>
                <w:rFonts w:ascii="黑体" w:hAnsi="黑体" w:cs="黑体" w:eastAsia="黑体" w:hint="default"/>
                <w:sz w:val="20"/>
                <w:szCs w:val="20"/>
              </w:rPr>
              <w:t>以下简称“爱肌肤”</w:t>
            </w:r>
            <w:r>
              <w:rPr>
                <w:rFonts w:ascii="Arial" w:hAnsi="Arial" w:cs="Arial" w:eastAsia="Arial" w:hint="default"/>
                <w:sz w:val="20"/>
                <w:szCs w:val="20"/>
              </w:rPr>
              <w:t>)</w:t>
            </w:r>
          </w:p>
        </w:tc>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99"/>
              <w:jc w:val="right"/>
              <w:rPr>
                <w:rFonts w:ascii="Arial" w:hAnsi="Arial" w:cs="Arial" w:eastAsia="Arial" w:hint="default"/>
                <w:sz w:val="20"/>
                <w:szCs w:val="20"/>
              </w:rPr>
            </w:pPr>
            <w:r>
              <w:rPr>
                <w:rFonts w:ascii="Arial"/>
                <w:spacing w:val="-1"/>
                <w:sz w:val="20"/>
              </w:rPr>
              <w:t>2,565,082</w:t>
            </w:r>
          </w:p>
        </w:tc>
      </w:tr>
      <w:tr>
        <w:trPr>
          <w:trHeight w:val="424" w:hRule="exact"/>
        </w:trPr>
        <w:tc>
          <w:tcPr>
            <w:tcW w:w="5955"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99"/>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  </w:t>
            </w:r>
            <w:r>
              <w:rPr>
                <w:rFonts w:ascii="Arial"/>
                <w:spacing w:val="-21"/>
                <w:sz w:val="20"/>
                <w:u w:val="single" w:color="000000"/>
              </w:rPr>
              <w:t> </w:t>
            </w:r>
            <w:r>
              <w:rPr>
                <w:rFonts w:ascii="Arial"/>
                <w:spacing w:val="-1"/>
                <w:sz w:val="20"/>
                <w:u w:val="single" w:color="000000"/>
              </w:rPr>
              <w:t>9,450,870</w:t>
            </w:r>
            <w:r>
              <w:rPr>
                <w:rFonts w:ascii="Arial"/>
                <w:spacing w:val="-1"/>
                <w:sz w:val="20"/>
              </w:rPr>
            </w:r>
          </w:p>
        </w:tc>
      </w:tr>
      <w:tr>
        <w:trPr>
          <w:trHeight w:val="380" w:hRule="exact"/>
        </w:trPr>
        <w:tc>
          <w:tcPr>
            <w:tcW w:w="5955" w:type="dxa"/>
            <w:tcBorders>
              <w:top w:val="nil" w:sz="6" w:space="0" w:color="auto"/>
              <w:left w:val="nil" w:sz="6" w:space="0" w:color="auto"/>
              <w:bottom w:val="nil" w:sz="6" w:space="0" w:color="auto"/>
              <w:right w:val="nil" w:sz="6" w:space="0" w:color="auto"/>
            </w:tcBorders>
          </w:tcPr>
          <w:p>
            <w:pPr/>
          </w:p>
        </w:tc>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200"/>
              <w:jc w:val="right"/>
              <w:rPr>
                <w:rFonts w:ascii="Arial" w:hAnsi="Arial" w:cs="Arial" w:eastAsia="Arial" w:hint="default"/>
                <w:sz w:val="20"/>
                <w:szCs w:val="20"/>
              </w:rPr>
            </w:pPr>
            <w:r>
              <w:rPr>
                <w:rFonts w:ascii="Arial"/>
                <w:w w:val="99"/>
                <w:sz w:val="20"/>
              </w:rPr>
            </w:r>
            <w:r>
              <w:rPr>
                <w:rFonts w:ascii="Arial"/>
                <w:w w:val="95"/>
                <w:sz w:val="20"/>
                <w:u w:val="thick" w:color="000000"/>
              </w:rPr>
              <w:t>21,036,317</w:t>
            </w:r>
            <w:r>
              <w:rPr>
                <w:rFonts w:ascii="Arial"/>
                <w:w w:val="95"/>
                <w:sz w:val="20"/>
              </w:rPr>
            </w:r>
            <w:r>
              <w:rPr>
                <w:rFonts w:ascii="Arial"/>
                <w:sz w:val="20"/>
              </w:rPr>
            </w:r>
          </w:p>
        </w:tc>
      </w:tr>
    </w:tbl>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22"/>
          <w:szCs w:val="22"/>
        </w:rPr>
      </w:pPr>
    </w:p>
    <w:p>
      <w:pPr>
        <w:pStyle w:val="Heading2"/>
        <w:spacing w:line="240" w:lineRule="auto" w:before="26"/>
        <w:ind w:left="316" w:right="0"/>
        <w:jc w:val="left"/>
        <w:rPr>
          <w:b w:val="0"/>
          <w:bCs w:val="0"/>
        </w:rPr>
      </w:pPr>
      <w:r>
        <w:rPr>
          <w:rFonts w:ascii="宋体" w:hAnsi="宋体" w:cs="宋体" w:eastAsia="宋体" w:hint="default"/>
        </w:rPr>
        <w:t>17</w:t>
      </w:r>
      <w:r>
        <w:rPr/>
        <w:t>、</w:t>
      </w:r>
      <w:r>
        <w:rPr>
          <w:spacing w:val="-103"/>
        </w:rPr>
        <w:t> </w:t>
      </w:r>
      <w:r>
        <w:rPr/>
        <w:t>其他权益工具投资</w:t>
      </w:r>
      <w:r>
        <w:rPr>
          <w:b w:val="0"/>
          <w:bCs w:val="0"/>
        </w:rPr>
      </w:r>
    </w:p>
    <w:p>
      <w:pPr>
        <w:pStyle w:val="Heading2"/>
        <w:tabs>
          <w:tab w:pos="1157" w:val="left" w:leader="none"/>
        </w:tabs>
        <w:spacing w:line="240" w:lineRule="auto" w:before="55"/>
        <w:ind w:left="316" w:right="0"/>
        <w:jc w:val="left"/>
        <w:rPr>
          <w:rFonts w:ascii="宋体" w:hAnsi="宋体" w:cs="宋体" w:eastAsia="宋体" w:hint="default"/>
          <w:b w:val="0"/>
          <w:bCs w:val="0"/>
        </w:rPr>
      </w:pPr>
      <w:r>
        <w:rPr>
          <w:rFonts w:ascii="宋体" w:hAnsi="宋体" w:cs="宋体" w:eastAsia="宋体" w:hint="default"/>
        </w:rPr>
        <w:t>(1).</w:t>
        <w:tab/>
      </w:r>
      <w:r>
        <w:rPr/>
        <w:t>其他权益工具投资情况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16" w:right="0"/>
        <w:jc w:val="left"/>
      </w:pPr>
      <w:r>
        <w:rPr/>
        <w:t>□适用 √不适用</w:t>
      </w:r>
    </w:p>
    <w:p>
      <w:pPr>
        <w:pStyle w:val="Heading2"/>
        <w:tabs>
          <w:tab w:pos="1157" w:val="left" w:leader="none"/>
        </w:tabs>
        <w:spacing w:line="240" w:lineRule="auto" w:before="58"/>
        <w:ind w:left="316" w:right="0"/>
        <w:jc w:val="left"/>
        <w:rPr>
          <w:rFonts w:ascii="宋体" w:hAnsi="宋体" w:cs="宋体" w:eastAsia="宋体" w:hint="default"/>
          <w:b w:val="0"/>
          <w:bCs w:val="0"/>
        </w:rPr>
      </w:pPr>
      <w:r>
        <w:rPr>
          <w:rFonts w:ascii="宋体" w:hAnsi="宋体" w:cs="宋体" w:eastAsia="宋体" w:hint="default"/>
        </w:rPr>
        <w:t>(2).</w:t>
        <w:tab/>
      </w:r>
      <w:r>
        <w:rPr/>
        <w:t>非交易性权益工具投资的情况</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87"/>
        <w:ind w:left="316" w:right="7250"/>
        <w:jc w:val="left"/>
      </w:pPr>
      <w:r>
        <w:rPr/>
        <w:t>□适用 √不适用 其他说明：</w:t>
      </w:r>
    </w:p>
    <w:p>
      <w:pPr>
        <w:pStyle w:val="BodyText"/>
        <w:spacing w:line="283" w:lineRule="exact"/>
        <w:ind w:left="316" w:right="0"/>
        <w:jc w:val="left"/>
      </w:pPr>
      <w:r>
        <w:rPr/>
        <w:t>□适用 √不适用</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64"/>
          <w:pgSz w:w="11910" w:h="16840"/>
          <w:pgMar w:footer="1195" w:header="882" w:top="1080" w:bottom="1380" w:left="960" w:right="1560"/>
        </w:sectPr>
      </w:pPr>
    </w:p>
    <w:p>
      <w:pPr>
        <w:pStyle w:val="Heading2"/>
        <w:spacing w:line="240" w:lineRule="auto" w:before="26"/>
        <w:ind w:left="316" w:right="-17"/>
        <w:jc w:val="left"/>
        <w:rPr>
          <w:b w:val="0"/>
          <w:bCs w:val="0"/>
        </w:rPr>
      </w:pPr>
      <w:r>
        <w:rPr>
          <w:rFonts w:ascii="宋体" w:hAnsi="宋体" w:cs="宋体" w:eastAsia="宋体" w:hint="default"/>
        </w:rPr>
        <w:t>18</w:t>
      </w:r>
      <w:r>
        <w:rPr/>
        <w:t>、</w:t>
      </w:r>
      <w:r>
        <w:rPr>
          <w:spacing w:val="-102"/>
        </w:rPr>
        <w:t> </w:t>
      </w:r>
      <w:r>
        <w:rPr/>
        <w:t>其他非流动金融资产</w:t>
      </w:r>
      <w:r>
        <w:rPr>
          <w:b w:val="0"/>
          <w:bCs w:val="0"/>
        </w:rPr>
      </w:r>
    </w:p>
    <w:p>
      <w:pPr>
        <w:pStyle w:val="BodyText"/>
        <w:tabs>
          <w:tab w:pos="1169" w:val="left" w:leader="none"/>
        </w:tabs>
        <w:spacing w:line="240" w:lineRule="auto" w:before="58"/>
        <w:ind w:left="316" w:right="-17"/>
        <w:jc w:val="left"/>
      </w:pPr>
      <w:r>
        <w:rPr>
          <w:rFonts w:ascii="Times New Roman" w:hAnsi="Times New Roman" w:cs="Times New Roman" w:eastAsia="Times New Roman" w:hint="default"/>
        </w:rPr>
        <w:t>√</w:t>
      </w:r>
      <w:r>
        <w:rPr/>
        <w:t>适用</w:t>
        <w:tab/>
      </w:r>
      <w:r>
        <w:rPr>
          <w:rFonts w:ascii="Times New Roman" w:hAnsi="Times New Roman" w:cs="Times New Roman" w:eastAsia="Times New Roman" w:hint="default"/>
          <w:spacing w:val="-1"/>
        </w:rPr>
        <w:t>□</w:t>
      </w:r>
      <w:r>
        <w:rPr>
          <w:spacing w:val="-1"/>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516" w:val="left" w:leader="none"/>
        </w:tabs>
        <w:spacing w:line="240" w:lineRule="auto"/>
        <w:ind w:left="316" w:right="0"/>
        <w:jc w:val="left"/>
      </w:pPr>
      <w:r>
        <w:rPr/>
        <w:t>单位：元</w:t>
        <w:tab/>
        <w:t>币种：人民币</w:t>
      </w:r>
    </w:p>
    <w:p>
      <w:pPr>
        <w:spacing w:after="0" w:line="240" w:lineRule="auto"/>
        <w:jc w:val="left"/>
        <w:sectPr>
          <w:type w:val="continuous"/>
          <w:pgSz w:w="11910" w:h="16840"/>
          <w:pgMar w:top="1120" w:bottom="1380" w:left="960" w:right="1560"/>
          <w:cols w:num="2" w:equalWidth="0">
            <w:col w:w="2990" w:space="3203"/>
            <w:col w:w="3197"/>
          </w:cols>
        </w:sectPr>
      </w:pPr>
    </w:p>
    <w:p>
      <w:pPr>
        <w:spacing w:line="240" w:lineRule="auto" w:before="10"/>
        <w:rPr>
          <w:rFonts w:ascii="宋体" w:hAnsi="宋体" w:cs="宋体" w:eastAsia="宋体" w:hint="default"/>
          <w:sz w:val="2"/>
          <w:szCs w:val="2"/>
        </w:rPr>
      </w:pPr>
    </w:p>
    <w:tbl>
      <w:tblPr>
        <w:tblW w:w="0" w:type="auto"/>
        <w:jc w:val="left"/>
        <w:tblInd w:w="203" w:type="dxa"/>
        <w:tblLayout w:type="fixed"/>
        <w:tblCellMar>
          <w:top w:w="0" w:type="dxa"/>
          <w:left w:w="0" w:type="dxa"/>
          <w:bottom w:w="0" w:type="dxa"/>
          <w:right w:w="0" w:type="dxa"/>
        </w:tblCellMar>
        <w:tblLook w:val="01E0"/>
      </w:tblPr>
      <w:tblGrid>
        <w:gridCol w:w="3651"/>
        <w:gridCol w:w="2688"/>
        <w:gridCol w:w="2710"/>
      </w:tblGrid>
      <w:tr>
        <w:trPr>
          <w:trHeight w:val="324" w:hRule="exact"/>
        </w:trPr>
        <w:tc>
          <w:tcPr>
            <w:tcW w:w="3651" w:type="dxa"/>
            <w:tcBorders>
              <w:top w:val="single" w:sz="4" w:space="0" w:color="000000"/>
              <w:left w:val="single" w:sz="4"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688" w:type="dxa"/>
            <w:tcBorders>
              <w:top w:val="single" w:sz="4" w:space="0" w:color="000000"/>
              <w:left w:val="single" w:sz="6" w:space="0" w:color="000000"/>
              <w:bottom w:val="single" w:sz="6" w:space="0" w:color="000000"/>
              <w:right w:val="single" w:sz="6" w:space="0" w:color="000000"/>
            </w:tcBorders>
          </w:tcPr>
          <w:p>
            <w:pPr>
              <w:pStyle w:val="TableParagraph"/>
              <w:spacing w:line="276" w:lineRule="exact"/>
              <w:ind w:left="856"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2710" w:type="dxa"/>
            <w:tcBorders>
              <w:top w:val="single" w:sz="4" w:space="0" w:color="000000"/>
              <w:left w:val="single" w:sz="6" w:space="0" w:color="000000"/>
              <w:bottom w:val="single" w:sz="6" w:space="0" w:color="000000"/>
              <w:right w:val="single" w:sz="4" w:space="0" w:color="000000"/>
            </w:tcBorders>
          </w:tcPr>
          <w:p>
            <w:pPr>
              <w:pStyle w:val="TableParagraph"/>
              <w:spacing w:line="276" w:lineRule="exact"/>
              <w:ind w:left="868" w:right="0"/>
              <w:jc w:val="left"/>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6" w:hRule="exact"/>
        </w:trPr>
        <w:tc>
          <w:tcPr>
            <w:tcW w:w="3651" w:type="dxa"/>
            <w:tcBorders>
              <w:top w:val="single" w:sz="6" w:space="0" w:color="000000"/>
              <w:left w:val="single" w:sz="4" w:space="0" w:color="000000"/>
              <w:bottom w:val="single" w:sz="4" w:space="0" w:color="000000"/>
              <w:right w:val="single" w:sz="6" w:space="0" w:color="000000"/>
            </w:tcBorders>
          </w:tcPr>
          <w:p>
            <w:pPr>
              <w:pStyle w:val="TableParagraph"/>
              <w:spacing w:line="274" w:lineRule="exact"/>
              <w:ind w:right="72"/>
              <w:jc w:val="center"/>
              <w:rPr>
                <w:rFonts w:ascii="宋体" w:hAnsi="宋体" w:cs="宋体" w:eastAsia="宋体" w:hint="default"/>
                <w:sz w:val="24"/>
                <w:szCs w:val="24"/>
              </w:rPr>
            </w:pPr>
            <w:r>
              <w:rPr>
                <w:rFonts w:ascii="宋体" w:hAnsi="宋体" w:cs="宋体" w:eastAsia="宋体" w:hint="default"/>
                <w:sz w:val="24"/>
                <w:szCs w:val="24"/>
              </w:rPr>
              <w:t>以公允价值计量且其变动计入当</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left="1192" w:right="0"/>
              <w:jc w:val="left"/>
              <w:rPr>
                <w:rFonts w:ascii="Times New Roman" w:hAnsi="Times New Roman" w:cs="Times New Roman" w:eastAsia="Times New Roman" w:hint="default"/>
                <w:sz w:val="24"/>
                <w:szCs w:val="24"/>
              </w:rPr>
            </w:pPr>
            <w:r>
              <w:rPr>
                <w:rFonts w:ascii="Times New Roman"/>
                <w:sz w:val="24"/>
              </w:rPr>
              <w:t>1,069,298,248</w:t>
            </w:r>
          </w:p>
        </w:tc>
        <w:tc>
          <w:tcPr>
            <w:tcW w:w="2710" w:type="dxa"/>
            <w:tcBorders>
              <w:top w:val="single" w:sz="6" w:space="0" w:color="000000"/>
              <w:left w:val="single" w:sz="6" w:space="0" w:color="000000"/>
              <w:bottom w:val="single" w:sz="4" w:space="0" w:color="000000"/>
              <w:right w:val="single" w:sz="4" w:space="0" w:color="000000"/>
            </w:tcBorders>
          </w:tcPr>
          <w:p>
            <w:pPr>
              <w:pStyle w:val="TableParagraph"/>
              <w:spacing w:line="268" w:lineRule="exact"/>
              <w:ind w:left="1396" w:right="0"/>
              <w:jc w:val="left"/>
              <w:rPr>
                <w:rFonts w:ascii="Times New Roman" w:hAnsi="Times New Roman" w:cs="Times New Roman" w:eastAsia="Times New Roman" w:hint="default"/>
                <w:sz w:val="24"/>
                <w:szCs w:val="24"/>
              </w:rPr>
            </w:pPr>
            <w:r>
              <w:rPr>
                <w:rFonts w:ascii="Times New Roman"/>
                <w:sz w:val="24"/>
              </w:rPr>
              <w:t>844,750,757</w:t>
            </w:r>
          </w:p>
        </w:tc>
      </w:tr>
    </w:tbl>
    <w:p>
      <w:pPr>
        <w:spacing w:after="0" w:line="268" w:lineRule="exact"/>
        <w:jc w:val="left"/>
        <w:rPr>
          <w:rFonts w:ascii="Times New Roman" w:hAnsi="Times New Roman" w:cs="Times New Roman" w:eastAsia="Times New Roman" w:hint="default"/>
          <w:sz w:val="24"/>
          <w:szCs w:val="24"/>
        </w:rPr>
        <w:sectPr>
          <w:type w:val="continuous"/>
          <w:pgSz w:w="11910" w:h="16840"/>
          <w:pgMar w:top="1120" w:bottom="1380" w:left="960" w:right="1560"/>
        </w:sectPr>
      </w:pPr>
    </w:p>
    <w:p>
      <w:pPr>
        <w:spacing w:line="240" w:lineRule="auto" w:before="5"/>
        <w:rPr>
          <w:rFonts w:ascii="宋体" w:hAnsi="宋体" w:cs="宋体" w:eastAsia="宋体" w:hint="default"/>
          <w:sz w:val="27"/>
          <w:szCs w:val="27"/>
        </w:rPr>
      </w:pPr>
    </w:p>
    <w:tbl>
      <w:tblPr>
        <w:tblW w:w="0" w:type="auto"/>
        <w:jc w:val="left"/>
        <w:tblInd w:w="203" w:type="dxa"/>
        <w:tblLayout w:type="fixed"/>
        <w:tblCellMar>
          <w:top w:w="0" w:type="dxa"/>
          <w:left w:w="0" w:type="dxa"/>
          <w:bottom w:w="0" w:type="dxa"/>
          <w:right w:w="0" w:type="dxa"/>
        </w:tblCellMar>
        <w:tblLook w:val="01E0"/>
      </w:tblPr>
      <w:tblGrid>
        <w:gridCol w:w="3651"/>
        <w:gridCol w:w="2688"/>
        <w:gridCol w:w="2710"/>
      </w:tblGrid>
      <w:tr>
        <w:trPr>
          <w:trHeight w:val="327" w:hRule="exact"/>
        </w:trPr>
        <w:tc>
          <w:tcPr>
            <w:tcW w:w="3651" w:type="dxa"/>
            <w:tcBorders>
              <w:top w:val="single" w:sz="4" w:space="0" w:color="000000"/>
              <w:left w:val="single" w:sz="4" w:space="0" w:color="000000"/>
              <w:bottom w:val="single" w:sz="6" w:space="0" w:color="000000"/>
              <w:right w:val="single" w:sz="6" w:space="0" w:color="000000"/>
            </w:tcBorders>
          </w:tcPr>
          <w:p>
            <w:pPr>
              <w:pStyle w:val="TableParagraph"/>
              <w:spacing w:line="276" w:lineRule="exact"/>
              <w:ind w:right="1614"/>
              <w:jc w:val="right"/>
              <w:rPr>
                <w:rFonts w:ascii="宋体" w:hAnsi="宋体" w:cs="宋体" w:eastAsia="宋体" w:hint="default"/>
                <w:sz w:val="24"/>
                <w:szCs w:val="24"/>
              </w:rPr>
            </w:pPr>
            <w:r>
              <w:rPr>
                <w:rFonts w:ascii="宋体" w:hAnsi="宋体" w:cs="宋体" w:eastAsia="宋体" w:hint="default"/>
                <w:sz w:val="24"/>
                <w:szCs w:val="24"/>
              </w:rPr>
              <w:t>期损益的金融资产</w:t>
            </w:r>
          </w:p>
        </w:tc>
        <w:tc>
          <w:tcPr>
            <w:tcW w:w="2688" w:type="dxa"/>
            <w:tcBorders>
              <w:top w:val="single" w:sz="6" w:space="0" w:color="000000"/>
              <w:left w:val="single" w:sz="6" w:space="0" w:color="000000"/>
              <w:bottom w:val="single" w:sz="6" w:space="0" w:color="000000"/>
              <w:right w:val="single" w:sz="6" w:space="0" w:color="000000"/>
            </w:tcBorders>
          </w:tcPr>
          <w:p>
            <w:pPr/>
          </w:p>
        </w:tc>
        <w:tc>
          <w:tcPr>
            <w:tcW w:w="2710" w:type="dxa"/>
            <w:tcBorders>
              <w:top w:val="single" w:sz="4" w:space="0" w:color="000000"/>
              <w:left w:val="single" w:sz="6" w:space="0" w:color="000000"/>
              <w:bottom w:val="single" w:sz="6" w:space="0" w:color="000000"/>
              <w:right w:val="single" w:sz="4" w:space="0" w:color="000000"/>
            </w:tcBorders>
          </w:tcPr>
          <w:p>
            <w:pPr/>
          </w:p>
        </w:tc>
      </w:tr>
      <w:tr>
        <w:trPr>
          <w:trHeight w:val="290" w:hRule="exact"/>
        </w:trPr>
        <w:tc>
          <w:tcPr>
            <w:tcW w:w="3651" w:type="dxa"/>
            <w:tcBorders>
              <w:top w:val="single" w:sz="6" w:space="0" w:color="000000"/>
              <w:left w:val="single" w:sz="4" w:space="0" w:color="000000"/>
              <w:bottom w:val="single" w:sz="6" w:space="0" w:color="000000"/>
              <w:right w:val="single" w:sz="6" w:space="0" w:color="000000"/>
            </w:tcBorders>
          </w:tcPr>
          <w:p>
            <w:pPr/>
          </w:p>
        </w:tc>
        <w:tc>
          <w:tcPr>
            <w:tcW w:w="2688" w:type="dxa"/>
            <w:tcBorders>
              <w:top w:val="single" w:sz="6" w:space="0" w:color="000000"/>
              <w:left w:val="single" w:sz="6" w:space="0" w:color="000000"/>
              <w:bottom w:val="single" w:sz="6" w:space="0" w:color="000000"/>
              <w:right w:val="single" w:sz="6" w:space="0" w:color="000000"/>
            </w:tcBorders>
          </w:tcPr>
          <w:p>
            <w:pPr/>
          </w:p>
        </w:tc>
        <w:tc>
          <w:tcPr>
            <w:tcW w:w="2710" w:type="dxa"/>
            <w:tcBorders>
              <w:top w:val="single" w:sz="6" w:space="0" w:color="000000"/>
              <w:left w:val="single" w:sz="6" w:space="0" w:color="000000"/>
              <w:bottom w:val="single" w:sz="6" w:space="0" w:color="000000"/>
              <w:right w:val="single" w:sz="4" w:space="0" w:color="000000"/>
            </w:tcBorders>
          </w:tcPr>
          <w:p>
            <w:pPr/>
          </w:p>
        </w:tc>
      </w:tr>
      <w:tr>
        <w:trPr>
          <w:trHeight w:val="324" w:hRule="exact"/>
        </w:trPr>
        <w:tc>
          <w:tcPr>
            <w:tcW w:w="3651" w:type="dxa"/>
            <w:tcBorders>
              <w:top w:val="single" w:sz="6" w:space="0" w:color="000000"/>
              <w:left w:val="single" w:sz="4" w:space="0" w:color="000000"/>
              <w:bottom w:val="single" w:sz="4" w:space="0" w:color="000000"/>
              <w:right w:val="single" w:sz="6" w:space="0" w:color="000000"/>
            </w:tcBorders>
          </w:tcPr>
          <w:p>
            <w:pPr>
              <w:pStyle w:val="TableParagraph"/>
              <w:spacing w:line="274" w:lineRule="exact"/>
              <w:ind w:right="1577"/>
              <w:jc w:val="right"/>
              <w:rPr>
                <w:rFonts w:ascii="宋体" w:hAnsi="宋体" w:cs="宋体" w:eastAsia="宋体" w:hint="default"/>
                <w:sz w:val="24"/>
                <w:szCs w:val="24"/>
              </w:rPr>
            </w:pPr>
            <w:r>
              <w:rPr>
                <w:rFonts w:ascii="宋体" w:hAnsi="宋体" w:cs="宋体" w:eastAsia="宋体" w:hint="default"/>
                <w:sz w:val="24"/>
                <w:szCs w:val="24"/>
              </w:rPr>
              <w:t>合计</w:t>
            </w:r>
          </w:p>
        </w:tc>
        <w:tc>
          <w:tcPr>
            <w:tcW w:w="2688" w:type="dxa"/>
            <w:tcBorders>
              <w:top w:val="single" w:sz="6" w:space="0" w:color="000000"/>
              <w:left w:val="single" w:sz="6" w:space="0" w:color="000000"/>
              <w:bottom w:val="single" w:sz="4" w:space="0" w:color="000000"/>
              <w:right w:val="single" w:sz="6" w:space="0" w:color="000000"/>
            </w:tcBorders>
          </w:tcPr>
          <w:p>
            <w:pPr>
              <w:pStyle w:val="TableParagraph"/>
              <w:spacing w:line="268" w:lineRule="exact"/>
              <w:ind w:left="1192" w:right="0"/>
              <w:jc w:val="left"/>
              <w:rPr>
                <w:rFonts w:ascii="Times New Roman" w:hAnsi="Times New Roman" w:cs="Times New Roman" w:eastAsia="Times New Roman" w:hint="default"/>
                <w:sz w:val="24"/>
                <w:szCs w:val="24"/>
              </w:rPr>
            </w:pPr>
            <w:r>
              <w:rPr>
                <w:rFonts w:ascii="Times New Roman"/>
                <w:sz w:val="24"/>
              </w:rPr>
              <w:t>1,069,298,248</w:t>
            </w:r>
          </w:p>
        </w:tc>
        <w:tc>
          <w:tcPr>
            <w:tcW w:w="2710" w:type="dxa"/>
            <w:tcBorders>
              <w:top w:val="single" w:sz="6" w:space="0" w:color="000000"/>
              <w:left w:val="single" w:sz="6" w:space="0" w:color="000000"/>
              <w:bottom w:val="single" w:sz="4" w:space="0" w:color="000000"/>
              <w:right w:val="single" w:sz="4" w:space="0" w:color="000000"/>
            </w:tcBorders>
          </w:tcPr>
          <w:p>
            <w:pPr>
              <w:pStyle w:val="TableParagraph"/>
              <w:spacing w:line="268" w:lineRule="exact"/>
              <w:ind w:left="1396" w:right="0"/>
              <w:jc w:val="left"/>
              <w:rPr>
                <w:rFonts w:ascii="Times New Roman" w:hAnsi="Times New Roman" w:cs="Times New Roman" w:eastAsia="Times New Roman" w:hint="default"/>
                <w:sz w:val="24"/>
                <w:szCs w:val="24"/>
              </w:rPr>
            </w:pPr>
            <w:r>
              <w:rPr>
                <w:rFonts w:ascii="Times New Roman"/>
                <w:sz w:val="24"/>
              </w:rPr>
              <w:t>844,750,757</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pStyle w:val="BodyText"/>
        <w:spacing w:line="313" w:lineRule="exact" w:before="26"/>
        <w:ind w:left="316" w:right="0"/>
        <w:jc w:val="left"/>
      </w:pPr>
      <w:r>
        <w:rPr/>
        <w:t>其他说明：</w:t>
      </w:r>
    </w:p>
    <w:p>
      <w:pPr>
        <w:pStyle w:val="BodyText"/>
        <w:spacing w:line="313" w:lineRule="exact"/>
        <w:ind w:left="316" w:right="0"/>
        <w:jc w:val="left"/>
      </w:pPr>
      <w:r>
        <w:rPr/>
        <w:t>√适用 □不适用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spacing w:before="74"/>
        <w:ind w:left="2822" w:right="0" w:firstLine="0"/>
        <w:jc w:val="left"/>
        <w:rPr>
          <w:rFonts w:ascii="Arial" w:hAnsi="Arial" w:cs="Arial" w:eastAsia="Arial" w:hint="default"/>
          <w:sz w:val="20"/>
          <w:szCs w:val="20"/>
        </w:rPr>
      </w:pPr>
      <w:r>
        <w:rPr/>
        <w:pict>
          <v:shape style="position:absolute;margin-left:53.84pt;margin-top:-46.509518pt;width:514.75pt;height:260.5pt;mso-position-horizontal-relative:page;mso-position-vertical-relative:paragraph;z-index:1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706"/>
                    <w:gridCol w:w="67"/>
                    <w:gridCol w:w="1401"/>
                    <w:gridCol w:w="1258"/>
                    <w:gridCol w:w="1118"/>
                    <w:gridCol w:w="1033"/>
                    <w:gridCol w:w="1244"/>
                    <w:gridCol w:w="1468"/>
                  </w:tblGrid>
                  <w:tr>
                    <w:trPr>
                      <w:trHeight w:val="604" w:hRule="exact"/>
                    </w:trPr>
                    <w:tc>
                      <w:tcPr>
                        <w:tcW w:w="2773" w:type="dxa"/>
                        <w:gridSpan w:val="2"/>
                        <w:tcBorders>
                          <w:top w:val="nil" w:sz="6" w:space="0" w:color="auto"/>
                          <w:left w:val="nil" w:sz="6" w:space="0" w:color="auto"/>
                          <w:bottom w:val="nil" w:sz="6" w:space="0" w:color="auto"/>
                          <w:right w:val="nil" w:sz="6" w:space="0" w:color="auto"/>
                        </w:tcBorders>
                      </w:tcPr>
                      <w:p>
                        <w:pPr>
                          <w:pStyle w:val="TableParagraph"/>
                          <w:spacing w:line="199" w:lineRule="exact"/>
                          <w:ind w:right="0"/>
                          <w:jc w:val="right"/>
                          <w:rPr>
                            <w:rFonts w:ascii="黑体" w:hAnsi="黑体" w:cs="黑体" w:eastAsia="黑体" w:hint="default"/>
                            <w:sz w:val="20"/>
                            <w:szCs w:val="20"/>
                          </w:rPr>
                        </w:pPr>
                        <w:r>
                          <w:rPr>
                            <w:rFonts w:ascii="黑体" w:hAnsi="黑体" w:cs="黑体" w:eastAsia="黑体" w:hint="default"/>
                            <w:w w:val="95"/>
                            <w:sz w:val="20"/>
                            <w:szCs w:val="20"/>
                          </w:rPr>
                          <w:t>上年年末</w:t>
                        </w:r>
                        <w:r>
                          <w:rPr>
                            <w:rFonts w:ascii="黑体" w:hAnsi="黑体" w:cs="黑体" w:eastAsia="黑体" w:hint="default"/>
                            <w:sz w:val="20"/>
                            <w:szCs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199" w:lineRule="exact"/>
                          <w:ind w:right="92"/>
                          <w:jc w:val="right"/>
                          <w:rPr>
                            <w:rFonts w:ascii="黑体" w:hAnsi="黑体" w:cs="黑体" w:eastAsia="黑体" w:hint="default"/>
                            <w:sz w:val="20"/>
                            <w:szCs w:val="20"/>
                          </w:rPr>
                        </w:pPr>
                        <w:r>
                          <w:rPr>
                            <w:rFonts w:ascii="黑体" w:hAnsi="黑体" w:cs="黑体" w:eastAsia="黑体" w:hint="default"/>
                            <w:w w:val="95"/>
                            <w:sz w:val="20"/>
                            <w:szCs w:val="20"/>
                          </w:rPr>
                          <w:t>期初重述</w:t>
                        </w:r>
                        <w:r>
                          <w:rPr>
                            <w:rFonts w:ascii="黑体" w:hAnsi="黑体" w:cs="黑体" w:eastAsia="黑体" w:hint="default"/>
                            <w:sz w:val="20"/>
                            <w:szCs w:val="20"/>
                          </w:rPr>
                        </w:r>
                      </w:p>
                    </w:tc>
                    <w:tc>
                      <w:tcPr>
                        <w:tcW w:w="1258" w:type="dxa"/>
                        <w:tcBorders>
                          <w:top w:val="nil" w:sz="6" w:space="0" w:color="auto"/>
                          <w:left w:val="nil" w:sz="6" w:space="0" w:color="auto"/>
                          <w:bottom w:val="nil" w:sz="6" w:space="0" w:color="auto"/>
                          <w:right w:val="nil" w:sz="6" w:space="0" w:color="auto"/>
                        </w:tcBorders>
                      </w:tcPr>
                      <w:p>
                        <w:pPr>
                          <w:pStyle w:val="TableParagraph"/>
                          <w:spacing w:line="199" w:lineRule="exact"/>
                          <w:ind w:right="49"/>
                          <w:jc w:val="right"/>
                          <w:rPr>
                            <w:rFonts w:ascii="黑体" w:hAnsi="黑体" w:cs="黑体" w:eastAsia="黑体" w:hint="default"/>
                            <w:sz w:val="20"/>
                            <w:szCs w:val="20"/>
                          </w:rPr>
                        </w:pPr>
                        <w:r>
                          <w:rPr>
                            <w:rFonts w:ascii="黑体" w:hAnsi="黑体" w:cs="黑体" w:eastAsia="黑体" w:hint="default"/>
                            <w:w w:val="95"/>
                            <w:sz w:val="20"/>
                            <w:szCs w:val="20"/>
                          </w:rPr>
                          <w:t>本年年初</w:t>
                        </w:r>
                        <w:r>
                          <w:rPr>
                            <w:rFonts w:ascii="黑体" w:hAnsi="黑体" w:cs="黑体" w:eastAsia="黑体" w:hint="default"/>
                            <w:sz w:val="20"/>
                            <w:szCs w:val="20"/>
                          </w:rPr>
                        </w:r>
                      </w:p>
                    </w:tc>
                    <w:tc>
                      <w:tcPr>
                        <w:tcW w:w="1118" w:type="dxa"/>
                        <w:tcBorders>
                          <w:top w:val="nil" w:sz="6" w:space="0" w:color="auto"/>
                          <w:left w:val="nil" w:sz="6" w:space="0" w:color="auto"/>
                          <w:bottom w:val="nil" w:sz="6" w:space="0" w:color="auto"/>
                          <w:right w:val="nil" w:sz="6" w:space="0" w:color="auto"/>
                        </w:tcBorders>
                      </w:tcPr>
                      <w:p>
                        <w:pPr>
                          <w:pStyle w:val="TableParagraph"/>
                          <w:spacing w:line="198" w:lineRule="exact"/>
                          <w:ind w:right="63"/>
                          <w:jc w:val="right"/>
                          <w:rPr>
                            <w:rFonts w:ascii="黑体" w:hAnsi="黑体" w:cs="黑体" w:eastAsia="黑体" w:hint="default"/>
                            <w:sz w:val="20"/>
                            <w:szCs w:val="20"/>
                          </w:rPr>
                        </w:pPr>
                        <w:r>
                          <w:rPr>
                            <w:rFonts w:ascii="黑体" w:hAnsi="黑体" w:cs="黑体" w:eastAsia="黑体" w:hint="default"/>
                            <w:sz w:val="20"/>
                            <w:szCs w:val="20"/>
                          </w:rPr>
                          <w:t>本年追加投</w:t>
                        </w:r>
                      </w:p>
                      <w:p>
                        <w:pPr>
                          <w:pStyle w:val="TableParagraph"/>
                          <w:spacing w:line="260" w:lineRule="exact"/>
                          <w:ind w:right="62"/>
                          <w:jc w:val="right"/>
                          <w:rPr>
                            <w:rFonts w:ascii="黑体" w:hAnsi="黑体" w:cs="黑体" w:eastAsia="黑体" w:hint="default"/>
                            <w:sz w:val="20"/>
                            <w:szCs w:val="20"/>
                          </w:rPr>
                        </w:pPr>
                        <w:r>
                          <w:rPr>
                            <w:rFonts w:ascii="黑体" w:hAnsi="黑体" w:cs="黑体" w:eastAsia="黑体" w:hint="default"/>
                            <w:w w:val="99"/>
                            <w:sz w:val="20"/>
                            <w:szCs w:val="20"/>
                          </w:rPr>
                          <w:t>资</w:t>
                        </w:r>
                        <w:r>
                          <w:rPr>
                            <w:rFonts w:ascii="黑体" w:hAnsi="黑体" w:cs="黑体" w:eastAsia="黑体" w:hint="default"/>
                            <w:sz w:val="20"/>
                            <w:szCs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199" w:lineRule="exact"/>
                          <w:ind w:right="76"/>
                          <w:jc w:val="right"/>
                          <w:rPr>
                            <w:rFonts w:ascii="黑体" w:hAnsi="黑体" w:cs="黑体" w:eastAsia="黑体" w:hint="default"/>
                            <w:sz w:val="20"/>
                            <w:szCs w:val="20"/>
                          </w:rPr>
                        </w:pPr>
                        <w:r>
                          <w:rPr>
                            <w:rFonts w:ascii="黑体" w:hAnsi="黑体" w:cs="黑体" w:eastAsia="黑体" w:hint="default"/>
                            <w:w w:val="95"/>
                            <w:sz w:val="20"/>
                            <w:szCs w:val="20"/>
                          </w:rPr>
                          <w:t>本年处置</w:t>
                        </w:r>
                        <w:r>
                          <w:rPr>
                            <w:rFonts w:ascii="黑体" w:hAnsi="黑体" w:cs="黑体" w:eastAsia="黑体" w:hint="default"/>
                            <w:sz w:val="20"/>
                            <w:szCs w:val="20"/>
                          </w:rPr>
                        </w:r>
                      </w:p>
                    </w:tc>
                    <w:tc>
                      <w:tcPr>
                        <w:tcW w:w="1244" w:type="dxa"/>
                        <w:tcBorders>
                          <w:top w:val="nil" w:sz="6" w:space="0" w:color="auto"/>
                          <w:left w:val="nil" w:sz="6" w:space="0" w:color="auto"/>
                          <w:bottom w:val="nil" w:sz="6" w:space="0" w:color="auto"/>
                          <w:right w:val="nil" w:sz="6" w:space="0" w:color="auto"/>
                        </w:tcBorders>
                      </w:tcPr>
                      <w:p>
                        <w:pPr>
                          <w:pStyle w:val="TableParagraph"/>
                          <w:spacing w:line="198" w:lineRule="exact"/>
                          <w:ind w:left="145" w:right="0"/>
                          <w:jc w:val="left"/>
                          <w:rPr>
                            <w:rFonts w:ascii="黑体" w:hAnsi="黑体" w:cs="黑体" w:eastAsia="黑体" w:hint="default"/>
                            <w:sz w:val="20"/>
                            <w:szCs w:val="20"/>
                          </w:rPr>
                        </w:pPr>
                        <w:r>
                          <w:rPr>
                            <w:rFonts w:ascii="黑体" w:hAnsi="黑体" w:cs="黑体" w:eastAsia="黑体" w:hint="default"/>
                            <w:sz w:val="20"/>
                            <w:szCs w:val="20"/>
                          </w:rPr>
                          <w:t>本年公允价</w:t>
                        </w:r>
                      </w:p>
                      <w:p>
                        <w:pPr>
                          <w:pStyle w:val="TableParagraph"/>
                          <w:spacing w:line="260" w:lineRule="exact"/>
                          <w:ind w:left="546" w:right="0"/>
                          <w:jc w:val="left"/>
                          <w:rPr>
                            <w:rFonts w:ascii="黑体" w:hAnsi="黑体" w:cs="黑体" w:eastAsia="黑体" w:hint="default"/>
                            <w:sz w:val="20"/>
                            <w:szCs w:val="20"/>
                          </w:rPr>
                        </w:pPr>
                        <w:r>
                          <w:rPr>
                            <w:rFonts w:ascii="黑体" w:hAnsi="黑体" w:cs="黑体" w:eastAsia="黑体" w:hint="default"/>
                            <w:sz w:val="20"/>
                            <w:szCs w:val="20"/>
                          </w:rPr>
                          <w:t>值变动</w:t>
                        </w:r>
                      </w:p>
                    </w:tc>
                    <w:tc>
                      <w:tcPr>
                        <w:tcW w:w="1468"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黑体" w:hAnsi="黑体" w:cs="黑体" w:eastAsia="黑体" w:hint="default"/>
                            <w:sz w:val="20"/>
                            <w:szCs w:val="20"/>
                          </w:rPr>
                        </w:pPr>
                        <w:r>
                          <w:rPr>
                            <w:rFonts w:ascii="黑体" w:hAnsi="黑体" w:cs="黑体" w:eastAsia="黑体" w:hint="default"/>
                            <w:sz w:val="20"/>
                            <w:szCs w:val="20"/>
                          </w:rPr>
                          <w:t>年末</w:t>
                        </w:r>
                      </w:p>
                    </w:tc>
                  </w:tr>
                  <w:tr>
                    <w:trPr>
                      <w:trHeight w:val="645" w:hRule="exact"/>
                    </w:trPr>
                    <w:tc>
                      <w:tcPr>
                        <w:tcW w:w="2706"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00" w:right="1203" w:firstLine="101"/>
                          <w:jc w:val="left"/>
                          <w:rPr>
                            <w:rFonts w:ascii="黑体" w:hAnsi="黑体" w:cs="黑体" w:eastAsia="黑体" w:hint="default"/>
                            <w:sz w:val="20"/>
                            <w:szCs w:val="20"/>
                          </w:rPr>
                        </w:pPr>
                        <w:r>
                          <w:rPr>
                            <w:rFonts w:ascii="黑体" w:hAnsi="黑体" w:cs="黑体" w:eastAsia="黑体" w:hint="default"/>
                            <w:sz w:val="20"/>
                            <w:szCs w:val="20"/>
                          </w:rPr>
                          <w:t>百年人寿保险</w:t>
                        </w:r>
                        <w:r>
                          <w:rPr>
                            <w:rFonts w:ascii="黑体" w:hAnsi="黑体" w:cs="黑体" w:eastAsia="黑体" w:hint="default"/>
                            <w:w w:val="99"/>
                            <w:sz w:val="20"/>
                            <w:szCs w:val="20"/>
                          </w:rPr>
                          <w:t> </w:t>
                        </w:r>
                        <w:r>
                          <w:rPr>
                            <w:rFonts w:ascii="黑体" w:hAnsi="黑体" w:cs="黑体" w:eastAsia="黑体" w:hint="default"/>
                            <w:sz w:val="20"/>
                            <w:szCs w:val="20"/>
                          </w:rPr>
                          <w:t>股份有限公司</w:t>
                        </w:r>
                      </w:p>
                    </w:tc>
                    <w:tc>
                      <w:tcPr>
                        <w:tcW w:w="67"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95"/>
                          <w:jc w:val="right"/>
                          <w:rPr>
                            <w:rFonts w:ascii="Arial" w:hAnsi="Arial" w:cs="Arial" w:eastAsia="Arial" w:hint="default"/>
                            <w:sz w:val="20"/>
                            <w:szCs w:val="20"/>
                          </w:rPr>
                        </w:pPr>
                        <w:r>
                          <w:rPr>
                            <w:rFonts w:ascii="Arial"/>
                            <w:spacing w:val="-1"/>
                            <w:sz w:val="20"/>
                          </w:rPr>
                          <w:t>217,362,442</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52"/>
                          <w:jc w:val="right"/>
                          <w:rPr>
                            <w:rFonts w:ascii="Arial" w:hAnsi="Arial" w:cs="Arial" w:eastAsia="Arial" w:hint="default"/>
                            <w:sz w:val="20"/>
                            <w:szCs w:val="20"/>
                          </w:rPr>
                        </w:pPr>
                        <w:r>
                          <w:rPr>
                            <w:rFonts w:ascii="Arial"/>
                            <w:spacing w:val="-1"/>
                            <w:sz w:val="20"/>
                          </w:rPr>
                          <w:t>217,362,442</w:t>
                        </w:r>
                      </w:p>
                    </w:tc>
                    <w:tc>
                      <w:tcPr>
                        <w:tcW w:w="11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63"/>
                          <w:jc w:val="right"/>
                          <w:rPr>
                            <w:rFonts w:ascii="Arial" w:hAnsi="Arial" w:cs="Arial" w:eastAsia="Arial" w:hint="default"/>
                            <w:sz w:val="20"/>
                            <w:szCs w:val="20"/>
                          </w:rPr>
                        </w:pPr>
                        <w:r>
                          <w:rPr>
                            <w:rFonts w:ascii="Arial"/>
                            <w:w w:val="99"/>
                            <w:sz w:val="20"/>
                          </w:rPr>
                          <w:t>-</w:t>
                        </w:r>
                        <w:r>
                          <w:rPr>
                            <w:rFonts w:ascii="Arial"/>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77"/>
                          <w:jc w:val="right"/>
                          <w:rPr>
                            <w:rFonts w:ascii="Arial" w:hAnsi="Arial" w:cs="Arial" w:eastAsia="Arial" w:hint="default"/>
                            <w:sz w:val="20"/>
                            <w:szCs w:val="20"/>
                          </w:rPr>
                        </w:pPr>
                        <w:r>
                          <w:rPr>
                            <w:rFonts w:ascii="Arial"/>
                            <w:w w:val="99"/>
                            <w:sz w:val="20"/>
                          </w:rPr>
                          <w:t>-</w:t>
                        </w:r>
                        <w:r>
                          <w:rPr>
                            <w:rFonts w:ascii="Arial"/>
                            <w:sz w:val="20"/>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98"/>
                          <w:jc w:val="right"/>
                          <w:rPr>
                            <w:rFonts w:ascii="Arial" w:hAnsi="Arial" w:cs="Arial" w:eastAsia="Arial" w:hint="default"/>
                            <w:sz w:val="20"/>
                            <w:szCs w:val="20"/>
                          </w:rPr>
                        </w:pPr>
                        <w:r>
                          <w:rPr>
                            <w:rFonts w:ascii="Arial"/>
                            <w:w w:val="95"/>
                            <w:sz w:val="20"/>
                          </w:rPr>
                          <w:t>103,148,45</w:t>
                        </w:r>
                        <w:r>
                          <w:rPr>
                            <w:rFonts w:ascii="Arial"/>
                            <w:sz w:val="20"/>
                          </w:rPr>
                        </w:r>
                      </w:p>
                      <w:p>
                        <w:pPr>
                          <w:pStyle w:val="TableParagraph"/>
                          <w:spacing w:line="240" w:lineRule="auto" w:before="1"/>
                          <w:ind w:right="95"/>
                          <w:jc w:val="right"/>
                          <w:rPr>
                            <w:rFonts w:ascii="Arial" w:hAnsi="Arial" w:cs="Arial" w:eastAsia="Arial" w:hint="default"/>
                            <w:sz w:val="20"/>
                            <w:szCs w:val="20"/>
                          </w:rPr>
                        </w:pPr>
                        <w:r>
                          <w:rPr>
                            <w:rFonts w:ascii="Arial"/>
                            <w:w w:val="99"/>
                            <w:sz w:val="20"/>
                          </w:rPr>
                          <w:t>7</w:t>
                        </w:r>
                        <w:r>
                          <w:rPr>
                            <w:rFonts w:ascii="Arial"/>
                            <w:sz w:val="20"/>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9"/>
                          <w:ind w:right="203"/>
                          <w:jc w:val="right"/>
                          <w:rPr>
                            <w:rFonts w:ascii="Arial" w:hAnsi="Arial" w:cs="Arial" w:eastAsia="Arial" w:hint="default"/>
                            <w:sz w:val="20"/>
                            <w:szCs w:val="20"/>
                          </w:rPr>
                        </w:pPr>
                        <w:r>
                          <w:rPr>
                            <w:rFonts w:ascii="Arial"/>
                            <w:spacing w:val="-1"/>
                            <w:sz w:val="20"/>
                          </w:rPr>
                          <w:t>320,510,899</w:t>
                        </w:r>
                      </w:p>
                    </w:tc>
                  </w:tr>
                  <w:tr>
                    <w:trPr>
                      <w:trHeight w:val="778" w:hRule="exact"/>
                    </w:trPr>
                    <w:tc>
                      <w:tcPr>
                        <w:tcW w:w="2706" w:type="dxa"/>
                        <w:tcBorders>
                          <w:top w:val="nil" w:sz="6" w:space="0" w:color="auto"/>
                          <w:left w:val="nil" w:sz="6" w:space="0" w:color="auto"/>
                          <w:bottom w:val="nil" w:sz="6" w:space="0" w:color="auto"/>
                          <w:right w:val="nil" w:sz="6" w:space="0" w:color="auto"/>
                        </w:tcBorders>
                      </w:tcPr>
                      <w:p>
                        <w:pPr>
                          <w:pStyle w:val="TableParagraph"/>
                          <w:spacing w:line="217" w:lineRule="exact"/>
                          <w:ind w:left="200" w:right="0" w:firstLine="101"/>
                          <w:jc w:val="left"/>
                          <w:rPr>
                            <w:rFonts w:ascii="黑体" w:hAnsi="黑体" w:cs="黑体" w:eastAsia="黑体" w:hint="default"/>
                            <w:sz w:val="20"/>
                            <w:szCs w:val="20"/>
                          </w:rPr>
                        </w:pPr>
                        <w:r>
                          <w:rPr>
                            <w:rFonts w:ascii="黑体" w:hAnsi="黑体" w:cs="黑体" w:eastAsia="黑体" w:hint="default"/>
                            <w:sz w:val="20"/>
                            <w:szCs w:val="20"/>
                          </w:rPr>
                          <w:t>通联支付网络</w:t>
                        </w:r>
                      </w:p>
                      <w:p>
                        <w:pPr>
                          <w:pStyle w:val="TableParagraph"/>
                          <w:spacing w:line="260" w:lineRule="exact" w:before="24"/>
                          <w:ind w:left="200" w:right="1104"/>
                          <w:jc w:val="left"/>
                          <w:rPr>
                            <w:rFonts w:ascii="黑体" w:hAnsi="黑体" w:cs="黑体" w:eastAsia="黑体" w:hint="default"/>
                            <w:sz w:val="20"/>
                            <w:szCs w:val="20"/>
                          </w:rPr>
                        </w:pPr>
                        <w:r>
                          <w:rPr>
                            <w:rFonts w:ascii="黑体" w:hAnsi="黑体" w:cs="黑体" w:eastAsia="黑体" w:hint="default"/>
                            <w:sz w:val="20"/>
                            <w:szCs w:val="20"/>
                          </w:rPr>
                          <w:t>服务股份有限公</w:t>
                        </w:r>
                        <w:r>
                          <w:rPr>
                            <w:rFonts w:ascii="黑体" w:hAnsi="黑体" w:cs="黑体" w:eastAsia="黑体" w:hint="default"/>
                            <w:w w:val="99"/>
                            <w:sz w:val="20"/>
                            <w:szCs w:val="20"/>
                          </w:rPr>
                          <w:t> </w:t>
                        </w:r>
                        <w:r>
                          <w:rPr>
                            <w:rFonts w:ascii="黑体" w:hAnsi="黑体" w:cs="黑体" w:eastAsia="黑体" w:hint="default"/>
                            <w:sz w:val="20"/>
                            <w:szCs w:val="20"/>
                          </w:rPr>
                          <w:t>司</w:t>
                        </w:r>
                      </w:p>
                    </w:tc>
                    <w:tc>
                      <w:tcPr>
                        <w:tcW w:w="67"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5"/>
                          <w:jc w:val="right"/>
                          <w:rPr>
                            <w:rFonts w:ascii="Arial" w:hAnsi="Arial" w:cs="Arial" w:eastAsia="Arial" w:hint="default"/>
                            <w:sz w:val="20"/>
                            <w:szCs w:val="20"/>
                          </w:rPr>
                        </w:pPr>
                        <w:r>
                          <w:rPr>
                            <w:rFonts w:ascii="Arial"/>
                            <w:spacing w:val="-1"/>
                            <w:sz w:val="20"/>
                          </w:rPr>
                          <w:t>105,883,562</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52"/>
                          <w:jc w:val="right"/>
                          <w:rPr>
                            <w:rFonts w:ascii="Arial" w:hAnsi="Arial" w:cs="Arial" w:eastAsia="Arial" w:hint="default"/>
                            <w:sz w:val="20"/>
                            <w:szCs w:val="20"/>
                          </w:rPr>
                        </w:pPr>
                        <w:r>
                          <w:rPr>
                            <w:rFonts w:ascii="Arial"/>
                            <w:spacing w:val="-1"/>
                            <w:sz w:val="20"/>
                          </w:rPr>
                          <w:t>105,883,562</w:t>
                        </w:r>
                      </w:p>
                    </w:tc>
                    <w:tc>
                      <w:tcPr>
                        <w:tcW w:w="11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63"/>
                          <w:jc w:val="right"/>
                          <w:rPr>
                            <w:rFonts w:ascii="Arial" w:hAnsi="Arial" w:cs="Arial" w:eastAsia="Arial" w:hint="default"/>
                            <w:sz w:val="20"/>
                            <w:szCs w:val="20"/>
                          </w:rPr>
                        </w:pPr>
                        <w:r>
                          <w:rPr>
                            <w:rFonts w:ascii="Arial"/>
                            <w:w w:val="99"/>
                            <w:sz w:val="20"/>
                          </w:rPr>
                          <w:t>-</w:t>
                        </w:r>
                        <w:r>
                          <w:rPr>
                            <w:rFonts w:ascii="Arial"/>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77"/>
                          <w:jc w:val="right"/>
                          <w:rPr>
                            <w:rFonts w:ascii="Arial" w:hAnsi="Arial" w:cs="Arial" w:eastAsia="Arial" w:hint="default"/>
                            <w:sz w:val="20"/>
                            <w:szCs w:val="20"/>
                          </w:rPr>
                        </w:pPr>
                        <w:r>
                          <w:rPr>
                            <w:rFonts w:ascii="Arial"/>
                            <w:w w:val="99"/>
                            <w:sz w:val="20"/>
                          </w:rPr>
                          <w:t>-</w:t>
                        </w:r>
                        <w:r>
                          <w:rPr>
                            <w:rFonts w:ascii="Arial"/>
                            <w:sz w:val="20"/>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44" w:right="0"/>
                          <w:jc w:val="center"/>
                          <w:rPr>
                            <w:rFonts w:ascii="Arial" w:hAnsi="Arial" w:cs="Arial" w:eastAsia="Arial" w:hint="default"/>
                            <w:sz w:val="20"/>
                            <w:szCs w:val="20"/>
                          </w:rPr>
                        </w:pPr>
                        <w:r>
                          <w:rPr>
                            <w:rFonts w:ascii="Arial"/>
                            <w:sz w:val="20"/>
                          </w:rPr>
                          <w:t>44,284,840</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03"/>
                          <w:jc w:val="right"/>
                          <w:rPr>
                            <w:rFonts w:ascii="Arial" w:hAnsi="Arial" w:cs="Arial" w:eastAsia="Arial" w:hint="default"/>
                            <w:sz w:val="20"/>
                            <w:szCs w:val="20"/>
                          </w:rPr>
                        </w:pPr>
                        <w:r>
                          <w:rPr>
                            <w:rFonts w:ascii="Arial"/>
                            <w:spacing w:val="-1"/>
                            <w:sz w:val="20"/>
                          </w:rPr>
                          <w:t>150,168,402</w:t>
                        </w:r>
                      </w:p>
                    </w:tc>
                  </w:tr>
                  <w:tr>
                    <w:trPr>
                      <w:trHeight w:val="1038" w:hRule="exact"/>
                    </w:trPr>
                    <w:tc>
                      <w:tcPr>
                        <w:tcW w:w="2706" w:type="dxa"/>
                        <w:tcBorders>
                          <w:top w:val="nil" w:sz="6" w:space="0" w:color="auto"/>
                          <w:left w:val="nil" w:sz="6" w:space="0" w:color="auto"/>
                          <w:bottom w:val="nil" w:sz="6" w:space="0" w:color="auto"/>
                          <w:right w:val="nil" w:sz="6" w:space="0" w:color="auto"/>
                        </w:tcBorders>
                      </w:tcPr>
                      <w:p>
                        <w:pPr>
                          <w:pStyle w:val="TableParagraph"/>
                          <w:spacing w:line="217" w:lineRule="exact"/>
                          <w:ind w:left="200" w:right="0" w:firstLine="101"/>
                          <w:jc w:val="left"/>
                          <w:rPr>
                            <w:rFonts w:ascii="黑体" w:hAnsi="黑体" w:cs="黑体" w:eastAsia="黑体" w:hint="default"/>
                            <w:sz w:val="20"/>
                            <w:szCs w:val="20"/>
                          </w:rPr>
                        </w:pPr>
                        <w:r>
                          <w:rPr>
                            <w:rFonts w:ascii="黑体" w:hAnsi="黑体" w:cs="黑体" w:eastAsia="黑体" w:hint="default"/>
                            <w:sz w:val="20"/>
                            <w:szCs w:val="20"/>
                          </w:rPr>
                          <w:t>深圳淮海方舟</w:t>
                        </w:r>
                      </w:p>
                      <w:p>
                        <w:pPr>
                          <w:pStyle w:val="TableParagraph"/>
                          <w:spacing w:line="260" w:lineRule="exact" w:before="24"/>
                          <w:ind w:left="200" w:right="1104"/>
                          <w:jc w:val="left"/>
                          <w:rPr>
                            <w:rFonts w:ascii="黑体" w:hAnsi="黑体" w:cs="黑体" w:eastAsia="黑体" w:hint="default"/>
                            <w:sz w:val="20"/>
                            <w:szCs w:val="20"/>
                          </w:rPr>
                        </w:pPr>
                        <w:r>
                          <w:rPr>
                            <w:rFonts w:ascii="黑体" w:hAnsi="黑体" w:cs="黑体" w:eastAsia="黑体" w:hint="default"/>
                            <w:sz w:val="20"/>
                            <w:szCs w:val="20"/>
                          </w:rPr>
                          <w:t>信息产业股权投</w:t>
                        </w:r>
                        <w:r>
                          <w:rPr>
                            <w:rFonts w:ascii="黑体" w:hAnsi="黑体" w:cs="黑体" w:eastAsia="黑体" w:hint="default"/>
                            <w:w w:val="99"/>
                            <w:sz w:val="20"/>
                            <w:szCs w:val="20"/>
                          </w:rPr>
                          <w:t> </w:t>
                        </w:r>
                        <w:r>
                          <w:rPr>
                            <w:rFonts w:ascii="黑体" w:hAnsi="黑体" w:cs="黑体" w:eastAsia="黑体" w:hint="default"/>
                            <w:sz w:val="20"/>
                            <w:szCs w:val="20"/>
                          </w:rPr>
                          <w:t>资基金</w:t>
                        </w:r>
                      </w:p>
                      <w:p>
                        <w:pPr>
                          <w:pStyle w:val="TableParagraph"/>
                          <w:spacing w:line="250" w:lineRule="exact"/>
                          <w:ind w:left="399" w:right="0"/>
                          <w:jc w:val="left"/>
                          <w:rPr>
                            <w:rFonts w:ascii="Arial" w:hAnsi="Arial" w:cs="Arial" w:eastAsia="Arial" w:hint="default"/>
                            <w:sz w:val="20"/>
                            <w:szCs w:val="20"/>
                          </w:rPr>
                        </w:pPr>
                        <w:r>
                          <w:rPr>
                            <w:rFonts w:ascii="Arial" w:hAnsi="Arial" w:cs="Arial" w:eastAsia="Arial" w:hint="default"/>
                            <w:sz w:val="20"/>
                            <w:szCs w:val="20"/>
                          </w:rPr>
                          <w:t>(</w:t>
                        </w:r>
                        <w:r>
                          <w:rPr>
                            <w:rFonts w:ascii="黑体" w:hAnsi="黑体" w:cs="黑体" w:eastAsia="黑体" w:hint="default"/>
                            <w:sz w:val="20"/>
                            <w:szCs w:val="20"/>
                          </w:rPr>
                          <w:t>有限合伙</w:t>
                        </w:r>
                        <w:r>
                          <w:rPr>
                            <w:rFonts w:ascii="Arial" w:hAnsi="Arial" w:cs="Arial" w:eastAsia="Arial" w:hint="default"/>
                            <w:sz w:val="20"/>
                            <w:szCs w:val="20"/>
                          </w:rPr>
                          <w:t>)</w:t>
                        </w:r>
                      </w:p>
                    </w:tc>
                    <w:tc>
                      <w:tcPr>
                        <w:tcW w:w="67"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5"/>
                          <w:jc w:val="right"/>
                          <w:rPr>
                            <w:rFonts w:ascii="Arial" w:hAnsi="Arial" w:cs="Arial" w:eastAsia="Arial" w:hint="default"/>
                            <w:sz w:val="20"/>
                            <w:szCs w:val="20"/>
                          </w:rPr>
                        </w:pPr>
                        <w:r>
                          <w:rPr>
                            <w:rFonts w:ascii="Arial"/>
                            <w:spacing w:val="-1"/>
                            <w:sz w:val="20"/>
                          </w:rPr>
                          <w:t>135,343,485</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52"/>
                          <w:jc w:val="right"/>
                          <w:rPr>
                            <w:rFonts w:ascii="Arial" w:hAnsi="Arial" w:cs="Arial" w:eastAsia="Arial" w:hint="default"/>
                            <w:sz w:val="20"/>
                            <w:szCs w:val="20"/>
                          </w:rPr>
                        </w:pPr>
                        <w:r>
                          <w:rPr>
                            <w:rFonts w:ascii="Arial"/>
                            <w:spacing w:val="-1"/>
                            <w:sz w:val="20"/>
                          </w:rPr>
                          <w:t>135,343,485</w:t>
                        </w:r>
                      </w:p>
                    </w:tc>
                    <w:tc>
                      <w:tcPr>
                        <w:tcW w:w="11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63"/>
                          <w:jc w:val="right"/>
                          <w:rPr>
                            <w:rFonts w:ascii="Arial" w:hAnsi="Arial" w:cs="Arial" w:eastAsia="Arial" w:hint="default"/>
                            <w:sz w:val="20"/>
                            <w:szCs w:val="20"/>
                          </w:rPr>
                        </w:pPr>
                        <w:r>
                          <w:rPr>
                            <w:rFonts w:ascii="Arial"/>
                            <w:w w:val="99"/>
                            <w:sz w:val="20"/>
                          </w:rPr>
                          <w:t>-</w:t>
                        </w:r>
                        <w:r>
                          <w:rPr>
                            <w:rFonts w:ascii="Arial"/>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77"/>
                          <w:jc w:val="right"/>
                          <w:rPr>
                            <w:rFonts w:ascii="Arial" w:hAnsi="Arial" w:cs="Arial" w:eastAsia="Arial" w:hint="default"/>
                            <w:sz w:val="20"/>
                            <w:szCs w:val="20"/>
                          </w:rPr>
                        </w:pPr>
                        <w:r>
                          <w:rPr>
                            <w:rFonts w:ascii="Arial"/>
                            <w:w w:val="99"/>
                            <w:sz w:val="20"/>
                          </w:rPr>
                          <w:t>-</w:t>
                        </w:r>
                        <w:r>
                          <w:rPr>
                            <w:rFonts w:ascii="Arial"/>
                            <w:sz w:val="20"/>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44" w:right="0"/>
                          <w:jc w:val="center"/>
                          <w:rPr>
                            <w:rFonts w:ascii="Arial" w:hAnsi="Arial" w:cs="Arial" w:eastAsia="Arial" w:hint="default"/>
                            <w:sz w:val="20"/>
                            <w:szCs w:val="20"/>
                          </w:rPr>
                        </w:pPr>
                        <w:r>
                          <w:rPr>
                            <w:rFonts w:ascii="Arial"/>
                            <w:sz w:val="20"/>
                          </w:rPr>
                          <w:t>18,848,610</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03"/>
                          <w:jc w:val="right"/>
                          <w:rPr>
                            <w:rFonts w:ascii="Arial" w:hAnsi="Arial" w:cs="Arial" w:eastAsia="Arial" w:hint="default"/>
                            <w:sz w:val="20"/>
                            <w:szCs w:val="20"/>
                          </w:rPr>
                        </w:pPr>
                        <w:r>
                          <w:rPr>
                            <w:rFonts w:ascii="Arial"/>
                            <w:spacing w:val="-1"/>
                            <w:sz w:val="20"/>
                          </w:rPr>
                          <w:t>154,192,095</w:t>
                        </w:r>
                      </w:p>
                    </w:tc>
                  </w:tr>
                  <w:tr>
                    <w:trPr>
                      <w:trHeight w:val="775" w:hRule="exact"/>
                    </w:trPr>
                    <w:tc>
                      <w:tcPr>
                        <w:tcW w:w="2706" w:type="dxa"/>
                        <w:tcBorders>
                          <w:top w:val="nil" w:sz="6" w:space="0" w:color="auto"/>
                          <w:left w:val="nil" w:sz="6" w:space="0" w:color="auto"/>
                          <w:bottom w:val="nil" w:sz="6" w:space="0" w:color="auto"/>
                          <w:right w:val="nil" w:sz="6" w:space="0" w:color="auto"/>
                        </w:tcBorders>
                      </w:tcPr>
                      <w:p>
                        <w:pPr>
                          <w:pStyle w:val="TableParagraph"/>
                          <w:spacing w:line="216" w:lineRule="exact"/>
                          <w:ind w:left="200" w:right="0" w:firstLine="101"/>
                          <w:jc w:val="left"/>
                          <w:rPr>
                            <w:rFonts w:ascii="黑体" w:hAnsi="黑体" w:cs="黑体" w:eastAsia="黑体" w:hint="default"/>
                            <w:sz w:val="20"/>
                            <w:szCs w:val="20"/>
                          </w:rPr>
                        </w:pPr>
                        <w:r>
                          <w:rPr>
                            <w:rFonts w:ascii="黑体" w:hAnsi="黑体" w:cs="黑体" w:eastAsia="黑体" w:hint="default"/>
                            <w:sz w:val="20"/>
                            <w:szCs w:val="20"/>
                          </w:rPr>
                          <w:t>北京致远互联</w:t>
                        </w:r>
                      </w:p>
                      <w:p>
                        <w:pPr>
                          <w:pStyle w:val="TableParagraph"/>
                          <w:spacing w:line="260" w:lineRule="exact" w:before="24"/>
                          <w:ind w:left="200" w:right="1105"/>
                          <w:jc w:val="left"/>
                          <w:rPr>
                            <w:rFonts w:ascii="黑体" w:hAnsi="黑体" w:cs="黑体" w:eastAsia="黑体" w:hint="default"/>
                            <w:sz w:val="20"/>
                            <w:szCs w:val="20"/>
                          </w:rPr>
                        </w:pPr>
                        <w:r>
                          <w:rPr>
                            <w:rFonts w:ascii="黑体" w:hAnsi="黑体" w:cs="黑体" w:eastAsia="黑体" w:hint="default"/>
                            <w:sz w:val="20"/>
                            <w:szCs w:val="20"/>
                          </w:rPr>
                          <w:t>软件股份有限公</w:t>
                        </w:r>
                        <w:r>
                          <w:rPr>
                            <w:rFonts w:ascii="黑体" w:hAnsi="黑体" w:cs="黑体" w:eastAsia="黑体" w:hint="default"/>
                            <w:w w:val="99"/>
                            <w:sz w:val="20"/>
                            <w:szCs w:val="20"/>
                          </w:rPr>
                          <w:t> </w:t>
                        </w:r>
                        <w:r>
                          <w:rPr>
                            <w:rFonts w:ascii="黑体" w:hAnsi="黑体" w:cs="黑体" w:eastAsia="黑体" w:hint="default"/>
                            <w:sz w:val="20"/>
                            <w:szCs w:val="20"/>
                          </w:rPr>
                          <w:t>司</w:t>
                        </w:r>
                      </w:p>
                    </w:tc>
                    <w:tc>
                      <w:tcPr>
                        <w:tcW w:w="67"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95"/>
                          <w:jc w:val="right"/>
                          <w:rPr>
                            <w:rFonts w:ascii="Arial" w:hAnsi="Arial" w:cs="Arial" w:eastAsia="Arial" w:hint="default"/>
                            <w:sz w:val="20"/>
                            <w:szCs w:val="20"/>
                          </w:rPr>
                        </w:pPr>
                        <w:r>
                          <w:rPr>
                            <w:rFonts w:ascii="Arial"/>
                            <w:w w:val="95"/>
                            <w:sz w:val="20"/>
                          </w:rPr>
                          <w:t>68,642,083</w:t>
                        </w:r>
                        <w:r>
                          <w:rPr>
                            <w:rFonts w:ascii="Arial"/>
                            <w:sz w:val="20"/>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52"/>
                          <w:jc w:val="right"/>
                          <w:rPr>
                            <w:rFonts w:ascii="Arial" w:hAnsi="Arial" w:cs="Arial" w:eastAsia="Arial" w:hint="default"/>
                            <w:sz w:val="20"/>
                            <w:szCs w:val="20"/>
                          </w:rPr>
                        </w:pPr>
                        <w:r>
                          <w:rPr>
                            <w:rFonts w:ascii="Arial"/>
                            <w:w w:val="95"/>
                            <w:sz w:val="20"/>
                          </w:rPr>
                          <w:t>68,642,083</w:t>
                        </w:r>
                        <w:r>
                          <w:rPr>
                            <w:rFonts w:ascii="Arial"/>
                            <w:sz w:val="20"/>
                          </w:rPr>
                        </w:r>
                      </w:p>
                    </w:tc>
                    <w:tc>
                      <w:tcPr>
                        <w:tcW w:w="11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63"/>
                          <w:jc w:val="right"/>
                          <w:rPr>
                            <w:rFonts w:ascii="Arial" w:hAnsi="Arial" w:cs="Arial" w:eastAsia="Arial" w:hint="default"/>
                            <w:sz w:val="20"/>
                            <w:szCs w:val="20"/>
                          </w:rPr>
                        </w:pPr>
                        <w:r>
                          <w:rPr>
                            <w:rFonts w:ascii="Arial"/>
                            <w:w w:val="99"/>
                            <w:sz w:val="20"/>
                          </w:rPr>
                          <w:t>-</w:t>
                        </w:r>
                        <w:r>
                          <w:rPr>
                            <w:rFonts w:ascii="Arial"/>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77"/>
                          <w:jc w:val="right"/>
                          <w:rPr>
                            <w:rFonts w:ascii="Arial" w:hAnsi="Arial" w:cs="Arial" w:eastAsia="Arial" w:hint="default"/>
                            <w:sz w:val="20"/>
                            <w:szCs w:val="20"/>
                          </w:rPr>
                        </w:pPr>
                        <w:r>
                          <w:rPr>
                            <w:rFonts w:ascii="Arial"/>
                            <w:w w:val="99"/>
                            <w:sz w:val="20"/>
                          </w:rPr>
                          <w:t>-</w:t>
                        </w:r>
                        <w:r>
                          <w:rPr>
                            <w:rFonts w:ascii="Arial"/>
                            <w:sz w:val="20"/>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44" w:right="0"/>
                          <w:jc w:val="center"/>
                          <w:rPr>
                            <w:rFonts w:ascii="Arial" w:hAnsi="Arial" w:cs="Arial" w:eastAsia="Arial" w:hint="default"/>
                            <w:sz w:val="20"/>
                            <w:szCs w:val="20"/>
                          </w:rPr>
                        </w:pPr>
                        <w:r>
                          <w:rPr>
                            <w:rFonts w:ascii="Arial"/>
                            <w:sz w:val="20"/>
                          </w:rPr>
                          <w:t>63,039,077</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203"/>
                          <w:jc w:val="right"/>
                          <w:rPr>
                            <w:rFonts w:ascii="Arial" w:hAnsi="Arial" w:cs="Arial" w:eastAsia="Arial" w:hint="default"/>
                            <w:sz w:val="20"/>
                            <w:szCs w:val="20"/>
                          </w:rPr>
                        </w:pPr>
                        <w:r>
                          <w:rPr>
                            <w:rFonts w:ascii="Arial"/>
                            <w:spacing w:val="-1"/>
                            <w:sz w:val="20"/>
                          </w:rPr>
                          <w:t>131,681,160</w:t>
                        </w:r>
                      </w:p>
                    </w:tc>
                  </w:tr>
                  <w:tr>
                    <w:trPr>
                      <w:trHeight w:val="434" w:hRule="exact"/>
                    </w:trPr>
                    <w:tc>
                      <w:tcPr>
                        <w:tcW w:w="2706"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296" w:right="0"/>
                          <w:jc w:val="left"/>
                          <w:rPr>
                            <w:rFonts w:ascii="黑体" w:hAnsi="黑体" w:cs="黑体" w:eastAsia="黑体" w:hint="default"/>
                            <w:sz w:val="20"/>
                            <w:szCs w:val="20"/>
                          </w:rPr>
                        </w:pPr>
                        <w:r>
                          <w:rPr>
                            <w:rFonts w:ascii="黑体" w:hAnsi="黑体" w:cs="黑体" w:eastAsia="黑体" w:hint="default"/>
                            <w:sz w:val="20"/>
                            <w:szCs w:val="20"/>
                          </w:rPr>
                          <w:t>其他</w:t>
                        </w:r>
                      </w:p>
                    </w:tc>
                    <w:tc>
                      <w:tcPr>
                        <w:tcW w:w="67" w:type="dxa"/>
                        <w:tcBorders>
                          <w:top w:val="nil" w:sz="6" w:space="0" w:color="auto"/>
                          <w:left w:val="nil" w:sz="6" w:space="0" w:color="auto"/>
                          <w:bottom w:val="single" w:sz="6" w:space="0" w:color="000000"/>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95"/>
                          <w:jc w:val="right"/>
                          <w:rPr>
                            <w:rFonts w:ascii="Arial" w:hAnsi="Arial" w:cs="Arial" w:eastAsia="Arial" w:hint="default"/>
                            <w:sz w:val="20"/>
                            <w:szCs w:val="20"/>
                          </w:rPr>
                        </w:pPr>
                        <w:r>
                          <w:rPr>
                            <w:rFonts w:ascii="Arial"/>
                            <w:w w:val="99"/>
                            <w:sz w:val="20"/>
                          </w:rPr>
                        </w:r>
                        <w:r>
                          <w:rPr>
                            <w:rFonts w:ascii="Arial"/>
                            <w:spacing w:val="-1"/>
                            <w:sz w:val="20"/>
                            <w:u w:val="single" w:color="000000"/>
                          </w:rPr>
                          <w:t>317,519,185</w:t>
                        </w:r>
                        <w:r>
                          <w:rPr>
                            <w:rFonts w:ascii="Arial"/>
                            <w:spacing w:val="-1"/>
                            <w:sz w:val="20"/>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52"/>
                          <w:jc w:val="right"/>
                          <w:rPr>
                            <w:rFonts w:ascii="Arial" w:hAnsi="Arial" w:cs="Arial" w:eastAsia="Arial" w:hint="default"/>
                            <w:sz w:val="20"/>
                            <w:szCs w:val="20"/>
                          </w:rPr>
                        </w:pPr>
                        <w:r>
                          <w:rPr>
                            <w:rFonts w:ascii="Arial"/>
                            <w:w w:val="99"/>
                            <w:sz w:val="20"/>
                          </w:rPr>
                        </w:r>
                        <w:r>
                          <w:rPr>
                            <w:rFonts w:ascii="Arial"/>
                            <w:spacing w:val="-1"/>
                            <w:sz w:val="20"/>
                            <w:u w:val="single" w:color="000000"/>
                          </w:rPr>
                          <w:t>317,519,185</w:t>
                        </w:r>
                        <w:r>
                          <w:rPr>
                            <w:rFonts w:ascii="Arial"/>
                            <w:spacing w:val="-1"/>
                            <w:sz w:val="20"/>
                          </w:rPr>
                        </w:r>
                      </w:p>
                    </w:tc>
                    <w:tc>
                      <w:tcPr>
                        <w:tcW w:w="1118" w:type="dxa"/>
                        <w:tcBorders>
                          <w:top w:val="nil" w:sz="6" w:space="0" w:color="auto"/>
                          <w:left w:val="nil" w:sz="6" w:space="0" w:color="auto"/>
                          <w:bottom w:val="nil" w:sz="6" w:space="0" w:color="auto"/>
                          <w:right w:val="nil" w:sz="6" w:space="0" w:color="auto"/>
                        </w:tcBorders>
                      </w:tcPr>
                      <w:p>
                        <w:pPr>
                          <w:pStyle w:val="TableParagraph"/>
                          <w:spacing w:line="218" w:lineRule="exact"/>
                          <w:ind w:right="65"/>
                          <w:jc w:val="right"/>
                          <w:rPr>
                            <w:rFonts w:ascii="Arial" w:hAnsi="Arial" w:cs="Arial" w:eastAsia="Arial" w:hint="default"/>
                            <w:sz w:val="20"/>
                            <w:szCs w:val="20"/>
                          </w:rPr>
                        </w:pPr>
                        <w:r>
                          <w:rPr>
                            <w:rFonts w:ascii="Arial"/>
                            <w:w w:val="99"/>
                            <w:sz w:val="20"/>
                          </w:rPr>
                        </w:r>
                        <w:r>
                          <w:rPr>
                            <w:rFonts w:ascii="Arial"/>
                            <w:w w:val="95"/>
                            <w:sz w:val="20"/>
                            <w:u w:val="single" w:color="000000"/>
                          </w:rPr>
                          <w:t>59,015,95</w:t>
                        </w:r>
                        <w:r>
                          <w:rPr>
                            <w:rFonts w:ascii="Arial"/>
                            <w:w w:val="95"/>
                            <w:sz w:val="20"/>
                          </w:rPr>
                        </w:r>
                        <w:r>
                          <w:rPr>
                            <w:rFonts w:ascii="Arial"/>
                            <w:sz w:val="20"/>
                          </w:rPr>
                        </w:r>
                      </w:p>
                      <w:p>
                        <w:pPr>
                          <w:pStyle w:val="TableParagraph"/>
                          <w:spacing w:line="229" w:lineRule="exact"/>
                          <w:ind w:right="62"/>
                          <w:jc w:val="right"/>
                          <w:rPr>
                            <w:rFonts w:ascii="Arial" w:hAnsi="Arial" w:cs="Arial" w:eastAsia="Arial" w:hint="default"/>
                            <w:sz w:val="20"/>
                            <w:szCs w:val="20"/>
                          </w:rPr>
                        </w:pPr>
                        <w:r>
                          <w:rPr>
                            <w:rFonts w:ascii="Arial"/>
                            <w:w w:val="99"/>
                            <w:sz w:val="20"/>
                          </w:rPr>
                        </w:r>
                        <w:r>
                          <w:rPr>
                            <w:rFonts w:ascii="Arial"/>
                            <w:w w:val="99"/>
                            <w:sz w:val="20"/>
                            <w:u w:val="single" w:color="000000"/>
                          </w:rPr>
                          <w:t>6</w:t>
                        </w:r>
                        <w:r>
                          <w:rPr>
                            <w:rFonts w:ascii="Arial"/>
                            <w:w w:val="99"/>
                            <w:sz w:val="20"/>
                          </w:rPr>
                        </w:r>
                        <w:r>
                          <w:rPr>
                            <w:rFonts w:ascii="Arial"/>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18" w:lineRule="exact"/>
                          <w:ind w:right="78"/>
                          <w:jc w:val="right"/>
                          <w:rPr>
                            <w:rFonts w:ascii="Arial" w:hAnsi="Arial" w:cs="Arial" w:eastAsia="Arial" w:hint="default"/>
                            <w:sz w:val="20"/>
                            <w:szCs w:val="20"/>
                          </w:rPr>
                        </w:pPr>
                        <w:r>
                          <w:rPr>
                            <w:rFonts w:ascii="Arial"/>
                            <w:w w:val="99"/>
                            <w:sz w:val="20"/>
                          </w:rPr>
                        </w:r>
                        <w:r>
                          <w:rPr>
                            <w:rFonts w:ascii="Arial"/>
                            <w:w w:val="95"/>
                            <w:sz w:val="20"/>
                            <w:u w:val="single" w:color="000000"/>
                          </w:rPr>
                          <w:t>18,792,95</w:t>
                        </w:r>
                        <w:r>
                          <w:rPr>
                            <w:rFonts w:ascii="Arial"/>
                            <w:w w:val="95"/>
                            <w:sz w:val="20"/>
                          </w:rPr>
                        </w:r>
                        <w:r>
                          <w:rPr>
                            <w:rFonts w:ascii="Arial"/>
                            <w:sz w:val="20"/>
                          </w:rPr>
                        </w:r>
                      </w:p>
                      <w:p>
                        <w:pPr>
                          <w:pStyle w:val="TableParagraph"/>
                          <w:spacing w:line="229" w:lineRule="exact"/>
                          <w:ind w:right="75"/>
                          <w:jc w:val="right"/>
                          <w:rPr>
                            <w:rFonts w:ascii="Arial" w:hAnsi="Arial" w:cs="Arial" w:eastAsia="Arial" w:hint="default"/>
                            <w:sz w:val="20"/>
                            <w:szCs w:val="20"/>
                          </w:rPr>
                        </w:pPr>
                        <w:r>
                          <w:rPr>
                            <w:rFonts w:ascii="Arial"/>
                            <w:w w:val="99"/>
                            <w:sz w:val="20"/>
                          </w:rPr>
                        </w:r>
                        <w:r>
                          <w:rPr>
                            <w:rFonts w:ascii="Arial"/>
                            <w:w w:val="99"/>
                            <w:sz w:val="20"/>
                            <w:u w:val="single" w:color="000000"/>
                          </w:rPr>
                          <w:t>2</w:t>
                        </w:r>
                        <w:r>
                          <w:rPr>
                            <w:rFonts w:ascii="Arial"/>
                            <w:w w:val="99"/>
                            <w:sz w:val="20"/>
                          </w:rPr>
                        </w:r>
                        <w:r>
                          <w:rPr>
                            <w:rFonts w:ascii="Arial"/>
                            <w:sz w:val="20"/>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0"/>
                          <w:jc w:val="center"/>
                          <w:rPr>
                            <w:rFonts w:ascii="Arial" w:hAnsi="Arial" w:cs="Arial" w:eastAsia="Arial" w:hint="default"/>
                            <w:sz w:val="20"/>
                            <w:szCs w:val="20"/>
                          </w:rPr>
                        </w:pPr>
                        <w:r>
                          <w:rPr>
                            <w:rFonts w:ascii="Arial"/>
                            <w:sz w:val="20"/>
                          </w:rPr>
                          <w:t>-</w:t>
                        </w:r>
                        <w:r>
                          <w:rPr>
                            <w:rFonts w:ascii="Arial"/>
                            <w:sz w:val="20"/>
                            <w:u w:val="single" w:color="000000"/>
                          </w:rPr>
                          <w:t>44,996,497</w:t>
                        </w:r>
                        <w:r>
                          <w:rPr>
                            <w:rFonts w:ascii="Arial"/>
                            <w:sz w:val="20"/>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03"/>
                          <w:jc w:val="right"/>
                          <w:rPr>
                            <w:rFonts w:ascii="Arial" w:hAnsi="Arial" w:cs="Arial" w:eastAsia="Arial" w:hint="default"/>
                            <w:sz w:val="20"/>
                            <w:szCs w:val="20"/>
                          </w:rPr>
                        </w:pPr>
                        <w:r>
                          <w:rPr>
                            <w:rFonts w:ascii="Arial"/>
                            <w:w w:val="99"/>
                            <w:sz w:val="20"/>
                          </w:rPr>
                        </w:r>
                        <w:r>
                          <w:rPr>
                            <w:rFonts w:ascii="Arial"/>
                            <w:spacing w:val="-1"/>
                            <w:sz w:val="20"/>
                            <w:u w:val="single" w:color="000000"/>
                          </w:rPr>
                          <w:t>312,745,692</w:t>
                        </w:r>
                        <w:r>
                          <w:rPr>
                            <w:rFonts w:ascii="Arial"/>
                            <w:spacing w:val="-1"/>
                            <w:sz w:val="20"/>
                          </w:rPr>
                        </w:r>
                      </w:p>
                    </w:tc>
                  </w:tr>
                  <w:tr>
                    <w:trPr>
                      <w:trHeight w:val="920" w:hRule="exact"/>
                    </w:trPr>
                    <w:tc>
                      <w:tcPr>
                        <w:tcW w:w="2706" w:type="dxa"/>
                        <w:tcBorders>
                          <w:top w:val="nil" w:sz="6" w:space="0" w:color="auto"/>
                          <w:left w:val="nil" w:sz="6" w:space="0" w:color="auto"/>
                          <w:bottom w:val="nil" w:sz="6" w:space="0" w:color="auto"/>
                          <w:right w:val="nil" w:sz="6" w:space="0" w:color="auto"/>
                        </w:tcBorders>
                      </w:tcPr>
                      <w:p>
                        <w:pPr/>
                      </w:p>
                    </w:tc>
                    <w:tc>
                      <w:tcPr>
                        <w:tcW w:w="67" w:type="dxa"/>
                        <w:tcBorders>
                          <w:top w:val="single" w:sz="6" w:space="0" w:color="000000"/>
                          <w:left w:val="nil" w:sz="6" w:space="0" w:color="auto"/>
                          <w:bottom w:val="single" w:sz="13" w:space="0" w:color="000000"/>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5"/>
                          <w:jc w:val="right"/>
                          <w:rPr>
                            <w:rFonts w:ascii="Arial" w:hAnsi="Arial" w:cs="Arial" w:eastAsia="Arial" w:hint="default"/>
                            <w:sz w:val="20"/>
                            <w:szCs w:val="20"/>
                          </w:rPr>
                        </w:pPr>
                        <w:r>
                          <w:rPr>
                            <w:rFonts w:ascii="Arial"/>
                            <w:w w:val="99"/>
                            <w:sz w:val="20"/>
                          </w:rPr>
                        </w:r>
                        <w:r>
                          <w:rPr>
                            <w:rFonts w:ascii="Arial"/>
                            <w:spacing w:val="-1"/>
                            <w:sz w:val="20"/>
                            <w:u w:val="thick" w:color="000000"/>
                          </w:rPr>
                          <w:t>844,750,757</w:t>
                        </w:r>
                        <w:r>
                          <w:rPr>
                            <w:rFonts w:ascii="Arial"/>
                            <w:spacing w:val="-1"/>
                            <w:sz w:val="20"/>
                          </w:rPr>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52"/>
                          <w:jc w:val="right"/>
                          <w:rPr>
                            <w:rFonts w:ascii="Arial" w:hAnsi="Arial" w:cs="Arial" w:eastAsia="Arial" w:hint="default"/>
                            <w:sz w:val="20"/>
                            <w:szCs w:val="20"/>
                          </w:rPr>
                        </w:pPr>
                        <w:r>
                          <w:rPr>
                            <w:rFonts w:ascii="Arial"/>
                            <w:w w:val="99"/>
                            <w:sz w:val="20"/>
                          </w:rPr>
                        </w:r>
                        <w:r>
                          <w:rPr>
                            <w:rFonts w:ascii="Arial"/>
                            <w:spacing w:val="-1"/>
                            <w:sz w:val="20"/>
                            <w:u w:val="thick" w:color="000000"/>
                          </w:rPr>
                          <w:t>844,750,757</w:t>
                        </w:r>
                        <w:r>
                          <w:rPr>
                            <w:rFonts w:ascii="Arial"/>
                            <w:spacing w:val="-1"/>
                            <w:sz w:val="20"/>
                          </w:rPr>
                        </w:r>
                      </w:p>
                    </w:tc>
                    <w:tc>
                      <w:tcPr>
                        <w:tcW w:w="11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65"/>
                          <w:jc w:val="right"/>
                          <w:rPr>
                            <w:rFonts w:ascii="Arial" w:hAnsi="Arial" w:cs="Arial" w:eastAsia="Arial" w:hint="default"/>
                            <w:sz w:val="20"/>
                            <w:szCs w:val="20"/>
                          </w:rPr>
                        </w:pPr>
                        <w:r>
                          <w:rPr>
                            <w:rFonts w:ascii="Arial"/>
                            <w:w w:val="99"/>
                            <w:sz w:val="20"/>
                          </w:rPr>
                        </w:r>
                        <w:r>
                          <w:rPr>
                            <w:rFonts w:ascii="Arial"/>
                            <w:w w:val="95"/>
                            <w:sz w:val="20"/>
                            <w:u w:val="thick" w:color="000000"/>
                          </w:rPr>
                          <w:t>59,015,95</w:t>
                        </w:r>
                        <w:r>
                          <w:rPr>
                            <w:rFonts w:ascii="Arial"/>
                            <w:w w:val="95"/>
                            <w:sz w:val="20"/>
                          </w:rPr>
                        </w:r>
                        <w:r>
                          <w:rPr>
                            <w:rFonts w:ascii="Arial"/>
                            <w:sz w:val="20"/>
                          </w:rPr>
                        </w:r>
                      </w:p>
                      <w:p>
                        <w:pPr>
                          <w:pStyle w:val="TableParagraph"/>
                          <w:spacing w:line="240" w:lineRule="auto"/>
                          <w:ind w:right="62"/>
                          <w:jc w:val="right"/>
                          <w:rPr>
                            <w:rFonts w:ascii="Arial" w:hAnsi="Arial" w:cs="Arial" w:eastAsia="Arial" w:hint="default"/>
                            <w:sz w:val="20"/>
                            <w:szCs w:val="20"/>
                          </w:rPr>
                        </w:pPr>
                        <w:r>
                          <w:rPr>
                            <w:rFonts w:ascii="Arial"/>
                            <w:w w:val="99"/>
                            <w:sz w:val="20"/>
                          </w:rPr>
                        </w:r>
                        <w:r>
                          <w:rPr>
                            <w:rFonts w:ascii="Arial"/>
                            <w:w w:val="99"/>
                            <w:sz w:val="20"/>
                            <w:u w:val="thick" w:color="000000"/>
                          </w:rPr>
                          <w:t>6</w:t>
                        </w:r>
                        <w:r>
                          <w:rPr>
                            <w:rFonts w:ascii="Arial"/>
                            <w:w w:val="99"/>
                            <w:sz w:val="20"/>
                          </w:rPr>
                        </w:r>
                        <w:r>
                          <w:rPr>
                            <w:rFonts w:ascii="Arial"/>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78"/>
                          <w:jc w:val="right"/>
                          <w:rPr>
                            <w:rFonts w:ascii="Arial" w:hAnsi="Arial" w:cs="Arial" w:eastAsia="Arial" w:hint="default"/>
                            <w:sz w:val="20"/>
                            <w:szCs w:val="20"/>
                          </w:rPr>
                        </w:pPr>
                        <w:r>
                          <w:rPr>
                            <w:rFonts w:ascii="Arial"/>
                            <w:w w:val="99"/>
                            <w:sz w:val="20"/>
                          </w:rPr>
                        </w:r>
                        <w:r>
                          <w:rPr>
                            <w:rFonts w:ascii="Arial"/>
                            <w:w w:val="95"/>
                            <w:sz w:val="20"/>
                            <w:u w:val="thick" w:color="000000"/>
                          </w:rPr>
                          <w:t>18,792,95</w:t>
                        </w:r>
                        <w:r>
                          <w:rPr>
                            <w:rFonts w:ascii="Arial"/>
                            <w:w w:val="95"/>
                            <w:sz w:val="20"/>
                          </w:rPr>
                        </w:r>
                        <w:r>
                          <w:rPr>
                            <w:rFonts w:ascii="Arial"/>
                            <w:sz w:val="20"/>
                          </w:rPr>
                        </w:r>
                      </w:p>
                      <w:p>
                        <w:pPr>
                          <w:pStyle w:val="TableParagraph"/>
                          <w:spacing w:line="240" w:lineRule="auto"/>
                          <w:ind w:right="75"/>
                          <w:jc w:val="right"/>
                          <w:rPr>
                            <w:rFonts w:ascii="Arial" w:hAnsi="Arial" w:cs="Arial" w:eastAsia="Arial" w:hint="default"/>
                            <w:sz w:val="20"/>
                            <w:szCs w:val="20"/>
                          </w:rPr>
                        </w:pPr>
                        <w:r>
                          <w:rPr>
                            <w:rFonts w:ascii="Arial"/>
                            <w:w w:val="99"/>
                            <w:sz w:val="20"/>
                          </w:rPr>
                        </w:r>
                        <w:r>
                          <w:rPr>
                            <w:rFonts w:ascii="Arial"/>
                            <w:w w:val="99"/>
                            <w:sz w:val="20"/>
                            <w:u w:val="thick" w:color="000000"/>
                          </w:rPr>
                          <w:t>2</w:t>
                        </w:r>
                        <w:r>
                          <w:rPr>
                            <w:rFonts w:ascii="Arial"/>
                            <w:w w:val="99"/>
                            <w:sz w:val="20"/>
                          </w:rPr>
                        </w:r>
                        <w:r>
                          <w:rPr>
                            <w:rFonts w:ascii="Arial"/>
                            <w:sz w:val="20"/>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8"/>
                          <w:jc w:val="right"/>
                          <w:rPr>
                            <w:rFonts w:ascii="Arial" w:hAnsi="Arial" w:cs="Arial" w:eastAsia="Arial" w:hint="default"/>
                            <w:sz w:val="20"/>
                            <w:szCs w:val="20"/>
                          </w:rPr>
                        </w:pPr>
                        <w:r>
                          <w:rPr>
                            <w:rFonts w:ascii="Arial"/>
                            <w:w w:val="99"/>
                            <w:sz w:val="20"/>
                          </w:rPr>
                        </w:r>
                        <w:r>
                          <w:rPr>
                            <w:rFonts w:ascii="Arial"/>
                            <w:w w:val="95"/>
                            <w:sz w:val="20"/>
                            <w:u w:val="thick" w:color="000000"/>
                          </w:rPr>
                          <w:t>184,324,48</w:t>
                        </w:r>
                        <w:r>
                          <w:rPr>
                            <w:rFonts w:ascii="Arial"/>
                            <w:w w:val="95"/>
                            <w:sz w:val="20"/>
                          </w:rPr>
                        </w:r>
                        <w:r>
                          <w:rPr>
                            <w:rFonts w:ascii="Arial"/>
                            <w:sz w:val="20"/>
                          </w:rPr>
                        </w:r>
                      </w:p>
                      <w:p>
                        <w:pPr>
                          <w:pStyle w:val="TableParagraph"/>
                          <w:spacing w:line="240" w:lineRule="auto"/>
                          <w:ind w:right="95"/>
                          <w:jc w:val="right"/>
                          <w:rPr>
                            <w:rFonts w:ascii="Arial" w:hAnsi="Arial" w:cs="Arial" w:eastAsia="Arial" w:hint="default"/>
                            <w:sz w:val="20"/>
                            <w:szCs w:val="20"/>
                          </w:rPr>
                        </w:pPr>
                        <w:r>
                          <w:rPr>
                            <w:rFonts w:ascii="Arial"/>
                            <w:w w:val="99"/>
                            <w:sz w:val="20"/>
                          </w:rPr>
                        </w:r>
                        <w:r>
                          <w:rPr>
                            <w:rFonts w:ascii="Arial"/>
                            <w:w w:val="99"/>
                            <w:sz w:val="20"/>
                            <w:u w:val="thick" w:color="000000"/>
                          </w:rPr>
                          <w:t>7</w:t>
                        </w:r>
                        <w:r>
                          <w:rPr>
                            <w:rFonts w:ascii="Arial"/>
                            <w:w w:val="99"/>
                            <w:sz w:val="20"/>
                          </w:rPr>
                        </w:r>
                        <w:r>
                          <w:rPr>
                            <w:rFonts w:ascii="Arial"/>
                            <w:sz w:val="20"/>
                          </w:rPr>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02"/>
                          <w:jc w:val="right"/>
                          <w:rPr>
                            <w:rFonts w:ascii="Arial" w:hAnsi="Arial" w:cs="Arial" w:eastAsia="Arial" w:hint="default"/>
                            <w:sz w:val="20"/>
                            <w:szCs w:val="20"/>
                          </w:rPr>
                        </w:pPr>
                        <w:r>
                          <w:rPr>
                            <w:rFonts w:ascii="Arial"/>
                            <w:w w:val="99"/>
                            <w:sz w:val="20"/>
                          </w:rPr>
                        </w:r>
                        <w:r>
                          <w:rPr>
                            <w:rFonts w:ascii="Arial"/>
                            <w:w w:val="95"/>
                            <w:sz w:val="20"/>
                            <w:u w:val="thick" w:color="000000"/>
                          </w:rPr>
                          <w:t>1,069,298,24</w:t>
                        </w:r>
                        <w:r>
                          <w:rPr>
                            <w:rFonts w:ascii="Arial"/>
                            <w:w w:val="95"/>
                            <w:sz w:val="20"/>
                          </w:rPr>
                        </w:r>
                        <w:r>
                          <w:rPr>
                            <w:rFonts w:ascii="Arial"/>
                            <w:sz w:val="20"/>
                          </w:rPr>
                        </w:r>
                      </w:p>
                      <w:p>
                        <w:pPr>
                          <w:pStyle w:val="TableParagraph"/>
                          <w:spacing w:line="240" w:lineRule="auto"/>
                          <w:ind w:right="200"/>
                          <w:jc w:val="right"/>
                          <w:rPr>
                            <w:rFonts w:ascii="Arial" w:hAnsi="Arial" w:cs="Arial" w:eastAsia="Arial" w:hint="default"/>
                            <w:sz w:val="20"/>
                            <w:szCs w:val="20"/>
                          </w:rPr>
                        </w:pPr>
                        <w:r>
                          <w:rPr>
                            <w:rFonts w:ascii="Arial"/>
                            <w:w w:val="99"/>
                            <w:sz w:val="20"/>
                          </w:rPr>
                        </w:r>
                        <w:r>
                          <w:rPr>
                            <w:rFonts w:ascii="Arial"/>
                            <w:w w:val="99"/>
                            <w:sz w:val="20"/>
                            <w:u w:val="thick" w:color="000000"/>
                          </w:rPr>
                          <w:t>8</w:t>
                        </w:r>
                        <w:r>
                          <w:rPr>
                            <w:rFonts w:ascii="Arial"/>
                            <w:w w:val="99"/>
                            <w:sz w:val="20"/>
                          </w:rPr>
                        </w:r>
                        <w:r>
                          <w:rPr>
                            <w:rFonts w:ascii="Arial"/>
                            <w:sz w:val="20"/>
                          </w:rPr>
                        </w:r>
                      </w:p>
                    </w:tc>
                  </w:tr>
                </w:tbl>
                <w:p>
                  <w:pPr/>
                </w:p>
              </w:txbxContent>
            </v:textbox>
            <w10:wrap type="none"/>
          </v:shape>
        </w:pict>
      </w:r>
      <w:r>
        <w:rPr>
          <w:rFonts w:ascii="Arial"/>
          <w:w w:val="99"/>
          <w:sz w:val="20"/>
        </w:rPr>
        <w:t>-</w:t>
      </w:r>
      <w:r>
        <w:rPr>
          <w:rFonts w:ascii="Arial"/>
          <w:sz w:val="20"/>
        </w:rPr>
      </w:r>
    </w:p>
    <w:p>
      <w:pPr>
        <w:spacing w:line="240" w:lineRule="auto" w:before="0"/>
        <w:rPr>
          <w:rFonts w:ascii="Arial" w:hAnsi="Arial" w:cs="Arial" w:eastAsia="Arial" w:hint="default"/>
          <w:sz w:val="20"/>
          <w:szCs w:val="20"/>
        </w:rPr>
      </w:pPr>
    </w:p>
    <w:p>
      <w:pPr>
        <w:spacing w:line="240" w:lineRule="auto" w:before="2"/>
        <w:rPr>
          <w:rFonts w:ascii="Arial" w:hAnsi="Arial" w:cs="Arial" w:eastAsia="Arial" w:hint="default"/>
          <w:sz w:val="21"/>
          <w:szCs w:val="21"/>
        </w:rPr>
      </w:pPr>
    </w:p>
    <w:p>
      <w:pPr>
        <w:spacing w:before="74"/>
        <w:ind w:left="2822" w:right="0" w:firstLine="0"/>
        <w:jc w:val="left"/>
        <w:rPr>
          <w:rFonts w:ascii="Arial" w:hAnsi="Arial" w:cs="Arial" w:eastAsia="Arial" w:hint="default"/>
          <w:sz w:val="20"/>
          <w:szCs w:val="20"/>
        </w:rPr>
      </w:pPr>
      <w:r>
        <w:rPr>
          <w:rFonts w:ascii="Arial"/>
          <w:w w:val="99"/>
          <w:sz w:val="20"/>
        </w:rPr>
        <w:t>-</w:t>
      </w:r>
      <w:r>
        <w:rPr>
          <w:rFonts w:ascii="Arial"/>
          <w:sz w:val="20"/>
        </w:rPr>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11"/>
        <w:rPr>
          <w:rFonts w:ascii="Arial" w:hAnsi="Arial" w:cs="Arial" w:eastAsia="Arial" w:hint="default"/>
          <w:sz w:val="23"/>
          <w:szCs w:val="23"/>
        </w:rPr>
      </w:pPr>
    </w:p>
    <w:p>
      <w:pPr>
        <w:spacing w:before="74"/>
        <w:ind w:left="2822" w:right="0" w:firstLine="0"/>
        <w:jc w:val="left"/>
        <w:rPr>
          <w:rFonts w:ascii="Arial" w:hAnsi="Arial" w:cs="Arial" w:eastAsia="Arial" w:hint="default"/>
          <w:sz w:val="20"/>
          <w:szCs w:val="20"/>
        </w:rPr>
      </w:pPr>
      <w:r>
        <w:rPr>
          <w:rFonts w:ascii="Arial"/>
          <w:w w:val="99"/>
          <w:sz w:val="20"/>
        </w:rPr>
        <w:t>-</w:t>
      </w:r>
      <w:r>
        <w:rPr>
          <w:rFonts w:ascii="Arial"/>
          <w:sz w:val="20"/>
        </w:rPr>
      </w:r>
    </w:p>
    <w:p>
      <w:pPr>
        <w:spacing w:line="240" w:lineRule="auto" w:before="0"/>
        <w:rPr>
          <w:rFonts w:ascii="Arial" w:hAnsi="Arial" w:cs="Arial" w:eastAsia="Arial" w:hint="default"/>
          <w:sz w:val="20"/>
          <w:szCs w:val="20"/>
        </w:rPr>
      </w:pPr>
    </w:p>
    <w:p>
      <w:pPr>
        <w:spacing w:line="240" w:lineRule="auto" w:before="2"/>
        <w:rPr>
          <w:rFonts w:ascii="Arial" w:hAnsi="Arial" w:cs="Arial" w:eastAsia="Arial" w:hint="default"/>
          <w:sz w:val="21"/>
          <w:szCs w:val="21"/>
        </w:rPr>
      </w:pPr>
    </w:p>
    <w:p>
      <w:pPr>
        <w:spacing w:before="74"/>
        <w:ind w:left="2822" w:right="0" w:firstLine="0"/>
        <w:jc w:val="left"/>
        <w:rPr>
          <w:rFonts w:ascii="Arial" w:hAnsi="Arial" w:cs="Arial" w:eastAsia="Arial" w:hint="default"/>
          <w:sz w:val="20"/>
          <w:szCs w:val="20"/>
        </w:rPr>
      </w:pPr>
      <w:r>
        <w:rPr>
          <w:rFonts w:ascii="Arial"/>
          <w:w w:val="99"/>
          <w:sz w:val="20"/>
        </w:rPr>
        <w:t>-</w:t>
      </w:r>
      <w:r>
        <w:rPr>
          <w:rFonts w:ascii="Arial"/>
          <w:sz w:val="20"/>
        </w:rPr>
      </w:r>
    </w:p>
    <w:p>
      <w:pPr>
        <w:spacing w:line="240" w:lineRule="auto" w:before="5"/>
        <w:rPr>
          <w:rFonts w:ascii="Arial" w:hAnsi="Arial" w:cs="Arial" w:eastAsia="Arial" w:hint="default"/>
          <w:sz w:val="13"/>
          <w:szCs w:val="13"/>
        </w:rPr>
      </w:pPr>
    </w:p>
    <w:p>
      <w:pPr>
        <w:spacing w:before="74"/>
        <w:ind w:left="2822" w:right="0" w:firstLine="0"/>
        <w:jc w:val="left"/>
        <w:rPr>
          <w:rFonts w:ascii="Arial" w:hAnsi="Arial" w:cs="Arial" w:eastAsia="Arial" w:hint="default"/>
          <w:sz w:val="20"/>
          <w:szCs w:val="20"/>
        </w:rPr>
      </w:pPr>
      <w:r>
        <w:rPr>
          <w:rFonts w:ascii="Arial"/>
          <w:w w:val="99"/>
          <w:sz w:val="20"/>
        </w:rPr>
        <w:t>-</w:t>
      </w:r>
      <w:r>
        <w:rPr>
          <w:rFonts w:ascii="Arial"/>
          <w:sz w:val="20"/>
        </w:rPr>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2"/>
        <w:rPr>
          <w:rFonts w:ascii="Arial" w:hAnsi="Arial" w:cs="Arial" w:eastAsia="Arial" w:hint="default"/>
          <w:sz w:val="20"/>
          <w:szCs w:val="20"/>
        </w:rPr>
      </w:pPr>
    </w:p>
    <w:p>
      <w:pPr>
        <w:spacing w:before="0"/>
        <w:ind w:left="2822" w:right="0" w:firstLine="0"/>
        <w:jc w:val="left"/>
        <w:rPr>
          <w:rFonts w:ascii="Arial" w:hAnsi="Arial" w:cs="Arial" w:eastAsia="Arial" w:hint="default"/>
          <w:sz w:val="20"/>
          <w:szCs w:val="20"/>
        </w:rPr>
      </w:pPr>
      <w:r>
        <w:rPr>
          <w:rFonts w:ascii="Arial"/>
          <w:w w:val="99"/>
          <w:sz w:val="20"/>
        </w:rPr>
        <w:t>-</w:t>
      </w:r>
      <w:r>
        <w:rPr>
          <w:rFonts w:ascii="Arial"/>
          <w:sz w:val="20"/>
        </w:rPr>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6"/>
        <w:rPr>
          <w:rFonts w:ascii="Arial" w:hAnsi="Arial" w:cs="Arial" w:eastAsia="Arial" w:hint="default"/>
          <w:sz w:val="19"/>
          <w:szCs w:val="19"/>
        </w:rPr>
      </w:pPr>
    </w:p>
    <w:p>
      <w:pPr>
        <w:spacing w:line="261" w:lineRule="auto" w:before="26"/>
        <w:ind w:left="316" w:right="7790" w:firstLine="0"/>
        <w:jc w:val="left"/>
        <w:rPr>
          <w:rFonts w:ascii="宋体" w:hAnsi="宋体" w:cs="宋体" w:eastAsia="宋体" w:hint="default"/>
          <w:sz w:val="24"/>
          <w:szCs w:val="24"/>
        </w:rPr>
      </w:pPr>
      <w:r>
        <w:rPr>
          <w:rFonts w:ascii="宋体" w:hAnsi="宋体" w:cs="宋体" w:eastAsia="宋体" w:hint="default"/>
          <w:b/>
          <w:bCs/>
          <w:sz w:val="24"/>
          <w:szCs w:val="24"/>
        </w:rPr>
        <w:t>19</w:t>
      </w:r>
      <w:r>
        <w:rPr>
          <w:rFonts w:ascii="宋体" w:hAnsi="宋体" w:cs="宋体" w:eastAsia="宋体" w:hint="default"/>
          <w:b/>
          <w:bCs/>
          <w:sz w:val="24"/>
          <w:szCs w:val="24"/>
        </w:rPr>
        <w:t>、</w:t>
      </w:r>
      <w:r>
        <w:rPr>
          <w:rFonts w:ascii="宋体" w:hAnsi="宋体" w:cs="宋体" w:eastAsia="宋体" w:hint="default"/>
          <w:b/>
          <w:bCs/>
          <w:spacing w:val="-101"/>
          <w:sz w:val="24"/>
          <w:szCs w:val="24"/>
        </w:rPr>
        <w:t> </w:t>
      </w:r>
      <w:r>
        <w:rPr>
          <w:rFonts w:ascii="宋体" w:hAnsi="宋体" w:cs="宋体" w:eastAsia="宋体" w:hint="default"/>
          <w:b/>
          <w:bCs/>
          <w:sz w:val="24"/>
          <w:szCs w:val="24"/>
        </w:rPr>
        <w:t>投资性房地产</w:t>
      </w:r>
      <w:r>
        <w:rPr>
          <w:rFonts w:ascii="宋体" w:hAnsi="宋体" w:cs="宋体" w:eastAsia="宋体" w:hint="default"/>
          <w:b/>
          <w:bCs/>
          <w:w w:val="99"/>
          <w:sz w:val="24"/>
          <w:szCs w:val="24"/>
        </w:rPr>
        <w:t> </w:t>
      </w:r>
      <w:r>
        <w:rPr>
          <w:rFonts w:ascii="宋体" w:hAnsi="宋体" w:cs="宋体" w:eastAsia="宋体" w:hint="default"/>
          <w:sz w:val="24"/>
          <w:szCs w:val="24"/>
        </w:rPr>
        <w:t>投资性房地产计量模式 不适用</w:t>
      </w:r>
    </w:p>
    <w:p>
      <w:pPr>
        <w:spacing w:line="240" w:lineRule="auto" w:before="10"/>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footerReference w:type="default" r:id="rId65"/>
          <w:pgSz w:w="11910" w:h="16840"/>
          <w:pgMar w:footer="1195" w:header="882" w:top="1080" w:bottom="1380" w:left="960" w:right="420"/>
          <w:pgNumType w:start="91"/>
        </w:sectPr>
      </w:pPr>
    </w:p>
    <w:p>
      <w:pPr>
        <w:pStyle w:val="Heading2"/>
        <w:spacing w:line="283" w:lineRule="auto" w:before="26"/>
        <w:ind w:left="316" w:right="-19"/>
        <w:jc w:val="left"/>
        <w:rPr>
          <w:rFonts w:ascii="宋体" w:hAnsi="宋体" w:cs="宋体" w:eastAsia="宋体" w:hint="default"/>
          <w:b w:val="0"/>
          <w:bCs w:val="0"/>
        </w:rPr>
      </w:pPr>
      <w:r>
        <w:rPr>
          <w:rFonts w:ascii="宋体" w:hAnsi="宋体" w:cs="宋体" w:eastAsia="宋体" w:hint="default"/>
        </w:rPr>
        <w:t>20</w:t>
      </w:r>
      <w:r>
        <w:rPr/>
        <w:t>、</w:t>
      </w:r>
      <w:r>
        <w:rPr>
          <w:spacing w:val="-101"/>
        </w:rPr>
        <w:t> </w:t>
      </w:r>
      <w:r>
        <w:rPr/>
        <w:t>固定资产</w:t>
      </w:r>
      <w:r>
        <w:rPr>
          <w:rFonts w:ascii="宋体" w:hAnsi="宋体" w:cs="宋体" w:eastAsia="宋体" w:hint="default"/>
          <w:w w:val="99"/>
        </w:rPr>
        <w:t> </w:t>
      </w:r>
      <w:r>
        <w:rPr/>
        <w:t>项目列示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316"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34"/>
          <w:szCs w:val="34"/>
        </w:rPr>
      </w:pPr>
    </w:p>
    <w:p>
      <w:pPr>
        <w:pStyle w:val="BodyText"/>
        <w:tabs>
          <w:tab w:pos="1516" w:val="left" w:leader="none"/>
        </w:tabs>
        <w:spacing w:line="240" w:lineRule="auto"/>
        <w:ind w:left="316" w:right="0"/>
        <w:jc w:val="left"/>
      </w:pPr>
      <w:r>
        <w:rPr/>
        <w:t>单位：元</w:t>
        <w:tab/>
        <w:t>币种：人民币</w:t>
      </w:r>
    </w:p>
    <w:p>
      <w:pPr>
        <w:spacing w:after="0" w:line="240" w:lineRule="auto"/>
        <w:jc w:val="left"/>
        <w:sectPr>
          <w:type w:val="continuous"/>
          <w:pgSz w:w="11910" w:h="16840"/>
          <w:pgMar w:top="1120" w:bottom="1380" w:left="960" w:right="420"/>
          <w:cols w:num="2" w:equalWidth="0">
            <w:col w:w="2022" w:space="4172"/>
            <w:col w:w="4336"/>
          </w:cols>
        </w:sectPr>
      </w:pPr>
    </w:p>
    <w:p>
      <w:pPr>
        <w:spacing w:line="240" w:lineRule="auto" w:before="10"/>
        <w:rPr>
          <w:rFonts w:ascii="宋体" w:hAnsi="宋体" w:cs="宋体" w:eastAsia="宋体" w:hint="default"/>
          <w:sz w:val="2"/>
          <w:szCs w:val="2"/>
        </w:rPr>
      </w:pPr>
    </w:p>
    <w:tbl>
      <w:tblPr>
        <w:tblW w:w="0" w:type="auto"/>
        <w:jc w:val="left"/>
        <w:tblInd w:w="203" w:type="dxa"/>
        <w:tblLayout w:type="fixed"/>
        <w:tblCellMar>
          <w:top w:w="0" w:type="dxa"/>
          <w:left w:w="0" w:type="dxa"/>
          <w:bottom w:w="0" w:type="dxa"/>
          <w:right w:w="0" w:type="dxa"/>
        </w:tblCellMar>
        <w:tblLook w:val="01E0"/>
      </w:tblPr>
      <w:tblGrid>
        <w:gridCol w:w="3308"/>
        <w:gridCol w:w="2864"/>
        <w:gridCol w:w="2878"/>
      </w:tblGrid>
      <w:tr>
        <w:trPr>
          <w:trHeight w:val="322"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07"/>
              <w:jc w:val="right"/>
              <w:rPr>
                <w:rFonts w:ascii="宋体" w:hAnsi="宋体" w:cs="宋体" w:eastAsia="宋体" w:hint="default"/>
                <w:sz w:val="24"/>
                <w:szCs w:val="24"/>
              </w:rPr>
            </w:pPr>
            <w:r>
              <w:rPr>
                <w:rFonts w:ascii="宋体" w:hAnsi="宋体" w:cs="宋体" w:eastAsia="宋体" w:hint="default"/>
                <w:sz w:val="24"/>
                <w:szCs w:val="24"/>
              </w:rPr>
              <w:t>项目</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45"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52" w:right="0"/>
              <w:jc w:val="left"/>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2,509,501,286</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2,073,150,867</w:t>
            </w:r>
          </w:p>
        </w:tc>
      </w:tr>
      <w:tr>
        <w:trPr>
          <w:trHeight w:val="322"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固定资产清理</w:t>
            </w:r>
          </w:p>
        </w:tc>
        <w:tc>
          <w:tcPr>
            <w:tcW w:w="2864" w:type="dxa"/>
            <w:tcBorders>
              <w:top w:val="single" w:sz="4" w:space="0" w:color="000000"/>
              <w:left w:val="single" w:sz="4" w:space="0" w:color="000000"/>
              <w:bottom w:val="single" w:sz="4" w:space="0" w:color="000000"/>
              <w:right w:val="single" w:sz="4" w:space="0" w:color="000000"/>
            </w:tcBorders>
          </w:tcPr>
          <w:p>
            <w:pPr/>
          </w:p>
        </w:tc>
        <w:tc>
          <w:tcPr>
            <w:tcW w:w="287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07"/>
              <w:jc w:val="right"/>
              <w:rPr>
                <w:rFonts w:ascii="宋体" w:hAnsi="宋体" w:cs="宋体" w:eastAsia="宋体" w:hint="default"/>
                <w:sz w:val="24"/>
                <w:szCs w:val="24"/>
              </w:rPr>
            </w:pPr>
            <w:r>
              <w:rPr>
                <w:rFonts w:ascii="宋体" w:hAnsi="宋体" w:cs="宋体" w:eastAsia="宋体" w:hint="default"/>
                <w:sz w:val="24"/>
                <w:szCs w:val="24"/>
              </w:rPr>
              <w:t>合计</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2,509,501,286</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2,073,150,867</w:t>
            </w:r>
          </w:p>
        </w:tc>
      </w:tr>
    </w:tbl>
    <w:p>
      <w:pPr>
        <w:spacing w:after="0" w:line="268" w:lineRule="exact"/>
        <w:jc w:val="right"/>
        <w:rPr>
          <w:rFonts w:ascii="Times New Roman" w:hAnsi="Times New Roman" w:cs="Times New Roman" w:eastAsia="Times New Roman" w:hint="default"/>
          <w:sz w:val="24"/>
          <w:szCs w:val="24"/>
        </w:rPr>
        <w:sectPr>
          <w:type w:val="continuous"/>
          <w:pgSz w:w="11910" w:h="16840"/>
          <w:pgMar w:top="1120" w:bottom="1380" w:left="960" w:right="420"/>
        </w:sectPr>
      </w:pPr>
    </w:p>
    <w:p>
      <w:pPr>
        <w:spacing w:line="240" w:lineRule="auto" w:before="4"/>
        <w:rPr>
          <w:rFonts w:ascii="宋体" w:hAnsi="宋体" w:cs="宋体" w:eastAsia="宋体" w:hint="default"/>
          <w:sz w:val="22"/>
          <w:szCs w:val="22"/>
        </w:rPr>
      </w:pPr>
    </w:p>
    <w:p>
      <w:pPr>
        <w:pStyle w:val="BodyText"/>
        <w:spacing w:line="313" w:lineRule="exact" w:before="26"/>
        <w:ind w:left="236" w:right="4250"/>
        <w:jc w:val="left"/>
      </w:pPr>
      <w:r>
        <w:rPr/>
        <w:t>其他说明：</w:t>
      </w:r>
    </w:p>
    <w:p>
      <w:pPr>
        <w:spacing w:line="283" w:lineRule="auto" w:before="0"/>
        <w:ind w:left="236" w:right="7250" w:firstLine="0"/>
        <w:jc w:val="left"/>
        <w:rPr>
          <w:rFonts w:ascii="宋体" w:hAnsi="宋体" w:cs="宋体" w:eastAsia="宋体" w:hint="default"/>
          <w:sz w:val="24"/>
          <w:szCs w:val="24"/>
        </w:rPr>
      </w:pPr>
      <w:r>
        <w:rPr>
          <w:rFonts w:ascii="宋体" w:hAnsi="宋体" w:cs="宋体" w:eastAsia="宋体" w:hint="default"/>
          <w:sz w:val="24"/>
          <w:szCs w:val="24"/>
        </w:rPr>
        <w:t>□适用 √不适用 </w:t>
      </w:r>
      <w:r>
        <w:rPr>
          <w:rFonts w:ascii="宋体" w:hAnsi="宋体" w:cs="宋体" w:eastAsia="宋体" w:hint="default"/>
          <w:b/>
          <w:bCs/>
          <w:sz w:val="24"/>
          <w:szCs w:val="24"/>
        </w:rPr>
        <w:t>固定资产</w:t>
      </w:r>
      <w:r>
        <w:rPr>
          <w:rFonts w:ascii="宋体" w:hAnsi="宋体" w:cs="宋体" w:eastAsia="宋体" w:hint="default"/>
          <w:b/>
          <w:bCs/>
          <w:w w:val="99"/>
          <w:sz w:val="24"/>
          <w:szCs w:val="24"/>
        </w:rPr>
        <w:t> </w:t>
      </w:r>
      <w:r>
        <w:rPr>
          <w:rFonts w:ascii="宋体" w:hAnsi="宋体" w:cs="宋体" w:eastAsia="宋体" w:hint="default"/>
          <w:sz w:val="24"/>
          <w:szCs w:val="24"/>
        </w:rPr>
        <w:t>固定资产情况</w:t>
      </w:r>
    </w:p>
    <w:p>
      <w:pPr>
        <w:pStyle w:val="BodyText"/>
        <w:spacing w:line="276" w:lineRule="exact"/>
        <w:ind w:left="236" w:right="4250"/>
        <w:jc w:val="left"/>
      </w:pPr>
      <w:r>
        <w:rPr/>
        <w:t>√适用</w:t>
      </w:r>
      <w:r>
        <w:rPr>
          <w:spacing w:val="-1"/>
        </w:rPr>
        <w:t> </w:t>
      </w:r>
      <w:r>
        <w:rPr>
          <w:rFonts w:ascii="Times New Roman" w:hAnsi="Times New Roman" w:cs="Times New Roman" w:eastAsia="Times New Roman" w:hint="default"/>
        </w:rPr>
        <w:t>□</w:t>
      </w:r>
      <w:r>
        <w:rPr/>
        <w:t>不适用</w:t>
      </w:r>
    </w:p>
    <w:p>
      <w:pPr>
        <w:pStyle w:val="BodyText"/>
        <w:tabs>
          <w:tab w:pos="1437" w:val="left" w:leader="none"/>
        </w:tabs>
        <w:spacing w:line="303" w:lineRule="exact"/>
        <w:ind w:left="236" w:right="4250"/>
        <w:jc w:val="left"/>
      </w:pPr>
      <w:r>
        <w:rPr/>
        <w:t>单位：元</w:t>
        <w:tab/>
        <w:t>币种：人民币</w:t>
      </w: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493"/>
        <w:gridCol w:w="1649"/>
        <w:gridCol w:w="1464"/>
        <w:gridCol w:w="1340"/>
        <w:gridCol w:w="1464"/>
        <w:gridCol w:w="1652"/>
      </w:tblGrid>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8" w:right="0"/>
              <w:jc w:val="left"/>
              <w:rPr>
                <w:rFonts w:ascii="宋体" w:hAnsi="宋体" w:cs="宋体" w:eastAsia="宋体" w:hint="default"/>
                <w:sz w:val="24"/>
                <w:szCs w:val="24"/>
              </w:rPr>
            </w:pPr>
            <w:r>
              <w:rPr>
                <w:rFonts w:ascii="宋体" w:hAnsi="宋体" w:cs="宋体" w:eastAsia="宋体" w:hint="default"/>
                <w:sz w:val="24"/>
                <w:szCs w:val="24"/>
              </w:rPr>
              <w:t>项目</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宋体" w:hAnsi="宋体" w:cs="宋体" w:eastAsia="宋体" w:hint="default"/>
                <w:sz w:val="24"/>
                <w:szCs w:val="24"/>
              </w:rPr>
            </w:pPr>
            <w:r>
              <w:rPr>
                <w:rFonts w:ascii="宋体" w:hAnsi="宋体" w:cs="宋体" w:eastAsia="宋体" w:hint="default"/>
                <w:sz w:val="24"/>
                <w:szCs w:val="24"/>
              </w:rPr>
              <w:t>房屋及建筑</w:t>
            </w:r>
          </w:p>
          <w:p>
            <w:pPr>
              <w:pStyle w:val="TableParagraph"/>
              <w:spacing w:line="313" w:lineRule="exact"/>
              <w:ind w:left="105" w:right="0"/>
              <w:jc w:val="left"/>
              <w:rPr>
                <w:rFonts w:ascii="宋体" w:hAnsi="宋体" w:cs="宋体" w:eastAsia="宋体" w:hint="default"/>
                <w:sz w:val="24"/>
                <w:szCs w:val="24"/>
              </w:rPr>
            </w:pPr>
            <w:r>
              <w:rPr>
                <w:rFonts w:ascii="宋体" w:hAnsi="宋体" w:cs="宋体" w:eastAsia="宋体" w:hint="default"/>
                <w:sz w:val="24"/>
                <w:szCs w:val="24"/>
              </w:rPr>
              <w:t>物</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5" w:right="0"/>
              <w:jc w:val="left"/>
              <w:rPr>
                <w:rFonts w:ascii="宋体" w:hAnsi="宋体" w:cs="宋体" w:eastAsia="宋体" w:hint="default"/>
                <w:sz w:val="24"/>
                <w:szCs w:val="24"/>
              </w:rPr>
            </w:pPr>
            <w:r>
              <w:rPr>
                <w:rFonts w:ascii="宋体" w:hAnsi="宋体" w:cs="宋体" w:eastAsia="宋体" w:hint="default"/>
                <w:sz w:val="24"/>
                <w:szCs w:val="24"/>
              </w:rPr>
              <w:t>机器设备</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5" w:right="0"/>
              <w:jc w:val="left"/>
              <w:rPr>
                <w:rFonts w:ascii="宋体" w:hAnsi="宋体" w:cs="宋体" w:eastAsia="宋体" w:hint="default"/>
                <w:sz w:val="24"/>
                <w:szCs w:val="24"/>
              </w:rPr>
            </w:pPr>
            <w:r>
              <w:rPr>
                <w:rFonts w:ascii="宋体" w:hAnsi="宋体" w:cs="宋体" w:eastAsia="宋体" w:hint="default"/>
                <w:sz w:val="24"/>
                <w:szCs w:val="24"/>
              </w:rPr>
              <w:t>运输工具</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7" w:right="0"/>
              <w:jc w:val="left"/>
              <w:rPr>
                <w:rFonts w:ascii="宋体" w:hAnsi="宋体" w:cs="宋体" w:eastAsia="宋体" w:hint="default"/>
                <w:sz w:val="24"/>
                <w:szCs w:val="24"/>
              </w:rPr>
            </w:pPr>
            <w:r>
              <w:rPr>
                <w:rFonts w:ascii="宋体" w:hAnsi="宋体" w:cs="宋体" w:eastAsia="宋体" w:hint="default"/>
                <w:sz w:val="24"/>
                <w:szCs w:val="24"/>
              </w:rPr>
              <w:t>其他设备</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8" w:right="0"/>
              <w:jc w:val="left"/>
              <w:rPr>
                <w:rFonts w:ascii="宋体" w:hAnsi="宋体" w:cs="宋体" w:eastAsia="宋体" w:hint="default"/>
                <w:sz w:val="24"/>
                <w:szCs w:val="24"/>
              </w:rPr>
            </w:pPr>
            <w:r>
              <w:rPr>
                <w:rFonts w:ascii="宋体" w:hAnsi="宋体" w:cs="宋体" w:eastAsia="宋体" w:hint="default"/>
                <w:sz w:val="24"/>
                <w:szCs w:val="24"/>
              </w:rPr>
              <w:t>合计</w:t>
            </w:r>
          </w:p>
        </w:tc>
      </w:tr>
      <w:tr>
        <w:trPr>
          <w:trHeight w:val="631"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8" w:right="0"/>
              <w:jc w:val="left"/>
              <w:rPr>
                <w:rFonts w:ascii="宋体" w:hAnsi="宋体" w:cs="宋体" w:eastAsia="宋体" w:hint="default"/>
                <w:sz w:val="24"/>
                <w:szCs w:val="24"/>
              </w:rPr>
            </w:pPr>
            <w:r>
              <w:rPr>
                <w:rFonts w:ascii="宋体" w:hAnsi="宋体" w:cs="宋体" w:eastAsia="宋体" w:hint="default"/>
                <w:sz w:val="24"/>
                <w:szCs w:val="24"/>
              </w:rPr>
              <w:t>一、账面原</w:t>
            </w:r>
          </w:p>
          <w:p>
            <w:pPr>
              <w:pStyle w:val="TableParagraph"/>
              <w:spacing w:line="313" w:lineRule="exact"/>
              <w:ind w:left="108" w:right="0"/>
              <w:jc w:val="left"/>
              <w:rPr>
                <w:rFonts w:ascii="宋体" w:hAnsi="宋体" w:cs="宋体" w:eastAsia="宋体" w:hint="default"/>
                <w:sz w:val="24"/>
                <w:szCs w:val="24"/>
              </w:rPr>
            </w:pPr>
            <w:r>
              <w:rPr>
                <w:rFonts w:ascii="宋体" w:hAnsi="宋体" w:cs="宋体" w:eastAsia="宋体" w:hint="default"/>
                <w:sz w:val="24"/>
                <w:szCs w:val="24"/>
              </w:rPr>
              <w:t>值：</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期初余额</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8" w:right="0"/>
              <w:jc w:val="left"/>
              <w:rPr>
                <w:rFonts w:ascii="Times New Roman" w:hAnsi="Times New Roman" w:cs="Times New Roman" w:eastAsia="Times New Roman" w:hint="default"/>
                <w:sz w:val="24"/>
                <w:szCs w:val="24"/>
              </w:rPr>
            </w:pPr>
            <w:r>
              <w:rPr>
                <w:rFonts w:ascii="Times New Roman"/>
                <w:sz w:val="24"/>
              </w:rPr>
              <w:t>2,166,332,759</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3" w:right="0"/>
              <w:jc w:val="left"/>
              <w:rPr>
                <w:rFonts w:ascii="Times New Roman" w:hAnsi="Times New Roman" w:cs="Times New Roman" w:eastAsia="Times New Roman" w:hint="default"/>
                <w:sz w:val="24"/>
                <w:szCs w:val="24"/>
              </w:rPr>
            </w:pPr>
            <w:r>
              <w:rPr>
                <w:rFonts w:ascii="Times New Roman"/>
                <w:sz w:val="24"/>
              </w:rPr>
              <w:t>169,371,906</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1" w:right="0"/>
              <w:jc w:val="left"/>
              <w:rPr>
                <w:rFonts w:ascii="Times New Roman" w:hAnsi="Times New Roman" w:cs="Times New Roman" w:eastAsia="Times New Roman" w:hint="default"/>
                <w:sz w:val="24"/>
                <w:szCs w:val="24"/>
              </w:rPr>
            </w:pPr>
            <w:r>
              <w:rPr>
                <w:rFonts w:ascii="Times New Roman"/>
                <w:sz w:val="24"/>
              </w:rPr>
              <w:t>45,248,457</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6" w:right="0"/>
              <w:jc w:val="left"/>
              <w:rPr>
                <w:rFonts w:ascii="Times New Roman" w:hAnsi="Times New Roman" w:cs="Times New Roman" w:eastAsia="Times New Roman" w:hint="default"/>
                <w:sz w:val="24"/>
                <w:szCs w:val="24"/>
              </w:rPr>
            </w:pPr>
            <w:r>
              <w:rPr>
                <w:rFonts w:ascii="Times New Roman"/>
                <w:sz w:val="24"/>
              </w:rPr>
              <w:t>324,175,557</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51" w:right="0"/>
              <w:jc w:val="left"/>
              <w:rPr>
                <w:rFonts w:ascii="Times New Roman" w:hAnsi="Times New Roman" w:cs="Times New Roman" w:eastAsia="Times New Roman" w:hint="default"/>
                <w:sz w:val="24"/>
                <w:szCs w:val="24"/>
              </w:rPr>
            </w:pPr>
            <w:r>
              <w:rPr>
                <w:rFonts w:ascii="Times New Roman"/>
                <w:sz w:val="24"/>
              </w:rPr>
              <w:t>2,705,128,679</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本期增加</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328" w:right="0"/>
              <w:jc w:val="left"/>
              <w:rPr>
                <w:rFonts w:ascii="Times New Roman" w:hAnsi="Times New Roman" w:cs="Times New Roman" w:eastAsia="Times New Roman" w:hint="default"/>
                <w:sz w:val="24"/>
                <w:szCs w:val="24"/>
              </w:rPr>
            </w:pPr>
            <w:r>
              <w:rPr>
                <w:rFonts w:ascii="Times New Roman"/>
                <w:sz w:val="24"/>
              </w:rPr>
              <w:t>540,383,614</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right="108"/>
              <w:jc w:val="right"/>
              <w:rPr>
                <w:rFonts w:ascii="Times New Roman" w:hAnsi="Times New Roman" w:cs="Times New Roman" w:eastAsia="Times New Roman" w:hint="default"/>
                <w:sz w:val="24"/>
                <w:szCs w:val="24"/>
              </w:rPr>
            </w:pPr>
            <w:r>
              <w:rPr>
                <w:rFonts w:ascii="Times New Roman"/>
                <w:sz w:val="24"/>
              </w:rPr>
              <w:t>4,036,495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261" w:right="0"/>
              <w:jc w:val="left"/>
              <w:rPr>
                <w:rFonts w:ascii="Times New Roman" w:hAnsi="Times New Roman" w:cs="Times New Roman" w:eastAsia="Times New Roman" w:hint="default"/>
                <w:sz w:val="24"/>
                <w:szCs w:val="24"/>
              </w:rPr>
            </w:pPr>
            <w:r>
              <w:rPr>
                <w:rFonts w:ascii="Times New Roman"/>
                <w:sz w:val="24"/>
              </w:rPr>
              <w:t>3,052,400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266" w:right="0"/>
              <w:jc w:val="left"/>
              <w:rPr>
                <w:rFonts w:ascii="Times New Roman" w:hAnsi="Times New Roman" w:cs="Times New Roman" w:eastAsia="Times New Roman" w:hint="default"/>
                <w:sz w:val="24"/>
                <w:szCs w:val="24"/>
              </w:rPr>
            </w:pPr>
            <w:r>
              <w:rPr>
                <w:rFonts w:ascii="Times New Roman"/>
                <w:sz w:val="24"/>
              </w:rPr>
              <w:t>47,406,876</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331" w:right="0"/>
              <w:jc w:val="left"/>
              <w:rPr>
                <w:rFonts w:ascii="Times New Roman" w:hAnsi="Times New Roman" w:cs="Times New Roman" w:eastAsia="Times New Roman" w:hint="default"/>
                <w:sz w:val="24"/>
                <w:szCs w:val="24"/>
              </w:rPr>
            </w:pPr>
            <w:r>
              <w:rPr>
                <w:rFonts w:ascii="Times New Roman"/>
                <w:sz w:val="24"/>
              </w:rPr>
              <w:t>594,879,385</w:t>
            </w:r>
          </w:p>
        </w:tc>
      </w:tr>
      <w:tr>
        <w:trPr>
          <w:trHeight w:val="319"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）购置</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68" w:right="0"/>
              <w:jc w:val="left"/>
              <w:rPr>
                <w:rFonts w:ascii="Times New Roman" w:hAnsi="Times New Roman" w:cs="Times New Roman" w:eastAsia="Times New Roman" w:hint="default"/>
                <w:sz w:val="24"/>
                <w:szCs w:val="24"/>
              </w:rPr>
            </w:pPr>
            <w:r>
              <w:rPr>
                <w:rFonts w:ascii="Times New Roman"/>
                <w:sz w:val="24"/>
              </w:rPr>
              <w:t>3,692,836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Times New Roman" w:hAnsi="Times New Roman" w:cs="Times New Roman" w:eastAsia="Times New Roman" w:hint="default"/>
                <w:sz w:val="24"/>
                <w:szCs w:val="24"/>
              </w:rPr>
            </w:pPr>
            <w:r>
              <w:rPr>
                <w:rFonts w:ascii="Times New Roman"/>
                <w:sz w:val="24"/>
              </w:rPr>
              <w:t>3,031,695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1" w:right="0"/>
              <w:jc w:val="left"/>
              <w:rPr>
                <w:rFonts w:ascii="Times New Roman" w:hAnsi="Times New Roman" w:cs="Times New Roman" w:eastAsia="Times New Roman" w:hint="default"/>
                <w:sz w:val="24"/>
                <w:szCs w:val="24"/>
              </w:rPr>
            </w:pPr>
            <w:r>
              <w:rPr>
                <w:rFonts w:ascii="Times New Roman"/>
                <w:sz w:val="24"/>
              </w:rPr>
              <w:t>3,052,400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6" w:right="0"/>
              <w:jc w:val="left"/>
              <w:rPr>
                <w:rFonts w:ascii="Times New Roman" w:hAnsi="Times New Roman" w:cs="Times New Roman" w:eastAsia="Times New Roman" w:hint="default"/>
                <w:sz w:val="24"/>
                <w:szCs w:val="24"/>
              </w:rPr>
            </w:pPr>
            <w:r>
              <w:rPr>
                <w:rFonts w:ascii="Times New Roman"/>
                <w:sz w:val="24"/>
              </w:rPr>
              <w:t>42,431,815</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51" w:right="0"/>
              <w:jc w:val="left"/>
              <w:rPr>
                <w:rFonts w:ascii="Times New Roman" w:hAnsi="Times New Roman" w:cs="Times New Roman" w:eastAsia="Times New Roman" w:hint="default"/>
                <w:sz w:val="24"/>
                <w:szCs w:val="24"/>
              </w:rPr>
            </w:pPr>
            <w:r>
              <w:rPr>
                <w:rFonts w:ascii="Times New Roman"/>
                <w:sz w:val="24"/>
              </w:rPr>
              <w:t>52,208,746</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8" w:right="0"/>
              <w:jc w:val="left"/>
              <w:rPr>
                <w:rFonts w:ascii="宋体" w:hAnsi="宋体" w:cs="宋体" w:eastAsia="宋体" w:hint="default"/>
                <w:sz w:val="24"/>
                <w:szCs w:val="24"/>
              </w:rPr>
            </w:pPr>
            <w:r>
              <w:rPr>
                <w:rFonts w:ascii="宋体" w:hAnsi="宋体" w:cs="宋体" w:eastAsia="宋体" w:hint="default"/>
                <w:spacing w:val="-10"/>
                <w:sz w:val="24"/>
                <w:szCs w:val="24"/>
              </w:rPr>
              <w:t>（</w:t>
            </w:r>
            <w:r>
              <w:rPr>
                <w:rFonts w:ascii="Times New Roman" w:hAnsi="Times New Roman" w:cs="Times New Roman" w:eastAsia="Times New Roman" w:hint="default"/>
                <w:spacing w:val="-10"/>
                <w:sz w:val="24"/>
                <w:szCs w:val="24"/>
              </w:rPr>
              <w:t>2</w:t>
            </w:r>
            <w:r>
              <w:rPr>
                <w:rFonts w:ascii="宋体" w:hAnsi="宋体" w:cs="宋体" w:eastAsia="宋体" w:hint="default"/>
                <w:spacing w:val="-10"/>
                <w:sz w:val="24"/>
                <w:szCs w:val="24"/>
              </w:rPr>
              <w:t>）在建工</w:t>
            </w:r>
          </w:p>
          <w:p>
            <w:pPr>
              <w:pStyle w:val="TableParagraph"/>
              <w:spacing w:line="303" w:lineRule="exact"/>
              <w:ind w:left="108" w:right="0"/>
              <w:jc w:val="left"/>
              <w:rPr>
                <w:rFonts w:ascii="宋体" w:hAnsi="宋体" w:cs="宋体" w:eastAsia="宋体" w:hint="default"/>
                <w:sz w:val="24"/>
                <w:szCs w:val="24"/>
              </w:rPr>
            </w:pPr>
            <w:r>
              <w:rPr>
                <w:rFonts w:ascii="宋体" w:hAnsi="宋体" w:cs="宋体" w:eastAsia="宋体" w:hint="default"/>
                <w:sz w:val="24"/>
                <w:szCs w:val="24"/>
              </w:rPr>
              <w:t>程转入</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28" w:right="0"/>
              <w:jc w:val="left"/>
              <w:rPr>
                <w:rFonts w:ascii="Times New Roman" w:hAnsi="Times New Roman" w:cs="Times New Roman" w:eastAsia="Times New Roman" w:hint="default"/>
                <w:sz w:val="24"/>
                <w:szCs w:val="24"/>
              </w:rPr>
            </w:pPr>
            <w:r>
              <w:rPr>
                <w:rFonts w:ascii="Times New Roman"/>
                <w:sz w:val="24"/>
              </w:rPr>
              <w:t>536,690,778</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8"/>
              <w:jc w:val="right"/>
              <w:rPr>
                <w:rFonts w:ascii="Times New Roman" w:hAnsi="Times New Roman" w:cs="Times New Roman" w:eastAsia="Times New Roman" w:hint="default"/>
                <w:sz w:val="24"/>
                <w:szCs w:val="24"/>
              </w:rPr>
            </w:pPr>
            <w:r>
              <w:rPr>
                <w:rFonts w:ascii="Times New Roman"/>
                <w:sz w:val="24"/>
              </w:rPr>
              <w:t>1,004,800</w:t>
            </w: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7"/>
              <w:jc w:val="right"/>
              <w:rPr>
                <w:rFonts w:ascii="Times New Roman" w:hAnsi="Times New Roman" w:cs="Times New Roman" w:eastAsia="Times New Roman" w:hint="default"/>
                <w:sz w:val="24"/>
                <w:szCs w:val="24"/>
              </w:rPr>
            </w:pPr>
            <w:r>
              <w:rPr>
                <w:rFonts w:ascii="Times New Roman"/>
                <w:sz w:val="24"/>
              </w:rPr>
              <w:t>4,975,061</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31" w:right="0"/>
              <w:jc w:val="left"/>
              <w:rPr>
                <w:rFonts w:ascii="Times New Roman" w:hAnsi="Times New Roman" w:cs="Times New Roman" w:eastAsia="Times New Roman" w:hint="default"/>
                <w:sz w:val="24"/>
                <w:szCs w:val="24"/>
              </w:rPr>
            </w:pPr>
            <w:r>
              <w:rPr>
                <w:rFonts w:ascii="Times New Roman"/>
                <w:sz w:val="24"/>
              </w:rPr>
              <w:t>542,670,639</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宋体" w:hAnsi="宋体" w:cs="宋体" w:eastAsia="宋体" w:hint="default"/>
                <w:spacing w:val="-10"/>
                <w:sz w:val="24"/>
                <w:szCs w:val="24"/>
              </w:rPr>
              <w:t>（</w:t>
            </w:r>
            <w:r>
              <w:rPr>
                <w:rFonts w:ascii="Times New Roman" w:hAnsi="Times New Roman" w:cs="Times New Roman" w:eastAsia="Times New Roman" w:hint="default"/>
                <w:spacing w:val="-10"/>
                <w:sz w:val="24"/>
                <w:szCs w:val="24"/>
              </w:rPr>
              <w:t>3</w:t>
            </w:r>
            <w:r>
              <w:rPr>
                <w:rFonts w:ascii="宋体" w:hAnsi="宋体" w:cs="宋体" w:eastAsia="宋体" w:hint="default"/>
                <w:spacing w:val="-10"/>
                <w:sz w:val="24"/>
                <w:szCs w:val="24"/>
              </w:rPr>
              <w:t>）企业合</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并增加</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8" w:right="0"/>
              <w:jc w:val="left"/>
              <w:rPr>
                <w:rFonts w:ascii="宋体" w:hAnsi="宋体" w:cs="宋体" w:eastAsia="宋体" w:hint="default"/>
                <w:sz w:val="24"/>
                <w:szCs w:val="24"/>
              </w:rPr>
            </w:pPr>
            <w:r>
              <w:rPr>
                <w:rFonts w:ascii="宋体"/>
                <w:sz w:val="24"/>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3"/>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3"/>
              <w:jc w:val="right"/>
              <w:rPr>
                <w:rFonts w:ascii="宋体" w:hAnsi="宋体" w:cs="宋体" w:eastAsia="宋体" w:hint="default"/>
                <w:sz w:val="24"/>
                <w:szCs w:val="24"/>
              </w:rPr>
            </w:pPr>
            <w:r>
              <w:rPr>
                <w:rFonts w:ascii="宋体"/>
                <w:sz w:val="24"/>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r>
      <w:tr>
        <w:trPr>
          <w:trHeight w:val="286"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8" w:right="0"/>
              <w:jc w:val="left"/>
              <w:rPr>
                <w:rFonts w:ascii="宋体" w:hAnsi="宋体" w:cs="宋体" w:eastAsia="宋体" w:hint="default"/>
                <w:sz w:val="24"/>
                <w:szCs w:val="24"/>
              </w:rPr>
            </w:pPr>
            <w:r>
              <w:rPr>
                <w:rFonts w:ascii="宋体"/>
                <w:sz w:val="24"/>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r>
      <w:tr>
        <w:trPr>
          <w:trHeight w:val="631"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本期减少</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448" w:right="0"/>
              <w:jc w:val="left"/>
              <w:rPr>
                <w:rFonts w:ascii="Times New Roman" w:hAnsi="Times New Roman" w:cs="Times New Roman" w:eastAsia="Times New Roman" w:hint="default"/>
                <w:sz w:val="24"/>
                <w:szCs w:val="24"/>
              </w:rPr>
            </w:pPr>
            <w:r>
              <w:rPr>
                <w:rFonts w:ascii="Times New Roman"/>
                <w:sz w:val="24"/>
              </w:rPr>
              <w:t>43,337,730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8"/>
              <w:jc w:val="right"/>
              <w:rPr>
                <w:rFonts w:ascii="Times New Roman" w:hAnsi="Times New Roman" w:cs="Times New Roman" w:eastAsia="Times New Roman" w:hint="default"/>
                <w:sz w:val="24"/>
                <w:szCs w:val="24"/>
              </w:rPr>
            </w:pPr>
            <w:r>
              <w:rPr>
                <w:rFonts w:ascii="Times New Roman"/>
                <w:sz w:val="24"/>
              </w:rPr>
              <w:t>1,320,000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61" w:right="0"/>
              <w:jc w:val="left"/>
              <w:rPr>
                <w:rFonts w:ascii="Times New Roman" w:hAnsi="Times New Roman" w:cs="Times New Roman" w:eastAsia="Times New Roman" w:hint="default"/>
                <w:sz w:val="24"/>
                <w:szCs w:val="24"/>
              </w:rPr>
            </w:pPr>
            <w:r>
              <w:rPr>
                <w:rFonts w:ascii="Times New Roman"/>
                <w:sz w:val="24"/>
              </w:rPr>
              <w:t>5,719,800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66" w:right="0"/>
              <w:jc w:val="left"/>
              <w:rPr>
                <w:rFonts w:ascii="Times New Roman" w:hAnsi="Times New Roman" w:cs="Times New Roman" w:eastAsia="Times New Roman" w:hint="default"/>
                <w:sz w:val="24"/>
                <w:szCs w:val="24"/>
              </w:rPr>
            </w:pPr>
            <w:r>
              <w:rPr>
                <w:rFonts w:ascii="Times New Roman"/>
                <w:sz w:val="24"/>
              </w:rPr>
              <w:t>26,944,118</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451" w:right="0"/>
              <w:jc w:val="left"/>
              <w:rPr>
                <w:rFonts w:ascii="Times New Roman" w:hAnsi="Times New Roman" w:cs="Times New Roman" w:eastAsia="Times New Roman" w:hint="default"/>
                <w:sz w:val="24"/>
                <w:szCs w:val="24"/>
              </w:rPr>
            </w:pPr>
            <w:r>
              <w:rPr>
                <w:rFonts w:ascii="Times New Roman"/>
                <w:sz w:val="24"/>
              </w:rPr>
              <w:t>77,321,648</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8" w:right="0"/>
              <w:jc w:val="left"/>
              <w:rPr>
                <w:rFonts w:ascii="宋体" w:hAnsi="宋体" w:cs="宋体" w:eastAsia="宋体" w:hint="default"/>
                <w:sz w:val="24"/>
                <w:szCs w:val="24"/>
              </w:rPr>
            </w:pPr>
            <w:r>
              <w:rPr>
                <w:rFonts w:ascii="宋体" w:hAnsi="宋体" w:cs="宋体" w:eastAsia="宋体" w:hint="default"/>
                <w:spacing w:val="-10"/>
                <w:sz w:val="24"/>
                <w:szCs w:val="24"/>
              </w:rPr>
              <w:t>（</w:t>
            </w:r>
            <w:r>
              <w:rPr>
                <w:rFonts w:ascii="Times New Roman" w:hAnsi="Times New Roman" w:cs="Times New Roman" w:eastAsia="Times New Roman" w:hint="default"/>
                <w:spacing w:val="-10"/>
                <w:sz w:val="24"/>
                <w:szCs w:val="24"/>
              </w:rPr>
              <w:t>1</w:t>
            </w:r>
            <w:r>
              <w:rPr>
                <w:rFonts w:ascii="宋体" w:hAnsi="宋体" w:cs="宋体" w:eastAsia="宋体" w:hint="default"/>
                <w:spacing w:val="-10"/>
                <w:sz w:val="24"/>
                <w:szCs w:val="24"/>
              </w:rPr>
              <w:t>）处置或</w:t>
            </w:r>
          </w:p>
          <w:p>
            <w:pPr>
              <w:pStyle w:val="TableParagraph"/>
              <w:spacing w:line="303" w:lineRule="exact"/>
              <w:ind w:left="108" w:right="0"/>
              <w:jc w:val="left"/>
              <w:rPr>
                <w:rFonts w:ascii="宋体" w:hAnsi="宋体" w:cs="宋体" w:eastAsia="宋体" w:hint="default"/>
                <w:sz w:val="24"/>
                <w:szCs w:val="24"/>
              </w:rPr>
            </w:pPr>
            <w:r>
              <w:rPr>
                <w:rFonts w:ascii="宋体" w:hAnsi="宋体" w:cs="宋体" w:eastAsia="宋体" w:hint="default"/>
                <w:sz w:val="24"/>
                <w:szCs w:val="24"/>
              </w:rPr>
              <w:t>报废</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8"/>
              <w:jc w:val="right"/>
              <w:rPr>
                <w:rFonts w:ascii="Times New Roman" w:hAnsi="Times New Roman" w:cs="Times New Roman" w:eastAsia="Times New Roman" w:hint="default"/>
                <w:sz w:val="24"/>
                <w:szCs w:val="24"/>
              </w:rPr>
            </w:pPr>
            <w:r>
              <w:rPr>
                <w:rFonts w:ascii="Times New Roman"/>
                <w:sz w:val="24"/>
              </w:rPr>
              <w:t>1,320,000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61" w:right="0"/>
              <w:jc w:val="left"/>
              <w:rPr>
                <w:rFonts w:ascii="Times New Roman" w:hAnsi="Times New Roman" w:cs="Times New Roman" w:eastAsia="Times New Roman" w:hint="default"/>
                <w:sz w:val="24"/>
                <w:szCs w:val="24"/>
              </w:rPr>
            </w:pPr>
            <w:r>
              <w:rPr>
                <w:rFonts w:ascii="Times New Roman"/>
                <w:sz w:val="24"/>
              </w:rPr>
              <w:t>5,472,300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66" w:right="0"/>
              <w:jc w:val="left"/>
              <w:rPr>
                <w:rFonts w:ascii="Times New Roman" w:hAnsi="Times New Roman" w:cs="Times New Roman" w:eastAsia="Times New Roman" w:hint="default"/>
                <w:sz w:val="24"/>
                <w:szCs w:val="24"/>
              </w:rPr>
            </w:pPr>
            <w:r>
              <w:rPr>
                <w:rFonts w:ascii="Times New Roman"/>
                <w:sz w:val="24"/>
              </w:rPr>
              <w:t>26,944,118</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451" w:right="0"/>
              <w:jc w:val="left"/>
              <w:rPr>
                <w:rFonts w:ascii="Times New Roman" w:hAnsi="Times New Roman" w:cs="Times New Roman" w:eastAsia="Times New Roman" w:hint="default"/>
                <w:sz w:val="24"/>
                <w:szCs w:val="24"/>
              </w:rPr>
            </w:pPr>
            <w:r>
              <w:rPr>
                <w:rFonts w:ascii="Times New Roman"/>
                <w:sz w:val="24"/>
              </w:rPr>
              <w:t>33,736,418</w:t>
            </w:r>
          </w:p>
        </w:tc>
      </w:tr>
      <w:tr>
        <w:trPr>
          <w:trHeight w:val="631"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宋体" w:hAnsi="宋体" w:cs="宋体" w:eastAsia="宋体" w:hint="default"/>
                <w:spacing w:val="-9"/>
                <w:sz w:val="24"/>
                <w:szCs w:val="24"/>
              </w:rPr>
              <w:t>（</w:t>
            </w:r>
            <w:r>
              <w:rPr>
                <w:rFonts w:ascii="Times New Roman" w:hAnsi="Times New Roman" w:cs="Times New Roman" w:eastAsia="Times New Roman" w:hint="default"/>
                <w:spacing w:val="-9"/>
                <w:sz w:val="24"/>
                <w:szCs w:val="24"/>
              </w:rPr>
              <w:t>2</w:t>
            </w:r>
            <w:r>
              <w:rPr>
                <w:rFonts w:ascii="宋体" w:hAnsi="宋体" w:cs="宋体" w:eastAsia="宋体" w:hint="default"/>
                <w:spacing w:val="-9"/>
                <w:sz w:val="24"/>
                <w:szCs w:val="24"/>
              </w:rPr>
              <w:t>））处置</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子公司</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
              <w:jc w:val="right"/>
              <w:rPr>
                <w:rFonts w:ascii="宋体" w:hAnsi="宋体" w:cs="宋体" w:eastAsia="宋体" w:hint="default"/>
                <w:sz w:val="24"/>
                <w:szCs w:val="24"/>
              </w:rPr>
            </w:pPr>
            <w:r>
              <w:rPr>
                <w:rFonts w:ascii="宋体"/>
                <w:sz w:val="24"/>
              </w:rPr>
              <w:t> </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441" w:right="0"/>
              <w:jc w:val="left"/>
              <w:rPr>
                <w:rFonts w:ascii="Times New Roman" w:hAnsi="Times New Roman" w:cs="Times New Roman" w:eastAsia="Times New Roman" w:hint="default"/>
                <w:sz w:val="24"/>
                <w:szCs w:val="24"/>
              </w:rPr>
            </w:pPr>
            <w:r>
              <w:rPr>
                <w:rFonts w:ascii="Times New Roman"/>
                <w:sz w:val="24"/>
              </w:rPr>
              <w:t>247,500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3"/>
              <w:jc w:val="right"/>
              <w:rPr>
                <w:rFonts w:ascii="宋体" w:hAnsi="宋体" w:cs="宋体" w:eastAsia="宋体" w:hint="default"/>
                <w:sz w:val="24"/>
                <w:szCs w:val="24"/>
              </w:rPr>
            </w:pPr>
            <w:r>
              <w:rPr>
                <w:rFonts w:ascii="宋体"/>
                <w:sz w:val="24"/>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751" w:right="0"/>
              <w:jc w:val="left"/>
              <w:rPr>
                <w:rFonts w:ascii="Times New Roman" w:hAnsi="Times New Roman" w:cs="Times New Roman" w:eastAsia="Times New Roman" w:hint="default"/>
                <w:sz w:val="24"/>
                <w:szCs w:val="24"/>
              </w:rPr>
            </w:pPr>
            <w:r>
              <w:rPr>
                <w:rFonts w:ascii="Times New Roman"/>
                <w:sz w:val="24"/>
              </w:rPr>
              <w:t>247,500</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8" w:right="0"/>
              <w:jc w:val="left"/>
              <w:rPr>
                <w:rFonts w:ascii="宋体" w:hAnsi="宋体" w:cs="宋体" w:eastAsia="宋体" w:hint="default"/>
                <w:sz w:val="24"/>
                <w:szCs w:val="24"/>
              </w:rPr>
            </w:pPr>
            <w:r>
              <w:rPr>
                <w:rFonts w:ascii="宋体" w:hAnsi="宋体" w:cs="宋体" w:eastAsia="宋体" w:hint="default"/>
                <w:spacing w:val="-10"/>
                <w:sz w:val="24"/>
                <w:szCs w:val="24"/>
              </w:rPr>
              <w:t>（</w:t>
            </w:r>
            <w:r>
              <w:rPr>
                <w:rFonts w:ascii="Times New Roman" w:hAnsi="Times New Roman" w:cs="Times New Roman" w:eastAsia="Times New Roman" w:hint="default"/>
                <w:spacing w:val="-10"/>
                <w:sz w:val="24"/>
                <w:szCs w:val="24"/>
              </w:rPr>
              <w:t>3</w:t>
            </w:r>
            <w:r>
              <w:rPr>
                <w:rFonts w:ascii="宋体" w:hAnsi="宋体" w:cs="宋体" w:eastAsia="宋体" w:hint="default"/>
                <w:spacing w:val="-10"/>
                <w:sz w:val="24"/>
                <w:szCs w:val="24"/>
              </w:rPr>
              <w:t>）划分为</w:t>
            </w:r>
          </w:p>
          <w:p>
            <w:pPr>
              <w:pStyle w:val="TableParagraph"/>
              <w:spacing w:line="303" w:lineRule="exact"/>
              <w:ind w:left="108" w:right="0"/>
              <w:jc w:val="left"/>
              <w:rPr>
                <w:rFonts w:ascii="宋体" w:hAnsi="宋体" w:cs="宋体" w:eastAsia="宋体" w:hint="default"/>
                <w:sz w:val="24"/>
                <w:szCs w:val="24"/>
              </w:rPr>
            </w:pPr>
            <w:r>
              <w:rPr>
                <w:rFonts w:ascii="宋体" w:hAnsi="宋体" w:cs="宋体" w:eastAsia="宋体" w:hint="default"/>
                <w:sz w:val="24"/>
                <w:szCs w:val="24"/>
              </w:rPr>
              <w:t>持有待售</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448" w:right="0"/>
              <w:jc w:val="left"/>
              <w:rPr>
                <w:rFonts w:ascii="Times New Roman" w:hAnsi="Times New Roman" w:cs="Times New Roman" w:eastAsia="Times New Roman" w:hint="default"/>
                <w:sz w:val="24"/>
                <w:szCs w:val="24"/>
              </w:rPr>
            </w:pPr>
            <w:r>
              <w:rPr>
                <w:rFonts w:ascii="Times New Roman"/>
                <w:sz w:val="24"/>
              </w:rPr>
              <w:t>43,337,730</w:t>
            </w: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451" w:right="0"/>
              <w:jc w:val="left"/>
              <w:rPr>
                <w:rFonts w:ascii="Times New Roman" w:hAnsi="Times New Roman" w:cs="Times New Roman" w:eastAsia="Times New Roman" w:hint="default"/>
                <w:sz w:val="24"/>
                <w:szCs w:val="24"/>
              </w:rPr>
            </w:pPr>
            <w:r>
              <w:rPr>
                <w:rFonts w:ascii="Times New Roman"/>
                <w:sz w:val="24"/>
              </w:rPr>
              <w:t>43,337,730</w:t>
            </w:r>
          </w:p>
        </w:tc>
      </w:tr>
      <w:tr>
        <w:trPr>
          <w:trHeight w:val="322"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w:t>
            </w:r>
            <w:r>
              <w:rPr>
                <w:rFonts w:ascii="宋体" w:hAnsi="宋体" w:cs="宋体" w:eastAsia="宋体" w:hint="default"/>
                <w:sz w:val="24"/>
                <w:szCs w:val="24"/>
              </w:rPr>
              <w:t>期末余额</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8" w:right="0"/>
              <w:jc w:val="left"/>
              <w:rPr>
                <w:rFonts w:ascii="Times New Roman" w:hAnsi="Times New Roman" w:cs="Times New Roman" w:eastAsia="Times New Roman" w:hint="default"/>
                <w:sz w:val="24"/>
                <w:szCs w:val="24"/>
              </w:rPr>
            </w:pPr>
            <w:r>
              <w:rPr>
                <w:rFonts w:ascii="Times New Roman"/>
                <w:sz w:val="24"/>
              </w:rPr>
              <w:t>2,663,378,643</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3" w:right="0"/>
              <w:jc w:val="left"/>
              <w:rPr>
                <w:rFonts w:ascii="Times New Roman" w:hAnsi="Times New Roman" w:cs="Times New Roman" w:eastAsia="Times New Roman" w:hint="default"/>
                <w:sz w:val="24"/>
                <w:szCs w:val="24"/>
              </w:rPr>
            </w:pPr>
            <w:r>
              <w:rPr>
                <w:rFonts w:ascii="Times New Roman"/>
                <w:sz w:val="24"/>
              </w:rPr>
              <w:t>172,088,401</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1" w:right="0"/>
              <w:jc w:val="left"/>
              <w:rPr>
                <w:rFonts w:ascii="Times New Roman" w:hAnsi="Times New Roman" w:cs="Times New Roman" w:eastAsia="Times New Roman" w:hint="default"/>
                <w:sz w:val="24"/>
                <w:szCs w:val="24"/>
              </w:rPr>
            </w:pPr>
            <w:r>
              <w:rPr>
                <w:rFonts w:ascii="Times New Roman"/>
                <w:sz w:val="24"/>
              </w:rPr>
              <w:t>42,581,057</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6" w:right="0"/>
              <w:jc w:val="left"/>
              <w:rPr>
                <w:rFonts w:ascii="Times New Roman" w:hAnsi="Times New Roman" w:cs="Times New Roman" w:eastAsia="Times New Roman" w:hint="default"/>
                <w:sz w:val="24"/>
                <w:szCs w:val="24"/>
              </w:rPr>
            </w:pPr>
            <w:r>
              <w:rPr>
                <w:rFonts w:ascii="Times New Roman"/>
                <w:sz w:val="24"/>
              </w:rPr>
              <w:t>344,638,315</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51" w:right="0"/>
              <w:jc w:val="left"/>
              <w:rPr>
                <w:rFonts w:ascii="Times New Roman" w:hAnsi="Times New Roman" w:cs="Times New Roman" w:eastAsia="Times New Roman" w:hint="default"/>
                <w:sz w:val="24"/>
                <w:szCs w:val="24"/>
              </w:rPr>
            </w:pPr>
            <w:r>
              <w:rPr>
                <w:rFonts w:ascii="Times New Roman"/>
                <w:sz w:val="24"/>
              </w:rPr>
              <w:t>3,222,686,416</w:t>
            </w:r>
          </w:p>
        </w:tc>
      </w:tr>
      <w:tr>
        <w:trPr>
          <w:trHeight w:val="631"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8" w:right="0"/>
              <w:jc w:val="left"/>
              <w:rPr>
                <w:rFonts w:ascii="宋体" w:hAnsi="宋体" w:cs="宋体" w:eastAsia="宋体" w:hint="default"/>
                <w:sz w:val="24"/>
                <w:szCs w:val="24"/>
              </w:rPr>
            </w:pPr>
            <w:r>
              <w:rPr>
                <w:rFonts w:ascii="宋体" w:hAnsi="宋体" w:cs="宋体" w:eastAsia="宋体" w:hint="default"/>
                <w:sz w:val="24"/>
                <w:szCs w:val="24"/>
              </w:rPr>
              <w:t>二、累计折</w:t>
            </w:r>
          </w:p>
          <w:p>
            <w:pPr>
              <w:pStyle w:val="TableParagraph"/>
              <w:spacing w:line="313" w:lineRule="exact"/>
              <w:ind w:left="108" w:right="0"/>
              <w:jc w:val="left"/>
              <w:rPr>
                <w:rFonts w:ascii="宋体" w:hAnsi="宋体" w:cs="宋体" w:eastAsia="宋体" w:hint="default"/>
                <w:sz w:val="24"/>
                <w:szCs w:val="24"/>
              </w:rPr>
            </w:pPr>
            <w:r>
              <w:rPr>
                <w:rFonts w:ascii="宋体" w:hAnsi="宋体" w:cs="宋体" w:eastAsia="宋体" w:hint="default"/>
                <w:sz w:val="24"/>
                <w:szCs w:val="24"/>
              </w:rPr>
              <w:t>旧</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期初余额</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28" w:right="0"/>
              <w:jc w:val="left"/>
              <w:rPr>
                <w:rFonts w:ascii="Times New Roman" w:hAnsi="Times New Roman" w:cs="Times New Roman" w:eastAsia="Times New Roman" w:hint="default"/>
                <w:sz w:val="24"/>
                <w:szCs w:val="24"/>
              </w:rPr>
            </w:pPr>
            <w:r>
              <w:rPr>
                <w:rFonts w:ascii="Times New Roman"/>
                <w:sz w:val="24"/>
              </w:rPr>
              <w:t>264,103,026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63" w:right="0"/>
              <w:jc w:val="left"/>
              <w:rPr>
                <w:rFonts w:ascii="Times New Roman" w:hAnsi="Times New Roman" w:cs="Times New Roman" w:eastAsia="Times New Roman" w:hint="default"/>
                <w:sz w:val="24"/>
                <w:szCs w:val="24"/>
              </w:rPr>
            </w:pPr>
            <w:r>
              <w:rPr>
                <w:rFonts w:ascii="Times New Roman"/>
                <w:sz w:val="24"/>
              </w:rPr>
              <w:t>74,528,667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1" w:right="0"/>
              <w:jc w:val="left"/>
              <w:rPr>
                <w:rFonts w:ascii="Times New Roman" w:hAnsi="Times New Roman" w:cs="Times New Roman" w:eastAsia="Times New Roman" w:hint="default"/>
                <w:sz w:val="24"/>
                <w:szCs w:val="24"/>
              </w:rPr>
            </w:pPr>
            <w:r>
              <w:rPr>
                <w:rFonts w:ascii="Times New Roman"/>
                <w:sz w:val="24"/>
              </w:rPr>
              <w:t>33,763,295</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46" w:right="0"/>
              <w:jc w:val="left"/>
              <w:rPr>
                <w:rFonts w:ascii="Times New Roman" w:hAnsi="Times New Roman" w:cs="Times New Roman" w:eastAsia="Times New Roman" w:hint="default"/>
                <w:sz w:val="24"/>
                <w:szCs w:val="24"/>
              </w:rPr>
            </w:pPr>
            <w:r>
              <w:rPr>
                <w:rFonts w:ascii="Times New Roman"/>
                <w:sz w:val="24"/>
              </w:rPr>
              <w:t>259,582,824</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31" w:right="0"/>
              <w:jc w:val="left"/>
              <w:rPr>
                <w:rFonts w:ascii="Times New Roman" w:hAnsi="Times New Roman" w:cs="Times New Roman" w:eastAsia="Times New Roman" w:hint="default"/>
                <w:sz w:val="24"/>
                <w:szCs w:val="24"/>
              </w:rPr>
            </w:pPr>
            <w:r>
              <w:rPr>
                <w:rFonts w:ascii="Times New Roman"/>
                <w:sz w:val="24"/>
              </w:rPr>
              <w:t>631,977,812</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本期增加</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448" w:right="0"/>
              <w:jc w:val="left"/>
              <w:rPr>
                <w:rFonts w:ascii="Times New Roman" w:hAnsi="Times New Roman" w:cs="Times New Roman" w:eastAsia="Times New Roman" w:hint="default"/>
                <w:sz w:val="24"/>
                <w:szCs w:val="24"/>
              </w:rPr>
            </w:pPr>
            <w:r>
              <w:rPr>
                <w:rFonts w:ascii="Times New Roman"/>
                <w:sz w:val="24"/>
              </w:rPr>
              <w:t>61,387,716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8"/>
              <w:jc w:val="right"/>
              <w:rPr>
                <w:rFonts w:ascii="Times New Roman" w:hAnsi="Times New Roman" w:cs="Times New Roman" w:eastAsia="Times New Roman" w:hint="default"/>
                <w:sz w:val="24"/>
                <w:szCs w:val="24"/>
              </w:rPr>
            </w:pPr>
            <w:r>
              <w:rPr>
                <w:rFonts w:ascii="Times New Roman"/>
                <w:sz w:val="24"/>
              </w:rPr>
              <w:t>8,464,876</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61" w:right="0"/>
              <w:jc w:val="left"/>
              <w:rPr>
                <w:rFonts w:ascii="Times New Roman" w:hAnsi="Times New Roman" w:cs="Times New Roman" w:eastAsia="Times New Roman" w:hint="default"/>
                <w:sz w:val="24"/>
                <w:szCs w:val="24"/>
              </w:rPr>
            </w:pPr>
            <w:r>
              <w:rPr>
                <w:rFonts w:ascii="Times New Roman"/>
                <w:sz w:val="24"/>
              </w:rPr>
              <w:t>3,154,421</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66" w:right="0"/>
              <w:jc w:val="left"/>
              <w:rPr>
                <w:rFonts w:ascii="Times New Roman" w:hAnsi="Times New Roman" w:cs="Times New Roman" w:eastAsia="Times New Roman" w:hint="default"/>
                <w:sz w:val="24"/>
                <w:szCs w:val="24"/>
              </w:rPr>
            </w:pPr>
            <w:r>
              <w:rPr>
                <w:rFonts w:ascii="Times New Roman"/>
                <w:sz w:val="24"/>
              </w:rPr>
              <w:t>41,930,660</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31" w:right="0"/>
              <w:jc w:val="left"/>
              <w:rPr>
                <w:rFonts w:ascii="Times New Roman" w:hAnsi="Times New Roman" w:cs="Times New Roman" w:eastAsia="Times New Roman" w:hint="default"/>
                <w:sz w:val="24"/>
                <w:szCs w:val="24"/>
              </w:rPr>
            </w:pPr>
            <w:r>
              <w:rPr>
                <w:rFonts w:ascii="Times New Roman"/>
                <w:sz w:val="24"/>
              </w:rPr>
              <w:t>114,937,673</w:t>
            </w:r>
          </w:p>
        </w:tc>
      </w:tr>
      <w:tr>
        <w:trPr>
          <w:trHeight w:val="322"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）计提</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48" w:right="0"/>
              <w:jc w:val="left"/>
              <w:rPr>
                <w:rFonts w:ascii="Times New Roman" w:hAnsi="Times New Roman" w:cs="Times New Roman" w:eastAsia="Times New Roman" w:hint="default"/>
                <w:sz w:val="24"/>
                <w:szCs w:val="24"/>
              </w:rPr>
            </w:pPr>
            <w:r>
              <w:rPr>
                <w:rFonts w:ascii="Times New Roman"/>
                <w:sz w:val="24"/>
              </w:rPr>
              <w:t>61,387,716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8"/>
              <w:jc w:val="right"/>
              <w:rPr>
                <w:rFonts w:ascii="Times New Roman" w:hAnsi="Times New Roman" w:cs="Times New Roman" w:eastAsia="Times New Roman" w:hint="default"/>
                <w:sz w:val="24"/>
                <w:szCs w:val="24"/>
              </w:rPr>
            </w:pPr>
            <w:r>
              <w:rPr>
                <w:rFonts w:ascii="Times New Roman"/>
                <w:sz w:val="24"/>
              </w:rPr>
              <w:t>8,464,876</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1" w:right="0"/>
              <w:jc w:val="left"/>
              <w:rPr>
                <w:rFonts w:ascii="Times New Roman" w:hAnsi="Times New Roman" w:cs="Times New Roman" w:eastAsia="Times New Roman" w:hint="default"/>
                <w:sz w:val="24"/>
                <w:szCs w:val="24"/>
              </w:rPr>
            </w:pPr>
            <w:r>
              <w:rPr>
                <w:rFonts w:ascii="Times New Roman"/>
                <w:sz w:val="24"/>
              </w:rPr>
              <w:t>3,154,421</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6" w:right="0"/>
              <w:jc w:val="left"/>
              <w:rPr>
                <w:rFonts w:ascii="Times New Roman" w:hAnsi="Times New Roman" w:cs="Times New Roman" w:eastAsia="Times New Roman" w:hint="default"/>
                <w:sz w:val="24"/>
                <w:szCs w:val="24"/>
              </w:rPr>
            </w:pPr>
            <w:r>
              <w:rPr>
                <w:rFonts w:ascii="Times New Roman"/>
                <w:sz w:val="24"/>
              </w:rPr>
              <w:t>41,930,660</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31" w:right="0"/>
              <w:jc w:val="left"/>
              <w:rPr>
                <w:rFonts w:ascii="Times New Roman" w:hAnsi="Times New Roman" w:cs="Times New Roman" w:eastAsia="Times New Roman" w:hint="default"/>
                <w:sz w:val="24"/>
                <w:szCs w:val="24"/>
              </w:rPr>
            </w:pPr>
            <w:r>
              <w:rPr>
                <w:rFonts w:ascii="Times New Roman"/>
                <w:sz w:val="24"/>
              </w:rPr>
              <w:t>114,937,673</w:t>
            </w:r>
          </w:p>
        </w:tc>
      </w:tr>
      <w:tr>
        <w:trPr>
          <w:trHeight w:val="286"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8" w:right="0"/>
              <w:jc w:val="left"/>
              <w:rPr>
                <w:rFonts w:ascii="宋体" w:hAnsi="宋体" w:cs="宋体" w:eastAsia="宋体" w:hint="default"/>
                <w:sz w:val="24"/>
                <w:szCs w:val="24"/>
              </w:rPr>
            </w:pPr>
            <w:r>
              <w:rPr>
                <w:rFonts w:ascii="宋体"/>
                <w:sz w:val="24"/>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3"/>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3"/>
              <w:jc w:val="right"/>
              <w:rPr>
                <w:rFonts w:ascii="宋体" w:hAnsi="宋体" w:cs="宋体" w:eastAsia="宋体" w:hint="default"/>
                <w:sz w:val="24"/>
                <w:szCs w:val="24"/>
              </w:rPr>
            </w:pPr>
            <w:r>
              <w:rPr>
                <w:rFonts w:ascii="宋体"/>
                <w:sz w:val="24"/>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r>
      <w:tr>
        <w:trPr>
          <w:trHeight w:val="286"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8" w:right="0"/>
              <w:jc w:val="left"/>
              <w:rPr>
                <w:rFonts w:ascii="宋体" w:hAnsi="宋体" w:cs="宋体" w:eastAsia="宋体" w:hint="default"/>
                <w:sz w:val="24"/>
                <w:szCs w:val="24"/>
              </w:rPr>
            </w:pPr>
            <w:r>
              <w:rPr>
                <w:rFonts w:ascii="宋体"/>
                <w:sz w:val="24"/>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本期减少</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568" w:right="0"/>
              <w:jc w:val="left"/>
              <w:rPr>
                <w:rFonts w:ascii="Times New Roman" w:hAnsi="Times New Roman" w:cs="Times New Roman" w:eastAsia="Times New Roman" w:hint="default"/>
                <w:sz w:val="24"/>
                <w:szCs w:val="24"/>
              </w:rPr>
            </w:pPr>
            <w:r>
              <w:rPr>
                <w:rFonts w:ascii="Times New Roman"/>
                <w:sz w:val="24"/>
              </w:rPr>
              <w:t>1,094,766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8"/>
              <w:jc w:val="right"/>
              <w:rPr>
                <w:rFonts w:ascii="Times New Roman" w:hAnsi="Times New Roman" w:cs="Times New Roman" w:eastAsia="Times New Roman" w:hint="default"/>
                <w:sz w:val="24"/>
                <w:szCs w:val="24"/>
              </w:rPr>
            </w:pPr>
            <w:r>
              <w:rPr>
                <w:rFonts w:ascii="Times New Roman"/>
                <w:sz w:val="24"/>
              </w:rPr>
              <w:t>1,319,883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61" w:right="0"/>
              <w:jc w:val="left"/>
              <w:rPr>
                <w:rFonts w:ascii="Times New Roman" w:hAnsi="Times New Roman" w:cs="Times New Roman" w:eastAsia="Times New Roman" w:hint="default"/>
                <w:sz w:val="24"/>
                <w:szCs w:val="24"/>
              </w:rPr>
            </w:pPr>
            <w:r>
              <w:rPr>
                <w:rFonts w:ascii="Times New Roman"/>
                <w:sz w:val="24"/>
              </w:rPr>
              <w:t>5,527,896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66" w:right="0"/>
              <w:jc w:val="left"/>
              <w:rPr>
                <w:rFonts w:ascii="Times New Roman" w:hAnsi="Times New Roman" w:cs="Times New Roman" w:eastAsia="Times New Roman" w:hint="default"/>
                <w:sz w:val="24"/>
                <w:szCs w:val="24"/>
              </w:rPr>
            </w:pPr>
            <w:r>
              <w:rPr>
                <w:rFonts w:ascii="Times New Roman"/>
                <w:sz w:val="24"/>
              </w:rPr>
              <w:t>25,787,810</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451" w:right="0"/>
              <w:jc w:val="left"/>
              <w:rPr>
                <w:rFonts w:ascii="Times New Roman" w:hAnsi="Times New Roman" w:cs="Times New Roman" w:eastAsia="Times New Roman" w:hint="default"/>
                <w:sz w:val="24"/>
                <w:szCs w:val="24"/>
              </w:rPr>
            </w:pPr>
            <w:r>
              <w:rPr>
                <w:rFonts w:ascii="Times New Roman"/>
                <w:sz w:val="24"/>
              </w:rPr>
              <w:t>33,730,355</w:t>
            </w:r>
          </w:p>
        </w:tc>
      </w:tr>
      <w:tr>
        <w:trPr>
          <w:trHeight w:val="631"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08" w:right="0"/>
              <w:jc w:val="left"/>
              <w:rPr>
                <w:rFonts w:ascii="宋体" w:hAnsi="宋体" w:cs="宋体" w:eastAsia="宋体" w:hint="default"/>
                <w:sz w:val="24"/>
                <w:szCs w:val="24"/>
              </w:rPr>
            </w:pPr>
            <w:r>
              <w:rPr>
                <w:rFonts w:ascii="宋体" w:hAnsi="宋体" w:cs="宋体" w:eastAsia="宋体" w:hint="default"/>
                <w:spacing w:val="-10"/>
                <w:sz w:val="24"/>
                <w:szCs w:val="24"/>
              </w:rPr>
              <w:t>（</w:t>
            </w:r>
            <w:r>
              <w:rPr>
                <w:rFonts w:ascii="Times New Roman" w:hAnsi="Times New Roman" w:cs="Times New Roman" w:eastAsia="Times New Roman" w:hint="default"/>
                <w:spacing w:val="-10"/>
                <w:sz w:val="24"/>
                <w:szCs w:val="24"/>
              </w:rPr>
              <w:t>1</w:t>
            </w:r>
            <w:r>
              <w:rPr>
                <w:rFonts w:ascii="宋体" w:hAnsi="宋体" w:cs="宋体" w:eastAsia="宋体" w:hint="default"/>
                <w:spacing w:val="-10"/>
                <w:sz w:val="24"/>
                <w:szCs w:val="24"/>
              </w:rPr>
              <w:t>）处置或</w:t>
            </w:r>
          </w:p>
          <w:p>
            <w:pPr>
              <w:pStyle w:val="TableParagraph"/>
              <w:spacing w:line="303" w:lineRule="exact"/>
              <w:ind w:left="108" w:right="0"/>
              <w:jc w:val="left"/>
              <w:rPr>
                <w:rFonts w:ascii="宋体" w:hAnsi="宋体" w:cs="宋体" w:eastAsia="宋体" w:hint="default"/>
                <w:sz w:val="24"/>
                <w:szCs w:val="24"/>
              </w:rPr>
            </w:pPr>
            <w:r>
              <w:rPr>
                <w:rFonts w:ascii="宋体" w:hAnsi="宋体" w:cs="宋体" w:eastAsia="宋体" w:hint="default"/>
                <w:sz w:val="24"/>
                <w:szCs w:val="24"/>
              </w:rPr>
              <w:t>报废</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8"/>
              <w:jc w:val="right"/>
              <w:rPr>
                <w:rFonts w:ascii="Times New Roman" w:hAnsi="Times New Roman" w:cs="Times New Roman" w:eastAsia="Times New Roman" w:hint="default"/>
                <w:sz w:val="24"/>
                <w:szCs w:val="24"/>
              </w:rPr>
            </w:pPr>
            <w:r>
              <w:rPr>
                <w:rFonts w:ascii="Times New Roman"/>
                <w:sz w:val="24"/>
              </w:rPr>
              <w:t>1,319,883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61" w:right="0"/>
              <w:jc w:val="left"/>
              <w:rPr>
                <w:rFonts w:ascii="Times New Roman" w:hAnsi="Times New Roman" w:cs="Times New Roman" w:eastAsia="Times New Roman" w:hint="default"/>
                <w:sz w:val="24"/>
                <w:szCs w:val="24"/>
              </w:rPr>
            </w:pPr>
            <w:r>
              <w:rPr>
                <w:rFonts w:ascii="Times New Roman"/>
                <w:sz w:val="24"/>
              </w:rPr>
              <w:t>5,418,491</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66" w:right="0"/>
              <w:jc w:val="left"/>
              <w:rPr>
                <w:rFonts w:ascii="Times New Roman" w:hAnsi="Times New Roman" w:cs="Times New Roman" w:eastAsia="Times New Roman" w:hint="default"/>
                <w:sz w:val="24"/>
                <w:szCs w:val="24"/>
              </w:rPr>
            </w:pPr>
            <w:r>
              <w:rPr>
                <w:rFonts w:ascii="Times New Roman"/>
                <w:sz w:val="24"/>
              </w:rPr>
              <w:t>25,787,810</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451" w:right="0"/>
              <w:jc w:val="left"/>
              <w:rPr>
                <w:rFonts w:ascii="Times New Roman" w:hAnsi="Times New Roman" w:cs="Times New Roman" w:eastAsia="Times New Roman" w:hint="default"/>
                <w:sz w:val="24"/>
                <w:szCs w:val="24"/>
              </w:rPr>
            </w:pPr>
            <w:r>
              <w:rPr>
                <w:rFonts w:ascii="Times New Roman"/>
                <w:sz w:val="24"/>
              </w:rPr>
              <w:t>32,526,184</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处置子公</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司</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441" w:right="0"/>
              <w:jc w:val="left"/>
              <w:rPr>
                <w:rFonts w:ascii="Times New Roman" w:hAnsi="Times New Roman" w:cs="Times New Roman" w:eastAsia="Times New Roman" w:hint="default"/>
                <w:sz w:val="24"/>
                <w:szCs w:val="24"/>
              </w:rPr>
            </w:pPr>
            <w:r>
              <w:rPr>
                <w:rFonts w:ascii="Times New Roman"/>
                <w:sz w:val="24"/>
              </w:rPr>
              <w:t>109,405</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3"/>
              <w:jc w:val="right"/>
              <w:rPr>
                <w:rFonts w:ascii="宋体" w:hAnsi="宋体" w:cs="宋体" w:eastAsia="宋体" w:hint="default"/>
                <w:sz w:val="24"/>
                <w:szCs w:val="24"/>
              </w:rPr>
            </w:pPr>
            <w:r>
              <w:rPr>
                <w:rFonts w:ascii="宋体"/>
                <w:sz w:val="24"/>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751" w:right="0"/>
              <w:jc w:val="left"/>
              <w:rPr>
                <w:rFonts w:ascii="Times New Roman" w:hAnsi="Times New Roman" w:cs="Times New Roman" w:eastAsia="Times New Roman" w:hint="default"/>
                <w:sz w:val="24"/>
                <w:szCs w:val="24"/>
              </w:rPr>
            </w:pPr>
            <w:r>
              <w:rPr>
                <w:rFonts w:ascii="Times New Roman"/>
                <w:sz w:val="24"/>
              </w:rPr>
              <w:t>109,405</w:t>
            </w:r>
          </w:p>
        </w:tc>
      </w:tr>
    </w:tbl>
    <w:p>
      <w:pPr>
        <w:spacing w:after="0" w:line="268" w:lineRule="exact"/>
        <w:jc w:val="left"/>
        <w:rPr>
          <w:rFonts w:ascii="Times New Roman" w:hAnsi="Times New Roman" w:cs="Times New Roman" w:eastAsia="Times New Roman" w:hint="default"/>
          <w:sz w:val="24"/>
          <w:szCs w:val="24"/>
        </w:rPr>
        <w:sectPr>
          <w:pgSz w:w="11910" w:h="16840"/>
          <w:pgMar w:header="882" w:footer="1195" w:top="1080" w:bottom="1380" w:left="1040" w:right="1560"/>
        </w:sectPr>
      </w:pPr>
    </w:p>
    <w:p>
      <w:pPr>
        <w:spacing w:line="240" w:lineRule="auto" w:before="5"/>
        <w:rPr>
          <w:rFonts w:ascii="宋体" w:hAnsi="宋体" w:cs="宋体" w:eastAsia="宋体" w:hint="default"/>
          <w:sz w:val="27"/>
          <w:szCs w:val="27"/>
        </w:rPr>
      </w:pPr>
    </w:p>
    <w:tbl>
      <w:tblPr>
        <w:tblW w:w="0" w:type="auto"/>
        <w:jc w:val="left"/>
        <w:tblInd w:w="119" w:type="dxa"/>
        <w:tblLayout w:type="fixed"/>
        <w:tblCellMar>
          <w:top w:w="0" w:type="dxa"/>
          <w:left w:w="0" w:type="dxa"/>
          <w:bottom w:w="0" w:type="dxa"/>
          <w:right w:w="0" w:type="dxa"/>
        </w:tblCellMar>
        <w:tblLook w:val="01E0"/>
      </w:tblPr>
      <w:tblGrid>
        <w:gridCol w:w="1493"/>
        <w:gridCol w:w="1649"/>
        <w:gridCol w:w="1464"/>
        <w:gridCol w:w="1340"/>
        <w:gridCol w:w="1464"/>
        <w:gridCol w:w="1652"/>
      </w:tblGrid>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划分为持</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有代售</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568" w:right="0"/>
              <w:jc w:val="left"/>
              <w:rPr>
                <w:rFonts w:ascii="Times New Roman" w:hAnsi="Times New Roman" w:cs="Times New Roman" w:eastAsia="Times New Roman" w:hint="default"/>
                <w:sz w:val="24"/>
                <w:szCs w:val="24"/>
              </w:rPr>
            </w:pPr>
            <w:r>
              <w:rPr>
                <w:rFonts w:ascii="Times New Roman"/>
                <w:sz w:val="24"/>
              </w:rPr>
              <w:t>1,094,766</w:t>
            </w: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571" w:right="0"/>
              <w:jc w:val="left"/>
              <w:rPr>
                <w:rFonts w:ascii="Times New Roman" w:hAnsi="Times New Roman" w:cs="Times New Roman" w:eastAsia="Times New Roman" w:hint="default"/>
                <w:sz w:val="24"/>
                <w:szCs w:val="24"/>
              </w:rPr>
            </w:pPr>
            <w:r>
              <w:rPr>
                <w:rFonts w:ascii="Times New Roman"/>
                <w:sz w:val="24"/>
              </w:rPr>
              <w:t>1,904,766</w:t>
            </w:r>
          </w:p>
        </w:tc>
      </w:tr>
      <w:tr>
        <w:trPr>
          <w:trHeight w:val="319"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w:t>
            </w:r>
            <w:r>
              <w:rPr>
                <w:rFonts w:ascii="宋体" w:hAnsi="宋体" w:cs="宋体" w:eastAsia="宋体" w:hint="default"/>
                <w:sz w:val="24"/>
                <w:szCs w:val="24"/>
              </w:rPr>
              <w:t>期末余额</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28" w:right="0"/>
              <w:jc w:val="left"/>
              <w:rPr>
                <w:rFonts w:ascii="Times New Roman" w:hAnsi="Times New Roman" w:cs="Times New Roman" w:eastAsia="Times New Roman" w:hint="default"/>
                <w:sz w:val="24"/>
                <w:szCs w:val="24"/>
              </w:rPr>
            </w:pPr>
            <w:r>
              <w:rPr>
                <w:rFonts w:ascii="Times New Roman"/>
                <w:sz w:val="24"/>
              </w:rPr>
              <w:t>324,395,976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3" w:right="0"/>
              <w:jc w:val="left"/>
              <w:rPr>
                <w:rFonts w:ascii="Times New Roman" w:hAnsi="Times New Roman" w:cs="Times New Roman" w:eastAsia="Times New Roman" w:hint="default"/>
                <w:sz w:val="24"/>
                <w:szCs w:val="24"/>
              </w:rPr>
            </w:pPr>
            <w:r>
              <w:rPr>
                <w:rFonts w:ascii="Times New Roman"/>
                <w:sz w:val="24"/>
              </w:rPr>
              <w:t>81,673,660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41" w:right="0"/>
              <w:jc w:val="left"/>
              <w:rPr>
                <w:rFonts w:ascii="Times New Roman" w:hAnsi="Times New Roman" w:cs="Times New Roman" w:eastAsia="Times New Roman" w:hint="default"/>
                <w:sz w:val="24"/>
                <w:szCs w:val="24"/>
              </w:rPr>
            </w:pPr>
            <w:r>
              <w:rPr>
                <w:rFonts w:ascii="Times New Roman"/>
                <w:sz w:val="24"/>
              </w:rPr>
              <w:t>31,389,820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46" w:right="0"/>
              <w:jc w:val="left"/>
              <w:rPr>
                <w:rFonts w:ascii="Times New Roman" w:hAnsi="Times New Roman" w:cs="Times New Roman" w:eastAsia="Times New Roman" w:hint="default"/>
                <w:sz w:val="24"/>
                <w:szCs w:val="24"/>
              </w:rPr>
            </w:pPr>
            <w:r>
              <w:rPr>
                <w:rFonts w:ascii="Times New Roman"/>
                <w:sz w:val="24"/>
              </w:rPr>
              <w:t>275,725,674</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31" w:right="0"/>
              <w:jc w:val="left"/>
              <w:rPr>
                <w:rFonts w:ascii="Times New Roman" w:hAnsi="Times New Roman" w:cs="Times New Roman" w:eastAsia="Times New Roman" w:hint="default"/>
                <w:sz w:val="24"/>
                <w:szCs w:val="24"/>
              </w:rPr>
            </w:pPr>
            <w:r>
              <w:rPr>
                <w:rFonts w:ascii="Times New Roman"/>
                <w:sz w:val="24"/>
              </w:rPr>
              <w:t>713,185,130</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三、减值准</w:t>
            </w:r>
          </w:p>
          <w:p>
            <w:pPr>
              <w:pStyle w:val="TableParagraph"/>
              <w:spacing w:line="312" w:lineRule="exact"/>
              <w:ind w:left="108" w:right="0"/>
              <w:jc w:val="left"/>
              <w:rPr>
                <w:rFonts w:ascii="宋体" w:hAnsi="宋体" w:cs="宋体" w:eastAsia="宋体" w:hint="default"/>
                <w:sz w:val="24"/>
                <w:szCs w:val="24"/>
              </w:rPr>
            </w:pPr>
            <w:r>
              <w:rPr>
                <w:rFonts w:ascii="宋体" w:hAnsi="宋体" w:cs="宋体" w:eastAsia="宋体" w:hint="default"/>
                <w:sz w:val="24"/>
                <w:szCs w:val="24"/>
              </w:rPr>
              <w:t>备</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期初余额</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本期增加</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8"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）计提</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8" w:right="0"/>
              <w:jc w:val="left"/>
              <w:rPr>
                <w:rFonts w:ascii="宋体" w:hAnsi="宋体" w:cs="宋体" w:eastAsia="宋体" w:hint="default"/>
                <w:sz w:val="24"/>
                <w:szCs w:val="24"/>
              </w:rPr>
            </w:pPr>
            <w:r>
              <w:rPr>
                <w:rFonts w:ascii="宋体"/>
                <w:sz w:val="24"/>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3"/>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3"/>
              <w:jc w:val="right"/>
              <w:rPr>
                <w:rFonts w:ascii="宋体" w:hAnsi="宋体" w:cs="宋体" w:eastAsia="宋体" w:hint="default"/>
                <w:sz w:val="24"/>
                <w:szCs w:val="24"/>
              </w:rPr>
            </w:pPr>
            <w:r>
              <w:rPr>
                <w:rFonts w:ascii="宋体"/>
                <w:sz w:val="24"/>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r>
      <w:tr>
        <w:trPr>
          <w:trHeight w:val="288"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8" w:right="0"/>
              <w:jc w:val="left"/>
              <w:rPr>
                <w:rFonts w:ascii="宋体" w:hAnsi="宋体" w:cs="宋体" w:eastAsia="宋体" w:hint="default"/>
                <w:sz w:val="24"/>
                <w:szCs w:val="24"/>
              </w:rPr>
            </w:pPr>
            <w:r>
              <w:rPr>
                <w:rFonts w:ascii="宋体"/>
                <w:sz w:val="24"/>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0"/>
              <w:jc w:val="right"/>
              <w:rPr>
                <w:rFonts w:ascii="宋体" w:hAnsi="宋体" w:cs="宋体" w:eastAsia="宋体" w:hint="default"/>
                <w:sz w:val="24"/>
                <w:szCs w:val="24"/>
              </w:rPr>
            </w:pPr>
            <w:r>
              <w:rPr>
                <w:rFonts w:ascii="宋体"/>
                <w:sz w:val="24"/>
              </w:rPr>
              <w:t> </w:t>
            </w:r>
          </w:p>
        </w:tc>
      </w:tr>
      <w:tr>
        <w:trPr>
          <w:trHeight w:val="632"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本期减少</w:t>
            </w:r>
          </w:p>
          <w:p>
            <w:pPr>
              <w:pStyle w:val="TableParagraph"/>
              <w:spacing w:line="303" w:lineRule="exact"/>
              <w:ind w:left="108"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宋体" w:hAnsi="宋体" w:cs="宋体" w:eastAsia="宋体" w:hint="default"/>
                <w:spacing w:val="-10"/>
                <w:sz w:val="24"/>
                <w:szCs w:val="24"/>
              </w:rPr>
              <w:t>（</w:t>
            </w:r>
            <w:r>
              <w:rPr>
                <w:rFonts w:ascii="Times New Roman" w:hAnsi="Times New Roman" w:cs="Times New Roman" w:eastAsia="Times New Roman" w:hint="default"/>
                <w:spacing w:val="-10"/>
                <w:sz w:val="24"/>
                <w:szCs w:val="24"/>
              </w:rPr>
              <w:t>1</w:t>
            </w:r>
            <w:r>
              <w:rPr>
                <w:rFonts w:ascii="宋体" w:hAnsi="宋体" w:cs="宋体" w:eastAsia="宋体" w:hint="default"/>
                <w:spacing w:val="-10"/>
                <w:sz w:val="24"/>
                <w:szCs w:val="24"/>
              </w:rPr>
              <w:t>）处置或</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报废</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8" w:right="0"/>
              <w:jc w:val="left"/>
              <w:rPr>
                <w:rFonts w:ascii="宋体" w:hAnsi="宋体" w:cs="宋体" w:eastAsia="宋体" w:hint="default"/>
                <w:sz w:val="24"/>
                <w:szCs w:val="24"/>
              </w:rPr>
            </w:pPr>
            <w:r>
              <w:rPr>
                <w:rFonts w:ascii="宋体"/>
                <w:sz w:val="24"/>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3"/>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3"/>
              <w:jc w:val="right"/>
              <w:rPr>
                <w:rFonts w:ascii="宋体" w:hAnsi="宋体" w:cs="宋体" w:eastAsia="宋体" w:hint="default"/>
                <w:sz w:val="24"/>
                <w:szCs w:val="24"/>
              </w:rPr>
            </w:pPr>
            <w:r>
              <w:rPr>
                <w:rFonts w:ascii="宋体"/>
                <w:sz w:val="24"/>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r>
      <w:tr>
        <w:trPr>
          <w:trHeight w:val="286"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8" w:right="0"/>
              <w:jc w:val="left"/>
              <w:rPr>
                <w:rFonts w:ascii="宋体" w:hAnsi="宋体" w:cs="宋体" w:eastAsia="宋体" w:hint="default"/>
                <w:sz w:val="24"/>
                <w:szCs w:val="24"/>
              </w:rPr>
            </w:pPr>
            <w:r>
              <w:rPr>
                <w:rFonts w:ascii="宋体"/>
                <w:sz w:val="24"/>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10"/>
              <w:jc w:val="right"/>
              <w:rPr>
                <w:rFonts w:ascii="宋体" w:hAnsi="宋体" w:cs="宋体" w:eastAsia="宋体" w:hint="default"/>
                <w:sz w:val="24"/>
                <w:szCs w:val="24"/>
              </w:rPr>
            </w:pPr>
            <w:r>
              <w:rPr>
                <w:rFonts w:ascii="宋体"/>
                <w:sz w:val="24"/>
              </w:rPr>
              <w:t> </w:t>
            </w:r>
          </w:p>
        </w:tc>
      </w:tr>
      <w:tr>
        <w:trPr>
          <w:trHeight w:val="322"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w:t>
            </w:r>
            <w:r>
              <w:rPr>
                <w:rFonts w:ascii="宋体" w:hAnsi="宋体" w:cs="宋体" w:eastAsia="宋体" w:hint="default"/>
                <w:sz w:val="24"/>
                <w:szCs w:val="24"/>
              </w:rPr>
              <w:t>期末余额</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8" w:right="0"/>
              <w:jc w:val="left"/>
              <w:rPr>
                <w:rFonts w:ascii="宋体" w:hAnsi="宋体" w:cs="宋体" w:eastAsia="宋体" w:hint="default"/>
                <w:sz w:val="24"/>
                <w:szCs w:val="24"/>
              </w:rPr>
            </w:pPr>
            <w:r>
              <w:rPr>
                <w:rFonts w:ascii="宋体" w:hAnsi="宋体" w:cs="宋体" w:eastAsia="宋体" w:hint="default"/>
                <w:sz w:val="24"/>
                <w:szCs w:val="24"/>
              </w:rPr>
              <w:t>四、账面价</w:t>
            </w:r>
          </w:p>
          <w:p>
            <w:pPr>
              <w:pStyle w:val="TableParagraph"/>
              <w:spacing w:line="313" w:lineRule="exact"/>
              <w:ind w:left="108" w:right="0"/>
              <w:jc w:val="left"/>
              <w:rPr>
                <w:rFonts w:ascii="宋体" w:hAnsi="宋体" w:cs="宋体" w:eastAsia="宋体" w:hint="default"/>
                <w:sz w:val="24"/>
                <w:szCs w:val="24"/>
              </w:rPr>
            </w:pPr>
            <w:r>
              <w:rPr>
                <w:rFonts w:ascii="宋体" w:hAnsi="宋体" w:cs="宋体" w:eastAsia="宋体" w:hint="default"/>
                <w:sz w:val="24"/>
                <w:szCs w:val="24"/>
              </w:rPr>
              <w:t>值</w:t>
            </w:r>
          </w:p>
        </w:tc>
        <w:tc>
          <w:tcPr>
            <w:tcW w:w="1649"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期末账面</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价值</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48" w:right="0"/>
              <w:jc w:val="left"/>
              <w:rPr>
                <w:rFonts w:ascii="Times New Roman" w:hAnsi="Times New Roman" w:cs="Times New Roman" w:eastAsia="Times New Roman" w:hint="default"/>
                <w:sz w:val="24"/>
                <w:szCs w:val="24"/>
              </w:rPr>
            </w:pPr>
            <w:r>
              <w:rPr>
                <w:rFonts w:ascii="Times New Roman"/>
                <w:sz w:val="24"/>
              </w:rPr>
              <w:t>2,338,982,667</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63" w:right="0"/>
              <w:jc w:val="left"/>
              <w:rPr>
                <w:rFonts w:ascii="Times New Roman" w:hAnsi="Times New Roman" w:cs="Times New Roman" w:eastAsia="Times New Roman" w:hint="default"/>
                <w:sz w:val="24"/>
                <w:szCs w:val="24"/>
              </w:rPr>
            </w:pPr>
            <w:r>
              <w:rPr>
                <w:rFonts w:ascii="Times New Roman"/>
                <w:sz w:val="24"/>
              </w:rPr>
              <w:t>90,414,741</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41" w:right="0"/>
              <w:jc w:val="left"/>
              <w:rPr>
                <w:rFonts w:ascii="Times New Roman" w:hAnsi="Times New Roman" w:cs="Times New Roman" w:eastAsia="Times New Roman" w:hint="default"/>
                <w:sz w:val="24"/>
                <w:szCs w:val="24"/>
              </w:rPr>
            </w:pPr>
            <w:r>
              <w:rPr>
                <w:rFonts w:ascii="Times New Roman"/>
                <w:sz w:val="24"/>
              </w:rPr>
              <w:t>11,191,237</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66" w:right="0"/>
              <w:jc w:val="left"/>
              <w:rPr>
                <w:rFonts w:ascii="Times New Roman" w:hAnsi="Times New Roman" w:cs="Times New Roman" w:eastAsia="Times New Roman" w:hint="default"/>
                <w:sz w:val="24"/>
                <w:szCs w:val="24"/>
              </w:rPr>
            </w:pPr>
            <w:r>
              <w:rPr>
                <w:rFonts w:ascii="Times New Roman"/>
                <w:sz w:val="24"/>
              </w:rPr>
              <w:t>68,912,641</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51" w:right="0"/>
              <w:jc w:val="left"/>
              <w:rPr>
                <w:rFonts w:ascii="Times New Roman" w:hAnsi="Times New Roman" w:cs="Times New Roman" w:eastAsia="Times New Roman" w:hint="default"/>
                <w:sz w:val="24"/>
                <w:szCs w:val="24"/>
              </w:rPr>
            </w:pPr>
            <w:r>
              <w:rPr>
                <w:rFonts w:ascii="Times New Roman"/>
                <w:sz w:val="24"/>
              </w:rPr>
              <w:t>2,509,501,286</w:t>
            </w:r>
          </w:p>
        </w:tc>
      </w:tr>
      <w:tr>
        <w:trPr>
          <w:trHeight w:val="634"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期初账面</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价值</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48" w:right="0"/>
              <w:jc w:val="left"/>
              <w:rPr>
                <w:rFonts w:ascii="Times New Roman" w:hAnsi="Times New Roman" w:cs="Times New Roman" w:eastAsia="Times New Roman" w:hint="default"/>
                <w:sz w:val="24"/>
                <w:szCs w:val="24"/>
              </w:rPr>
            </w:pPr>
            <w:r>
              <w:rPr>
                <w:rFonts w:ascii="Times New Roman"/>
                <w:sz w:val="24"/>
              </w:rPr>
              <w:t>1,902,229,733</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63" w:right="0"/>
              <w:jc w:val="left"/>
              <w:rPr>
                <w:rFonts w:ascii="Times New Roman" w:hAnsi="Times New Roman" w:cs="Times New Roman" w:eastAsia="Times New Roman" w:hint="default"/>
                <w:sz w:val="24"/>
                <w:szCs w:val="24"/>
              </w:rPr>
            </w:pPr>
            <w:r>
              <w:rPr>
                <w:rFonts w:ascii="Times New Roman"/>
                <w:sz w:val="24"/>
              </w:rPr>
              <w:t>94,843,239</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41" w:right="0"/>
              <w:jc w:val="left"/>
              <w:rPr>
                <w:rFonts w:ascii="Times New Roman" w:hAnsi="Times New Roman" w:cs="Times New Roman" w:eastAsia="Times New Roman" w:hint="default"/>
                <w:sz w:val="24"/>
                <w:szCs w:val="24"/>
              </w:rPr>
            </w:pPr>
            <w:r>
              <w:rPr>
                <w:rFonts w:ascii="Times New Roman"/>
                <w:sz w:val="24"/>
              </w:rPr>
              <w:t>11,485,162</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66" w:right="0"/>
              <w:jc w:val="left"/>
              <w:rPr>
                <w:rFonts w:ascii="Times New Roman" w:hAnsi="Times New Roman" w:cs="Times New Roman" w:eastAsia="Times New Roman" w:hint="default"/>
                <w:sz w:val="24"/>
                <w:szCs w:val="24"/>
              </w:rPr>
            </w:pPr>
            <w:r>
              <w:rPr>
                <w:rFonts w:ascii="Times New Roman"/>
                <w:sz w:val="24"/>
              </w:rPr>
              <w:t>64,592,733</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51" w:right="0"/>
              <w:jc w:val="left"/>
              <w:rPr>
                <w:rFonts w:ascii="Times New Roman" w:hAnsi="Times New Roman" w:cs="Times New Roman" w:eastAsia="Times New Roman" w:hint="default"/>
                <w:sz w:val="24"/>
                <w:szCs w:val="24"/>
              </w:rPr>
            </w:pPr>
            <w:r>
              <w:rPr>
                <w:rFonts w:ascii="Times New Roman"/>
                <w:sz w:val="24"/>
              </w:rPr>
              <w:t>2,073,150,867</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882" w:footer="1195" w:top="1080" w:bottom="1380" w:left="1040" w:right="1560"/>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(1).</w:t>
        <w:tab/>
      </w:r>
      <w:r>
        <w:rPr/>
        <w:t>暂时闲置的固定资产情况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 √不适用</w:t>
      </w:r>
    </w:p>
    <w:p>
      <w:pPr>
        <w:pStyle w:val="Heading2"/>
        <w:tabs>
          <w:tab w:pos="1077" w:val="left" w:leader="none"/>
        </w:tabs>
        <w:spacing w:line="240" w:lineRule="auto" w:before="58"/>
        <w:ind w:left="236" w:right="0"/>
        <w:jc w:val="left"/>
        <w:rPr>
          <w:rFonts w:ascii="宋体" w:hAnsi="宋体" w:cs="宋体" w:eastAsia="宋体" w:hint="default"/>
          <w:b w:val="0"/>
          <w:bCs w:val="0"/>
        </w:rPr>
      </w:pPr>
      <w:r>
        <w:rPr>
          <w:rFonts w:ascii="宋体" w:hAnsi="宋体" w:cs="宋体" w:eastAsia="宋体" w:hint="default"/>
        </w:rPr>
        <w:t>(2).</w:t>
        <w:tab/>
      </w:r>
      <w:r>
        <w:rPr/>
        <w:t>通过融资租赁租入的固定资产情况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 √不适用</w:t>
      </w:r>
    </w:p>
    <w:p>
      <w:pPr>
        <w:pStyle w:val="Heading2"/>
        <w:tabs>
          <w:tab w:pos="1077" w:val="left" w:leader="none"/>
        </w:tabs>
        <w:spacing w:line="240" w:lineRule="auto" w:before="55"/>
        <w:ind w:left="236" w:right="0"/>
        <w:jc w:val="left"/>
        <w:rPr>
          <w:rFonts w:ascii="宋体" w:hAnsi="宋体" w:cs="宋体" w:eastAsia="宋体" w:hint="default"/>
          <w:b w:val="0"/>
          <w:bCs w:val="0"/>
        </w:rPr>
      </w:pPr>
      <w:r>
        <w:rPr>
          <w:rFonts w:ascii="宋体" w:hAnsi="宋体" w:cs="宋体" w:eastAsia="宋体" w:hint="default"/>
        </w:rPr>
        <w:t>(3).</w:t>
        <w:tab/>
      </w:r>
      <w:r>
        <w:rPr/>
        <w:t>通过经营租赁租出的固定资产</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3"/>
          <w:szCs w:val="23"/>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4813" w:space="1381"/>
            <w:col w:w="3116"/>
          </w:cols>
        </w:sectPr>
      </w:pPr>
    </w:p>
    <w:p>
      <w:pPr>
        <w:spacing w:line="240" w:lineRule="auto" w:before="10"/>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4153"/>
        <w:gridCol w:w="4897"/>
      </w:tblGrid>
      <w:tr>
        <w:trPr>
          <w:trHeight w:val="322" w:hRule="exact"/>
        </w:trPr>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489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0"/>
              <w:jc w:val="center"/>
              <w:rPr>
                <w:rFonts w:ascii="宋体" w:hAnsi="宋体" w:cs="宋体" w:eastAsia="宋体" w:hint="default"/>
                <w:sz w:val="24"/>
                <w:szCs w:val="24"/>
              </w:rPr>
            </w:pPr>
            <w:r>
              <w:rPr>
                <w:rFonts w:ascii="宋体" w:hAnsi="宋体" w:cs="宋体" w:eastAsia="宋体" w:hint="default"/>
                <w:sz w:val="24"/>
                <w:szCs w:val="24"/>
              </w:rPr>
              <w:t>期末账面价值</w:t>
            </w:r>
          </w:p>
        </w:tc>
      </w:tr>
      <w:tr>
        <w:trPr>
          <w:trHeight w:val="322" w:hRule="exact"/>
        </w:trPr>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经营性租出房屋建筑物</w:t>
            </w:r>
          </w:p>
        </w:tc>
        <w:tc>
          <w:tcPr>
            <w:tcW w:w="48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1,408,737,056</w:t>
            </w:r>
          </w:p>
        </w:tc>
      </w:tr>
      <w:tr>
        <w:trPr>
          <w:trHeight w:val="286" w:hRule="exact"/>
        </w:trPr>
        <w:tc>
          <w:tcPr>
            <w:tcW w:w="4153" w:type="dxa"/>
            <w:tcBorders>
              <w:top w:val="single" w:sz="4" w:space="0" w:color="000000"/>
              <w:left w:val="single" w:sz="4" w:space="0" w:color="000000"/>
              <w:bottom w:val="single" w:sz="4" w:space="0" w:color="000000"/>
              <w:right w:val="single" w:sz="4" w:space="0" w:color="000000"/>
            </w:tcBorders>
          </w:tcPr>
          <w:p>
            <w:pPr/>
          </w:p>
        </w:tc>
        <w:tc>
          <w:tcPr>
            <w:tcW w:w="489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Heading2"/>
        <w:tabs>
          <w:tab w:pos="1077" w:val="left" w:leader="none"/>
        </w:tabs>
        <w:spacing w:line="240" w:lineRule="auto" w:before="26"/>
        <w:ind w:left="236" w:right="4250"/>
        <w:jc w:val="left"/>
        <w:rPr>
          <w:rFonts w:ascii="宋体" w:hAnsi="宋体" w:cs="宋体" w:eastAsia="宋体" w:hint="default"/>
          <w:b w:val="0"/>
          <w:bCs w:val="0"/>
        </w:rPr>
      </w:pPr>
      <w:r>
        <w:rPr>
          <w:rFonts w:ascii="宋体" w:hAnsi="宋体" w:cs="宋体" w:eastAsia="宋体" w:hint="default"/>
        </w:rPr>
        <w:t>(4).</w:t>
        <w:tab/>
      </w:r>
      <w:r>
        <w:rPr/>
        <w:t>未办妥产权证书的固定资产情况</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88"/>
        <w:ind w:left="236" w:right="7250"/>
        <w:jc w:val="left"/>
      </w:pPr>
      <w:r>
        <w:rPr/>
        <w:t>□适用 √不适用 其他说明：</w:t>
      </w:r>
    </w:p>
    <w:p>
      <w:pPr>
        <w:pStyle w:val="BodyText"/>
        <w:spacing w:line="281" w:lineRule="exact"/>
        <w:ind w:left="236" w:right="4250"/>
        <w:jc w:val="left"/>
      </w:pPr>
      <w:r>
        <w:rPr/>
        <w:t>√适用 □不适用</w:t>
      </w:r>
    </w:p>
    <w:p>
      <w:pPr>
        <w:spacing w:after="0" w:line="281" w:lineRule="exact"/>
        <w:jc w:val="left"/>
        <w:sectPr>
          <w:type w:val="continuous"/>
          <w:pgSz w:w="11910" w:h="16840"/>
          <w:pgMar w:top="1120" w:bottom="1380" w:left="1040" w:right="1560"/>
        </w:sectPr>
      </w:pPr>
    </w:p>
    <w:p>
      <w:pPr>
        <w:spacing w:line="240" w:lineRule="auto" w:before="4"/>
        <w:rPr>
          <w:rFonts w:ascii="宋体" w:hAnsi="宋体" w:cs="宋体" w:eastAsia="宋体" w:hint="default"/>
          <w:sz w:val="22"/>
          <w:szCs w:val="22"/>
        </w:rPr>
      </w:pPr>
    </w:p>
    <w:p>
      <w:pPr>
        <w:pStyle w:val="BodyText"/>
        <w:spacing w:line="230" w:lineRule="auto" w:before="37"/>
        <w:ind w:left="236" w:right="235"/>
        <w:jc w:val="both"/>
      </w:pPr>
      <w:r>
        <w:rPr/>
        <w:t>本集团于</w:t>
      </w:r>
      <w:r>
        <w:rPr>
          <w:spacing w:val="-60"/>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日的固定资产中不存在由于市价持续下跌、或技术陈旧、 </w:t>
      </w:r>
      <w:r>
        <w:rPr>
          <w:spacing w:val="-2"/>
        </w:rPr>
        <w:t>损坏、长期闲置等原因导致固定资产可收回金额低于账面价值的情况，故不需计提固</w:t>
      </w:r>
      <w:r>
        <w:rPr>
          <w:spacing w:val="-94"/>
        </w:rPr>
        <w:t> </w:t>
      </w:r>
      <w:r>
        <w:rPr>
          <w:spacing w:val="-94"/>
        </w:rPr>
      </w:r>
      <w:r>
        <w:rPr/>
        <w:t>定资产减值准备</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日：无</w:t>
      </w:r>
      <w:r>
        <w:rPr>
          <w:rFonts w:ascii="Times New Roman" w:hAnsi="Times New Roman" w:cs="Times New Roman" w:eastAsia="Times New Roman" w:hint="default"/>
        </w:rPr>
        <w:t>)</w:t>
      </w:r>
      <w:r>
        <w:rPr/>
        <w:t>。</w:t>
      </w:r>
    </w:p>
    <w:p>
      <w:pPr>
        <w:spacing w:line="240" w:lineRule="auto" w:before="9"/>
        <w:rPr>
          <w:rFonts w:ascii="宋体" w:hAnsi="宋体" w:cs="宋体" w:eastAsia="宋体" w:hint="default"/>
          <w:sz w:val="19"/>
          <w:szCs w:val="19"/>
        </w:rPr>
      </w:pPr>
    </w:p>
    <w:p>
      <w:pPr>
        <w:pStyle w:val="BodyText"/>
        <w:spacing w:line="322" w:lineRule="exact"/>
        <w:ind w:left="236" w:right="0"/>
        <w:jc w:val="both"/>
        <w:rPr>
          <w:rFonts w:ascii="Times New Roman" w:hAnsi="Times New Roman" w:cs="Times New Roman" w:eastAsia="Times New Roman" w:hint="default"/>
        </w:rPr>
      </w:pPr>
      <w:r>
        <w:rPr/>
        <w:t>于</w:t>
      </w:r>
      <w:r>
        <w:rPr>
          <w:spacing w:val="-8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2"/>
        </w:rPr>
        <w:t> </w:t>
      </w:r>
      <w:r>
        <w:rPr/>
        <w:t>年</w:t>
      </w:r>
      <w:r>
        <w:rPr>
          <w:spacing w:val="-82"/>
        </w:rPr>
        <w:t> </w:t>
      </w:r>
      <w:r>
        <w:rPr>
          <w:rFonts w:ascii="Times New Roman" w:hAnsi="Times New Roman" w:cs="Times New Roman" w:eastAsia="Times New Roman" w:hint="default"/>
        </w:rPr>
        <w:t>12</w:t>
      </w:r>
      <w:r>
        <w:rPr>
          <w:rFonts w:ascii="Times New Roman" w:hAnsi="Times New Roman" w:cs="Times New Roman" w:eastAsia="Times New Roman" w:hint="default"/>
          <w:spacing w:val="-22"/>
        </w:rPr>
        <w:t> </w:t>
      </w:r>
      <w:r>
        <w:rPr/>
        <w:t>月</w:t>
      </w:r>
      <w:r>
        <w:rPr>
          <w:spacing w:val="-82"/>
        </w:rPr>
        <w:t> </w:t>
      </w:r>
      <w:r>
        <w:rPr>
          <w:rFonts w:ascii="Times New Roman" w:hAnsi="Times New Roman" w:cs="Times New Roman" w:eastAsia="Times New Roman" w:hint="default"/>
        </w:rPr>
        <w:t>31</w:t>
      </w:r>
      <w:r>
        <w:rPr>
          <w:rFonts w:ascii="Times New Roman" w:hAnsi="Times New Roman" w:cs="Times New Roman" w:eastAsia="Times New Roman" w:hint="default"/>
          <w:spacing w:val="-22"/>
        </w:rPr>
        <w:t> </w:t>
      </w:r>
      <w:r>
        <w:rPr/>
        <w:t>日</w:t>
      </w:r>
      <w:r>
        <w:rPr>
          <w:spacing w:val="-118"/>
        </w:rPr>
        <w:t>，</w:t>
      </w:r>
      <w:r>
        <w:rPr/>
        <w:t>本集团没有重大暂时闲置及已退废和准备处置的固定资</w:t>
      </w:r>
      <w:r>
        <w:rPr>
          <w:spacing w:val="1"/>
        </w:rPr>
        <w:t>产</w:t>
      </w:r>
      <w:r>
        <w:rPr>
          <w:rFonts w:ascii="Times New Roman" w:hAnsi="Times New Roman" w:cs="Times New Roman" w:eastAsia="Times New Roman" w:hint="default"/>
        </w:rPr>
        <w:t>(2018</w:t>
      </w:r>
    </w:p>
    <w:p>
      <w:pPr>
        <w:pStyle w:val="BodyText"/>
        <w:spacing w:line="322" w:lineRule="exact"/>
        <w:ind w:left="236" w:right="0"/>
        <w:jc w:val="both"/>
      </w:pP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2"/>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日：无</w:t>
      </w:r>
      <w:r>
        <w:rPr>
          <w:rFonts w:ascii="Times New Roman" w:hAnsi="Times New Roman" w:cs="Times New Roman" w:eastAsia="Times New Roman" w:hint="default"/>
        </w:rPr>
        <w:t>)</w:t>
      </w:r>
      <w:r>
        <w:rPr/>
        <w:t>。</w:t>
      </w:r>
    </w:p>
    <w:p>
      <w:pPr>
        <w:spacing w:line="240" w:lineRule="auto" w:before="5"/>
        <w:rPr>
          <w:rFonts w:ascii="宋体" w:hAnsi="宋体" w:cs="宋体" w:eastAsia="宋体" w:hint="default"/>
          <w:sz w:val="19"/>
          <w:szCs w:val="19"/>
        </w:rPr>
      </w:pPr>
    </w:p>
    <w:p>
      <w:pPr>
        <w:pStyle w:val="BodyText"/>
        <w:spacing w:line="322" w:lineRule="exact"/>
        <w:ind w:left="236" w:right="0"/>
        <w:jc w:val="both"/>
      </w:pPr>
      <w:r>
        <w:rPr/>
        <w:t>于</w:t>
      </w:r>
      <w:r>
        <w:rPr>
          <w:spacing w:val="-6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日，账面价值为人民币</w:t>
      </w:r>
      <w:r>
        <w:rPr>
          <w:spacing w:val="-60"/>
        </w:rPr>
        <w:t> </w:t>
      </w:r>
      <w:r>
        <w:rPr>
          <w:rFonts w:ascii="Times New Roman" w:hAnsi="Times New Roman" w:cs="Times New Roman" w:eastAsia="Times New Roman" w:hint="default"/>
        </w:rPr>
        <w:t>523,454,206 </w:t>
      </w:r>
      <w:r>
        <w:rPr/>
        <w:t>元</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日：人民</w:t>
      </w:r>
    </w:p>
    <w:p>
      <w:pPr>
        <w:pStyle w:val="BodyText"/>
        <w:spacing w:line="322" w:lineRule="exact"/>
        <w:ind w:left="236" w:right="0"/>
        <w:jc w:val="both"/>
      </w:pPr>
      <w:r>
        <w:rPr/>
        <w:t>币</w:t>
      </w:r>
      <w:r>
        <w:rPr>
          <w:spacing w:val="-60"/>
        </w:rPr>
        <w:t> </w:t>
      </w:r>
      <w:r>
        <w:rPr>
          <w:rFonts w:ascii="Times New Roman" w:hAnsi="Times New Roman" w:cs="Times New Roman" w:eastAsia="Times New Roman" w:hint="default"/>
        </w:rPr>
        <w:t>783,623,765</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的房屋建筑物，用于取得银行借款抵押。</w:t>
      </w:r>
      <w:r>
        <w:rPr>
          <w:shd w:fill="FFFF00" w:color="auto" w:val="clear"/>
        </w:rPr>
        <w:t>详情参见附注七、</w:t>
      </w:r>
      <w:r>
        <w:rPr>
          <w:rFonts w:ascii="Times New Roman" w:hAnsi="Times New Roman" w:cs="Times New Roman" w:eastAsia="Times New Roman" w:hint="default"/>
          <w:shd w:fill="FFFF00" w:color="auto" w:val="clear"/>
        </w:rPr>
        <w:t>78</w:t>
      </w:r>
      <w:r>
        <w:rPr>
          <w:shd w:fill="FFFF00" w:color="auto" w:val="clear"/>
        </w:rPr>
        <w:t>。</w:t>
      </w:r>
      <w:r>
        <w:rPr/>
      </w:r>
    </w:p>
    <w:p>
      <w:pPr>
        <w:spacing w:line="240" w:lineRule="auto" w:before="2"/>
        <w:rPr>
          <w:rFonts w:ascii="宋体" w:hAnsi="宋体" w:cs="宋体" w:eastAsia="宋体" w:hint="default"/>
          <w:sz w:val="24"/>
          <w:szCs w:val="24"/>
        </w:rPr>
      </w:pPr>
    </w:p>
    <w:p>
      <w:pPr>
        <w:pStyle w:val="Heading2"/>
        <w:spacing w:line="240" w:lineRule="auto"/>
        <w:ind w:left="236" w:right="0"/>
        <w:jc w:val="both"/>
        <w:rPr>
          <w:rFonts w:ascii="宋体" w:hAnsi="宋体" w:cs="宋体" w:eastAsia="宋体" w:hint="default"/>
          <w:b w:val="0"/>
          <w:bCs w:val="0"/>
        </w:rPr>
      </w:pPr>
      <w:r>
        <w:rPr/>
        <w:t>固定资产清理</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both"/>
      </w:pPr>
      <w:r>
        <w:rPr/>
        <w:t>□适用 √不适用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82" w:footer="1195" w:top="1080" w:bottom="1380" w:left="1040" w:right="1560"/>
        </w:sectPr>
      </w:pPr>
    </w:p>
    <w:p>
      <w:pPr>
        <w:pStyle w:val="Heading2"/>
        <w:spacing w:line="283" w:lineRule="auto" w:before="26"/>
        <w:ind w:left="236" w:right="-19"/>
        <w:jc w:val="left"/>
        <w:rPr>
          <w:rFonts w:ascii="宋体" w:hAnsi="宋体" w:cs="宋体" w:eastAsia="宋体" w:hint="default"/>
          <w:b w:val="0"/>
          <w:bCs w:val="0"/>
        </w:rPr>
      </w:pPr>
      <w:r>
        <w:rPr>
          <w:rFonts w:ascii="宋体" w:hAnsi="宋体" w:cs="宋体" w:eastAsia="宋体" w:hint="default"/>
        </w:rPr>
        <w:t>21</w:t>
      </w:r>
      <w:r>
        <w:rPr/>
        <w:t>、</w:t>
      </w:r>
      <w:r>
        <w:rPr>
          <w:spacing w:val="-101"/>
        </w:rPr>
        <w:t> </w:t>
      </w:r>
      <w:r>
        <w:rPr/>
        <w:t>在建工程</w:t>
      </w:r>
      <w:r>
        <w:rPr>
          <w:rFonts w:ascii="宋体" w:hAnsi="宋体" w:cs="宋体" w:eastAsia="宋体" w:hint="default"/>
          <w:w w:val="99"/>
        </w:rPr>
        <w:t> </w:t>
      </w:r>
      <w:r>
        <w:rPr/>
        <w:t>项目列示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236" w:right="-19"/>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038" w:space="4156"/>
            <w:col w:w="3116"/>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198"/>
        <w:gridCol w:w="2938"/>
        <w:gridCol w:w="2926"/>
      </w:tblGrid>
      <w:tr>
        <w:trPr>
          <w:trHeight w:val="322"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52"/>
              <w:jc w:val="right"/>
              <w:rPr>
                <w:rFonts w:ascii="宋体" w:hAnsi="宋体" w:cs="宋体" w:eastAsia="宋体" w:hint="default"/>
                <w:sz w:val="24"/>
                <w:szCs w:val="24"/>
              </w:rPr>
            </w:pPr>
            <w:r>
              <w:rPr>
                <w:rFonts w:ascii="宋体" w:hAnsi="宋体" w:cs="宋体" w:eastAsia="宋体" w:hint="default"/>
                <w:sz w:val="24"/>
                <w:szCs w:val="24"/>
              </w:rPr>
              <w:t>项目</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在建工程</w:t>
            </w:r>
          </w:p>
        </w:tc>
        <w:tc>
          <w:tcPr>
            <w:tcW w:w="2938" w:type="dxa"/>
            <w:tcBorders>
              <w:top w:val="single" w:sz="4" w:space="0" w:color="000000"/>
              <w:left w:val="single" w:sz="4" w:space="0" w:color="000000"/>
              <w:bottom w:val="single" w:sz="4" w:space="0" w:color="000000"/>
              <w:right w:val="single" w:sz="4" w:space="0" w:color="000000"/>
            </w:tcBorders>
          </w:tcPr>
          <w:p>
            <w:pP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73"/>
              <w:jc w:val="right"/>
              <w:rPr>
                <w:rFonts w:ascii="Times New Roman" w:hAnsi="Times New Roman" w:cs="Times New Roman" w:eastAsia="Times New Roman" w:hint="default"/>
                <w:sz w:val="24"/>
                <w:szCs w:val="24"/>
              </w:rPr>
            </w:pPr>
            <w:r>
              <w:rPr>
                <w:rFonts w:ascii="Times New Roman"/>
                <w:sz w:val="24"/>
              </w:rPr>
              <w:t>446,130,020</w:t>
            </w:r>
          </w:p>
        </w:tc>
      </w:tr>
      <w:tr>
        <w:trPr>
          <w:trHeight w:val="319"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工程物资</w:t>
            </w:r>
          </w:p>
        </w:tc>
        <w:tc>
          <w:tcPr>
            <w:tcW w:w="2938" w:type="dxa"/>
            <w:tcBorders>
              <w:top w:val="single" w:sz="4" w:space="0" w:color="000000"/>
              <w:left w:val="single" w:sz="4" w:space="0" w:color="000000"/>
              <w:bottom w:val="single" w:sz="4" w:space="0" w:color="000000"/>
              <w:right w:val="single" w:sz="4" w:space="0" w:color="000000"/>
            </w:tcBorders>
          </w:tcPr>
          <w:p>
            <w:pPr/>
          </w:p>
        </w:tc>
        <w:tc>
          <w:tcPr>
            <w:tcW w:w="292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352"/>
              <w:jc w:val="right"/>
              <w:rPr>
                <w:rFonts w:ascii="宋体" w:hAnsi="宋体" w:cs="宋体" w:eastAsia="宋体" w:hint="default"/>
                <w:sz w:val="24"/>
                <w:szCs w:val="24"/>
              </w:rPr>
            </w:pPr>
            <w:r>
              <w:rPr>
                <w:rFonts w:ascii="宋体" w:hAnsi="宋体" w:cs="宋体" w:eastAsia="宋体" w:hint="default"/>
                <w:sz w:val="24"/>
                <w:szCs w:val="24"/>
              </w:rPr>
              <w:t>合计</w:t>
            </w:r>
          </w:p>
        </w:tc>
        <w:tc>
          <w:tcPr>
            <w:tcW w:w="2938" w:type="dxa"/>
            <w:tcBorders>
              <w:top w:val="single" w:sz="4" w:space="0" w:color="000000"/>
              <w:left w:val="single" w:sz="4" w:space="0" w:color="000000"/>
              <w:bottom w:val="single" w:sz="4" w:space="0" w:color="000000"/>
              <w:right w:val="single" w:sz="4" w:space="0" w:color="000000"/>
            </w:tcBorders>
          </w:tcPr>
          <w:p>
            <w:pP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3"/>
              <w:jc w:val="right"/>
              <w:rPr>
                <w:rFonts w:ascii="Times New Roman" w:hAnsi="Times New Roman" w:cs="Times New Roman" w:eastAsia="Times New Roman" w:hint="default"/>
                <w:sz w:val="24"/>
                <w:szCs w:val="24"/>
              </w:rPr>
            </w:pPr>
            <w:r>
              <w:rPr>
                <w:rFonts w:ascii="Times New Roman"/>
                <w:sz w:val="24"/>
              </w:rPr>
              <w:t>446,130,020</w:t>
            </w:r>
          </w:p>
        </w:tc>
      </w:tr>
    </w:tbl>
    <w:p>
      <w:pPr>
        <w:spacing w:line="240" w:lineRule="auto" w:before="1"/>
        <w:rPr>
          <w:rFonts w:ascii="宋体" w:hAnsi="宋体" w:cs="宋体" w:eastAsia="宋体" w:hint="default"/>
          <w:sz w:val="16"/>
          <w:szCs w:val="16"/>
        </w:rPr>
      </w:pPr>
    </w:p>
    <w:p>
      <w:pPr>
        <w:pStyle w:val="BodyText"/>
        <w:spacing w:line="313" w:lineRule="exact" w:before="26"/>
        <w:ind w:left="236" w:right="4250"/>
        <w:jc w:val="left"/>
      </w:pPr>
      <w:r>
        <w:rPr/>
        <w:t>其他说明：</w:t>
      </w:r>
    </w:p>
    <w:p>
      <w:pPr>
        <w:pStyle w:val="BodyText"/>
        <w:spacing w:line="313" w:lineRule="exact"/>
        <w:ind w:left="236" w:right="425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40" w:right="1560"/>
        </w:sectPr>
      </w:pPr>
    </w:p>
    <w:p>
      <w:pPr>
        <w:pStyle w:val="Heading2"/>
        <w:spacing w:line="240" w:lineRule="auto" w:before="26"/>
        <w:ind w:left="236" w:right="0"/>
        <w:jc w:val="left"/>
        <w:rPr>
          <w:rFonts w:ascii="宋体" w:hAnsi="宋体" w:cs="宋体" w:eastAsia="宋体" w:hint="default"/>
          <w:b w:val="0"/>
          <w:bCs w:val="0"/>
        </w:rPr>
      </w:pPr>
      <w:r>
        <w:rPr/>
        <w:t>在建工程</w:t>
      </w:r>
      <w:r>
        <w:rPr>
          <w:rFonts w:ascii="宋体" w:hAnsi="宋体" w:cs="宋体" w:eastAsia="宋体" w:hint="default"/>
          <w:w w:val="99"/>
        </w:rPr>
        <w:t> </w:t>
      </w:r>
      <w:r>
        <w:rPr>
          <w:rFonts w:ascii="宋体" w:hAnsi="宋体" w:cs="宋体" w:eastAsia="宋体" w:hint="default"/>
          <w:b w:val="0"/>
          <w:bCs w:val="0"/>
        </w:rPr>
      </w:r>
    </w:p>
    <w:p>
      <w:pPr>
        <w:pStyle w:val="Heading2"/>
        <w:tabs>
          <w:tab w:pos="1077" w:val="left" w:leader="none"/>
        </w:tabs>
        <w:spacing w:line="240" w:lineRule="auto" w:before="58"/>
        <w:ind w:left="236" w:right="0"/>
        <w:jc w:val="left"/>
        <w:rPr>
          <w:rFonts w:ascii="宋体" w:hAnsi="宋体" w:cs="宋体" w:eastAsia="宋体" w:hint="default"/>
          <w:b w:val="0"/>
          <w:bCs w:val="0"/>
        </w:rPr>
      </w:pPr>
      <w:r>
        <w:rPr>
          <w:rFonts w:ascii="宋体" w:hAnsi="宋体" w:cs="宋体" w:eastAsia="宋体" w:hint="default"/>
        </w:rPr>
        <w:t>(1).</w:t>
        <w:tab/>
      </w:r>
      <w:r>
        <w:rPr/>
        <w:t>在建工程情况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643" w:space="3551"/>
            <w:col w:w="3116"/>
          </w:cols>
        </w:sectPr>
      </w:pPr>
    </w:p>
    <w:p>
      <w:pPr>
        <w:spacing w:line="240" w:lineRule="auto" w:before="12"/>
        <w:rPr>
          <w:rFonts w:ascii="宋体" w:hAnsi="宋体" w:cs="宋体" w:eastAsia="宋体" w:hint="default"/>
          <w:sz w:val="2"/>
          <w:szCs w:val="2"/>
        </w:rPr>
      </w:pPr>
    </w:p>
    <w:tbl>
      <w:tblPr>
        <w:tblW w:w="0" w:type="auto"/>
        <w:jc w:val="left"/>
        <w:tblInd w:w="200" w:type="dxa"/>
        <w:tblLayout w:type="fixed"/>
        <w:tblCellMar>
          <w:top w:w="0" w:type="dxa"/>
          <w:left w:w="0" w:type="dxa"/>
          <w:bottom w:w="0" w:type="dxa"/>
          <w:right w:w="0" w:type="dxa"/>
        </w:tblCellMar>
        <w:tblLook w:val="01E0"/>
      </w:tblPr>
      <w:tblGrid>
        <w:gridCol w:w="1817"/>
        <w:gridCol w:w="1143"/>
        <w:gridCol w:w="1140"/>
        <w:gridCol w:w="1131"/>
        <w:gridCol w:w="1262"/>
        <w:gridCol w:w="1142"/>
        <w:gridCol w:w="1261"/>
      </w:tblGrid>
      <w:tr>
        <w:trPr>
          <w:trHeight w:val="319" w:hRule="exact"/>
        </w:trPr>
        <w:tc>
          <w:tcPr>
            <w:tcW w:w="1817" w:type="dxa"/>
            <w:vMerge w:val="restart"/>
            <w:tcBorders>
              <w:top w:val="single" w:sz="4" w:space="0" w:color="000000"/>
              <w:left w:val="single" w:sz="4" w:space="0" w:color="000000"/>
              <w:right w:val="single" w:sz="4" w:space="0" w:color="000000"/>
            </w:tcBorders>
          </w:tcPr>
          <w:p>
            <w:pPr>
              <w:pStyle w:val="TableParagraph"/>
              <w:spacing w:line="240" w:lineRule="auto" w:before="120"/>
              <w:ind w:right="1"/>
              <w:jc w:val="center"/>
              <w:rPr>
                <w:rFonts w:ascii="宋体" w:hAnsi="宋体" w:cs="宋体" w:eastAsia="宋体" w:hint="default"/>
                <w:sz w:val="24"/>
                <w:szCs w:val="24"/>
              </w:rPr>
            </w:pPr>
            <w:r>
              <w:rPr>
                <w:rFonts w:ascii="宋体" w:hAnsi="宋体" w:cs="宋体" w:eastAsia="宋体" w:hint="default"/>
                <w:sz w:val="24"/>
                <w:szCs w:val="24"/>
              </w:rPr>
              <w:t>项目</w:t>
            </w:r>
          </w:p>
        </w:tc>
        <w:tc>
          <w:tcPr>
            <w:tcW w:w="3414"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665"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1817" w:type="dxa"/>
            <w:vMerge/>
            <w:tcBorders>
              <w:left w:val="single" w:sz="4" w:space="0" w:color="000000"/>
              <w:bottom w:val="single" w:sz="4" w:space="0" w:color="000000"/>
              <w:right w:val="single" w:sz="4" w:space="0" w:color="000000"/>
            </w:tcBorders>
          </w:tcPr>
          <w:p>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6" w:right="0"/>
              <w:jc w:val="left"/>
              <w:rPr>
                <w:rFonts w:ascii="宋体" w:hAnsi="宋体" w:cs="宋体" w:eastAsia="宋体" w:hint="default"/>
                <w:sz w:val="24"/>
                <w:szCs w:val="24"/>
              </w:rPr>
            </w:pPr>
            <w:r>
              <w:rPr>
                <w:rFonts w:ascii="宋体" w:hAnsi="宋体" w:cs="宋体" w:eastAsia="宋体" w:hint="default"/>
                <w:sz w:val="24"/>
                <w:szCs w:val="24"/>
              </w:rPr>
              <w:t>账面余额</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3" w:right="0"/>
              <w:jc w:val="left"/>
              <w:rPr>
                <w:rFonts w:ascii="宋体" w:hAnsi="宋体" w:cs="宋体" w:eastAsia="宋体" w:hint="default"/>
                <w:sz w:val="24"/>
                <w:szCs w:val="24"/>
              </w:rPr>
            </w:pPr>
            <w:r>
              <w:rPr>
                <w:rFonts w:ascii="宋体" w:hAnsi="宋体" w:cs="宋体" w:eastAsia="宋体" w:hint="default"/>
                <w:sz w:val="24"/>
                <w:szCs w:val="24"/>
              </w:rPr>
              <w:t>减值准备</w:t>
            </w: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9" w:right="0"/>
              <w:jc w:val="left"/>
              <w:rPr>
                <w:rFonts w:ascii="宋体" w:hAnsi="宋体" w:cs="宋体" w:eastAsia="宋体" w:hint="default"/>
                <w:sz w:val="24"/>
                <w:szCs w:val="24"/>
              </w:rPr>
            </w:pPr>
            <w:r>
              <w:rPr>
                <w:rFonts w:ascii="宋体" w:hAnsi="宋体" w:cs="宋体" w:eastAsia="宋体" w:hint="default"/>
                <w:sz w:val="24"/>
                <w:szCs w:val="24"/>
              </w:rPr>
              <w:t>账面价值</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center"/>
              <w:rPr>
                <w:rFonts w:ascii="宋体" w:hAnsi="宋体" w:cs="宋体" w:eastAsia="宋体" w:hint="default"/>
                <w:sz w:val="24"/>
                <w:szCs w:val="24"/>
              </w:rPr>
            </w:pPr>
            <w:r>
              <w:rPr>
                <w:rFonts w:ascii="宋体" w:hAnsi="宋体" w:cs="宋体" w:eastAsia="宋体" w:hint="default"/>
                <w:sz w:val="24"/>
                <w:szCs w:val="24"/>
              </w:rPr>
              <w:t>账面余额</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3" w:right="0"/>
              <w:jc w:val="left"/>
              <w:rPr>
                <w:rFonts w:ascii="宋体" w:hAnsi="宋体" w:cs="宋体" w:eastAsia="宋体" w:hint="default"/>
                <w:sz w:val="24"/>
                <w:szCs w:val="24"/>
              </w:rPr>
            </w:pPr>
            <w:r>
              <w:rPr>
                <w:rFonts w:ascii="宋体" w:hAnsi="宋体" w:cs="宋体" w:eastAsia="宋体" w:hint="default"/>
                <w:sz w:val="24"/>
                <w:szCs w:val="24"/>
              </w:rPr>
              <w:t>减值准备</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hAnsi="宋体" w:cs="宋体" w:eastAsia="宋体" w:hint="default"/>
                <w:sz w:val="24"/>
                <w:szCs w:val="24"/>
              </w:rPr>
              <w:t>账面价值</w:t>
            </w:r>
          </w:p>
        </w:tc>
      </w:tr>
      <w:tr>
        <w:trPr>
          <w:trHeight w:val="634" w:hRule="exact"/>
        </w:trPr>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6" w:right="0"/>
              <w:jc w:val="left"/>
              <w:rPr>
                <w:rFonts w:ascii="宋体" w:hAnsi="宋体" w:cs="宋体" w:eastAsia="宋体" w:hint="default"/>
                <w:sz w:val="24"/>
                <w:szCs w:val="24"/>
              </w:rPr>
            </w:pPr>
            <w:r>
              <w:rPr>
                <w:rFonts w:ascii="宋体" w:hAnsi="宋体" w:cs="宋体" w:eastAsia="宋体" w:hint="default"/>
                <w:sz w:val="24"/>
                <w:szCs w:val="24"/>
              </w:rPr>
              <w:t>用友软件园项目</w:t>
            </w:r>
          </w:p>
          <w:p>
            <w:pPr>
              <w:pStyle w:val="TableParagraph"/>
              <w:spacing w:line="313" w:lineRule="exact"/>
              <w:ind w:left="26" w:right="0"/>
              <w:jc w:val="left"/>
              <w:rPr>
                <w:rFonts w:ascii="宋体" w:hAnsi="宋体" w:cs="宋体" w:eastAsia="宋体" w:hint="default"/>
                <w:sz w:val="24"/>
                <w:szCs w:val="24"/>
              </w:rPr>
            </w:pPr>
            <w:r>
              <w:rPr>
                <w:rFonts w:ascii="宋体" w:hAnsi="宋体" w:cs="宋体" w:eastAsia="宋体" w:hint="default"/>
                <w:sz w:val="24"/>
                <w:szCs w:val="24"/>
              </w:rPr>
              <w:t>二期工程</w:t>
            </w:r>
          </w:p>
        </w:tc>
        <w:tc>
          <w:tcPr>
            <w:tcW w:w="1143"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142"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26" w:right="0"/>
              <w:jc w:val="left"/>
              <w:rPr>
                <w:rFonts w:ascii="宋体" w:hAnsi="宋体" w:cs="宋体" w:eastAsia="宋体" w:hint="default"/>
                <w:sz w:val="24"/>
                <w:szCs w:val="24"/>
              </w:rPr>
            </w:pPr>
            <w:r>
              <w:rPr>
                <w:rFonts w:ascii="宋体" w:hAnsi="宋体" w:cs="宋体" w:eastAsia="宋体" w:hint="default"/>
                <w:sz w:val="24"/>
                <w:szCs w:val="24"/>
              </w:rPr>
              <w:t>用友</w:t>
            </w:r>
            <w:r>
              <w:rPr>
                <w:rFonts w:ascii="Times New Roman" w:hAnsi="Times New Roman" w:cs="Times New Roman" w:eastAsia="Times New Roman" w:hint="default"/>
                <w:sz w:val="24"/>
                <w:szCs w:val="24"/>
              </w:rPr>
              <w:t>(</w:t>
            </w:r>
            <w:r>
              <w:rPr>
                <w:rFonts w:ascii="宋体" w:hAnsi="宋体" w:cs="宋体" w:eastAsia="宋体" w:hint="default"/>
                <w:sz w:val="24"/>
                <w:szCs w:val="24"/>
              </w:rPr>
              <w:t>南昌</w:t>
            </w:r>
            <w:r>
              <w:rPr>
                <w:rFonts w:ascii="Times New Roman" w:hAnsi="Times New Roman" w:cs="Times New Roman" w:eastAsia="Times New Roman" w:hint="default"/>
                <w:sz w:val="24"/>
                <w:szCs w:val="24"/>
              </w:rPr>
              <w:t>)</w:t>
            </w:r>
            <w:r>
              <w:rPr>
                <w:rFonts w:ascii="宋体" w:hAnsi="宋体" w:cs="宋体" w:eastAsia="宋体" w:hint="default"/>
                <w:sz w:val="24"/>
                <w:szCs w:val="24"/>
              </w:rPr>
              <w:t>工程</w:t>
            </w:r>
          </w:p>
          <w:p>
            <w:pPr>
              <w:pStyle w:val="TableParagraph"/>
              <w:spacing w:line="304" w:lineRule="exact"/>
              <w:ind w:left="26" w:right="0"/>
              <w:jc w:val="left"/>
              <w:rPr>
                <w:rFonts w:ascii="宋体" w:hAnsi="宋体" w:cs="宋体" w:eastAsia="宋体" w:hint="default"/>
                <w:sz w:val="24"/>
                <w:szCs w:val="24"/>
              </w:rPr>
            </w:pPr>
            <w:r>
              <w:rPr>
                <w:rFonts w:ascii="宋体" w:hAnsi="宋体" w:cs="宋体" w:eastAsia="宋体" w:hint="default"/>
                <w:sz w:val="24"/>
                <w:szCs w:val="24"/>
              </w:rPr>
              <w:t>二期</w:t>
            </w:r>
          </w:p>
        </w:tc>
        <w:tc>
          <w:tcPr>
            <w:tcW w:w="1143"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
              <w:jc w:val="center"/>
              <w:rPr>
                <w:rFonts w:ascii="Times New Roman" w:hAnsi="Times New Roman" w:cs="Times New Roman" w:eastAsia="Times New Roman" w:hint="default"/>
                <w:sz w:val="24"/>
                <w:szCs w:val="24"/>
              </w:rPr>
            </w:pPr>
            <w:r>
              <w:rPr>
                <w:rFonts w:ascii="Times New Roman"/>
                <w:sz w:val="24"/>
              </w:rPr>
              <w:t>231,516,574</w:t>
            </w:r>
          </w:p>
        </w:tc>
        <w:tc>
          <w:tcPr>
            <w:tcW w:w="1142"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sz w:val="24"/>
              </w:rPr>
              <w:t>231,516,574</w:t>
            </w:r>
          </w:p>
        </w:tc>
      </w:tr>
      <w:tr>
        <w:trPr>
          <w:trHeight w:val="322" w:hRule="exact"/>
        </w:trPr>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72"/>
              <w:jc w:val="center"/>
              <w:rPr>
                <w:rFonts w:ascii="宋体" w:hAnsi="宋体" w:cs="宋体" w:eastAsia="宋体" w:hint="default"/>
                <w:sz w:val="24"/>
                <w:szCs w:val="24"/>
              </w:rPr>
            </w:pPr>
            <w:r>
              <w:rPr>
                <w:rFonts w:ascii="宋体" w:hAnsi="宋体" w:cs="宋体" w:eastAsia="宋体" w:hint="default"/>
                <w:sz w:val="24"/>
                <w:szCs w:val="24"/>
              </w:rPr>
              <w:t>三亚软件园一期</w:t>
            </w:r>
          </w:p>
        </w:tc>
        <w:tc>
          <w:tcPr>
            <w:tcW w:w="1143"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
              <w:jc w:val="center"/>
              <w:rPr>
                <w:rFonts w:ascii="Times New Roman" w:hAnsi="Times New Roman" w:cs="Times New Roman" w:eastAsia="Times New Roman" w:hint="default"/>
                <w:sz w:val="24"/>
                <w:szCs w:val="24"/>
              </w:rPr>
            </w:pPr>
            <w:r>
              <w:rPr>
                <w:rFonts w:ascii="Times New Roman"/>
                <w:sz w:val="24"/>
              </w:rPr>
              <w:t>214,613,446</w:t>
            </w:r>
          </w:p>
        </w:tc>
        <w:tc>
          <w:tcPr>
            <w:tcW w:w="1142"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
              <w:jc w:val="center"/>
              <w:rPr>
                <w:rFonts w:ascii="Times New Roman" w:hAnsi="Times New Roman" w:cs="Times New Roman" w:eastAsia="Times New Roman" w:hint="default"/>
                <w:sz w:val="24"/>
                <w:szCs w:val="24"/>
              </w:rPr>
            </w:pPr>
            <w:r>
              <w:rPr>
                <w:rFonts w:ascii="Times New Roman"/>
                <w:sz w:val="24"/>
              </w:rPr>
              <w:t>214,613,446</w:t>
            </w:r>
          </w:p>
        </w:tc>
      </w:tr>
      <w:tr>
        <w:trPr>
          <w:trHeight w:val="322" w:hRule="exact"/>
        </w:trPr>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合计</w:t>
            </w:r>
          </w:p>
        </w:tc>
        <w:tc>
          <w:tcPr>
            <w:tcW w:w="1143"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
              <w:jc w:val="center"/>
              <w:rPr>
                <w:rFonts w:ascii="Times New Roman" w:hAnsi="Times New Roman" w:cs="Times New Roman" w:eastAsia="Times New Roman" w:hint="default"/>
                <w:sz w:val="24"/>
                <w:szCs w:val="24"/>
              </w:rPr>
            </w:pPr>
            <w:r>
              <w:rPr>
                <w:rFonts w:ascii="Times New Roman"/>
                <w:sz w:val="24"/>
              </w:rPr>
              <w:t>446,130,020</w:t>
            </w:r>
          </w:p>
        </w:tc>
        <w:tc>
          <w:tcPr>
            <w:tcW w:w="1142"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sz w:val="24"/>
              </w:rPr>
              <w:t>446,130,020</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40" w:right="1560"/>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(2).</w:t>
        <w:tab/>
      </w:r>
      <w:r>
        <w:rPr/>
        <w:t>重要在建工程项目本期变动情况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4573" w:space="1621"/>
            <w:col w:w="3116"/>
          </w:cols>
        </w:sectPr>
      </w:pPr>
    </w:p>
    <w:p>
      <w:pPr>
        <w:spacing w:line="240" w:lineRule="auto" w:before="5"/>
        <w:rPr>
          <w:rFonts w:ascii="宋体" w:hAnsi="宋体" w:cs="宋体" w:eastAsia="宋体" w:hint="default"/>
          <w:sz w:val="27"/>
          <w:szCs w:val="27"/>
        </w:rPr>
      </w:pPr>
    </w:p>
    <w:tbl>
      <w:tblPr>
        <w:tblW w:w="0" w:type="auto"/>
        <w:jc w:val="left"/>
        <w:tblInd w:w="109" w:type="dxa"/>
        <w:tblLayout w:type="fixed"/>
        <w:tblCellMar>
          <w:top w:w="0" w:type="dxa"/>
          <w:left w:w="0" w:type="dxa"/>
          <w:bottom w:w="0" w:type="dxa"/>
          <w:right w:w="0" w:type="dxa"/>
        </w:tblCellMar>
        <w:tblLook w:val="01E0"/>
      </w:tblPr>
      <w:tblGrid>
        <w:gridCol w:w="963"/>
        <w:gridCol w:w="1207"/>
        <w:gridCol w:w="1093"/>
        <w:gridCol w:w="994"/>
        <w:gridCol w:w="1039"/>
        <w:gridCol w:w="540"/>
        <w:gridCol w:w="427"/>
        <w:gridCol w:w="523"/>
        <w:gridCol w:w="334"/>
        <w:gridCol w:w="967"/>
        <w:gridCol w:w="781"/>
        <w:gridCol w:w="514"/>
        <w:gridCol w:w="482"/>
      </w:tblGrid>
      <w:tr>
        <w:trPr>
          <w:trHeight w:val="1412" w:hRule="exact"/>
        </w:trPr>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11"/>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307" w:right="413"/>
              <w:jc w:val="left"/>
              <w:rPr>
                <w:rFonts w:ascii="宋体" w:hAnsi="宋体" w:cs="宋体" w:eastAsia="宋体" w:hint="default"/>
                <w:sz w:val="18"/>
                <w:szCs w:val="18"/>
              </w:rPr>
            </w:pPr>
            <w:r>
              <w:rPr>
                <w:rFonts w:ascii="宋体" w:hAnsi="宋体" w:cs="宋体" w:eastAsia="宋体" w:hint="default"/>
                <w:sz w:val="18"/>
                <w:szCs w:val="18"/>
              </w:rPr>
              <w:t>期初 余额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259" w:right="182" w:hanging="180"/>
              <w:jc w:val="left"/>
              <w:rPr>
                <w:rFonts w:ascii="宋体" w:hAnsi="宋体" w:cs="宋体" w:eastAsia="宋体" w:hint="default"/>
                <w:sz w:val="18"/>
                <w:szCs w:val="18"/>
              </w:rPr>
            </w:pPr>
            <w:r>
              <w:rPr>
                <w:rFonts w:ascii="宋体" w:hAnsi="宋体" w:cs="宋体" w:eastAsia="宋体" w:hint="default"/>
                <w:sz w:val="18"/>
                <w:szCs w:val="18"/>
              </w:rPr>
              <w:t>本期增加 金额</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28" w:right="98"/>
              <w:jc w:val="left"/>
              <w:rPr>
                <w:rFonts w:ascii="宋体" w:hAnsi="宋体" w:cs="宋体" w:eastAsia="宋体" w:hint="default"/>
                <w:sz w:val="18"/>
                <w:szCs w:val="18"/>
              </w:rPr>
            </w:pPr>
            <w:r>
              <w:rPr>
                <w:rFonts w:ascii="宋体" w:hAnsi="宋体" w:cs="宋体" w:eastAsia="宋体" w:hint="default"/>
                <w:sz w:val="18"/>
                <w:szCs w:val="18"/>
              </w:rPr>
              <w:t>本期转入固 定资产金额</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37" w:lineRule="auto"/>
              <w:ind w:left="48" w:right="120"/>
              <w:jc w:val="both"/>
              <w:rPr>
                <w:rFonts w:ascii="宋体" w:hAnsi="宋体" w:cs="宋体" w:eastAsia="宋体" w:hint="default"/>
                <w:sz w:val="18"/>
                <w:szCs w:val="18"/>
              </w:rPr>
            </w:pPr>
            <w:r>
              <w:rPr>
                <w:rFonts w:ascii="宋体" w:hAnsi="宋体" w:cs="宋体" w:eastAsia="宋体" w:hint="default"/>
                <w:sz w:val="18"/>
                <w:szCs w:val="18"/>
              </w:rPr>
              <w:t>本期 其他 减少 金额</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28" w:right="26"/>
              <w:jc w:val="left"/>
              <w:rPr>
                <w:rFonts w:ascii="宋体" w:hAnsi="宋体" w:cs="宋体" w:eastAsia="宋体" w:hint="default"/>
                <w:sz w:val="18"/>
                <w:szCs w:val="18"/>
              </w:rPr>
            </w:pPr>
            <w:r>
              <w:rPr>
                <w:rFonts w:ascii="宋体" w:hAnsi="宋体" w:cs="宋体" w:eastAsia="宋体" w:hint="default"/>
                <w:sz w:val="18"/>
                <w:szCs w:val="18"/>
              </w:rPr>
              <w:t>期末 余额</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74" w:right="0"/>
              <w:jc w:val="both"/>
              <w:rPr>
                <w:rFonts w:ascii="宋体" w:hAnsi="宋体" w:cs="宋体" w:eastAsia="宋体" w:hint="default"/>
                <w:sz w:val="18"/>
                <w:szCs w:val="18"/>
              </w:rPr>
            </w:pPr>
            <w:r>
              <w:rPr>
                <w:rFonts w:ascii="宋体" w:hAnsi="宋体" w:cs="宋体" w:eastAsia="宋体" w:hint="default"/>
                <w:sz w:val="18"/>
                <w:szCs w:val="18"/>
              </w:rPr>
              <w:t>工程</w:t>
            </w:r>
          </w:p>
          <w:p>
            <w:pPr>
              <w:pStyle w:val="TableParagraph"/>
              <w:spacing w:line="237" w:lineRule="auto" w:before="1"/>
              <w:ind w:left="31" w:right="31" w:firstLine="43"/>
              <w:jc w:val="both"/>
              <w:rPr>
                <w:rFonts w:ascii="Times New Roman" w:hAnsi="Times New Roman" w:cs="Times New Roman" w:eastAsia="Times New Roman" w:hint="default"/>
                <w:sz w:val="18"/>
                <w:szCs w:val="18"/>
              </w:rPr>
            </w:pPr>
            <w:r>
              <w:rPr>
                <w:rFonts w:ascii="宋体" w:hAnsi="宋体" w:cs="宋体" w:eastAsia="宋体" w:hint="default"/>
                <w:sz w:val="18"/>
                <w:szCs w:val="18"/>
              </w:rPr>
              <w:t>累计 投入 占预 算比 例</w:t>
            </w:r>
            <w:r>
              <w:rPr>
                <w:rFonts w:ascii="Times New Roman" w:hAnsi="Times New Roman" w:cs="Times New Roman" w:eastAsia="Times New Roman" w:hint="default"/>
                <w:sz w:val="18"/>
                <w:szCs w:val="18"/>
              </w:rPr>
              <w:t>(%)</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37" w:lineRule="auto"/>
              <w:ind w:left="71" w:right="71"/>
              <w:jc w:val="both"/>
              <w:rPr>
                <w:rFonts w:ascii="宋体" w:hAnsi="宋体" w:cs="宋体" w:eastAsia="宋体" w:hint="default"/>
                <w:sz w:val="18"/>
                <w:szCs w:val="18"/>
              </w:rPr>
            </w:pPr>
            <w:r>
              <w:rPr>
                <w:rFonts w:ascii="宋体" w:hAnsi="宋体" w:cs="宋体" w:eastAsia="宋体" w:hint="default"/>
                <w:sz w:val="18"/>
                <w:szCs w:val="18"/>
              </w:rPr>
              <w:t>工 程 进 度</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115" w:right="29" w:hanging="89"/>
              <w:jc w:val="left"/>
              <w:rPr>
                <w:rFonts w:ascii="宋体" w:hAnsi="宋体" w:cs="宋体" w:eastAsia="宋体" w:hint="default"/>
                <w:sz w:val="18"/>
                <w:szCs w:val="18"/>
              </w:rPr>
            </w:pPr>
            <w:r>
              <w:rPr>
                <w:rFonts w:ascii="宋体" w:hAnsi="宋体" w:cs="宋体" w:eastAsia="宋体" w:hint="default"/>
                <w:sz w:val="18"/>
                <w:szCs w:val="18"/>
              </w:rPr>
              <w:t>利息资本化 累计金额</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37" w:lineRule="auto"/>
              <w:ind w:left="23" w:right="26"/>
              <w:jc w:val="both"/>
              <w:rPr>
                <w:rFonts w:ascii="宋体" w:hAnsi="宋体" w:cs="宋体" w:eastAsia="宋体" w:hint="default"/>
                <w:sz w:val="18"/>
                <w:szCs w:val="18"/>
              </w:rPr>
            </w:pPr>
            <w:r>
              <w:rPr>
                <w:rFonts w:ascii="宋体" w:hAnsi="宋体" w:cs="宋体" w:eastAsia="宋体" w:hint="default"/>
                <w:sz w:val="18"/>
                <w:szCs w:val="18"/>
              </w:rPr>
              <w:t>其中：本 期利息资 本化金额</w:t>
            </w:r>
          </w:p>
        </w:tc>
        <w:tc>
          <w:tcPr>
            <w:tcW w:w="514"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9"/>
              <w:ind w:left="72" w:right="71"/>
              <w:jc w:val="both"/>
              <w:rPr>
                <w:rFonts w:ascii="Times New Roman" w:hAnsi="Times New Roman" w:cs="Times New Roman" w:eastAsia="Times New Roman" w:hint="default"/>
                <w:sz w:val="18"/>
                <w:szCs w:val="18"/>
              </w:rPr>
            </w:pPr>
            <w:r>
              <w:rPr>
                <w:rFonts w:ascii="宋体" w:hAnsi="宋体" w:cs="宋体" w:eastAsia="宋体" w:hint="default"/>
                <w:sz w:val="18"/>
                <w:szCs w:val="18"/>
              </w:rPr>
              <w:t>本期 利息 资本 化率 </w:t>
            </w:r>
            <w:r>
              <w:rPr>
                <w:rFonts w:ascii="Times New Roman" w:hAnsi="Times New Roman" w:cs="Times New Roman" w:eastAsia="Times New Roman" w:hint="default"/>
                <w:sz w:val="18"/>
                <w:szCs w:val="18"/>
              </w:rPr>
              <w:t>(%)</w:t>
            </w:r>
          </w:p>
        </w:tc>
        <w:tc>
          <w:tcPr>
            <w:tcW w:w="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52" w:right="59"/>
              <w:jc w:val="left"/>
              <w:rPr>
                <w:rFonts w:ascii="宋体" w:hAnsi="宋体" w:cs="宋体" w:eastAsia="宋体" w:hint="default"/>
                <w:sz w:val="18"/>
                <w:szCs w:val="18"/>
              </w:rPr>
            </w:pPr>
            <w:r>
              <w:rPr>
                <w:rFonts w:ascii="宋体" w:hAnsi="宋体" w:cs="宋体" w:eastAsia="宋体" w:hint="default"/>
                <w:sz w:val="18"/>
                <w:szCs w:val="18"/>
              </w:rPr>
              <w:t>资金 来源</w:t>
            </w:r>
          </w:p>
        </w:tc>
      </w:tr>
      <w:tr>
        <w:trPr>
          <w:trHeight w:val="943" w:hRule="exact"/>
        </w:trPr>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 w:right="0"/>
              <w:jc w:val="left"/>
              <w:rPr>
                <w:rFonts w:ascii="宋体" w:hAnsi="宋体" w:cs="宋体" w:eastAsia="宋体" w:hint="default"/>
                <w:sz w:val="18"/>
                <w:szCs w:val="18"/>
              </w:rPr>
            </w:pPr>
            <w:r>
              <w:rPr>
                <w:rFonts w:ascii="宋体" w:hAnsi="宋体" w:cs="宋体" w:eastAsia="宋体" w:hint="default"/>
                <w:sz w:val="18"/>
                <w:szCs w:val="18"/>
              </w:rPr>
              <w:t>用友软件</w:t>
            </w:r>
          </w:p>
          <w:p>
            <w:pPr>
              <w:pStyle w:val="TableParagraph"/>
              <w:spacing w:line="232" w:lineRule="exact" w:before="23"/>
              <w:ind w:left="24" w:right="207"/>
              <w:jc w:val="left"/>
              <w:rPr>
                <w:rFonts w:ascii="宋体" w:hAnsi="宋体" w:cs="宋体" w:eastAsia="宋体" w:hint="default"/>
                <w:sz w:val="18"/>
                <w:szCs w:val="18"/>
              </w:rPr>
            </w:pPr>
            <w:r>
              <w:rPr>
                <w:rFonts w:ascii="宋体" w:hAnsi="宋体" w:cs="宋体" w:eastAsia="宋体" w:hint="default"/>
                <w:sz w:val="18"/>
                <w:szCs w:val="18"/>
              </w:rPr>
              <w:t>园项目二 期工程</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right="132"/>
              <w:jc w:val="right"/>
              <w:rPr>
                <w:rFonts w:ascii="Times New Roman" w:hAnsi="Times New Roman" w:cs="Times New Roman" w:eastAsia="Times New Roman" w:hint="default"/>
                <w:sz w:val="18"/>
                <w:szCs w:val="18"/>
              </w:rPr>
            </w:pPr>
            <w:r>
              <w:rPr>
                <w:rFonts w:ascii="Times New Roman"/>
                <w:spacing w:val="-1"/>
                <w:sz w:val="18"/>
              </w:rPr>
              <w:t>1,565,000,000</w:t>
            </w:r>
          </w:p>
        </w:tc>
        <w:tc>
          <w:tcPr>
            <w:tcW w:w="109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74" w:right="0"/>
              <w:jc w:val="left"/>
              <w:rPr>
                <w:rFonts w:ascii="Times New Roman" w:hAnsi="Times New Roman" w:cs="Times New Roman" w:eastAsia="Times New Roman" w:hint="default"/>
                <w:sz w:val="18"/>
                <w:szCs w:val="18"/>
              </w:rPr>
            </w:pPr>
            <w:r>
              <w:rPr>
                <w:rFonts w:ascii="Times New Roman"/>
                <w:sz w:val="18"/>
              </w:rPr>
              <w:t>42,259,777</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pacing w:val="-1"/>
                <w:sz w:val="18"/>
              </w:rPr>
              <w:t>42,259,777</w:t>
            </w:r>
          </w:p>
        </w:tc>
        <w:tc>
          <w:tcPr>
            <w:tcW w:w="540"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right="23"/>
              <w:jc w:val="right"/>
              <w:rPr>
                <w:rFonts w:ascii="Times New Roman" w:hAnsi="Times New Roman" w:cs="Times New Roman" w:eastAsia="Times New Roman" w:hint="default"/>
                <w:sz w:val="18"/>
                <w:szCs w:val="18"/>
              </w:rPr>
            </w:pPr>
            <w:r>
              <w:rPr>
                <w:rFonts w:ascii="Times New Roman"/>
                <w:sz w:val="18"/>
              </w:rPr>
              <w:t>100</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6" w:right="0"/>
              <w:jc w:val="left"/>
              <w:rPr>
                <w:rFonts w:ascii="Times New Roman" w:hAnsi="Times New Roman" w:cs="Times New Roman" w:eastAsia="Times New Roman" w:hint="default"/>
                <w:sz w:val="18"/>
                <w:szCs w:val="18"/>
              </w:rPr>
            </w:pPr>
            <w:r>
              <w:rPr>
                <w:rFonts w:ascii="Times New Roman"/>
                <w:sz w:val="18"/>
              </w:rPr>
              <w:t>100</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right="26"/>
              <w:jc w:val="right"/>
              <w:rPr>
                <w:rFonts w:ascii="Times New Roman" w:hAnsi="Times New Roman" w:cs="Times New Roman" w:eastAsia="Times New Roman" w:hint="default"/>
                <w:sz w:val="18"/>
                <w:szCs w:val="18"/>
              </w:rPr>
            </w:pPr>
            <w:r>
              <w:rPr>
                <w:rFonts w:ascii="Times New Roman"/>
                <w:spacing w:val="-1"/>
                <w:sz w:val="18"/>
              </w:rPr>
              <w:t>74,267,305</w:t>
            </w:r>
          </w:p>
        </w:tc>
        <w:tc>
          <w:tcPr>
            <w:tcW w:w="781" w:type="dxa"/>
            <w:tcBorders>
              <w:top w:val="single" w:sz="4" w:space="0" w:color="000000"/>
              <w:left w:val="single" w:sz="4" w:space="0" w:color="000000"/>
              <w:bottom w:val="single" w:sz="4" w:space="0" w:color="000000"/>
              <w:right w:val="single" w:sz="4" w:space="0" w:color="000000"/>
            </w:tcBorders>
          </w:tcPr>
          <w:p>
            <w:pPr/>
          </w:p>
        </w:tc>
        <w:tc>
          <w:tcPr>
            <w:tcW w:w="514"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 w:right="0"/>
              <w:jc w:val="both"/>
              <w:rPr>
                <w:rFonts w:ascii="宋体" w:hAnsi="宋体" w:cs="宋体" w:eastAsia="宋体" w:hint="default"/>
                <w:sz w:val="18"/>
                <w:szCs w:val="18"/>
              </w:rPr>
            </w:pPr>
            <w:r>
              <w:rPr>
                <w:rFonts w:ascii="宋体" w:hAnsi="宋体" w:cs="宋体" w:eastAsia="宋体" w:hint="default"/>
                <w:sz w:val="18"/>
                <w:szCs w:val="18"/>
              </w:rPr>
              <w:t>自筹</w:t>
            </w:r>
          </w:p>
          <w:p>
            <w:pPr>
              <w:pStyle w:val="TableParagraph"/>
              <w:spacing w:line="232" w:lineRule="auto" w:before="5"/>
              <w:ind w:left="24" w:right="36"/>
              <w:jc w:val="both"/>
              <w:rPr>
                <w:rFonts w:ascii="宋体" w:hAnsi="宋体" w:cs="宋体" w:eastAsia="宋体" w:hint="default"/>
                <w:sz w:val="18"/>
                <w:szCs w:val="18"/>
              </w:rPr>
            </w:pPr>
            <w:r>
              <w:rPr>
                <w:rFonts w:ascii="宋体" w:hAnsi="宋体" w:cs="宋体" w:eastAsia="宋体" w:hint="default"/>
                <w:sz w:val="18"/>
                <w:szCs w:val="18"/>
              </w:rPr>
              <w:t>资金</w:t>
            </w:r>
            <w:r>
              <w:rPr>
                <w:rFonts w:ascii="Times New Roman" w:hAnsi="Times New Roman" w:cs="Times New Roman" w:eastAsia="Times New Roman" w:hint="default"/>
                <w:sz w:val="18"/>
                <w:szCs w:val="18"/>
              </w:rPr>
              <w:t>/ </w:t>
            </w:r>
            <w:r>
              <w:rPr>
                <w:rFonts w:ascii="宋体" w:hAnsi="宋体" w:cs="宋体" w:eastAsia="宋体" w:hint="default"/>
                <w:sz w:val="18"/>
                <w:szCs w:val="18"/>
              </w:rPr>
              <w:t>银行 贷款</w:t>
            </w:r>
          </w:p>
        </w:tc>
      </w:tr>
      <w:tr>
        <w:trPr>
          <w:trHeight w:val="943" w:hRule="exact"/>
        </w:trPr>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宋体" w:hAnsi="宋体" w:cs="宋体" w:eastAsia="宋体" w:hint="default"/>
                <w:sz w:val="18"/>
                <w:szCs w:val="18"/>
              </w:rPr>
              <w:t>用友</w:t>
            </w:r>
            <w:r>
              <w:rPr>
                <w:rFonts w:ascii="Times New Roman" w:hAnsi="Times New Roman" w:cs="Times New Roman" w:eastAsia="Times New Roman" w:hint="default"/>
                <w:sz w:val="18"/>
                <w:szCs w:val="18"/>
              </w:rPr>
              <w:t>(</w:t>
            </w:r>
            <w:r>
              <w:rPr>
                <w:rFonts w:ascii="宋体" w:hAnsi="宋体" w:cs="宋体" w:eastAsia="宋体" w:hint="default"/>
                <w:sz w:val="18"/>
                <w:szCs w:val="18"/>
              </w:rPr>
              <w:t>南</w:t>
            </w:r>
          </w:p>
          <w:p>
            <w:pPr>
              <w:pStyle w:val="TableParagraph"/>
              <w:spacing w:line="236" w:lineRule="exact" w:before="13"/>
              <w:ind w:left="24" w:right="147"/>
              <w:jc w:val="left"/>
              <w:rPr>
                <w:rFonts w:ascii="宋体" w:hAnsi="宋体" w:cs="宋体" w:eastAsia="宋体" w:hint="default"/>
                <w:sz w:val="18"/>
                <w:szCs w:val="18"/>
              </w:rPr>
            </w:pPr>
            <w:r>
              <w:rPr>
                <w:rFonts w:ascii="宋体" w:hAnsi="宋体" w:cs="宋体" w:eastAsia="宋体" w:hint="default"/>
                <w:sz w:val="18"/>
                <w:szCs w:val="18"/>
              </w:rPr>
              <w:t>昌</w:t>
            </w:r>
            <w:r>
              <w:rPr>
                <w:rFonts w:ascii="Times New Roman" w:hAnsi="Times New Roman" w:cs="Times New Roman" w:eastAsia="Times New Roman" w:hint="default"/>
                <w:sz w:val="18"/>
                <w:szCs w:val="18"/>
              </w:rPr>
              <w:t>)</w:t>
            </w:r>
            <w:r>
              <w:rPr>
                <w:rFonts w:ascii="宋体" w:hAnsi="宋体" w:cs="宋体" w:eastAsia="宋体" w:hint="default"/>
                <w:sz w:val="18"/>
                <w:szCs w:val="18"/>
              </w:rPr>
              <w:t>工程二 期</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32"/>
              <w:jc w:val="right"/>
              <w:rPr>
                <w:rFonts w:ascii="Times New Roman" w:hAnsi="Times New Roman" w:cs="Times New Roman" w:eastAsia="Times New Roman" w:hint="default"/>
                <w:sz w:val="18"/>
                <w:szCs w:val="18"/>
              </w:rPr>
            </w:pPr>
            <w:r>
              <w:rPr>
                <w:rFonts w:ascii="Times New Roman"/>
                <w:spacing w:val="-1"/>
                <w:sz w:val="18"/>
              </w:rPr>
              <w:t>264,000,000</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24"/>
              <w:jc w:val="right"/>
              <w:rPr>
                <w:rFonts w:ascii="Times New Roman" w:hAnsi="Times New Roman" w:cs="Times New Roman" w:eastAsia="Times New Roman" w:hint="default"/>
                <w:sz w:val="18"/>
                <w:szCs w:val="18"/>
              </w:rPr>
            </w:pPr>
            <w:r>
              <w:rPr>
                <w:rFonts w:ascii="Times New Roman"/>
                <w:spacing w:val="-1"/>
                <w:sz w:val="18"/>
              </w:rPr>
              <w:t>231,516,574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74" w:right="0"/>
              <w:jc w:val="left"/>
              <w:rPr>
                <w:rFonts w:ascii="Times New Roman" w:hAnsi="Times New Roman" w:cs="Times New Roman" w:eastAsia="Times New Roman" w:hint="default"/>
                <w:sz w:val="18"/>
                <w:szCs w:val="18"/>
              </w:rPr>
            </w:pPr>
            <w:r>
              <w:rPr>
                <w:rFonts w:ascii="Times New Roman"/>
                <w:sz w:val="18"/>
              </w:rPr>
              <w:t>32,170,672</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6"/>
              <w:jc w:val="right"/>
              <w:rPr>
                <w:rFonts w:ascii="Times New Roman" w:hAnsi="Times New Roman" w:cs="Times New Roman" w:eastAsia="Times New Roman" w:hint="default"/>
                <w:sz w:val="18"/>
                <w:szCs w:val="18"/>
              </w:rPr>
            </w:pPr>
            <w:r>
              <w:rPr>
                <w:rFonts w:ascii="Times New Roman"/>
                <w:spacing w:val="-1"/>
                <w:sz w:val="18"/>
              </w:rPr>
              <w:t>263,687,246</w:t>
            </w:r>
          </w:p>
        </w:tc>
        <w:tc>
          <w:tcPr>
            <w:tcW w:w="540"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23"/>
              <w:jc w:val="right"/>
              <w:rPr>
                <w:rFonts w:ascii="Times New Roman" w:hAnsi="Times New Roman" w:cs="Times New Roman" w:eastAsia="Times New Roman" w:hint="default"/>
                <w:sz w:val="18"/>
                <w:szCs w:val="18"/>
              </w:rPr>
            </w:pPr>
            <w:r>
              <w:rPr>
                <w:rFonts w:ascii="Times New Roman"/>
                <w:sz w:val="18"/>
              </w:rPr>
              <w:t>100</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6" w:right="0"/>
              <w:jc w:val="left"/>
              <w:rPr>
                <w:rFonts w:ascii="Times New Roman" w:hAnsi="Times New Roman" w:cs="Times New Roman" w:eastAsia="Times New Roman" w:hint="default"/>
                <w:sz w:val="18"/>
                <w:szCs w:val="18"/>
              </w:rPr>
            </w:pPr>
            <w:r>
              <w:rPr>
                <w:rFonts w:ascii="Times New Roman"/>
                <w:sz w:val="18"/>
              </w:rPr>
              <w:t>100</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26"/>
              <w:jc w:val="right"/>
              <w:rPr>
                <w:rFonts w:ascii="Times New Roman" w:hAnsi="Times New Roman" w:cs="Times New Roman" w:eastAsia="Times New Roman" w:hint="default"/>
                <w:sz w:val="18"/>
                <w:szCs w:val="18"/>
              </w:rPr>
            </w:pPr>
            <w:r>
              <w:rPr>
                <w:rFonts w:ascii="Times New Roman"/>
                <w:spacing w:val="-1"/>
                <w:sz w:val="18"/>
              </w:rPr>
              <w:t>41,276,181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Times New Roman" w:hAnsi="Times New Roman" w:cs="Times New Roman" w:eastAsia="Times New Roman" w:hint="default"/>
                <w:sz w:val="18"/>
                <w:szCs w:val="18"/>
              </w:rPr>
            </w:pPr>
            <w:r>
              <w:rPr>
                <w:rFonts w:ascii="Times New Roman"/>
                <w:sz w:val="18"/>
              </w:rPr>
              <w:t>7,853,333</w:t>
            </w:r>
          </w:p>
        </w:tc>
        <w:tc>
          <w:tcPr>
            <w:tcW w:w="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37" w:right="0"/>
              <w:jc w:val="center"/>
              <w:rPr>
                <w:rFonts w:ascii="Times New Roman" w:hAnsi="Times New Roman" w:cs="Times New Roman" w:eastAsia="Times New Roman" w:hint="default"/>
                <w:sz w:val="18"/>
                <w:szCs w:val="18"/>
              </w:rPr>
            </w:pPr>
            <w:r>
              <w:rPr>
                <w:rFonts w:ascii="Times New Roman"/>
                <w:sz w:val="18"/>
              </w:rPr>
              <w:t>4.75</w:t>
            </w:r>
          </w:p>
        </w:tc>
        <w:tc>
          <w:tcPr>
            <w:tcW w:w="48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 w:right="0"/>
              <w:jc w:val="both"/>
              <w:rPr>
                <w:rFonts w:ascii="宋体" w:hAnsi="宋体" w:cs="宋体" w:eastAsia="宋体" w:hint="default"/>
                <w:sz w:val="18"/>
                <w:szCs w:val="18"/>
              </w:rPr>
            </w:pPr>
            <w:r>
              <w:rPr>
                <w:rFonts w:ascii="宋体" w:hAnsi="宋体" w:cs="宋体" w:eastAsia="宋体" w:hint="default"/>
                <w:sz w:val="18"/>
                <w:szCs w:val="18"/>
              </w:rPr>
              <w:t>自筹</w:t>
            </w:r>
          </w:p>
          <w:p>
            <w:pPr>
              <w:pStyle w:val="TableParagraph"/>
              <w:spacing w:line="232" w:lineRule="auto" w:before="5"/>
              <w:ind w:left="24" w:right="36"/>
              <w:jc w:val="both"/>
              <w:rPr>
                <w:rFonts w:ascii="宋体" w:hAnsi="宋体" w:cs="宋体" w:eastAsia="宋体" w:hint="default"/>
                <w:sz w:val="18"/>
                <w:szCs w:val="18"/>
              </w:rPr>
            </w:pPr>
            <w:r>
              <w:rPr>
                <w:rFonts w:ascii="宋体" w:hAnsi="宋体" w:cs="宋体" w:eastAsia="宋体" w:hint="default"/>
                <w:sz w:val="18"/>
                <w:szCs w:val="18"/>
              </w:rPr>
              <w:t>资金</w:t>
            </w:r>
            <w:r>
              <w:rPr>
                <w:rFonts w:ascii="Times New Roman" w:hAnsi="Times New Roman" w:cs="Times New Roman" w:eastAsia="Times New Roman" w:hint="default"/>
                <w:sz w:val="18"/>
                <w:szCs w:val="18"/>
              </w:rPr>
              <w:t>/ </w:t>
            </w:r>
            <w:r>
              <w:rPr>
                <w:rFonts w:ascii="宋体" w:hAnsi="宋体" w:cs="宋体" w:eastAsia="宋体" w:hint="default"/>
                <w:sz w:val="18"/>
                <w:szCs w:val="18"/>
              </w:rPr>
              <w:t>银行 贷款</w:t>
            </w:r>
          </w:p>
        </w:tc>
      </w:tr>
      <w:tr>
        <w:trPr>
          <w:trHeight w:val="478" w:hRule="exact"/>
        </w:trPr>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三亚软件</w:t>
            </w: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园一期</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32"/>
              <w:jc w:val="right"/>
              <w:rPr>
                <w:rFonts w:ascii="Times New Roman" w:hAnsi="Times New Roman" w:cs="Times New Roman" w:eastAsia="Times New Roman" w:hint="default"/>
                <w:sz w:val="18"/>
                <w:szCs w:val="18"/>
              </w:rPr>
            </w:pPr>
            <w:r>
              <w:rPr>
                <w:rFonts w:ascii="Times New Roman"/>
                <w:spacing w:val="-1"/>
                <w:sz w:val="18"/>
              </w:rPr>
              <w:t>237,000,000</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4"/>
              <w:jc w:val="right"/>
              <w:rPr>
                <w:rFonts w:ascii="Times New Roman" w:hAnsi="Times New Roman" w:cs="Times New Roman" w:eastAsia="Times New Roman" w:hint="default"/>
                <w:sz w:val="18"/>
                <w:szCs w:val="18"/>
              </w:rPr>
            </w:pPr>
            <w:r>
              <w:rPr>
                <w:rFonts w:ascii="Times New Roman"/>
                <w:spacing w:val="-1"/>
                <w:sz w:val="18"/>
              </w:rPr>
              <w:t>214,613,446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74" w:right="0"/>
              <w:jc w:val="left"/>
              <w:rPr>
                <w:rFonts w:ascii="Times New Roman" w:hAnsi="Times New Roman" w:cs="Times New Roman" w:eastAsia="Times New Roman" w:hint="default"/>
                <w:sz w:val="18"/>
                <w:szCs w:val="18"/>
              </w:rPr>
            </w:pPr>
            <w:r>
              <w:rPr>
                <w:rFonts w:ascii="Times New Roman"/>
                <w:sz w:val="18"/>
              </w:rPr>
              <w:t>22,110,170</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96"/>
              <w:jc w:val="right"/>
              <w:rPr>
                <w:rFonts w:ascii="Times New Roman" w:hAnsi="Times New Roman" w:cs="Times New Roman" w:eastAsia="Times New Roman" w:hint="default"/>
                <w:sz w:val="18"/>
                <w:szCs w:val="18"/>
              </w:rPr>
            </w:pPr>
            <w:r>
              <w:rPr>
                <w:rFonts w:ascii="Times New Roman"/>
                <w:spacing w:val="-1"/>
                <w:sz w:val="18"/>
              </w:rPr>
              <w:t>236,723,616</w:t>
            </w:r>
          </w:p>
        </w:tc>
        <w:tc>
          <w:tcPr>
            <w:tcW w:w="540"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3"/>
              <w:jc w:val="right"/>
              <w:rPr>
                <w:rFonts w:ascii="Times New Roman" w:hAnsi="Times New Roman" w:cs="Times New Roman" w:eastAsia="Times New Roman" w:hint="default"/>
                <w:sz w:val="18"/>
                <w:szCs w:val="18"/>
              </w:rPr>
            </w:pPr>
            <w:r>
              <w:rPr>
                <w:rFonts w:ascii="Times New Roman"/>
                <w:sz w:val="18"/>
              </w:rPr>
              <w:t>100</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6" w:right="0"/>
              <w:jc w:val="left"/>
              <w:rPr>
                <w:rFonts w:ascii="Times New Roman" w:hAnsi="Times New Roman" w:cs="Times New Roman" w:eastAsia="Times New Roman" w:hint="default"/>
                <w:sz w:val="18"/>
                <w:szCs w:val="18"/>
              </w:rPr>
            </w:pPr>
            <w:r>
              <w:rPr>
                <w:rFonts w:ascii="Times New Roman"/>
                <w:sz w:val="18"/>
              </w:rPr>
              <w:t>100</w:t>
            </w:r>
          </w:p>
        </w:tc>
        <w:tc>
          <w:tcPr>
            <w:tcW w:w="967"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514"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自筹</w:t>
            </w: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资金</w:t>
            </w:r>
          </w:p>
        </w:tc>
      </w:tr>
      <w:tr>
        <w:trPr>
          <w:trHeight w:val="425" w:hRule="exact"/>
        </w:trPr>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1"/>
              <w:jc w:val="center"/>
              <w:rPr>
                <w:rFonts w:ascii="宋体" w:hAnsi="宋体" w:cs="宋体" w:eastAsia="宋体" w:hint="default"/>
                <w:sz w:val="18"/>
                <w:szCs w:val="18"/>
              </w:rPr>
            </w:pPr>
            <w:r>
              <w:rPr>
                <w:rFonts w:ascii="宋体" w:hAnsi="宋体" w:cs="宋体" w:eastAsia="宋体" w:hint="default"/>
                <w:sz w:val="18"/>
                <w:szCs w:val="18"/>
              </w:rPr>
              <w:t>合计</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32"/>
              <w:jc w:val="right"/>
              <w:rPr>
                <w:rFonts w:ascii="Times New Roman" w:hAnsi="Times New Roman" w:cs="Times New Roman" w:eastAsia="Times New Roman" w:hint="default"/>
                <w:sz w:val="18"/>
                <w:szCs w:val="18"/>
              </w:rPr>
            </w:pPr>
            <w:r>
              <w:rPr>
                <w:rFonts w:ascii="Times New Roman"/>
                <w:spacing w:val="-1"/>
                <w:sz w:val="18"/>
              </w:rPr>
              <w:t>2,066,000,000</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5"/>
              <w:jc w:val="right"/>
              <w:rPr>
                <w:rFonts w:ascii="Times New Roman" w:hAnsi="Times New Roman" w:cs="Times New Roman" w:eastAsia="Times New Roman" w:hint="default"/>
                <w:sz w:val="18"/>
                <w:szCs w:val="18"/>
              </w:rPr>
            </w:pPr>
            <w:r>
              <w:rPr>
                <w:rFonts w:ascii="Times New Roman"/>
                <w:spacing w:val="-1"/>
                <w:sz w:val="18"/>
              </w:rPr>
              <w:t>446,130,02</w:t>
            </w:r>
          </w:p>
          <w:p>
            <w:pPr>
              <w:pStyle w:val="TableParagraph"/>
              <w:spacing w:line="207" w:lineRule="exact"/>
              <w:ind w:right="117"/>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74" w:right="0"/>
              <w:jc w:val="left"/>
              <w:rPr>
                <w:rFonts w:ascii="Times New Roman" w:hAnsi="Times New Roman" w:cs="Times New Roman" w:eastAsia="Times New Roman" w:hint="default"/>
                <w:sz w:val="18"/>
                <w:szCs w:val="18"/>
              </w:rPr>
            </w:pPr>
            <w:r>
              <w:rPr>
                <w:rFonts w:ascii="Times New Roman"/>
                <w:sz w:val="18"/>
              </w:rPr>
              <w:t>96,540,619</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96"/>
              <w:jc w:val="right"/>
              <w:rPr>
                <w:rFonts w:ascii="Times New Roman" w:hAnsi="Times New Roman" w:cs="Times New Roman" w:eastAsia="Times New Roman" w:hint="default"/>
                <w:sz w:val="18"/>
                <w:szCs w:val="18"/>
              </w:rPr>
            </w:pPr>
            <w:r>
              <w:rPr>
                <w:rFonts w:ascii="Times New Roman"/>
                <w:spacing w:val="-1"/>
                <w:sz w:val="18"/>
              </w:rPr>
              <w:t>542,670,639</w:t>
            </w:r>
          </w:p>
        </w:tc>
        <w:tc>
          <w:tcPr>
            <w:tcW w:w="540"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59" w:right="0"/>
              <w:jc w:val="center"/>
              <w:rPr>
                <w:rFonts w:ascii="Times New Roman" w:hAnsi="Times New Roman" w:cs="Times New Roman" w:eastAsia="Times New Roman" w:hint="default"/>
                <w:sz w:val="18"/>
                <w:szCs w:val="18"/>
              </w:rPr>
            </w:pPr>
            <w:r>
              <w:rPr>
                <w:rFonts w:ascii="Times New Roman"/>
                <w:sz w:val="18"/>
              </w:rPr>
              <w:t>/</w:t>
            </w:r>
          </w:p>
        </w:tc>
        <w:tc>
          <w:tcPr>
            <w:tcW w:w="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71" w:right="0"/>
              <w:jc w:val="left"/>
              <w:rPr>
                <w:rFonts w:ascii="Times New Roman" w:hAnsi="Times New Roman" w:cs="Times New Roman" w:eastAsia="Times New Roman" w:hint="default"/>
                <w:sz w:val="18"/>
                <w:szCs w:val="18"/>
              </w:rPr>
            </w:pPr>
            <w:r>
              <w:rPr>
                <w:rFonts w:ascii="Times New Roman"/>
                <w:sz w:val="18"/>
              </w:rPr>
              <w:t>/</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26"/>
              <w:jc w:val="right"/>
              <w:rPr>
                <w:rFonts w:ascii="Times New Roman" w:hAnsi="Times New Roman" w:cs="Times New Roman" w:eastAsia="Times New Roman" w:hint="default"/>
                <w:sz w:val="18"/>
                <w:szCs w:val="18"/>
              </w:rPr>
            </w:pPr>
            <w:r>
              <w:rPr>
                <w:rFonts w:ascii="Times New Roman"/>
                <w:spacing w:val="-1"/>
                <w:sz w:val="18"/>
              </w:rPr>
              <w:t>115,543,486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Times New Roman" w:hAnsi="Times New Roman" w:cs="Times New Roman" w:eastAsia="Times New Roman" w:hint="default"/>
                <w:sz w:val="18"/>
                <w:szCs w:val="18"/>
              </w:rPr>
            </w:pPr>
            <w:r>
              <w:rPr>
                <w:rFonts w:ascii="Times New Roman"/>
                <w:sz w:val="18"/>
              </w:rPr>
              <w:t>7,853,333</w:t>
            </w:r>
          </w:p>
        </w:tc>
        <w:tc>
          <w:tcPr>
            <w:tcW w:w="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50" w:right="0"/>
              <w:jc w:val="center"/>
              <w:rPr>
                <w:rFonts w:ascii="Times New Roman" w:hAnsi="Times New Roman" w:cs="Times New Roman" w:eastAsia="Times New Roman" w:hint="default"/>
                <w:sz w:val="18"/>
                <w:szCs w:val="18"/>
              </w:rPr>
            </w:pPr>
            <w:r>
              <w:rPr>
                <w:rFonts w:ascii="Times New Roman"/>
                <w:sz w:val="18"/>
              </w:rPr>
              <w:t>/</w:t>
            </w:r>
          </w:p>
        </w:tc>
        <w:tc>
          <w:tcPr>
            <w:tcW w:w="482"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22" w:right="0"/>
              <w:jc w:val="left"/>
              <w:rPr>
                <w:rFonts w:ascii="Times New Roman" w:hAnsi="Times New Roman" w:cs="Times New Roman" w:eastAsia="Times New Roman" w:hint="default"/>
                <w:sz w:val="18"/>
                <w:szCs w:val="18"/>
              </w:rPr>
            </w:pPr>
            <w:r>
              <w:rPr>
                <w:rFonts w:ascii="Times New Roman"/>
                <w:sz w:val="18"/>
              </w:rPr>
              <w:t>/</w:t>
            </w:r>
          </w:p>
        </w:tc>
      </w:tr>
    </w:tbl>
    <w:p>
      <w:pPr>
        <w:spacing w:line="240" w:lineRule="auto" w:before="8"/>
        <w:rPr>
          <w:rFonts w:ascii="宋体" w:hAnsi="宋体" w:cs="宋体" w:eastAsia="宋体" w:hint="default"/>
          <w:sz w:val="20"/>
          <w:szCs w:val="20"/>
        </w:rPr>
      </w:pPr>
    </w:p>
    <w:p>
      <w:pPr>
        <w:pStyle w:val="Heading2"/>
        <w:tabs>
          <w:tab w:pos="1557" w:val="left" w:leader="none"/>
        </w:tabs>
        <w:spacing w:line="240" w:lineRule="auto" w:before="26"/>
        <w:ind w:left="716" w:right="0"/>
        <w:jc w:val="left"/>
        <w:rPr>
          <w:rFonts w:ascii="宋体" w:hAnsi="宋体" w:cs="宋体" w:eastAsia="宋体" w:hint="default"/>
          <w:b w:val="0"/>
          <w:bCs w:val="0"/>
        </w:rPr>
      </w:pPr>
      <w:r>
        <w:rPr>
          <w:rFonts w:ascii="宋体" w:hAnsi="宋体" w:cs="宋体" w:eastAsia="宋体" w:hint="default"/>
        </w:rPr>
        <w:t>(3).</w:t>
        <w:tab/>
      </w:r>
      <w:r>
        <w:rPr/>
        <w:t>本期计提在建工程减值准备情况</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86"/>
        <w:ind w:left="716" w:right="7570"/>
        <w:jc w:val="left"/>
      </w:pPr>
      <w:r>
        <w:rPr/>
        <w:t>□适用 √不适用 其他说明</w:t>
      </w:r>
    </w:p>
    <w:p>
      <w:pPr>
        <w:pStyle w:val="BodyText"/>
        <w:spacing w:line="281" w:lineRule="exact"/>
        <w:ind w:left="716" w:right="0"/>
        <w:jc w:val="left"/>
      </w:pPr>
      <w:r>
        <w:rPr/>
        <w:t>√适用 □不适用</w:t>
      </w:r>
    </w:p>
    <w:p>
      <w:pPr>
        <w:pStyle w:val="BodyText"/>
        <w:spacing w:line="330" w:lineRule="exact"/>
        <w:ind w:left="716" w:right="0"/>
        <w:jc w:val="left"/>
      </w:pPr>
      <w:r>
        <w:rPr/>
        <w:t>于</w:t>
      </w:r>
      <w:r>
        <w:rPr>
          <w:spacing w:val="-6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日，在建工程无计提减值准备的情况</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日：无</w:t>
      </w:r>
      <w:r>
        <w:rPr>
          <w:rFonts w:ascii="Times New Roman" w:hAnsi="Times New Roman" w:cs="Times New Roman" w:eastAsia="Times New Roman" w:hint="default"/>
        </w:rPr>
        <w:t>)</w:t>
      </w:r>
      <w:r>
        <w:rPr/>
        <w:t>。</w:t>
      </w:r>
    </w:p>
    <w:p>
      <w:pPr>
        <w:spacing w:line="240" w:lineRule="auto" w:before="7"/>
        <w:rPr>
          <w:rFonts w:ascii="宋体" w:hAnsi="宋体" w:cs="宋体" w:eastAsia="宋体" w:hint="default"/>
          <w:sz w:val="19"/>
          <w:szCs w:val="19"/>
        </w:rPr>
      </w:pPr>
    </w:p>
    <w:p>
      <w:pPr>
        <w:pStyle w:val="BodyText"/>
        <w:spacing w:line="322" w:lineRule="exact"/>
        <w:ind w:left="716" w:right="0"/>
        <w:jc w:val="left"/>
      </w:pPr>
      <w:r>
        <w:rPr/>
        <w:t>于</w:t>
      </w:r>
      <w:r>
        <w:rPr>
          <w:spacing w:val="-6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日，本集团无所有权受限的在建工程</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spacing w:val="-7"/>
        </w:rPr>
        <w:t>日：人民币</w:t>
      </w:r>
    </w:p>
    <w:p>
      <w:pPr>
        <w:pStyle w:val="BodyText"/>
        <w:spacing w:line="322" w:lineRule="exact"/>
        <w:ind w:left="716" w:right="0"/>
        <w:jc w:val="left"/>
      </w:pPr>
      <w:r>
        <w:rPr>
          <w:rFonts w:ascii="Times New Roman" w:hAnsi="Times New Roman" w:cs="Times New Roman" w:eastAsia="Times New Roman" w:hint="default"/>
        </w:rPr>
        <w:t>231,516,575</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w:t>
      </w:r>
    </w:p>
    <w:p>
      <w:pPr>
        <w:spacing w:line="240" w:lineRule="auto" w:before="2"/>
        <w:rPr>
          <w:rFonts w:ascii="宋体" w:hAnsi="宋体" w:cs="宋体" w:eastAsia="宋体" w:hint="default"/>
          <w:sz w:val="24"/>
          <w:szCs w:val="24"/>
        </w:rPr>
      </w:pPr>
    </w:p>
    <w:p>
      <w:pPr>
        <w:pStyle w:val="Heading2"/>
        <w:spacing w:line="240" w:lineRule="auto"/>
        <w:ind w:left="716" w:right="0"/>
        <w:jc w:val="left"/>
        <w:rPr>
          <w:rFonts w:ascii="宋体" w:hAnsi="宋体" w:cs="宋体" w:eastAsia="宋体" w:hint="default"/>
          <w:b w:val="0"/>
          <w:bCs w:val="0"/>
        </w:rPr>
      </w:pPr>
      <w:r>
        <w:rPr/>
        <w:t>工程物资</w:t>
      </w:r>
      <w:r>
        <w:rPr>
          <w:rFonts w:ascii="宋体" w:hAnsi="宋体" w:cs="宋体" w:eastAsia="宋体" w:hint="default"/>
          <w:w w:val="99"/>
        </w:rPr>
        <w:t> </w:t>
      </w:r>
      <w:r>
        <w:rPr>
          <w:rFonts w:ascii="宋体" w:hAnsi="宋体" w:cs="宋体" w:eastAsia="宋体" w:hint="default"/>
          <w:b w:val="0"/>
          <w:bCs w:val="0"/>
        </w:rPr>
      </w:r>
    </w:p>
    <w:p>
      <w:pPr>
        <w:pStyle w:val="Heading2"/>
        <w:tabs>
          <w:tab w:pos="1557" w:val="left" w:leader="none"/>
        </w:tabs>
        <w:spacing w:line="240" w:lineRule="auto" w:before="55"/>
        <w:ind w:left="716" w:right="0"/>
        <w:jc w:val="left"/>
        <w:rPr>
          <w:rFonts w:ascii="宋体" w:hAnsi="宋体" w:cs="宋体" w:eastAsia="宋体" w:hint="default"/>
          <w:b w:val="0"/>
          <w:bCs w:val="0"/>
        </w:rPr>
      </w:pPr>
      <w:r>
        <w:rPr>
          <w:rFonts w:ascii="宋体" w:hAnsi="宋体" w:cs="宋体" w:eastAsia="宋体" w:hint="default"/>
        </w:rPr>
        <w:t>(4).</w:t>
        <w:tab/>
      </w:r>
      <w:r>
        <w:rPr/>
        <w:t>工程物资情况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716" w:right="0"/>
        <w:jc w:val="left"/>
      </w:pPr>
      <w:r>
        <w:rPr/>
        <w:t>□适用 √不适用</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2"/>
          <w:szCs w:val="22"/>
        </w:rPr>
      </w:pPr>
    </w:p>
    <w:p>
      <w:pPr>
        <w:pStyle w:val="Heading2"/>
        <w:spacing w:line="240" w:lineRule="auto"/>
        <w:ind w:left="716" w:right="0"/>
        <w:jc w:val="left"/>
        <w:rPr>
          <w:rFonts w:ascii="宋体" w:hAnsi="宋体" w:cs="宋体" w:eastAsia="宋体" w:hint="default"/>
          <w:b w:val="0"/>
          <w:bCs w:val="0"/>
        </w:rPr>
      </w:pPr>
      <w:r>
        <w:rPr>
          <w:rFonts w:ascii="宋体" w:hAnsi="宋体" w:cs="宋体" w:eastAsia="宋体" w:hint="default"/>
        </w:rPr>
        <w:t>22</w:t>
      </w:r>
      <w:r>
        <w:rPr/>
        <w:t>、</w:t>
      </w:r>
      <w:r>
        <w:rPr>
          <w:spacing w:val="-102"/>
        </w:rPr>
        <w:t> </w:t>
      </w:r>
      <w:r>
        <w:rPr/>
        <w:t>生产性生物资产</w:t>
      </w:r>
      <w:r>
        <w:rPr>
          <w:rFonts w:ascii="宋体" w:hAnsi="宋体" w:cs="宋体" w:eastAsia="宋体" w:hint="default"/>
          <w:w w:val="99"/>
        </w:rPr>
        <w:t> </w:t>
      </w:r>
      <w:r>
        <w:rPr>
          <w:rFonts w:ascii="宋体" w:hAnsi="宋体" w:cs="宋体" w:eastAsia="宋体" w:hint="default"/>
          <w:b w:val="0"/>
          <w:bCs w:val="0"/>
        </w:rPr>
      </w:r>
    </w:p>
    <w:p>
      <w:pPr>
        <w:pStyle w:val="Heading2"/>
        <w:tabs>
          <w:tab w:pos="1557" w:val="left" w:leader="none"/>
        </w:tabs>
        <w:spacing w:line="240" w:lineRule="auto" w:before="55"/>
        <w:ind w:left="716" w:right="0"/>
        <w:jc w:val="left"/>
        <w:rPr>
          <w:rFonts w:ascii="宋体" w:hAnsi="宋体" w:cs="宋体" w:eastAsia="宋体" w:hint="default"/>
          <w:b w:val="0"/>
          <w:bCs w:val="0"/>
        </w:rPr>
      </w:pPr>
      <w:r>
        <w:rPr>
          <w:rFonts w:ascii="宋体" w:hAnsi="宋体" w:cs="宋体" w:eastAsia="宋体" w:hint="default"/>
        </w:rPr>
        <w:t>(1).</w:t>
        <w:tab/>
      </w:r>
      <w:r>
        <w:rPr/>
        <w:t>采用成本计量模式的生产性生物资产</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716" w:right="0"/>
        <w:jc w:val="left"/>
      </w:pPr>
      <w:r>
        <w:rPr/>
        <w:t>□适用 √不适用</w:t>
      </w:r>
    </w:p>
    <w:p>
      <w:pPr>
        <w:pStyle w:val="Heading2"/>
        <w:tabs>
          <w:tab w:pos="1557" w:val="left" w:leader="none"/>
        </w:tabs>
        <w:spacing w:line="240" w:lineRule="auto" w:before="58"/>
        <w:ind w:left="716" w:right="0"/>
        <w:jc w:val="left"/>
        <w:rPr>
          <w:rFonts w:ascii="宋体" w:hAnsi="宋体" w:cs="宋体" w:eastAsia="宋体" w:hint="default"/>
          <w:b w:val="0"/>
          <w:bCs w:val="0"/>
        </w:rPr>
      </w:pPr>
      <w:r>
        <w:rPr>
          <w:rFonts w:ascii="宋体" w:hAnsi="宋体" w:cs="宋体" w:eastAsia="宋体" w:hint="default"/>
        </w:rPr>
        <w:t>(2).</w:t>
        <w:tab/>
      </w:r>
      <w:r>
        <w:rPr/>
        <w:t>采用公允价值计量模式的生产性生物资产</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716" w:right="7570"/>
        <w:jc w:val="left"/>
      </w:pPr>
      <w:r>
        <w:rPr/>
        <w:t>□适用 √不适用 其他说明</w:t>
      </w:r>
    </w:p>
    <w:p>
      <w:pPr>
        <w:pStyle w:val="BodyText"/>
        <w:spacing w:line="312" w:lineRule="exact"/>
        <w:ind w:left="716" w:right="0"/>
        <w:jc w:val="left"/>
      </w:pPr>
      <w:r>
        <w:rPr/>
        <w:t>□适用 √不适用</w:t>
      </w:r>
    </w:p>
    <w:p>
      <w:pPr>
        <w:spacing w:line="240" w:lineRule="auto" w:before="4"/>
        <w:rPr>
          <w:rFonts w:ascii="宋体" w:hAnsi="宋体" w:cs="宋体" w:eastAsia="宋体" w:hint="default"/>
          <w:sz w:val="25"/>
          <w:szCs w:val="25"/>
        </w:rPr>
      </w:pPr>
    </w:p>
    <w:p>
      <w:pPr>
        <w:pStyle w:val="Heading2"/>
        <w:spacing w:line="240" w:lineRule="auto"/>
        <w:ind w:left="716" w:right="0"/>
        <w:jc w:val="left"/>
        <w:rPr>
          <w:rFonts w:ascii="宋体" w:hAnsi="宋体" w:cs="宋体" w:eastAsia="宋体" w:hint="default"/>
          <w:b w:val="0"/>
          <w:bCs w:val="0"/>
        </w:rPr>
      </w:pPr>
      <w:r>
        <w:rPr>
          <w:rFonts w:ascii="宋体" w:hAnsi="宋体" w:cs="宋体" w:eastAsia="宋体" w:hint="default"/>
        </w:rPr>
        <w:t>23</w:t>
      </w:r>
      <w:r>
        <w:rPr/>
        <w:t>、</w:t>
      </w:r>
      <w:r>
        <w:rPr>
          <w:spacing w:val="-101"/>
        </w:rPr>
        <w:t> </w:t>
      </w:r>
      <w:r>
        <w:rPr/>
        <w:t>油气资产</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716" w:right="0"/>
        <w:jc w:val="left"/>
      </w:pPr>
      <w:r>
        <w:rPr/>
        <w:t>□适用 √不适用</w:t>
      </w:r>
    </w:p>
    <w:p>
      <w:pPr>
        <w:spacing w:line="240" w:lineRule="auto" w:before="7"/>
        <w:rPr>
          <w:rFonts w:ascii="宋体" w:hAnsi="宋体" w:cs="宋体" w:eastAsia="宋体" w:hint="default"/>
          <w:sz w:val="25"/>
          <w:szCs w:val="25"/>
        </w:rPr>
      </w:pPr>
    </w:p>
    <w:p>
      <w:pPr>
        <w:pStyle w:val="Heading2"/>
        <w:spacing w:line="240" w:lineRule="auto"/>
        <w:ind w:left="716" w:right="0"/>
        <w:jc w:val="left"/>
        <w:rPr>
          <w:b w:val="0"/>
          <w:bCs w:val="0"/>
        </w:rPr>
      </w:pPr>
      <w:r>
        <w:rPr>
          <w:rFonts w:ascii="宋体" w:hAnsi="宋体" w:cs="宋体" w:eastAsia="宋体" w:hint="default"/>
        </w:rPr>
        <w:t>24</w:t>
      </w:r>
      <w:r>
        <w:rPr/>
        <w:t>、</w:t>
      </w:r>
      <w:r>
        <w:rPr>
          <w:spacing w:val="-102"/>
        </w:rPr>
        <w:t> </w:t>
      </w:r>
      <w:r>
        <w:rPr/>
        <w:t>使用权资产</w:t>
      </w:r>
      <w:r>
        <w:rPr>
          <w:b w:val="0"/>
          <w:bCs w:val="0"/>
        </w:rPr>
      </w:r>
    </w:p>
    <w:p>
      <w:pPr>
        <w:pStyle w:val="BodyText"/>
        <w:spacing w:line="240" w:lineRule="auto" w:before="55"/>
        <w:ind w:left="716" w:right="0"/>
        <w:jc w:val="left"/>
      </w:pPr>
      <w:r>
        <w:rPr/>
        <w:t>□适用 √不适用</w:t>
      </w:r>
    </w:p>
    <w:p>
      <w:pPr>
        <w:spacing w:after="0" w:line="240" w:lineRule="auto"/>
        <w:jc w:val="left"/>
        <w:sectPr>
          <w:pgSz w:w="11910" w:h="16840"/>
          <w:pgMar w:header="882" w:footer="1195" w:top="1080" w:bottom="1380" w:left="560" w:right="1240"/>
        </w:sectPr>
      </w:pPr>
    </w:p>
    <w:p>
      <w:pPr>
        <w:spacing w:line="240" w:lineRule="auto" w:before="4"/>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25</w:t>
      </w:r>
      <w:r>
        <w:rPr/>
        <w:t>、</w:t>
      </w:r>
      <w:r>
        <w:rPr>
          <w:spacing w:val="-101"/>
        </w:rPr>
        <w:t> </w:t>
      </w:r>
      <w:r>
        <w:rPr/>
        <w:t>无形资产</w:t>
      </w:r>
      <w:r>
        <w:rPr>
          <w:rFonts w:ascii="宋体" w:hAnsi="宋体" w:cs="宋体" w:eastAsia="宋体" w:hint="default"/>
          <w:w w:val="99"/>
        </w:rPr>
        <w:t> </w:t>
      </w:r>
      <w:r>
        <w:rPr>
          <w:rFonts w:ascii="宋体" w:hAnsi="宋体" w:cs="宋体" w:eastAsia="宋体" w:hint="default"/>
          <w:b w:val="0"/>
          <w:bCs w:val="0"/>
        </w:rPr>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rPr>
        <w:t>(1).</w:t>
        <w:tab/>
      </w:r>
      <w:r>
        <w:rPr/>
        <w:t>无形资产情况</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5"/>
        <w:ind w:left="216" w:right="0"/>
        <w:jc w:val="left"/>
      </w:pPr>
      <w:r>
        <w:rPr/>
        <w:t>√适用</w:t>
        <w:tab/>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623" w:space="3571"/>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863"/>
        <w:gridCol w:w="1417"/>
        <w:gridCol w:w="1243"/>
        <w:gridCol w:w="1596"/>
        <w:gridCol w:w="1334"/>
        <w:gridCol w:w="1597"/>
      </w:tblGrid>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0" w:right="0"/>
              <w:jc w:val="left"/>
              <w:rPr>
                <w:rFonts w:ascii="宋体" w:hAnsi="宋体" w:cs="宋体" w:eastAsia="宋体" w:hint="default"/>
                <w:sz w:val="24"/>
                <w:szCs w:val="24"/>
              </w:rPr>
            </w:pPr>
            <w:r>
              <w:rPr>
                <w:rFonts w:ascii="宋体" w:hAnsi="宋体" w:cs="宋体" w:eastAsia="宋体" w:hint="default"/>
                <w:sz w:val="24"/>
                <w:szCs w:val="24"/>
              </w:rPr>
              <w:t>土地使用权</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254" w:right="0"/>
              <w:jc w:val="left"/>
              <w:rPr>
                <w:rFonts w:ascii="宋体" w:hAnsi="宋体" w:cs="宋体" w:eastAsia="宋体" w:hint="default"/>
                <w:sz w:val="24"/>
                <w:szCs w:val="24"/>
              </w:rPr>
            </w:pPr>
            <w:r>
              <w:rPr>
                <w:rFonts w:ascii="宋体" w:hAnsi="宋体" w:cs="宋体" w:eastAsia="宋体" w:hint="default"/>
                <w:sz w:val="24"/>
                <w:szCs w:val="24"/>
              </w:rPr>
              <w:t>专利权</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5"/>
              <w:jc w:val="center"/>
              <w:rPr>
                <w:rFonts w:ascii="宋体" w:hAnsi="宋体" w:cs="宋体" w:eastAsia="宋体" w:hint="default"/>
                <w:sz w:val="24"/>
                <w:szCs w:val="24"/>
              </w:rPr>
            </w:pPr>
            <w:r>
              <w:rPr>
                <w:rFonts w:ascii="宋体" w:hAnsi="宋体" w:cs="宋体" w:eastAsia="宋体" w:hint="default"/>
                <w:sz w:val="24"/>
                <w:szCs w:val="24"/>
              </w:rPr>
              <w:t>非专利技术</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420"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1"/>
              <w:jc w:val="center"/>
              <w:rPr>
                <w:rFonts w:ascii="宋体" w:hAnsi="宋体" w:cs="宋体" w:eastAsia="宋体" w:hint="default"/>
                <w:sz w:val="24"/>
                <w:szCs w:val="24"/>
              </w:rPr>
            </w:pPr>
            <w:r>
              <w:rPr>
                <w:rFonts w:ascii="宋体" w:hAnsi="宋体" w:cs="宋体" w:eastAsia="宋体" w:hint="default"/>
                <w:sz w:val="24"/>
                <w:szCs w:val="24"/>
              </w:rPr>
              <w:t>合计</w:t>
            </w:r>
          </w:p>
        </w:tc>
      </w:tr>
      <w:tr>
        <w:trPr>
          <w:trHeight w:val="348"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宋体" w:hAnsi="宋体" w:cs="宋体" w:eastAsia="宋体" w:hint="default"/>
                <w:sz w:val="24"/>
                <w:szCs w:val="24"/>
              </w:rPr>
            </w:pPr>
            <w:r>
              <w:rPr>
                <w:rFonts w:ascii="宋体" w:hAnsi="宋体" w:cs="宋体" w:eastAsia="宋体" w:hint="default"/>
                <w:sz w:val="24"/>
                <w:szCs w:val="24"/>
              </w:rPr>
              <w:t>一、账面原值</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9" w:lineRule="exact"/>
              <w:ind w:right="127"/>
              <w:jc w:val="right"/>
              <w:rPr>
                <w:rFonts w:ascii="宋体" w:hAnsi="宋体" w:cs="宋体" w:eastAsia="宋体" w:hint="default"/>
                <w:sz w:val="24"/>
                <w:szCs w:val="24"/>
              </w:rPr>
            </w:pPr>
            <w:r>
              <w:rPr>
                <w:rFonts w:ascii="Times New Roman" w:hAnsi="Times New Roman" w:cs="Times New Roman" w:eastAsia="Times New Roman" w:hint="default"/>
                <w:spacing w:val="-1"/>
                <w:sz w:val="24"/>
                <w:szCs w:val="24"/>
              </w:rPr>
              <w:t>1.</w:t>
            </w:r>
            <w:r>
              <w:rPr>
                <w:rFonts w:ascii="宋体" w:hAnsi="宋体" w:cs="宋体" w:eastAsia="宋体" w:hint="default"/>
                <w:spacing w:val="-1"/>
                <w:sz w:val="24"/>
                <w:szCs w:val="24"/>
              </w:rPr>
              <w:t>期初余额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0" w:right="0"/>
              <w:jc w:val="left"/>
              <w:rPr>
                <w:rFonts w:ascii="Times New Roman" w:hAnsi="Times New Roman" w:cs="Times New Roman" w:eastAsia="Times New Roman" w:hint="default"/>
                <w:sz w:val="24"/>
                <w:szCs w:val="24"/>
              </w:rPr>
            </w:pPr>
            <w:r>
              <w:rPr>
                <w:rFonts w:ascii="Times New Roman"/>
                <w:sz w:val="24"/>
              </w:rPr>
              <w:t>382,916,227</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
              <w:jc w:val="center"/>
              <w:rPr>
                <w:rFonts w:ascii="Times New Roman" w:hAnsi="Times New Roman" w:cs="Times New Roman" w:eastAsia="Times New Roman" w:hint="default"/>
                <w:sz w:val="24"/>
                <w:szCs w:val="24"/>
              </w:rPr>
            </w:pPr>
            <w:r>
              <w:rPr>
                <w:rFonts w:ascii="Times New Roman"/>
                <w:sz w:val="24"/>
              </w:rPr>
              <w:t>996,064,453</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22"/>
              <w:jc w:val="right"/>
              <w:rPr>
                <w:rFonts w:ascii="Times New Roman" w:hAnsi="Times New Roman" w:cs="Times New Roman" w:eastAsia="Times New Roman" w:hint="default"/>
                <w:sz w:val="24"/>
                <w:szCs w:val="24"/>
              </w:rPr>
            </w:pPr>
            <w:r>
              <w:rPr>
                <w:rFonts w:ascii="Times New Roman"/>
                <w:sz w:val="24"/>
              </w:rPr>
              <w:t>28,970,000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Times New Roman" w:hAnsi="Times New Roman" w:cs="Times New Roman" w:eastAsia="Times New Roman" w:hint="default"/>
                <w:sz w:val="24"/>
                <w:szCs w:val="24"/>
              </w:rPr>
            </w:pPr>
            <w:r>
              <w:rPr>
                <w:rFonts w:ascii="Times New Roman"/>
                <w:sz w:val="24"/>
              </w:rPr>
              <w:t>1,407,950,680</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本期增加</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5"/>
              <w:jc w:val="center"/>
              <w:rPr>
                <w:rFonts w:ascii="Times New Roman" w:hAnsi="Times New Roman" w:cs="Times New Roman" w:eastAsia="Times New Roman" w:hint="default"/>
                <w:sz w:val="24"/>
                <w:szCs w:val="24"/>
              </w:rPr>
            </w:pPr>
            <w:r>
              <w:rPr>
                <w:rFonts w:ascii="Times New Roman"/>
                <w:sz w:val="24"/>
              </w:rPr>
              <w:t>196,176,082</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80" w:right="0"/>
              <w:jc w:val="left"/>
              <w:rPr>
                <w:rFonts w:ascii="Times New Roman" w:hAnsi="Times New Roman" w:cs="Times New Roman" w:eastAsia="Times New Roman" w:hint="default"/>
                <w:sz w:val="24"/>
                <w:szCs w:val="24"/>
              </w:rPr>
            </w:pPr>
            <w:r>
              <w:rPr>
                <w:rFonts w:ascii="Times New Roman"/>
                <w:sz w:val="24"/>
              </w:rPr>
              <w:t>6,198,582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2"/>
              <w:jc w:val="center"/>
              <w:rPr>
                <w:rFonts w:ascii="Times New Roman" w:hAnsi="Times New Roman" w:cs="Times New Roman" w:eastAsia="Times New Roman" w:hint="default"/>
                <w:sz w:val="24"/>
                <w:szCs w:val="24"/>
              </w:rPr>
            </w:pPr>
            <w:r>
              <w:rPr>
                <w:rFonts w:ascii="Times New Roman"/>
                <w:sz w:val="24"/>
              </w:rPr>
              <w:t>202,374,664</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6" w:lineRule="exact"/>
              <w:ind w:left="8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购置</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Times New Roman" w:hAnsi="Times New Roman" w:cs="Times New Roman" w:eastAsia="Times New Roman" w:hint="default"/>
                <w:sz w:val="24"/>
                <w:szCs w:val="24"/>
              </w:rPr>
            </w:pPr>
            <w:r>
              <w:rPr>
                <w:rFonts w:ascii="Times New Roman"/>
                <w:sz w:val="24"/>
              </w:rPr>
              <w:t>6,070,518</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0" w:right="0"/>
              <w:jc w:val="left"/>
              <w:rPr>
                <w:rFonts w:ascii="Times New Roman" w:hAnsi="Times New Roman" w:cs="Times New Roman" w:eastAsia="Times New Roman" w:hint="default"/>
                <w:sz w:val="24"/>
                <w:szCs w:val="24"/>
              </w:rPr>
            </w:pPr>
            <w:r>
              <w:rPr>
                <w:rFonts w:ascii="Times New Roman"/>
                <w:sz w:val="24"/>
              </w:rPr>
              <w:t>6,198,582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Times New Roman" w:hAnsi="Times New Roman" w:cs="Times New Roman" w:eastAsia="Times New Roman" w:hint="default"/>
                <w:sz w:val="24"/>
                <w:szCs w:val="24"/>
              </w:rPr>
            </w:pPr>
            <w:r>
              <w:rPr>
                <w:rFonts w:ascii="Times New Roman"/>
                <w:sz w:val="24"/>
              </w:rPr>
              <w:t>12,269,100</w:t>
            </w:r>
          </w:p>
        </w:tc>
      </w:tr>
      <w:tr>
        <w:trPr>
          <w:trHeight w:val="632"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8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内部</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研发</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5"/>
              <w:jc w:val="center"/>
              <w:rPr>
                <w:rFonts w:ascii="Times New Roman" w:hAnsi="Times New Roman" w:cs="Times New Roman" w:eastAsia="Times New Roman" w:hint="default"/>
                <w:sz w:val="24"/>
                <w:szCs w:val="24"/>
              </w:rPr>
            </w:pPr>
            <w:r>
              <w:rPr>
                <w:rFonts w:ascii="Times New Roman"/>
                <w:sz w:val="24"/>
              </w:rPr>
              <w:t>190,105,564</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
              <w:jc w:val="center"/>
              <w:rPr>
                <w:rFonts w:ascii="Times New Roman" w:hAnsi="Times New Roman" w:cs="Times New Roman" w:eastAsia="Times New Roman" w:hint="default"/>
                <w:sz w:val="24"/>
                <w:szCs w:val="24"/>
              </w:rPr>
            </w:pPr>
            <w:r>
              <w:rPr>
                <w:rFonts w:ascii="Times New Roman"/>
                <w:sz w:val="24"/>
              </w:rPr>
              <w:t>190,105,564</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8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企业</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合并增加</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83"/>
              <w:jc w:val="center"/>
              <w:rPr>
                <w:rFonts w:ascii="宋体" w:hAnsi="宋体" w:cs="宋体" w:eastAsia="宋体" w:hint="default"/>
                <w:sz w:val="24"/>
                <w:szCs w:val="24"/>
              </w:rPr>
            </w:pPr>
            <w:r>
              <w:rPr>
                <w:rFonts w:ascii="宋体"/>
                <w:sz w:val="24"/>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8" w:right="0"/>
              <w:jc w:val="center"/>
              <w:rPr>
                <w:rFonts w:ascii="宋体" w:hAnsi="宋体" w:cs="宋体" w:eastAsia="宋体" w:hint="default"/>
                <w:sz w:val="24"/>
                <w:szCs w:val="24"/>
              </w:rPr>
            </w:pPr>
            <w:r>
              <w:rPr>
                <w:rFonts w:ascii="宋体"/>
                <w:sz w:val="24"/>
              </w:rPr>
              <w:t> </w:t>
            </w:r>
          </w:p>
        </w:tc>
      </w:tr>
      <w:tr>
        <w:trPr>
          <w:trHeight w:val="286"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83"/>
              <w:jc w:val="center"/>
              <w:rPr>
                <w:rFonts w:ascii="宋体" w:hAnsi="宋体" w:cs="宋体" w:eastAsia="宋体" w:hint="default"/>
                <w:sz w:val="24"/>
                <w:szCs w:val="24"/>
              </w:rPr>
            </w:pPr>
            <w:r>
              <w:rPr>
                <w:rFonts w:ascii="宋体"/>
                <w:sz w:val="24"/>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8" w:right="0"/>
              <w:jc w:val="center"/>
              <w:rPr>
                <w:rFonts w:ascii="宋体" w:hAnsi="宋体" w:cs="宋体" w:eastAsia="宋体" w:hint="default"/>
                <w:sz w:val="24"/>
                <w:szCs w:val="24"/>
              </w:rPr>
            </w:pPr>
            <w:r>
              <w:rPr>
                <w:rFonts w:ascii="宋体"/>
                <w:sz w:val="24"/>
              </w:rPr>
              <w:t> </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本期减少</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20" w:right="0"/>
              <w:jc w:val="left"/>
              <w:rPr>
                <w:rFonts w:ascii="Times New Roman" w:hAnsi="Times New Roman" w:cs="Times New Roman" w:eastAsia="Times New Roman" w:hint="default"/>
                <w:sz w:val="24"/>
                <w:szCs w:val="24"/>
              </w:rPr>
            </w:pPr>
            <w:r>
              <w:rPr>
                <w:rFonts w:ascii="Times New Roman"/>
                <w:sz w:val="24"/>
              </w:rPr>
              <w:t>8,681,008</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5"/>
              <w:jc w:val="center"/>
              <w:rPr>
                <w:rFonts w:ascii="Times New Roman" w:hAnsi="Times New Roman" w:cs="Times New Roman" w:eastAsia="Times New Roman" w:hint="default"/>
                <w:sz w:val="24"/>
                <w:szCs w:val="24"/>
              </w:rPr>
            </w:pPr>
            <w:r>
              <w:rPr>
                <w:rFonts w:ascii="Times New Roman"/>
                <w:sz w:val="24"/>
              </w:rPr>
              <w:t>7,954,536</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2"/>
              <w:jc w:val="center"/>
              <w:rPr>
                <w:rFonts w:ascii="Times New Roman" w:hAnsi="Times New Roman" w:cs="Times New Roman" w:eastAsia="Times New Roman" w:hint="default"/>
                <w:sz w:val="24"/>
                <w:szCs w:val="24"/>
              </w:rPr>
            </w:pPr>
            <w:r>
              <w:rPr>
                <w:rFonts w:ascii="Times New Roman"/>
                <w:sz w:val="24"/>
              </w:rPr>
              <w:t>16,635,544</w:t>
            </w:r>
          </w:p>
        </w:tc>
      </w:tr>
      <w:tr>
        <w:trPr>
          <w:trHeight w:val="348"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6" w:lineRule="exact"/>
              <w:ind w:left="8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处置</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Times New Roman" w:hAnsi="Times New Roman" w:cs="Times New Roman" w:eastAsia="Times New Roman" w:hint="default"/>
                <w:sz w:val="24"/>
                <w:szCs w:val="24"/>
              </w:rPr>
            </w:pPr>
            <w:r>
              <w:rPr>
                <w:rFonts w:ascii="Times New Roman"/>
                <w:sz w:val="24"/>
              </w:rPr>
              <w:t>4,281,836</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Times New Roman" w:hAnsi="Times New Roman" w:cs="Times New Roman" w:eastAsia="Times New Roman" w:hint="default"/>
                <w:sz w:val="24"/>
                <w:szCs w:val="24"/>
              </w:rPr>
            </w:pPr>
            <w:r>
              <w:rPr>
                <w:rFonts w:ascii="Times New Roman"/>
                <w:sz w:val="24"/>
              </w:rPr>
              <w:t>4,281,836</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8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）处</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置子公司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15" w:right="0"/>
              <w:jc w:val="center"/>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5"/>
              <w:jc w:val="center"/>
              <w:rPr>
                <w:rFonts w:ascii="Times New Roman" w:hAnsi="Times New Roman" w:cs="Times New Roman" w:eastAsia="Times New Roman" w:hint="default"/>
                <w:sz w:val="24"/>
                <w:szCs w:val="24"/>
              </w:rPr>
            </w:pPr>
            <w:r>
              <w:rPr>
                <w:rFonts w:ascii="Times New Roman"/>
                <w:sz w:val="24"/>
              </w:rPr>
              <w:t>3,672,700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2"/>
              <w:jc w:val="center"/>
              <w:rPr>
                <w:rFonts w:ascii="Times New Roman" w:hAnsi="Times New Roman" w:cs="Times New Roman" w:eastAsia="Times New Roman" w:hint="default"/>
                <w:sz w:val="24"/>
                <w:szCs w:val="24"/>
              </w:rPr>
            </w:pPr>
            <w:r>
              <w:rPr>
                <w:rFonts w:ascii="Times New Roman"/>
                <w:sz w:val="24"/>
              </w:rPr>
              <w:t>3,672,700</w:t>
            </w:r>
          </w:p>
        </w:tc>
      </w:tr>
      <w:tr>
        <w:trPr>
          <w:trHeight w:val="632"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8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3</w:t>
            </w:r>
            <w:r>
              <w:rPr>
                <w:rFonts w:ascii="宋体" w:hAnsi="宋体" w:cs="宋体" w:eastAsia="宋体" w:hint="default"/>
                <w:sz w:val="24"/>
                <w:szCs w:val="24"/>
              </w:rPr>
              <w:t>）划</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分为持有代售</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20" w:right="0"/>
              <w:jc w:val="left"/>
              <w:rPr>
                <w:rFonts w:ascii="Times New Roman" w:hAnsi="Times New Roman" w:cs="Times New Roman" w:eastAsia="Times New Roman" w:hint="default"/>
                <w:sz w:val="24"/>
                <w:szCs w:val="24"/>
              </w:rPr>
            </w:pPr>
            <w:r>
              <w:rPr>
                <w:rFonts w:ascii="Times New Roman"/>
                <w:sz w:val="24"/>
              </w:rPr>
              <w:t>8,681,008</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15" w:right="0"/>
              <w:jc w:val="center"/>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2"/>
              <w:jc w:val="center"/>
              <w:rPr>
                <w:rFonts w:ascii="Times New Roman" w:hAnsi="Times New Roman" w:cs="Times New Roman" w:eastAsia="Times New Roman" w:hint="default"/>
                <w:sz w:val="24"/>
                <w:szCs w:val="24"/>
              </w:rPr>
            </w:pPr>
            <w:r>
              <w:rPr>
                <w:rFonts w:ascii="Times New Roman"/>
                <w:sz w:val="24"/>
              </w:rPr>
              <w:t>8,681,008</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9" w:lineRule="exact"/>
              <w:ind w:left="46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w:t>
            </w:r>
            <w:r>
              <w:rPr>
                <w:rFonts w:ascii="宋体" w:hAnsi="宋体" w:cs="宋体" w:eastAsia="宋体" w:hint="default"/>
                <w:sz w:val="24"/>
                <w:szCs w:val="24"/>
              </w:rPr>
              <w:t>期末余额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0" w:right="0"/>
              <w:jc w:val="left"/>
              <w:rPr>
                <w:rFonts w:ascii="Times New Roman" w:hAnsi="Times New Roman" w:cs="Times New Roman" w:eastAsia="Times New Roman" w:hint="default"/>
                <w:sz w:val="24"/>
                <w:szCs w:val="24"/>
              </w:rPr>
            </w:pPr>
            <w:r>
              <w:rPr>
                <w:rFonts w:ascii="Times New Roman"/>
                <w:sz w:val="24"/>
              </w:rPr>
              <w:t>374,235,219</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3"/>
              <w:jc w:val="center"/>
              <w:rPr>
                <w:rFonts w:ascii="Times New Roman" w:hAnsi="Times New Roman" w:cs="Times New Roman" w:eastAsia="Times New Roman" w:hint="default"/>
                <w:sz w:val="24"/>
                <w:szCs w:val="24"/>
              </w:rPr>
            </w:pPr>
            <w:r>
              <w:rPr>
                <w:rFonts w:ascii="Times New Roman"/>
                <w:sz w:val="24"/>
              </w:rPr>
              <w:t>1,184,285,999</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22"/>
              <w:jc w:val="right"/>
              <w:rPr>
                <w:rFonts w:ascii="Times New Roman" w:hAnsi="Times New Roman" w:cs="Times New Roman" w:eastAsia="Times New Roman" w:hint="default"/>
                <w:sz w:val="24"/>
                <w:szCs w:val="24"/>
              </w:rPr>
            </w:pPr>
            <w:r>
              <w:rPr>
                <w:rFonts w:ascii="Times New Roman"/>
                <w:sz w:val="24"/>
              </w:rPr>
              <w:t>35,168,582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Times New Roman" w:hAnsi="Times New Roman" w:cs="Times New Roman" w:eastAsia="Times New Roman" w:hint="default"/>
                <w:sz w:val="24"/>
                <w:szCs w:val="24"/>
              </w:rPr>
            </w:pPr>
            <w:r>
              <w:rPr>
                <w:rFonts w:ascii="Times New Roman"/>
                <w:sz w:val="24"/>
              </w:rPr>
              <w:t>1,593,689,800</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宋体" w:hAnsi="宋体" w:cs="宋体" w:eastAsia="宋体" w:hint="default"/>
                <w:sz w:val="24"/>
                <w:szCs w:val="24"/>
              </w:rPr>
            </w:pPr>
            <w:r>
              <w:rPr>
                <w:rFonts w:ascii="宋体" w:hAnsi="宋体" w:cs="宋体" w:eastAsia="宋体" w:hint="default"/>
                <w:sz w:val="24"/>
                <w:szCs w:val="24"/>
              </w:rPr>
              <w:t>二、累计摊销</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6" w:lineRule="exact"/>
              <w:ind w:right="127"/>
              <w:jc w:val="right"/>
              <w:rPr>
                <w:rFonts w:ascii="宋体" w:hAnsi="宋体" w:cs="宋体" w:eastAsia="宋体" w:hint="default"/>
                <w:sz w:val="24"/>
                <w:szCs w:val="24"/>
              </w:rPr>
            </w:pPr>
            <w:r>
              <w:rPr>
                <w:rFonts w:ascii="Times New Roman" w:hAnsi="Times New Roman" w:cs="Times New Roman" w:eastAsia="Times New Roman" w:hint="default"/>
                <w:spacing w:val="-1"/>
                <w:sz w:val="24"/>
                <w:szCs w:val="24"/>
              </w:rPr>
              <w:t>1.</w:t>
            </w:r>
            <w:r>
              <w:rPr>
                <w:rFonts w:ascii="宋体" w:hAnsi="宋体" w:cs="宋体" w:eastAsia="宋体" w:hint="default"/>
                <w:spacing w:val="-1"/>
                <w:sz w:val="24"/>
                <w:szCs w:val="24"/>
              </w:rPr>
              <w:t>期初余额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60" w:right="0"/>
              <w:jc w:val="left"/>
              <w:rPr>
                <w:rFonts w:ascii="Times New Roman" w:hAnsi="Times New Roman" w:cs="Times New Roman" w:eastAsia="Times New Roman" w:hint="default"/>
                <w:sz w:val="24"/>
                <w:szCs w:val="24"/>
              </w:rPr>
            </w:pPr>
            <w:r>
              <w:rPr>
                <w:rFonts w:ascii="Times New Roman"/>
                <w:sz w:val="24"/>
              </w:rPr>
              <w:t>83,169,049</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5"/>
              <w:jc w:val="center"/>
              <w:rPr>
                <w:rFonts w:ascii="Times New Roman" w:hAnsi="Times New Roman" w:cs="Times New Roman" w:eastAsia="Times New Roman" w:hint="default"/>
                <w:sz w:val="24"/>
                <w:szCs w:val="24"/>
              </w:rPr>
            </w:pPr>
            <w:r>
              <w:rPr>
                <w:rFonts w:ascii="Times New Roman"/>
                <w:sz w:val="24"/>
              </w:rPr>
              <w:t>432,043,786</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80" w:right="0"/>
              <w:jc w:val="left"/>
              <w:rPr>
                <w:rFonts w:ascii="Times New Roman" w:hAnsi="Times New Roman" w:cs="Times New Roman" w:eastAsia="Times New Roman" w:hint="default"/>
                <w:sz w:val="24"/>
                <w:szCs w:val="24"/>
              </w:rPr>
            </w:pPr>
            <w:r>
              <w:rPr>
                <w:rFonts w:ascii="Times New Roman"/>
                <w:sz w:val="24"/>
              </w:rPr>
              <w:t>3,399,500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
              <w:jc w:val="center"/>
              <w:rPr>
                <w:rFonts w:ascii="Times New Roman" w:hAnsi="Times New Roman" w:cs="Times New Roman" w:eastAsia="Times New Roman" w:hint="default"/>
                <w:sz w:val="24"/>
                <w:szCs w:val="24"/>
              </w:rPr>
            </w:pPr>
            <w:r>
              <w:rPr>
                <w:rFonts w:ascii="Times New Roman"/>
                <w:sz w:val="24"/>
              </w:rPr>
              <w:t>518,612,335</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本期增加</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20" w:right="0"/>
              <w:jc w:val="left"/>
              <w:rPr>
                <w:rFonts w:ascii="Times New Roman" w:hAnsi="Times New Roman" w:cs="Times New Roman" w:eastAsia="Times New Roman" w:hint="default"/>
                <w:sz w:val="24"/>
                <w:szCs w:val="24"/>
              </w:rPr>
            </w:pPr>
            <w:r>
              <w:rPr>
                <w:rFonts w:ascii="Times New Roman"/>
                <w:sz w:val="24"/>
              </w:rPr>
              <w:t>7,672,229</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5"/>
              <w:jc w:val="center"/>
              <w:rPr>
                <w:rFonts w:ascii="Times New Roman" w:hAnsi="Times New Roman" w:cs="Times New Roman" w:eastAsia="Times New Roman" w:hint="default"/>
                <w:sz w:val="24"/>
                <w:szCs w:val="24"/>
              </w:rPr>
            </w:pPr>
            <w:r>
              <w:rPr>
                <w:rFonts w:ascii="Times New Roman"/>
                <w:sz w:val="24"/>
              </w:rPr>
              <w:t>187,086,293</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80" w:right="0"/>
              <w:jc w:val="left"/>
              <w:rPr>
                <w:rFonts w:ascii="Times New Roman" w:hAnsi="Times New Roman" w:cs="Times New Roman" w:eastAsia="Times New Roman" w:hint="default"/>
                <w:sz w:val="24"/>
                <w:szCs w:val="24"/>
              </w:rPr>
            </w:pPr>
            <w:r>
              <w:rPr>
                <w:rFonts w:ascii="Times New Roman"/>
                <w:sz w:val="24"/>
              </w:rPr>
              <w:t>2,424,500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2"/>
              <w:jc w:val="center"/>
              <w:rPr>
                <w:rFonts w:ascii="Times New Roman" w:hAnsi="Times New Roman" w:cs="Times New Roman" w:eastAsia="Times New Roman" w:hint="default"/>
                <w:sz w:val="24"/>
                <w:szCs w:val="24"/>
              </w:rPr>
            </w:pPr>
            <w:r>
              <w:rPr>
                <w:rFonts w:ascii="Times New Roman"/>
                <w:sz w:val="24"/>
              </w:rPr>
              <w:t>197,183,022</w:t>
            </w:r>
          </w:p>
        </w:tc>
      </w:tr>
      <w:tr>
        <w:trPr>
          <w:trHeight w:val="631"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8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）计</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提</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20" w:right="0"/>
              <w:jc w:val="left"/>
              <w:rPr>
                <w:rFonts w:ascii="Times New Roman" w:hAnsi="Times New Roman" w:cs="Times New Roman" w:eastAsia="Times New Roman" w:hint="default"/>
                <w:sz w:val="24"/>
                <w:szCs w:val="24"/>
              </w:rPr>
            </w:pPr>
            <w:r>
              <w:rPr>
                <w:rFonts w:ascii="Times New Roman"/>
                <w:sz w:val="24"/>
              </w:rPr>
              <w:t>7,672,229</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5"/>
              <w:jc w:val="center"/>
              <w:rPr>
                <w:rFonts w:ascii="Times New Roman" w:hAnsi="Times New Roman" w:cs="Times New Roman" w:eastAsia="Times New Roman" w:hint="default"/>
                <w:sz w:val="24"/>
                <w:szCs w:val="24"/>
              </w:rPr>
            </w:pPr>
            <w:r>
              <w:rPr>
                <w:rFonts w:ascii="Times New Roman"/>
                <w:sz w:val="24"/>
              </w:rPr>
              <w:t>187,086,293</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80" w:right="0"/>
              <w:jc w:val="left"/>
              <w:rPr>
                <w:rFonts w:ascii="Times New Roman" w:hAnsi="Times New Roman" w:cs="Times New Roman" w:eastAsia="Times New Roman" w:hint="default"/>
                <w:sz w:val="24"/>
                <w:szCs w:val="24"/>
              </w:rPr>
            </w:pPr>
            <w:r>
              <w:rPr>
                <w:rFonts w:ascii="Times New Roman"/>
                <w:sz w:val="24"/>
              </w:rPr>
              <w:t>2,424,500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2"/>
              <w:jc w:val="center"/>
              <w:rPr>
                <w:rFonts w:ascii="Times New Roman" w:hAnsi="Times New Roman" w:cs="Times New Roman" w:eastAsia="Times New Roman" w:hint="default"/>
                <w:sz w:val="24"/>
                <w:szCs w:val="24"/>
              </w:rPr>
            </w:pPr>
            <w:r>
              <w:rPr>
                <w:rFonts w:ascii="Times New Roman"/>
                <w:sz w:val="24"/>
              </w:rPr>
              <w:t>197,183,022</w:t>
            </w:r>
          </w:p>
        </w:tc>
      </w:tr>
      <w:tr>
        <w:trPr>
          <w:trHeight w:val="286"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83"/>
              <w:jc w:val="center"/>
              <w:rPr>
                <w:rFonts w:ascii="宋体" w:hAnsi="宋体" w:cs="宋体" w:eastAsia="宋体" w:hint="default"/>
                <w:sz w:val="24"/>
                <w:szCs w:val="24"/>
              </w:rPr>
            </w:pPr>
            <w:r>
              <w:rPr>
                <w:rFonts w:ascii="宋体"/>
                <w:sz w:val="24"/>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8" w:right="0"/>
              <w:jc w:val="center"/>
              <w:rPr>
                <w:rFonts w:ascii="宋体" w:hAnsi="宋体" w:cs="宋体" w:eastAsia="宋体" w:hint="default"/>
                <w:sz w:val="24"/>
                <w:szCs w:val="24"/>
              </w:rPr>
            </w:pPr>
            <w:r>
              <w:rPr>
                <w:rFonts w:ascii="宋体"/>
                <w:sz w:val="24"/>
              </w:rPr>
              <w:t> </w:t>
            </w:r>
          </w:p>
        </w:tc>
      </w:tr>
      <w:tr>
        <w:trPr>
          <w:trHeight w:val="286"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83"/>
              <w:jc w:val="center"/>
              <w:rPr>
                <w:rFonts w:ascii="宋体" w:hAnsi="宋体" w:cs="宋体" w:eastAsia="宋体" w:hint="default"/>
                <w:sz w:val="24"/>
                <w:szCs w:val="24"/>
              </w:rPr>
            </w:pPr>
            <w:r>
              <w:rPr>
                <w:rFonts w:ascii="宋体"/>
                <w:sz w:val="24"/>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8" w:right="0"/>
              <w:jc w:val="center"/>
              <w:rPr>
                <w:rFonts w:ascii="宋体" w:hAnsi="宋体" w:cs="宋体" w:eastAsia="宋体" w:hint="default"/>
                <w:sz w:val="24"/>
                <w:szCs w:val="24"/>
              </w:rPr>
            </w:pPr>
            <w:r>
              <w:rPr>
                <w:rFonts w:ascii="宋体"/>
                <w:sz w:val="24"/>
              </w:rPr>
              <w:t> </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本期减少</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20" w:right="0"/>
              <w:jc w:val="left"/>
              <w:rPr>
                <w:rFonts w:ascii="Times New Roman" w:hAnsi="Times New Roman" w:cs="Times New Roman" w:eastAsia="Times New Roman" w:hint="default"/>
                <w:sz w:val="24"/>
                <w:szCs w:val="24"/>
              </w:rPr>
            </w:pPr>
            <w:r>
              <w:rPr>
                <w:rFonts w:ascii="Times New Roman"/>
                <w:sz w:val="24"/>
              </w:rPr>
              <w:t>1,038,952</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5"/>
              <w:jc w:val="center"/>
              <w:rPr>
                <w:rFonts w:ascii="Times New Roman" w:hAnsi="Times New Roman" w:cs="Times New Roman" w:eastAsia="Times New Roman" w:hint="default"/>
                <w:sz w:val="24"/>
                <w:szCs w:val="24"/>
              </w:rPr>
            </w:pPr>
            <w:r>
              <w:rPr>
                <w:rFonts w:ascii="Times New Roman"/>
                <w:sz w:val="24"/>
              </w:rPr>
              <w:t>3,637,435</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2"/>
              <w:jc w:val="center"/>
              <w:rPr>
                <w:rFonts w:ascii="Times New Roman" w:hAnsi="Times New Roman" w:cs="Times New Roman" w:eastAsia="Times New Roman" w:hint="default"/>
                <w:sz w:val="24"/>
                <w:szCs w:val="24"/>
              </w:rPr>
            </w:pPr>
            <w:r>
              <w:rPr>
                <w:rFonts w:ascii="Times New Roman"/>
                <w:sz w:val="24"/>
              </w:rPr>
              <w:t>4,676,387</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6" w:lineRule="exact"/>
              <w:ind w:right="149"/>
              <w:jc w:val="right"/>
              <w:rPr>
                <w:rFonts w:ascii="宋体" w:hAnsi="宋体" w:cs="宋体" w:eastAsia="宋体" w:hint="default"/>
                <w:sz w:val="24"/>
                <w:szCs w:val="24"/>
              </w:rPr>
            </w:pPr>
            <w:r>
              <w:rPr>
                <w:rFonts w:ascii="Times New Roman" w:hAnsi="Times New Roman" w:cs="Times New Roman" w:eastAsia="Times New Roman" w:hint="default"/>
                <w:spacing w:val="-1"/>
                <w:sz w:val="24"/>
                <w:szCs w:val="24"/>
              </w:rPr>
              <w:t>(1)</w:t>
            </w:r>
            <w:r>
              <w:rPr>
                <w:rFonts w:ascii="宋体" w:hAnsi="宋体" w:cs="宋体" w:eastAsia="宋体" w:hint="default"/>
                <w:spacing w:val="-1"/>
                <w:sz w:val="24"/>
                <w:szCs w:val="24"/>
              </w:rPr>
              <w:t>处置</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Times New Roman" w:hAnsi="Times New Roman" w:cs="Times New Roman" w:eastAsia="Times New Roman" w:hint="default"/>
                <w:sz w:val="24"/>
                <w:szCs w:val="24"/>
              </w:rPr>
            </w:pPr>
            <w:r>
              <w:rPr>
                <w:rFonts w:ascii="Times New Roman"/>
                <w:sz w:val="24"/>
              </w:rPr>
              <w:t>1,641,371</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Times New Roman" w:hAnsi="Times New Roman" w:cs="Times New Roman" w:eastAsia="Times New Roman" w:hint="default"/>
                <w:sz w:val="24"/>
                <w:szCs w:val="24"/>
              </w:rPr>
            </w:pPr>
            <w:r>
              <w:rPr>
                <w:rFonts w:ascii="Times New Roman"/>
                <w:sz w:val="24"/>
              </w:rPr>
              <w:t>1,641,371</w:t>
            </w:r>
          </w:p>
        </w:tc>
      </w:tr>
      <w:tr>
        <w:trPr>
          <w:trHeight w:val="631"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8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）处</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置子公司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15" w:right="0"/>
              <w:jc w:val="center"/>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5"/>
              <w:jc w:val="center"/>
              <w:rPr>
                <w:rFonts w:ascii="Times New Roman" w:hAnsi="Times New Roman" w:cs="Times New Roman" w:eastAsia="Times New Roman" w:hint="default"/>
                <w:sz w:val="24"/>
                <w:szCs w:val="24"/>
              </w:rPr>
            </w:pPr>
            <w:r>
              <w:rPr>
                <w:rFonts w:ascii="Times New Roman"/>
                <w:sz w:val="24"/>
              </w:rPr>
              <w:t>1,996,064</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2"/>
              <w:jc w:val="center"/>
              <w:rPr>
                <w:rFonts w:ascii="Times New Roman" w:hAnsi="Times New Roman" w:cs="Times New Roman" w:eastAsia="Times New Roman" w:hint="default"/>
                <w:sz w:val="24"/>
                <w:szCs w:val="24"/>
              </w:rPr>
            </w:pPr>
            <w:r>
              <w:rPr>
                <w:rFonts w:ascii="Times New Roman"/>
                <w:sz w:val="24"/>
              </w:rPr>
              <w:t>1,996,064</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8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3</w:t>
            </w:r>
            <w:r>
              <w:rPr>
                <w:rFonts w:ascii="宋体" w:hAnsi="宋体" w:cs="宋体" w:eastAsia="宋体" w:hint="default"/>
                <w:sz w:val="24"/>
                <w:szCs w:val="24"/>
              </w:rPr>
              <w:t>）划</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分为持有待售</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20" w:right="0"/>
              <w:jc w:val="left"/>
              <w:rPr>
                <w:rFonts w:ascii="Times New Roman" w:hAnsi="Times New Roman" w:cs="Times New Roman" w:eastAsia="Times New Roman" w:hint="default"/>
                <w:sz w:val="24"/>
                <w:szCs w:val="24"/>
              </w:rPr>
            </w:pPr>
            <w:r>
              <w:rPr>
                <w:rFonts w:ascii="Times New Roman"/>
                <w:sz w:val="24"/>
              </w:rPr>
              <w:t>1,038,952</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15" w:right="0"/>
              <w:jc w:val="center"/>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2"/>
              <w:jc w:val="center"/>
              <w:rPr>
                <w:rFonts w:ascii="Times New Roman" w:hAnsi="Times New Roman" w:cs="Times New Roman" w:eastAsia="Times New Roman" w:hint="default"/>
                <w:sz w:val="24"/>
                <w:szCs w:val="24"/>
              </w:rPr>
            </w:pPr>
            <w:r>
              <w:rPr>
                <w:rFonts w:ascii="Times New Roman"/>
                <w:sz w:val="24"/>
              </w:rPr>
              <w:t>1,038,952</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6" w:lineRule="exact"/>
              <w:ind w:right="127"/>
              <w:jc w:val="right"/>
              <w:rPr>
                <w:rFonts w:ascii="宋体" w:hAnsi="宋体" w:cs="宋体" w:eastAsia="宋体" w:hint="default"/>
                <w:sz w:val="24"/>
                <w:szCs w:val="24"/>
              </w:rPr>
            </w:pPr>
            <w:r>
              <w:rPr>
                <w:rFonts w:ascii="Times New Roman" w:hAnsi="Times New Roman" w:cs="Times New Roman" w:eastAsia="Times New Roman" w:hint="default"/>
                <w:sz w:val="24"/>
                <w:szCs w:val="24"/>
              </w:rPr>
              <w:t>4.</w:t>
            </w:r>
            <w:r>
              <w:rPr>
                <w:rFonts w:ascii="宋体" w:hAnsi="宋体" w:cs="宋体" w:eastAsia="宋体" w:hint="default"/>
                <w:sz w:val="24"/>
                <w:szCs w:val="24"/>
              </w:rPr>
              <w:t>期末余额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60" w:right="0"/>
              <w:jc w:val="left"/>
              <w:rPr>
                <w:rFonts w:ascii="Times New Roman" w:hAnsi="Times New Roman" w:cs="Times New Roman" w:eastAsia="Times New Roman" w:hint="default"/>
                <w:sz w:val="24"/>
                <w:szCs w:val="24"/>
              </w:rPr>
            </w:pPr>
            <w:r>
              <w:rPr>
                <w:rFonts w:ascii="Times New Roman"/>
                <w:sz w:val="24"/>
              </w:rPr>
              <w:t>89,802,326</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Times New Roman" w:hAnsi="Times New Roman" w:cs="Times New Roman" w:eastAsia="Times New Roman" w:hint="default"/>
                <w:sz w:val="24"/>
                <w:szCs w:val="24"/>
              </w:rPr>
            </w:pPr>
            <w:r>
              <w:rPr>
                <w:rFonts w:ascii="Times New Roman"/>
                <w:sz w:val="24"/>
              </w:rPr>
              <w:t>615,492,644</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80" w:right="0"/>
              <w:jc w:val="left"/>
              <w:rPr>
                <w:rFonts w:ascii="Times New Roman" w:hAnsi="Times New Roman" w:cs="Times New Roman" w:eastAsia="Times New Roman" w:hint="default"/>
                <w:sz w:val="24"/>
                <w:szCs w:val="24"/>
              </w:rPr>
            </w:pPr>
            <w:r>
              <w:rPr>
                <w:rFonts w:ascii="Times New Roman"/>
                <w:sz w:val="24"/>
              </w:rPr>
              <w:t>5,824,000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Times New Roman" w:hAnsi="Times New Roman" w:cs="Times New Roman" w:eastAsia="Times New Roman" w:hint="default"/>
                <w:sz w:val="24"/>
                <w:szCs w:val="24"/>
              </w:rPr>
            </w:pPr>
            <w:r>
              <w:rPr>
                <w:rFonts w:ascii="Times New Roman"/>
                <w:sz w:val="24"/>
              </w:rPr>
              <w:t>711,118,970</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宋体" w:hAnsi="宋体" w:cs="宋体" w:eastAsia="宋体" w:hint="default"/>
                <w:sz w:val="24"/>
                <w:szCs w:val="24"/>
              </w:rPr>
            </w:pPr>
            <w:r>
              <w:rPr>
                <w:rFonts w:ascii="宋体" w:hAnsi="宋体" w:cs="宋体" w:eastAsia="宋体" w:hint="default"/>
                <w:sz w:val="24"/>
                <w:szCs w:val="24"/>
              </w:rPr>
              <w:t>三、减值准备</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6" w:lineRule="exact"/>
              <w:ind w:right="127"/>
              <w:jc w:val="right"/>
              <w:rPr>
                <w:rFonts w:ascii="宋体" w:hAnsi="宋体" w:cs="宋体" w:eastAsia="宋体" w:hint="default"/>
                <w:sz w:val="24"/>
                <w:szCs w:val="24"/>
              </w:rPr>
            </w:pPr>
            <w:r>
              <w:rPr>
                <w:rFonts w:ascii="Times New Roman" w:hAnsi="Times New Roman" w:cs="Times New Roman" w:eastAsia="Times New Roman" w:hint="default"/>
                <w:spacing w:val="-1"/>
                <w:sz w:val="24"/>
                <w:szCs w:val="24"/>
              </w:rPr>
              <w:t>1.</w:t>
            </w:r>
            <w:r>
              <w:rPr>
                <w:rFonts w:ascii="宋体" w:hAnsi="宋体" w:cs="宋体" w:eastAsia="宋体" w:hint="default"/>
                <w:spacing w:val="-1"/>
                <w:sz w:val="24"/>
                <w:szCs w:val="24"/>
              </w:rPr>
              <w:t>期初余额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5"/>
              <w:jc w:val="center"/>
              <w:rPr>
                <w:rFonts w:ascii="Times New Roman" w:hAnsi="Times New Roman" w:cs="Times New Roman" w:eastAsia="Times New Roman" w:hint="default"/>
                <w:sz w:val="24"/>
                <w:szCs w:val="24"/>
              </w:rPr>
            </w:pPr>
            <w:r>
              <w:rPr>
                <w:rFonts w:ascii="Times New Roman"/>
                <w:sz w:val="24"/>
              </w:rPr>
              <w:t>13,419,208</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
              <w:jc w:val="center"/>
              <w:rPr>
                <w:rFonts w:ascii="Times New Roman" w:hAnsi="Times New Roman" w:cs="Times New Roman" w:eastAsia="Times New Roman" w:hint="default"/>
                <w:sz w:val="24"/>
                <w:szCs w:val="24"/>
              </w:rPr>
            </w:pPr>
            <w:r>
              <w:rPr>
                <w:rFonts w:ascii="Times New Roman"/>
                <w:sz w:val="24"/>
              </w:rPr>
              <w:t>13,419,208</w:t>
            </w:r>
          </w:p>
        </w:tc>
      </w:tr>
    </w:tbl>
    <w:p>
      <w:pPr>
        <w:spacing w:after="0" w:line="240" w:lineRule="auto"/>
        <w:jc w:val="center"/>
        <w:rPr>
          <w:rFonts w:ascii="Times New Roman" w:hAnsi="Times New Roman" w:cs="Times New Roman" w:eastAsia="Times New Roman" w:hint="default"/>
          <w:sz w:val="24"/>
          <w:szCs w:val="24"/>
        </w:rPr>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203" w:type="dxa"/>
        <w:tblLayout w:type="fixed"/>
        <w:tblCellMar>
          <w:top w:w="0" w:type="dxa"/>
          <w:left w:w="0" w:type="dxa"/>
          <w:bottom w:w="0" w:type="dxa"/>
          <w:right w:w="0" w:type="dxa"/>
        </w:tblCellMar>
        <w:tblLook w:val="01E0"/>
      </w:tblPr>
      <w:tblGrid>
        <w:gridCol w:w="1863"/>
        <w:gridCol w:w="1417"/>
        <w:gridCol w:w="1243"/>
        <w:gridCol w:w="1596"/>
        <w:gridCol w:w="1334"/>
        <w:gridCol w:w="1597"/>
      </w:tblGrid>
      <w:tr>
        <w:trPr>
          <w:trHeight w:val="351" w:hRule="exact"/>
        </w:trPr>
        <w:tc>
          <w:tcPr>
            <w:tcW w:w="1863"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本期增加</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309" w:right="0"/>
              <w:jc w:val="left"/>
              <w:rPr>
                <w:rFonts w:ascii="Times New Roman" w:hAnsi="Times New Roman" w:cs="Times New Roman" w:eastAsia="Times New Roman" w:hint="default"/>
                <w:sz w:val="24"/>
                <w:szCs w:val="24"/>
              </w:rPr>
            </w:pPr>
            <w:r>
              <w:rPr>
                <w:rFonts w:ascii="Times New Roman"/>
                <w:sz w:val="24"/>
              </w:rPr>
              <w:t>1,549,307</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312" w:right="0"/>
              <w:jc w:val="left"/>
              <w:rPr>
                <w:rFonts w:ascii="Times New Roman" w:hAnsi="Times New Roman" w:cs="Times New Roman" w:eastAsia="Times New Roman" w:hint="default"/>
                <w:sz w:val="24"/>
                <w:szCs w:val="24"/>
              </w:rPr>
            </w:pPr>
            <w:r>
              <w:rPr>
                <w:rFonts w:ascii="Times New Roman"/>
                <w:sz w:val="24"/>
              </w:rPr>
              <w:t>1,549,307</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8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）计</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提</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09" w:right="0"/>
              <w:jc w:val="left"/>
              <w:rPr>
                <w:rFonts w:ascii="Times New Roman" w:hAnsi="Times New Roman" w:cs="Times New Roman" w:eastAsia="Times New Roman" w:hint="default"/>
                <w:sz w:val="24"/>
                <w:szCs w:val="24"/>
              </w:rPr>
            </w:pPr>
            <w:r>
              <w:rPr>
                <w:rFonts w:ascii="Times New Roman"/>
                <w:sz w:val="24"/>
              </w:rPr>
              <w:t>1,549,307</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12" w:right="0"/>
              <w:jc w:val="left"/>
              <w:rPr>
                <w:rFonts w:ascii="Times New Roman" w:hAnsi="Times New Roman" w:cs="Times New Roman" w:eastAsia="Times New Roman" w:hint="default"/>
                <w:sz w:val="24"/>
                <w:szCs w:val="24"/>
              </w:rPr>
            </w:pPr>
            <w:r>
              <w:rPr>
                <w:rFonts w:ascii="Times New Roman"/>
                <w:sz w:val="24"/>
              </w:rPr>
              <w:t>1,549,307</w:t>
            </w:r>
          </w:p>
        </w:tc>
      </w:tr>
      <w:tr>
        <w:trPr>
          <w:trHeight w:val="286"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83"/>
              <w:jc w:val="center"/>
              <w:rPr>
                <w:rFonts w:ascii="宋体" w:hAnsi="宋体" w:cs="宋体" w:eastAsia="宋体" w:hint="default"/>
                <w:sz w:val="24"/>
                <w:szCs w:val="24"/>
              </w:rPr>
            </w:pPr>
            <w:r>
              <w:rPr>
                <w:rFonts w:ascii="宋体"/>
                <w:sz w:val="24"/>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497"/>
              <w:jc w:val="right"/>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8" w:right="0"/>
              <w:jc w:val="center"/>
              <w:rPr>
                <w:rFonts w:ascii="宋体" w:hAnsi="宋体" w:cs="宋体" w:eastAsia="宋体" w:hint="default"/>
                <w:sz w:val="24"/>
                <w:szCs w:val="24"/>
              </w:rPr>
            </w:pPr>
            <w:r>
              <w:rPr>
                <w:rFonts w:ascii="宋体"/>
                <w:sz w:val="24"/>
              </w:rPr>
              <w:t> </w:t>
            </w:r>
          </w:p>
        </w:tc>
      </w:tr>
      <w:tr>
        <w:trPr>
          <w:trHeight w:val="286"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83"/>
              <w:jc w:val="center"/>
              <w:rPr>
                <w:rFonts w:ascii="宋体" w:hAnsi="宋体" w:cs="宋体" w:eastAsia="宋体" w:hint="default"/>
                <w:sz w:val="24"/>
                <w:szCs w:val="24"/>
              </w:rPr>
            </w:pPr>
            <w:r>
              <w:rPr>
                <w:rFonts w:ascii="宋体"/>
                <w:sz w:val="24"/>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497"/>
              <w:jc w:val="right"/>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8" w:right="0"/>
              <w:jc w:val="center"/>
              <w:rPr>
                <w:rFonts w:ascii="宋体" w:hAnsi="宋体" w:cs="宋体" w:eastAsia="宋体" w:hint="default"/>
                <w:sz w:val="24"/>
                <w:szCs w:val="24"/>
              </w:rPr>
            </w:pPr>
            <w:r>
              <w:rPr>
                <w:rFonts w:ascii="宋体"/>
                <w:sz w:val="24"/>
              </w:rPr>
              <w:t> </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本期减少</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09" w:right="0"/>
              <w:jc w:val="left"/>
              <w:rPr>
                <w:rFonts w:ascii="Times New Roman" w:hAnsi="Times New Roman" w:cs="Times New Roman" w:eastAsia="Times New Roman" w:hint="default"/>
                <w:sz w:val="24"/>
                <w:szCs w:val="24"/>
              </w:rPr>
            </w:pPr>
            <w:r>
              <w:rPr>
                <w:rFonts w:ascii="Times New Roman"/>
                <w:sz w:val="24"/>
              </w:rPr>
              <w:t>2,640,465</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312" w:right="0"/>
              <w:jc w:val="left"/>
              <w:rPr>
                <w:rFonts w:ascii="Times New Roman" w:hAnsi="Times New Roman" w:cs="Times New Roman" w:eastAsia="Times New Roman" w:hint="default"/>
                <w:sz w:val="24"/>
                <w:szCs w:val="24"/>
              </w:rPr>
            </w:pPr>
            <w:r>
              <w:rPr>
                <w:rFonts w:ascii="Times New Roman"/>
                <w:sz w:val="24"/>
              </w:rPr>
              <w:t>2,640,465</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6" w:lineRule="exact"/>
              <w:ind w:left="8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处置</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09" w:right="0"/>
              <w:jc w:val="left"/>
              <w:rPr>
                <w:rFonts w:ascii="Times New Roman" w:hAnsi="Times New Roman" w:cs="Times New Roman" w:eastAsia="Times New Roman" w:hint="default"/>
                <w:sz w:val="24"/>
                <w:szCs w:val="24"/>
              </w:rPr>
            </w:pPr>
            <w:r>
              <w:rPr>
                <w:rFonts w:ascii="Times New Roman"/>
                <w:sz w:val="24"/>
              </w:rPr>
              <w:t>2,640,465</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12" w:right="0"/>
              <w:jc w:val="left"/>
              <w:rPr>
                <w:rFonts w:ascii="Times New Roman" w:hAnsi="Times New Roman" w:cs="Times New Roman" w:eastAsia="Times New Roman" w:hint="default"/>
                <w:sz w:val="24"/>
                <w:szCs w:val="24"/>
              </w:rPr>
            </w:pPr>
            <w:r>
              <w:rPr>
                <w:rFonts w:ascii="Times New Roman"/>
                <w:sz w:val="24"/>
              </w:rPr>
              <w:t>2,640,465</w:t>
            </w:r>
          </w:p>
        </w:tc>
      </w:tr>
      <w:tr>
        <w:trPr>
          <w:trHeight w:val="286"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83"/>
              <w:jc w:val="center"/>
              <w:rPr>
                <w:rFonts w:ascii="宋体" w:hAnsi="宋体" w:cs="宋体" w:eastAsia="宋体" w:hint="default"/>
                <w:sz w:val="24"/>
                <w:szCs w:val="24"/>
              </w:rPr>
            </w:pPr>
            <w:r>
              <w:rPr>
                <w:rFonts w:ascii="宋体"/>
                <w:sz w:val="24"/>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497"/>
              <w:jc w:val="right"/>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8" w:right="0"/>
              <w:jc w:val="center"/>
              <w:rPr>
                <w:rFonts w:ascii="宋体" w:hAnsi="宋体" w:cs="宋体" w:eastAsia="宋体" w:hint="default"/>
                <w:sz w:val="24"/>
                <w:szCs w:val="24"/>
              </w:rPr>
            </w:pPr>
            <w:r>
              <w:rPr>
                <w:rFonts w:ascii="宋体"/>
                <w:sz w:val="24"/>
              </w:rPr>
              <w:t> </w:t>
            </w:r>
          </w:p>
        </w:tc>
      </w:tr>
      <w:tr>
        <w:trPr>
          <w:trHeight w:val="286"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83"/>
              <w:jc w:val="center"/>
              <w:rPr>
                <w:rFonts w:ascii="宋体" w:hAnsi="宋体" w:cs="宋体" w:eastAsia="宋体" w:hint="default"/>
                <w:sz w:val="24"/>
                <w:szCs w:val="24"/>
              </w:rPr>
            </w:pPr>
            <w:r>
              <w:rPr>
                <w:rFonts w:ascii="宋体"/>
                <w:sz w:val="24"/>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4" w:right="0"/>
              <w:jc w:val="center"/>
              <w:rPr>
                <w:rFonts w:ascii="宋体" w:hAnsi="宋体" w:cs="宋体" w:eastAsia="宋体" w:hint="default"/>
                <w:sz w:val="24"/>
                <w:szCs w:val="24"/>
              </w:rPr>
            </w:pPr>
            <w:r>
              <w:rPr>
                <w:rFonts w:ascii="宋体"/>
                <w:sz w:val="24"/>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right="497"/>
              <w:jc w:val="right"/>
              <w:rPr>
                <w:rFonts w:ascii="宋体" w:hAnsi="宋体" w:cs="宋体" w:eastAsia="宋体" w:hint="default"/>
                <w:sz w:val="24"/>
                <w:szCs w:val="24"/>
              </w:rPr>
            </w:pPr>
            <w:r>
              <w:rPr>
                <w:rFonts w:ascii="宋体"/>
                <w:sz w:val="24"/>
              </w:rPr>
              <w:t> </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3" w:right="0"/>
              <w:jc w:val="center"/>
              <w:rPr>
                <w:rFonts w:ascii="宋体" w:hAnsi="宋体" w:cs="宋体" w:eastAsia="宋体" w:hint="default"/>
                <w:sz w:val="24"/>
                <w:szCs w:val="24"/>
              </w:rPr>
            </w:pPr>
            <w:r>
              <w:rPr>
                <w:rFonts w:ascii="宋体"/>
                <w:sz w:val="24"/>
              </w:rPr>
              <w:t> </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5" w:right="0"/>
              <w:jc w:val="center"/>
              <w:rPr>
                <w:rFonts w:ascii="宋体" w:hAnsi="宋体" w:cs="宋体" w:eastAsia="宋体" w:hint="default"/>
                <w:sz w:val="24"/>
                <w:szCs w:val="24"/>
              </w:rPr>
            </w:pPr>
            <w:r>
              <w:rPr>
                <w:rFonts w:ascii="宋体"/>
                <w:sz w:val="24"/>
              </w:rPr>
              <w:t> </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18" w:right="0"/>
              <w:jc w:val="center"/>
              <w:rPr>
                <w:rFonts w:ascii="宋体" w:hAnsi="宋体" w:cs="宋体" w:eastAsia="宋体" w:hint="default"/>
                <w:sz w:val="24"/>
                <w:szCs w:val="24"/>
              </w:rPr>
            </w:pPr>
            <w:r>
              <w:rPr>
                <w:rFonts w:ascii="宋体"/>
                <w:sz w:val="24"/>
              </w:rPr>
              <w:t> </w:t>
            </w:r>
          </w:p>
        </w:tc>
      </w:tr>
      <w:tr>
        <w:trPr>
          <w:trHeight w:val="351"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307"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w:t>
            </w:r>
            <w:r>
              <w:rPr>
                <w:rFonts w:ascii="宋体" w:hAnsi="宋体" w:cs="宋体" w:eastAsia="宋体" w:hint="default"/>
                <w:sz w:val="24"/>
                <w:szCs w:val="24"/>
              </w:rPr>
              <w:t>期末余额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49" w:right="0"/>
              <w:jc w:val="left"/>
              <w:rPr>
                <w:rFonts w:ascii="Times New Roman" w:hAnsi="Times New Roman" w:cs="Times New Roman" w:eastAsia="Times New Roman" w:hint="default"/>
                <w:sz w:val="24"/>
                <w:szCs w:val="24"/>
              </w:rPr>
            </w:pPr>
            <w:r>
              <w:rPr>
                <w:rFonts w:ascii="Times New Roman"/>
                <w:sz w:val="24"/>
              </w:rPr>
              <w:t>12,328,050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52" w:right="0"/>
              <w:jc w:val="left"/>
              <w:rPr>
                <w:rFonts w:ascii="Times New Roman" w:hAnsi="Times New Roman" w:cs="Times New Roman" w:eastAsia="Times New Roman" w:hint="default"/>
                <w:sz w:val="24"/>
                <w:szCs w:val="24"/>
              </w:rPr>
            </w:pPr>
            <w:r>
              <w:rPr>
                <w:rFonts w:ascii="Times New Roman"/>
                <w:sz w:val="24"/>
              </w:rPr>
              <w:t>12,328,050</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03" w:right="0"/>
              <w:jc w:val="left"/>
              <w:rPr>
                <w:rFonts w:ascii="宋体" w:hAnsi="宋体" w:cs="宋体" w:eastAsia="宋体" w:hint="default"/>
                <w:sz w:val="24"/>
                <w:szCs w:val="24"/>
              </w:rPr>
            </w:pPr>
            <w:r>
              <w:rPr>
                <w:rFonts w:ascii="宋体" w:hAnsi="宋体" w:cs="宋体" w:eastAsia="宋体" w:hint="default"/>
                <w:sz w:val="24"/>
                <w:szCs w:val="24"/>
              </w:rPr>
              <w:t>四、账面价值</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期末账面</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3"/>
              <w:jc w:val="center"/>
              <w:rPr>
                <w:rFonts w:ascii="Times New Roman" w:hAnsi="Times New Roman" w:cs="Times New Roman" w:eastAsia="Times New Roman" w:hint="default"/>
                <w:sz w:val="24"/>
                <w:szCs w:val="24"/>
              </w:rPr>
            </w:pPr>
            <w:r>
              <w:rPr>
                <w:rFonts w:ascii="Times New Roman"/>
                <w:sz w:val="24"/>
              </w:rPr>
              <w:t>284,432,893</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89" w:right="0"/>
              <w:jc w:val="left"/>
              <w:rPr>
                <w:rFonts w:ascii="Times New Roman" w:hAnsi="Times New Roman" w:cs="Times New Roman" w:eastAsia="Times New Roman" w:hint="default"/>
                <w:sz w:val="24"/>
                <w:szCs w:val="24"/>
              </w:rPr>
            </w:pPr>
            <w:r>
              <w:rPr>
                <w:rFonts w:ascii="Times New Roman"/>
                <w:sz w:val="24"/>
              </w:rPr>
              <w:t>556,465,305</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20" w:right="0"/>
              <w:jc w:val="left"/>
              <w:rPr>
                <w:rFonts w:ascii="Times New Roman" w:hAnsi="Times New Roman" w:cs="Times New Roman" w:eastAsia="Times New Roman" w:hint="default"/>
                <w:sz w:val="24"/>
                <w:szCs w:val="24"/>
              </w:rPr>
            </w:pPr>
            <w:r>
              <w:rPr>
                <w:rFonts w:ascii="Times New Roman"/>
                <w:sz w:val="24"/>
              </w:rPr>
              <w:t>29,344,582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92" w:right="0"/>
              <w:jc w:val="left"/>
              <w:rPr>
                <w:rFonts w:ascii="Times New Roman" w:hAnsi="Times New Roman" w:cs="Times New Roman" w:eastAsia="Times New Roman" w:hint="default"/>
                <w:sz w:val="24"/>
                <w:szCs w:val="24"/>
              </w:rPr>
            </w:pPr>
            <w:r>
              <w:rPr>
                <w:rFonts w:ascii="Times New Roman"/>
                <w:sz w:val="24"/>
              </w:rPr>
              <w:t>870,242,780</w:t>
            </w:r>
          </w:p>
        </w:tc>
      </w:tr>
      <w:tr>
        <w:trPr>
          <w:trHeight w:val="634"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8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期初账面</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3"/>
              <w:jc w:val="center"/>
              <w:rPr>
                <w:rFonts w:ascii="Times New Roman" w:hAnsi="Times New Roman" w:cs="Times New Roman" w:eastAsia="Times New Roman" w:hint="default"/>
                <w:sz w:val="24"/>
                <w:szCs w:val="24"/>
              </w:rPr>
            </w:pPr>
            <w:r>
              <w:rPr>
                <w:rFonts w:ascii="Times New Roman"/>
                <w:sz w:val="24"/>
              </w:rPr>
              <w:t>299,747,178</w:t>
            </w:r>
          </w:p>
        </w:tc>
        <w:tc>
          <w:tcPr>
            <w:tcW w:w="1243"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89" w:right="0"/>
              <w:jc w:val="left"/>
              <w:rPr>
                <w:rFonts w:ascii="Times New Roman" w:hAnsi="Times New Roman" w:cs="Times New Roman" w:eastAsia="Times New Roman" w:hint="default"/>
                <w:sz w:val="24"/>
                <w:szCs w:val="24"/>
              </w:rPr>
            </w:pPr>
            <w:r>
              <w:rPr>
                <w:rFonts w:ascii="Times New Roman"/>
                <w:sz w:val="24"/>
              </w:rPr>
              <w:t>550,601,459</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20" w:right="0"/>
              <w:jc w:val="left"/>
              <w:rPr>
                <w:rFonts w:ascii="Times New Roman" w:hAnsi="Times New Roman" w:cs="Times New Roman" w:eastAsia="Times New Roman" w:hint="default"/>
                <w:sz w:val="24"/>
                <w:szCs w:val="24"/>
              </w:rPr>
            </w:pPr>
            <w:r>
              <w:rPr>
                <w:rFonts w:ascii="Times New Roman"/>
                <w:sz w:val="24"/>
              </w:rPr>
              <w:t>25,570,500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92" w:right="0"/>
              <w:jc w:val="left"/>
              <w:rPr>
                <w:rFonts w:ascii="Times New Roman" w:hAnsi="Times New Roman" w:cs="Times New Roman" w:eastAsia="Times New Roman" w:hint="default"/>
                <w:sz w:val="24"/>
                <w:szCs w:val="24"/>
              </w:rPr>
            </w:pPr>
            <w:r>
              <w:rPr>
                <w:rFonts w:ascii="Times New Roman"/>
                <w:sz w:val="24"/>
              </w:rPr>
              <w:t>875,919,137</w:t>
            </w:r>
          </w:p>
        </w:tc>
      </w:tr>
    </w:tbl>
    <w:p>
      <w:pPr>
        <w:pStyle w:val="BodyText"/>
        <w:spacing w:line="292" w:lineRule="exact"/>
        <w:ind w:left="316" w:right="0"/>
        <w:jc w:val="left"/>
        <w:rPr>
          <w:rFonts w:ascii="Times New Roman" w:hAnsi="Times New Roman" w:cs="Times New Roman" w:eastAsia="Times New Roman" w:hint="default"/>
        </w:rPr>
      </w:pPr>
      <w:r>
        <w:rPr/>
        <w:t>本期末通过公司内部研发形成的无形资产占无形资产余额的比例</w:t>
      </w:r>
      <w:r>
        <w:rPr>
          <w:spacing w:val="-59"/>
        </w:rPr>
        <w:t> </w:t>
      </w:r>
      <w:r>
        <w:rPr>
          <w:rFonts w:ascii="Times New Roman" w:hAnsi="Times New Roman" w:cs="Times New Roman" w:eastAsia="Times New Roman" w:hint="default"/>
        </w:rPr>
        <w:t>62%</w:t>
      </w:r>
    </w:p>
    <w:p>
      <w:pPr>
        <w:spacing w:line="240" w:lineRule="auto" w:before="5"/>
        <w:rPr>
          <w:rFonts w:ascii="Times New Roman" w:hAnsi="Times New Roman" w:cs="Times New Roman" w:eastAsia="Times New Roman" w:hint="default"/>
          <w:sz w:val="27"/>
          <w:szCs w:val="27"/>
        </w:rPr>
      </w:pPr>
    </w:p>
    <w:p>
      <w:pPr>
        <w:pStyle w:val="Heading2"/>
        <w:tabs>
          <w:tab w:pos="1157" w:val="left" w:leader="none"/>
        </w:tabs>
        <w:spacing w:line="240" w:lineRule="auto"/>
        <w:ind w:left="316" w:right="0"/>
        <w:jc w:val="left"/>
        <w:rPr>
          <w:rFonts w:ascii="宋体" w:hAnsi="宋体" w:cs="宋体" w:eastAsia="宋体" w:hint="default"/>
          <w:b w:val="0"/>
          <w:bCs w:val="0"/>
        </w:rPr>
      </w:pPr>
      <w:r>
        <w:rPr>
          <w:rFonts w:ascii="宋体" w:hAnsi="宋体" w:cs="宋体" w:eastAsia="宋体" w:hint="default"/>
        </w:rPr>
        <w:t>(2).</w:t>
        <w:tab/>
      </w:r>
      <w:r>
        <w:rPr/>
        <w:t>未办妥产权证书的土地使用权情况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316" w:right="0"/>
        <w:jc w:val="left"/>
      </w:pPr>
      <w:r>
        <w:rPr/>
        <w:t>□适用 √不适用</w:t>
      </w:r>
    </w:p>
    <w:p>
      <w:pPr>
        <w:spacing w:line="240" w:lineRule="auto" w:before="13"/>
        <w:rPr>
          <w:rFonts w:ascii="宋体" w:hAnsi="宋体" w:cs="宋体" w:eastAsia="宋体" w:hint="default"/>
          <w:sz w:val="20"/>
          <w:szCs w:val="20"/>
        </w:rPr>
      </w:pPr>
    </w:p>
    <w:p>
      <w:pPr>
        <w:pStyle w:val="BodyText"/>
        <w:spacing w:line="313" w:lineRule="exact"/>
        <w:ind w:left="316" w:right="0"/>
        <w:jc w:val="left"/>
      </w:pPr>
      <w:r>
        <w:rPr/>
        <w:t>其他说明：</w:t>
      </w:r>
    </w:p>
    <w:p>
      <w:pPr>
        <w:pStyle w:val="BodyText"/>
        <w:spacing w:line="311" w:lineRule="exact"/>
        <w:ind w:left="316" w:right="0"/>
        <w:jc w:val="left"/>
      </w:pPr>
      <w:r>
        <w:rPr/>
        <w:t>√适用 □不适用</w:t>
      </w:r>
    </w:p>
    <w:p>
      <w:pPr>
        <w:pStyle w:val="BodyText"/>
        <w:spacing w:line="320" w:lineRule="exact"/>
        <w:ind w:left="316" w:right="0"/>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31"/>
        </w:rPr>
        <w:t> </w:t>
      </w:r>
      <w:r>
        <w:rPr>
          <w:spacing w:val="-4"/>
        </w:rPr>
        <w:t>年部分软件著作权因预期使用寿命减少，存在加速摊销现象，加速摊销金额为人</w:t>
      </w:r>
    </w:p>
    <w:p>
      <w:pPr>
        <w:pStyle w:val="BodyText"/>
        <w:spacing w:line="322" w:lineRule="exact"/>
        <w:ind w:left="316" w:right="0"/>
        <w:jc w:val="left"/>
      </w:pPr>
      <w:r>
        <w:rPr/>
        <w:t>民币</w:t>
      </w:r>
      <w:r>
        <w:rPr>
          <w:spacing w:val="-60"/>
        </w:rPr>
        <w:t> </w:t>
      </w:r>
      <w:r>
        <w:rPr>
          <w:rFonts w:ascii="Times New Roman" w:hAnsi="Times New Roman" w:cs="Times New Roman" w:eastAsia="Times New Roman" w:hint="default"/>
        </w:rPr>
        <w:t>44,865,998</w:t>
      </w:r>
      <w:r>
        <w:rPr>
          <w:rFonts w:ascii="Times New Roman" w:hAnsi="Times New Roman" w:cs="Times New Roman" w:eastAsia="Times New Roman" w:hint="default"/>
          <w:spacing w:val="-1"/>
        </w:rPr>
        <w:t> </w:t>
      </w:r>
      <w:r>
        <w:rPr/>
        <w:t>元。</w:t>
      </w:r>
    </w:p>
    <w:p>
      <w:pPr>
        <w:spacing w:line="240" w:lineRule="auto" w:before="0"/>
        <w:rPr>
          <w:rFonts w:ascii="宋体" w:hAnsi="宋体" w:cs="宋体" w:eastAsia="宋体" w:hint="default"/>
          <w:sz w:val="22"/>
          <w:szCs w:val="22"/>
        </w:rPr>
      </w:pPr>
    </w:p>
    <w:p>
      <w:pPr>
        <w:pStyle w:val="BodyText"/>
        <w:spacing w:line="310" w:lineRule="exact"/>
        <w:ind w:left="316" w:right="291"/>
        <w:jc w:val="left"/>
      </w:pPr>
      <w:r>
        <w:rPr/>
        <w:t>于</w:t>
      </w:r>
      <w:r>
        <w:rPr>
          <w:spacing w:val="-6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日，通过内部研发形成的无形资产占无形资产年末账面价值的比 例为</w:t>
      </w:r>
      <w:r>
        <w:rPr>
          <w:spacing w:val="-61"/>
        </w:rPr>
        <w:t> </w:t>
      </w:r>
      <w:r>
        <w:rPr>
          <w:rFonts w:ascii="Times New Roman" w:hAnsi="Times New Roman" w:cs="Times New Roman" w:eastAsia="Times New Roman" w:hint="default"/>
        </w:rPr>
        <w:t>62%</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r>
        <w:rPr>
          <w:rFonts w:ascii="Times New Roman" w:hAnsi="Times New Roman" w:cs="Times New Roman" w:eastAsia="Times New Roman" w:hint="default"/>
        </w:rPr>
        <w:t>58%)</w:t>
      </w:r>
      <w:r>
        <w:rPr/>
        <w:t>。</w:t>
      </w:r>
    </w:p>
    <w:p>
      <w:pPr>
        <w:spacing w:line="240" w:lineRule="auto" w:before="2"/>
        <w:rPr>
          <w:rFonts w:ascii="宋体" w:hAnsi="宋体" w:cs="宋体" w:eastAsia="宋体" w:hint="default"/>
          <w:sz w:val="21"/>
          <w:szCs w:val="21"/>
        </w:rPr>
      </w:pPr>
    </w:p>
    <w:p>
      <w:pPr>
        <w:pStyle w:val="BodyText"/>
        <w:spacing w:line="312" w:lineRule="exact"/>
        <w:ind w:left="316" w:right="228"/>
        <w:jc w:val="left"/>
      </w:pPr>
      <w:r>
        <w:rPr/>
        <w:t>于</w:t>
      </w:r>
      <w:r>
        <w:rPr>
          <w:spacing w:val="-77"/>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7"/>
        </w:rPr>
        <w:t> </w:t>
      </w:r>
      <w:r>
        <w:rPr/>
        <w:t>年</w:t>
      </w:r>
      <w:r>
        <w:rPr>
          <w:spacing w:val="-77"/>
        </w:rPr>
        <w:t> </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17"/>
        </w:rPr>
        <w:t> </w:t>
      </w:r>
      <w:r>
        <w:rPr/>
        <w:t>月</w:t>
      </w:r>
      <w:r>
        <w:rPr>
          <w:spacing w:val="-77"/>
        </w:rPr>
        <w:t> </w:t>
      </w:r>
      <w:r>
        <w:rPr>
          <w:rFonts w:ascii="Times New Roman" w:hAnsi="Times New Roman" w:cs="Times New Roman" w:eastAsia="Times New Roman" w:hint="default"/>
        </w:rPr>
        <w:t>31</w:t>
      </w:r>
      <w:r>
        <w:rPr>
          <w:rFonts w:ascii="Times New Roman" w:hAnsi="Times New Roman" w:cs="Times New Roman" w:eastAsia="Times New Roman" w:hint="default"/>
          <w:spacing w:val="-17"/>
        </w:rPr>
        <w:t> </w:t>
      </w:r>
      <w:r>
        <w:rPr>
          <w:spacing w:val="-6"/>
        </w:rPr>
        <w:t>日，本集团所有权受限的无形资产金额为人民币</w:t>
      </w:r>
      <w:r>
        <w:rPr>
          <w:spacing w:val="-75"/>
        </w:rPr>
        <w:t> </w:t>
      </w:r>
      <w:r>
        <w:rPr>
          <w:rFonts w:ascii="Times New Roman" w:hAnsi="Times New Roman" w:cs="Times New Roman" w:eastAsia="Times New Roman" w:hint="default"/>
        </w:rPr>
        <w:t>30,414,228</w:t>
      </w:r>
      <w:r>
        <w:rPr>
          <w:rFonts w:ascii="Times New Roman" w:hAnsi="Times New Roman" w:cs="Times New Roman" w:eastAsia="Times New Roman" w:hint="default"/>
          <w:spacing w:val="-17"/>
        </w:rPr>
        <w:t> </w:t>
      </w:r>
      <w:r>
        <w:rPr/>
        <w:t>元</w:t>
      </w:r>
      <w:r>
        <w:rPr>
          <w:rFonts w:ascii="Times New Roman" w:hAnsi="Times New Roman" w:cs="Times New Roman" w:eastAsia="Times New Roman" w:hint="default"/>
        </w:rPr>
        <w:t>(2018 </w:t>
      </w:r>
      <w:r>
        <w:rPr/>
        <w:t>年：人民币</w:t>
      </w:r>
      <w:r>
        <w:rPr>
          <w:spacing w:val="-61"/>
        </w:rPr>
        <w:t> </w:t>
      </w:r>
      <w:r>
        <w:rPr>
          <w:rFonts w:ascii="Times New Roman" w:hAnsi="Times New Roman" w:cs="Times New Roman" w:eastAsia="Times New Roman" w:hint="default"/>
        </w:rPr>
        <w:t>96,717,035</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。参见附注七、</w:t>
      </w:r>
      <w:r>
        <w:rPr>
          <w:rFonts w:ascii="Times New Roman" w:hAnsi="Times New Roman" w:cs="Times New Roman" w:eastAsia="Times New Roman" w:hint="default"/>
        </w:rPr>
        <w:t>43</w:t>
      </w:r>
      <w:r>
        <w:rPr>
          <w:rFonts w:ascii="Times New Roman" w:hAnsi="Times New Roman" w:cs="Times New Roman" w:eastAsia="Times New Roman" w:hint="default"/>
          <w:spacing w:val="-1"/>
        </w:rPr>
        <w:t> </w:t>
      </w:r>
      <w:r>
        <w:rPr/>
        <w:t>及附注七、</w:t>
      </w:r>
      <w:r>
        <w:rPr>
          <w:rFonts w:ascii="Times New Roman" w:hAnsi="Times New Roman" w:cs="Times New Roman" w:eastAsia="Times New Roman" w:hint="default"/>
        </w:rPr>
        <w:t>79</w:t>
      </w:r>
      <w:r>
        <w:rPr/>
        <w:t>。</w:t>
      </w:r>
    </w:p>
    <w:p>
      <w:pPr>
        <w:spacing w:line="240" w:lineRule="auto" w:before="11"/>
        <w:rPr>
          <w:rFonts w:ascii="宋体" w:hAnsi="宋体" w:cs="宋体" w:eastAsia="宋体" w:hint="default"/>
          <w:sz w:val="18"/>
          <w:szCs w:val="18"/>
        </w:rPr>
      </w:pPr>
    </w:p>
    <w:p>
      <w:pPr>
        <w:spacing w:before="0"/>
        <w:ind w:left="316" w:right="0" w:firstLine="0"/>
        <w:jc w:val="left"/>
        <w:rPr>
          <w:rFonts w:ascii="黑体" w:hAnsi="黑体" w:cs="黑体" w:eastAsia="黑体" w:hint="default"/>
          <w:sz w:val="20"/>
          <w:szCs w:val="20"/>
        </w:rPr>
      </w:pPr>
      <w:r>
        <w:rPr>
          <w:rFonts w:ascii="黑体" w:hAnsi="黑体" w:cs="黑体" w:eastAsia="黑体" w:hint="default"/>
          <w:sz w:val="20"/>
          <w:szCs w:val="20"/>
        </w:rPr>
        <w:t>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日，未办妥产权证书的无形资产如下：</w:t>
      </w:r>
    </w:p>
    <w:p>
      <w:pPr>
        <w:spacing w:line="240" w:lineRule="auto" w:before="1"/>
        <w:rPr>
          <w:rFonts w:ascii="黑体" w:hAnsi="黑体" w:cs="黑体" w:eastAsia="黑体" w:hint="default"/>
          <w:sz w:val="21"/>
          <w:szCs w:val="21"/>
        </w:rPr>
      </w:pPr>
    </w:p>
    <w:tbl>
      <w:tblPr>
        <w:tblW w:w="0" w:type="auto"/>
        <w:jc w:val="left"/>
        <w:tblInd w:w="116" w:type="dxa"/>
        <w:tblLayout w:type="fixed"/>
        <w:tblCellMar>
          <w:top w:w="0" w:type="dxa"/>
          <w:left w:w="0" w:type="dxa"/>
          <w:bottom w:w="0" w:type="dxa"/>
          <w:right w:w="0" w:type="dxa"/>
        </w:tblCellMar>
        <w:tblLook w:val="01E0"/>
      </w:tblPr>
      <w:tblGrid>
        <w:gridCol w:w="2583"/>
        <w:gridCol w:w="3403"/>
        <w:gridCol w:w="2684"/>
      </w:tblGrid>
      <w:tr>
        <w:trPr>
          <w:trHeight w:val="349" w:hRule="exact"/>
        </w:trPr>
        <w:tc>
          <w:tcPr>
            <w:tcW w:w="2583" w:type="dxa"/>
            <w:tcBorders>
              <w:top w:val="nil" w:sz="6" w:space="0" w:color="auto"/>
              <w:left w:val="nil" w:sz="6" w:space="0" w:color="auto"/>
              <w:bottom w:val="nil" w:sz="6" w:space="0" w:color="auto"/>
              <w:right w:val="nil" w:sz="6" w:space="0" w:color="auto"/>
            </w:tcBorders>
          </w:tcPr>
          <w:p>
            <w:pPr/>
          </w:p>
        </w:tc>
        <w:tc>
          <w:tcPr>
            <w:tcW w:w="3403" w:type="dxa"/>
            <w:tcBorders>
              <w:top w:val="nil" w:sz="6" w:space="0" w:color="auto"/>
              <w:left w:val="nil" w:sz="6" w:space="0" w:color="auto"/>
              <w:bottom w:val="nil" w:sz="6" w:space="0" w:color="auto"/>
              <w:right w:val="nil" w:sz="6" w:space="0" w:color="auto"/>
            </w:tcBorders>
          </w:tcPr>
          <w:p>
            <w:pPr>
              <w:pStyle w:val="TableParagraph"/>
              <w:spacing w:line="204" w:lineRule="exact"/>
              <w:ind w:right="682"/>
              <w:jc w:val="right"/>
              <w:rPr>
                <w:rFonts w:ascii="黑体" w:hAnsi="黑体" w:cs="黑体" w:eastAsia="黑体" w:hint="default"/>
                <w:sz w:val="20"/>
                <w:szCs w:val="20"/>
              </w:rPr>
            </w:pPr>
            <w:r>
              <w:rPr>
                <w:rFonts w:ascii="黑体" w:hAnsi="黑体" w:cs="黑体" w:eastAsia="黑体" w:hint="default"/>
                <w:w w:val="95"/>
                <w:sz w:val="20"/>
                <w:szCs w:val="20"/>
              </w:rPr>
              <w:t>账面价值</w:t>
            </w:r>
            <w:r>
              <w:rPr>
                <w:rFonts w:ascii="黑体" w:hAnsi="黑体" w:cs="黑体" w:eastAsia="黑体" w:hint="default"/>
                <w:sz w:val="20"/>
                <w:szCs w:val="20"/>
              </w:rPr>
            </w:r>
          </w:p>
        </w:tc>
        <w:tc>
          <w:tcPr>
            <w:tcW w:w="2684"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黑体" w:hAnsi="黑体" w:cs="黑体" w:eastAsia="黑体" w:hint="default"/>
                <w:sz w:val="20"/>
                <w:szCs w:val="20"/>
              </w:rPr>
            </w:pPr>
            <w:r>
              <w:rPr>
                <w:rFonts w:ascii="黑体" w:hAnsi="黑体" w:cs="黑体" w:eastAsia="黑体" w:hint="default"/>
                <w:w w:val="95"/>
                <w:sz w:val="20"/>
                <w:szCs w:val="20"/>
              </w:rPr>
              <w:t>未办妥产权证书原因</w:t>
            </w:r>
            <w:r>
              <w:rPr>
                <w:rFonts w:ascii="黑体" w:hAnsi="黑体" w:cs="黑体" w:eastAsia="黑体" w:hint="default"/>
                <w:sz w:val="20"/>
                <w:szCs w:val="20"/>
              </w:rPr>
            </w:r>
          </w:p>
        </w:tc>
      </w:tr>
      <w:tr>
        <w:trPr>
          <w:trHeight w:val="385"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200" w:right="0"/>
              <w:jc w:val="left"/>
              <w:rPr>
                <w:rFonts w:ascii="Arial" w:hAnsi="Arial" w:cs="Arial" w:eastAsia="Arial" w:hint="default"/>
                <w:sz w:val="20"/>
                <w:szCs w:val="20"/>
              </w:rPr>
            </w:pPr>
            <w:r>
              <w:rPr>
                <w:rFonts w:ascii="Arial"/>
                <w:sz w:val="20"/>
              </w:rPr>
              <w:t>iUAP5.0</w:t>
            </w:r>
          </w:p>
        </w:tc>
        <w:tc>
          <w:tcPr>
            <w:tcW w:w="3403"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684"/>
              <w:jc w:val="right"/>
              <w:rPr>
                <w:rFonts w:ascii="Arial" w:hAnsi="Arial" w:cs="Arial" w:eastAsia="Arial" w:hint="default"/>
                <w:sz w:val="20"/>
                <w:szCs w:val="20"/>
              </w:rPr>
            </w:pPr>
            <w:r>
              <w:rPr>
                <w:rFonts w:ascii="Arial"/>
                <w:spacing w:val="-1"/>
                <w:sz w:val="20"/>
              </w:rPr>
              <w:t>112,909,475</w:t>
            </w:r>
          </w:p>
        </w:tc>
        <w:tc>
          <w:tcPr>
            <w:tcW w:w="26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8"/>
              <w:jc w:val="right"/>
              <w:rPr>
                <w:rFonts w:ascii="黑体" w:hAnsi="黑体" w:cs="黑体" w:eastAsia="黑体" w:hint="default"/>
                <w:sz w:val="20"/>
                <w:szCs w:val="20"/>
              </w:rPr>
            </w:pPr>
            <w:r>
              <w:rPr>
                <w:rFonts w:ascii="黑体" w:hAnsi="黑体" w:cs="黑体" w:eastAsia="黑体" w:hint="default"/>
                <w:sz w:val="20"/>
                <w:szCs w:val="20"/>
              </w:rPr>
              <w:t>办理过程中</w:t>
            </w:r>
          </w:p>
        </w:tc>
      </w:tr>
      <w:tr>
        <w:trPr>
          <w:trHeight w:val="371"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00" w:right="0"/>
              <w:jc w:val="left"/>
              <w:rPr>
                <w:rFonts w:ascii="Arial" w:hAnsi="Arial" w:cs="Arial" w:eastAsia="Arial" w:hint="default"/>
                <w:sz w:val="20"/>
                <w:szCs w:val="20"/>
              </w:rPr>
            </w:pPr>
            <w:r>
              <w:rPr>
                <w:rFonts w:ascii="Arial"/>
                <w:sz w:val="20"/>
              </w:rPr>
              <w:t>Yousuite</w:t>
            </w:r>
          </w:p>
        </w:tc>
        <w:tc>
          <w:tcPr>
            <w:tcW w:w="340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84"/>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  </w:t>
            </w:r>
            <w:r>
              <w:rPr>
                <w:rFonts w:ascii="Arial"/>
                <w:spacing w:val="-21"/>
                <w:sz w:val="20"/>
                <w:u w:val="single" w:color="000000"/>
              </w:rPr>
              <w:t> </w:t>
            </w:r>
            <w:r>
              <w:rPr>
                <w:rFonts w:ascii="Arial"/>
                <w:spacing w:val="-1"/>
                <w:sz w:val="20"/>
                <w:u w:val="single" w:color="000000"/>
              </w:rPr>
              <w:t>54,972,515</w:t>
            </w:r>
            <w:r>
              <w:rPr>
                <w:rFonts w:ascii="Arial"/>
                <w:spacing w:val="-1"/>
                <w:sz w:val="20"/>
              </w:rPr>
            </w:r>
          </w:p>
        </w:tc>
        <w:tc>
          <w:tcPr>
            <w:tcW w:w="2684" w:type="dxa"/>
            <w:tcBorders>
              <w:top w:val="nil" w:sz="6" w:space="0" w:color="auto"/>
              <w:left w:val="nil" w:sz="6" w:space="0" w:color="auto"/>
              <w:bottom w:val="nil" w:sz="6" w:space="0" w:color="auto"/>
              <w:right w:val="nil" w:sz="6" w:space="0" w:color="auto"/>
            </w:tcBorders>
          </w:tcPr>
          <w:p>
            <w:pPr>
              <w:pStyle w:val="TableParagraph"/>
              <w:spacing w:line="218" w:lineRule="exact"/>
              <w:ind w:right="198"/>
              <w:jc w:val="right"/>
              <w:rPr>
                <w:rFonts w:ascii="黑体" w:hAnsi="黑体" w:cs="黑体" w:eastAsia="黑体" w:hint="default"/>
                <w:sz w:val="20"/>
                <w:szCs w:val="20"/>
              </w:rPr>
            </w:pPr>
            <w:r>
              <w:rPr>
                <w:rFonts w:ascii="黑体" w:hAnsi="黑体" w:cs="黑体" w:eastAsia="黑体" w:hint="default"/>
                <w:sz w:val="20"/>
                <w:szCs w:val="20"/>
              </w:rPr>
              <w:t>办理过程中</w:t>
            </w:r>
          </w:p>
        </w:tc>
      </w:tr>
      <w:tr>
        <w:trPr>
          <w:trHeight w:val="330" w:hRule="exact"/>
        </w:trPr>
        <w:tc>
          <w:tcPr>
            <w:tcW w:w="2583" w:type="dxa"/>
            <w:tcBorders>
              <w:top w:val="nil" w:sz="6" w:space="0" w:color="auto"/>
              <w:left w:val="nil" w:sz="6" w:space="0" w:color="auto"/>
              <w:bottom w:val="nil" w:sz="6" w:space="0" w:color="auto"/>
              <w:right w:val="nil" w:sz="6" w:space="0" w:color="auto"/>
            </w:tcBorders>
          </w:tcPr>
          <w:p>
            <w:pPr/>
          </w:p>
        </w:tc>
        <w:tc>
          <w:tcPr>
            <w:tcW w:w="340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684"/>
              <w:jc w:val="right"/>
              <w:rPr>
                <w:rFonts w:ascii="Arial" w:hAnsi="Arial" w:cs="Arial" w:eastAsia="Arial" w:hint="default"/>
                <w:sz w:val="20"/>
                <w:szCs w:val="20"/>
              </w:rPr>
            </w:pPr>
            <w:r>
              <w:rPr>
                <w:rFonts w:ascii="Arial"/>
                <w:w w:val="99"/>
                <w:sz w:val="20"/>
              </w:rPr>
            </w:r>
            <w:r>
              <w:rPr>
                <w:rFonts w:ascii="Arial"/>
                <w:spacing w:val="-1"/>
                <w:sz w:val="20"/>
                <w:u w:val="thick" w:color="000000"/>
              </w:rPr>
              <w:t>167,881,990</w:t>
            </w:r>
            <w:r>
              <w:rPr>
                <w:rFonts w:ascii="Arial"/>
                <w:spacing w:val="-1"/>
                <w:sz w:val="20"/>
              </w:rPr>
            </w:r>
          </w:p>
        </w:tc>
        <w:tc>
          <w:tcPr>
            <w:tcW w:w="2684"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82" w:footer="1195" w:top="1080" w:bottom="1380" w:left="960" w:right="1560"/>
        </w:sectPr>
      </w:pPr>
    </w:p>
    <w:p>
      <w:pPr>
        <w:spacing w:line="240" w:lineRule="auto" w:before="4"/>
        <w:rPr>
          <w:rFonts w:ascii="黑体" w:hAnsi="黑体" w:cs="黑体" w:eastAsia="黑体" w:hint="default"/>
          <w:sz w:val="22"/>
          <w:szCs w:val="22"/>
        </w:rPr>
      </w:pPr>
    </w:p>
    <w:p>
      <w:pPr>
        <w:spacing w:after="0" w:line="240" w:lineRule="auto"/>
        <w:rPr>
          <w:rFonts w:ascii="黑体" w:hAnsi="黑体" w:cs="黑体" w:eastAsia="黑体" w:hint="default"/>
          <w:sz w:val="22"/>
          <w:szCs w:val="22"/>
        </w:rPr>
        <w:sectPr>
          <w:pgSz w:w="11910" w:h="16840"/>
          <w:pgMar w:header="882" w:footer="1195" w:top="1080" w:bottom="1380" w:left="1060" w:right="1560"/>
        </w:sectPr>
      </w:pPr>
    </w:p>
    <w:p>
      <w:pPr>
        <w:pStyle w:val="Heading2"/>
        <w:spacing w:line="240" w:lineRule="auto" w:before="26"/>
        <w:ind w:right="-19"/>
        <w:jc w:val="left"/>
        <w:rPr>
          <w:rFonts w:ascii="宋体" w:hAnsi="宋体" w:cs="宋体" w:eastAsia="宋体" w:hint="default"/>
          <w:b w:val="0"/>
          <w:bCs w:val="0"/>
        </w:rPr>
      </w:pPr>
      <w:r>
        <w:rPr>
          <w:rFonts w:ascii="宋体" w:hAnsi="宋体" w:cs="宋体" w:eastAsia="宋体" w:hint="default"/>
        </w:rPr>
        <w:t>26</w:t>
      </w:r>
      <w:r>
        <w:rPr/>
        <w:t>、</w:t>
      </w:r>
      <w:r>
        <w:rPr>
          <w:spacing w:val="-102"/>
        </w:rPr>
        <w:t> </w:t>
      </w:r>
      <w:r>
        <w:rPr/>
        <w:t>开发支出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1922" w:space="4272"/>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112"/>
        <w:gridCol w:w="1330"/>
        <w:gridCol w:w="1453"/>
        <w:gridCol w:w="612"/>
        <w:gridCol w:w="442"/>
        <w:gridCol w:w="1452"/>
        <w:gridCol w:w="1327"/>
        <w:gridCol w:w="646"/>
        <w:gridCol w:w="677"/>
      </w:tblGrid>
      <w:tr>
        <w:trPr>
          <w:trHeight w:val="322" w:hRule="exact"/>
        </w:trPr>
        <w:tc>
          <w:tcPr>
            <w:tcW w:w="1112"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310" w:right="0"/>
              <w:jc w:val="left"/>
              <w:rPr>
                <w:rFonts w:ascii="宋体" w:hAnsi="宋体" w:cs="宋体" w:eastAsia="宋体" w:hint="default"/>
                <w:sz w:val="24"/>
                <w:szCs w:val="24"/>
              </w:rPr>
            </w:pPr>
            <w:r>
              <w:rPr>
                <w:rFonts w:ascii="宋体" w:hAnsi="宋体" w:cs="宋体" w:eastAsia="宋体" w:hint="default"/>
                <w:sz w:val="24"/>
                <w:szCs w:val="24"/>
              </w:rPr>
              <w:t>项目</w:t>
            </w:r>
          </w:p>
        </w:tc>
        <w:tc>
          <w:tcPr>
            <w:tcW w:w="133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419" w:right="419"/>
              <w:jc w:val="left"/>
              <w:rPr>
                <w:rFonts w:ascii="宋体" w:hAnsi="宋体" w:cs="宋体" w:eastAsia="宋体" w:hint="default"/>
                <w:sz w:val="24"/>
                <w:szCs w:val="24"/>
              </w:rPr>
            </w:pPr>
            <w:r>
              <w:rPr>
                <w:rFonts w:ascii="宋体" w:hAnsi="宋体" w:cs="宋体" w:eastAsia="宋体" w:hint="default"/>
                <w:sz w:val="24"/>
                <w:szCs w:val="24"/>
              </w:rPr>
              <w:t>期初 余额</w:t>
            </w:r>
          </w:p>
        </w:tc>
        <w:tc>
          <w:tcPr>
            <w:tcW w:w="2506"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8" w:right="0"/>
              <w:jc w:val="left"/>
              <w:rPr>
                <w:rFonts w:ascii="宋体" w:hAnsi="宋体" w:cs="宋体" w:eastAsia="宋体" w:hint="default"/>
                <w:sz w:val="24"/>
                <w:szCs w:val="24"/>
              </w:rPr>
            </w:pPr>
            <w:r>
              <w:rPr>
                <w:rFonts w:ascii="宋体" w:hAnsi="宋体" w:cs="宋体" w:eastAsia="宋体" w:hint="default"/>
                <w:sz w:val="24"/>
                <w:szCs w:val="24"/>
              </w:rPr>
              <w:t>本期增加金额</w:t>
            </w:r>
          </w:p>
        </w:tc>
        <w:tc>
          <w:tcPr>
            <w:tcW w:w="34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29" w:right="0"/>
              <w:jc w:val="left"/>
              <w:rPr>
                <w:rFonts w:ascii="宋体" w:hAnsi="宋体" w:cs="宋体" w:eastAsia="宋体" w:hint="default"/>
                <w:sz w:val="24"/>
                <w:szCs w:val="24"/>
              </w:rPr>
            </w:pPr>
            <w:r>
              <w:rPr>
                <w:rFonts w:ascii="宋体" w:hAnsi="宋体" w:cs="宋体" w:eastAsia="宋体" w:hint="default"/>
                <w:sz w:val="24"/>
                <w:szCs w:val="24"/>
              </w:rPr>
              <w:t>本期减少金额</w:t>
            </w:r>
          </w:p>
        </w:tc>
        <w:tc>
          <w:tcPr>
            <w:tcW w:w="677" w:type="dxa"/>
            <w:vMerge w:val="restart"/>
            <w:tcBorders>
              <w:top w:val="single" w:sz="4" w:space="0" w:color="000000"/>
              <w:left w:val="single" w:sz="4" w:space="0" w:color="000000"/>
              <w:right w:val="single" w:sz="4" w:space="0" w:color="000000"/>
            </w:tcBorders>
          </w:tcPr>
          <w:p>
            <w:pPr>
              <w:pStyle w:val="TableParagraph"/>
              <w:spacing w:line="273" w:lineRule="exact"/>
              <w:ind w:left="213" w:right="0"/>
              <w:jc w:val="both"/>
              <w:rPr>
                <w:rFonts w:ascii="宋体" w:hAnsi="宋体" w:cs="宋体" w:eastAsia="宋体" w:hint="default"/>
                <w:sz w:val="24"/>
                <w:szCs w:val="24"/>
              </w:rPr>
            </w:pPr>
            <w:r>
              <w:rPr>
                <w:rFonts w:ascii="宋体" w:hAnsi="宋体" w:cs="宋体" w:eastAsia="宋体" w:hint="default"/>
                <w:sz w:val="24"/>
                <w:szCs w:val="24"/>
              </w:rPr>
              <w:t>期</w:t>
            </w:r>
          </w:p>
          <w:p>
            <w:pPr>
              <w:pStyle w:val="TableParagraph"/>
              <w:spacing w:line="237" w:lineRule="auto" w:before="1"/>
              <w:ind w:left="213" w:right="211"/>
              <w:jc w:val="both"/>
              <w:rPr>
                <w:rFonts w:ascii="宋体" w:hAnsi="宋体" w:cs="宋体" w:eastAsia="宋体" w:hint="default"/>
                <w:sz w:val="24"/>
                <w:szCs w:val="24"/>
              </w:rPr>
            </w:pPr>
            <w:r>
              <w:rPr>
                <w:rFonts w:ascii="宋体" w:hAnsi="宋体" w:cs="宋体" w:eastAsia="宋体" w:hint="default"/>
                <w:sz w:val="24"/>
                <w:szCs w:val="24"/>
              </w:rPr>
              <w:t>末 余 额</w:t>
            </w:r>
          </w:p>
        </w:tc>
      </w:tr>
      <w:tr>
        <w:trPr>
          <w:trHeight w:val="934" w:hRule="exact"/>
        </w:trPr>
        <w:tc>
          <w:tcPr>
            <w:tcW w:w="1112" w:type="dxa"/>
            <w:vMerge/>
            <w:tcBorders>
              <w:left w:val="single" w:sz="4" w:space="0" w:color="000000"/>
              <w:bottom w:val="single" w:sz="4" w:space="0" w:color="000000"/>
              <w:right w:val="single" w:sz="4" w:space="0" w:color="000000"/>
            </w:tcBorders>
          </w:tcPr>
          <w:p>
            <w:pPr/>
          </w:p>
        </w:tc>
        <w:tc>
          <w:tcPr>
            <w:tcW w:w="1330" w:type="dxa"/>
            <w:vMerge/>
            <w:tcBorders>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1"/>
              <w:ind w:left="600" w:right="122" w:hanging="481"/>
              <w:jc w:val="left"/>
              <w:rPr>
                <w:rFonts w:ascii="宋体" w:hAnsi="宋体" w:cs="宋体" w:eastAsia="宋体" w:hint="default"/>
                <w:sz w:val="24"/>
                <w:szCs w:val="24"/>
              </w:rPr>
            </w:pPr>
            <w:r>
              <w:rPr>
                <w:rFonts w:ascii="宋体" w:hAnsi="宋体" w:cs="宋体" w:eastAsia="宋体" w:hint="default"/>
                <w:sz w:val="24"/>
                <w:szCs w:val="24"/>
              </w:rPr>
              <w:t>内部开发支 出</w:t>
            </w:r>
          </w:p>
        </w:tc>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1"/>
              <w:ind w:left="180" w:right="180"/>
              <w:jc w:val="left"/>
              <w:rPr>
                <w:rFonts w:ascii="宋体" w:hAnsi="宋体" w:cs="宋体" w:eastAsia="宋体" w:hint="default"/>
                <w:sz w:val="24"/>
                <w:szCs w:val="24"/>
              </w:rPr>
            </w:pPr>
            <w:r>
              <w:rPr>
                <w:rFonts w:ascii="宋体" w:hAnsi="宋体" w:cs="宋体" w:eastAsia="宋体" w:hint="default"/>
                <w:sz w:val="24"/>
                <w:szCs w:val="24"/>
              </w:rPr>
              <w:t>其 他</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213" w:right="0"/>
              <w:jc w:val="left"/>
              <w:rPr>
                <w:rFonts w:ascii="宋体" w:hAnsi="宋体" w:cs="宋体" w:eastAsia="宋体" w:hint="default"/>
                <w:sz w:val="24"/>
                <w:szCs w:val="24"/>
              </w:rPr>
            </w:pPr>
            <w:r>
              <w:rPr>
                <w:rFonts w:ascii="宋体"/>
                <w:sz w:val="24"/>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1"/>
              <w:ind w:left="480" w:right="120" w:hanging="361"/>
              <w:jc w:val="left"/>
              <w:rPr>
                <w:rFonts w:ascii="宋体" w:hAnsi="宋体" w:cs="宋体" w:eastAsia="宋体" w:hint="default"/>
                <w:sz w:val="24"/>
                <w:szCs w:val="24"/>
              </w:rPr>
            </w:pPr>
            <w:r>
              <w:rPr>
                <w:rFonts w:ascii="宋体" w:hAnsi="宋体" w:cs="宋体" w:eastAsia="宋体" w:hint="default"/>
                <w:sz w:val="24"/>
                <w:szCs w:val="24"/>
              </w:rPr>
              <w:t>确认为无形 资产</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1"/>
              <w:ind w:left="415" w:right="180" w:hanging="240"/>
              <w:jc w:val="left"/>
              <w:rPr>
                <w:rFonts w:ascii="宋体" w:hAnsi="宋体" w:cs="宋体" w:eastAsia="宋体" w:hint="default"/>
                <w:sz w:val="24"/>
                <w:szCs w:val="24"/>
              </w:rPr>
            </w:pPr>
            <w:r>
              <w:rPr>
                <w:rFonts w:ascii="宋体" w:hAnsi="宋体" w:cs="宋体" w:eastAsia="宋体" w:hint="default"/>
                <w:sz w:val="24"/>
                <w:szCs w:val="24"/>
              </w:rPr>
              <w:t>转入当期 损益</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24"/>
                <w:szCs w:val="24"/>
              </w:rPr>
            </w:pPr>
            <w:r>
              <w:rPr>
                <w:rFonts w:ascii="宋体"/>
                <w:sz w:val="24"/>
              </w:rPr>
              <w:t> </w:t>
            </w:r>
          </w:p>
        </w:tc>
        <w:tc>
          <w:tcPr>
            <w:tcW w:w="677" w:type="dxa"/>
            <w:vMerge/>
            <w:tcBorders>
              <w:left w:val="single" w:sz="4" w:space="0" w:color="000000"/>
              <w:bottom w:val="single" w:sz="4" w:space="0" w:color="000000"/>
              <w:right w:val="single" w:sz="4" w:space="0" w:color="000000"/>
            </w:tcBorders>
          </w:tcPr>
          <w:p>
            <w:pPr/>
          </w:p>
        </w:tc>
      </w:tr>
      <w:tr>
        <w:trPr>
          <w:trHeight w:val="1219" w:hRule="exact"/>
        </w:trPr>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医院信</w:t>
            </w:r>
          </w:p>
          <w:p>
            <w:pPr>
              <w:pStyle w:val="TableParagraph"/>
              <w:spacing w:line="249" w:lineRule="auto"/>
              <w:ind w:left="103" w:right="276"/>
              <w:jc w:val="both"/>
              <w:rPr>
                <w:rFonts w:ascii="Times New Roman" w:hAnsi="Times New Roman" w:cs="Times New Roman" w:eastAsia="Times New Roman" w:hint="default"/>
                <w:sz w:val="24"/>
                <w:szCs w:val="24"/>
              </w:rPr>
            </w:pPr>
            <w:r>
              <w:rPr>
                <w:rFonts w:ascii="宋体" w:hAnsi="宋体" w:cs="宋体" w:eastAsia="宋体" w:hint="default"/>
                <w:sz w:val="24"/>
                <w:szCs w:val="24"/>
              </w:rPr>
              <w:t>息化平 台系统 </w:t>
            </w:r>
            <w:r>
              <w:rPr>
                <w:rFonts w:ascii="Times New Roman" w:hAnsi="Times New Roman" w:cs="Times New Roman" w:eastAsia="Times New Roman" w:hint="default"/>
                <w:sz w:val="24"/>
                <w:szCs w:val="24"/>
              </w:rPr>
              <w:t>(MIP)</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35"/>
                <w:szCs w:val="35"/>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22,271,526</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35"/>
                <w:szCs w:val="35"/>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728,521</w:t>
            </w: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35"/>
                <w:szCs w:val="35"/>
              </w:rPr>
            </w:pPr>
          </w:p>
          <w:p>
            <w:pPr>
              <w:pStyle w:val="TableParagraph"/>
              <w:spacing w:line="240" w:lineRule="auto"/>
              <w:ind w:left="26" w:right="0"/>
              <w:jc w:val="center"/>
              <w:rPr>
                <w:rFonts w:ascii="Times New Roman" w:hAnsi="Times New Roman" w:cs="Times New Roman" w:eastAsia="Times New Roman" w:hint="default"/>
                <w:sz w:val="24"/>
                <w:szCs w:val="24"/>
              </w:rPr>
            </w:pPr>
            <w:r>
              <w:rPr>
                <w:rFonts w:ascii="Times New Roman"/>
                <w:sz w:val="24"/>
              </w:rPr>
              <w:t>23,000,047</w:t>
            </w: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944" w:hRule="exact"/>
        </w:trPr>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实践教</w:t>
            </w:r>
          </w:p>
          <w:p>
            <w:pPr>
              <w:pStyle w:val="TableParagraph"/>
              <w:spacing w:line="312" w:lineRule="exact" w:before="30"/>
              <w:ind w:left="103" w:right="276"/>
              <w:jc w:val="left"/>
              <w:rPr>
                <w:rFonts w:ascii="宋体" w:hAnsi="宋体" w:cs="宋体" w:eastAsia="宋体" w:hint="default"/>
                <w:sz w:val="24"/>
                <w:szCs w:val="24"/>
              </w:rPr>
            </w:pPr>
            <w:r>
              <w:rPr>
                <w:rFonts w:ascii="宋体" w:hAnsi="宋体" w:cs="宋体" w:eastAsia="宋体" w:hint="default"/>
                <w:sz w:val="24"/>
                <w:szCs w:val="24"/>
              </w:rPr>
              <w:t>学云平 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16,874,003</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524,403</w:t>
            </w: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17,398,406</w:t>
            </w: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餐饮云</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产品</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1945592</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15044</w:t>
            </w: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46" w:right="0"/>
              <w:jc w:val="center"/>
              <w:rPr>
                <w:rFonts w:ascii="Times New Roman" w:hAnsi="Times New Roman" w:cs="Times New Roman" w:eastAsia="Times New Roman" w:hint="default"/>
                <w:sz w:val="24"/>
                <w:szCs w:val="24"/>
              </w:rPr>
            </w:pPr>
            <w:r>
              <w:rPr>
                <w:rFonts w:ascii="Times New Roman"/>
                <w:sz w:val="24"/>
              </w:rPr>
              <w:t>1,960,636</w:t>
            </w: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46"/>
              <w:jc w:val="center"/>
              <w:rPr>
                <w:rFonts w:ascii="Times New Roman" w:hAnsi="Times New Roman" w:cs="Times New Roman" w:eastAsia="Times New Roman" w:hint="default"/>
                <w:sz w:val="24"/>
                <w:szCs w:val="24"/>
              </w:rPr>
            </w:pPr>
            <w:r>
              <w:rPr>
                <w:rFonts w:ascii="Times New Roman"/>
                <w:sz w:val="24"/>
              </w:rPr>
              <w:t>iUAP5.0</w:t>
            </w:r>
          </w:p>
        </w:tc>
        <w:tc>
          <w:tcPr>
            <w:tcW w:w="1330"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116,802,905</w:t>
            </w: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116,802,905</w:t>
            </w: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6"/>
              <w:jc w:val="center"/>
              <w:rPr>
                <w:rFonts w:ascii="Times New Roman" w:hAnsi="Times New Roman" w:cs="Times New Roman" w:eastAsia="Times New Roman" w:hint="default"/>
                <w:sz w:val="24"/>
                <w:szCs w:val="24"/>
              </w:rPr>
            </w:pPr>
            <w:r>
              <w:rPr>
                <w:rFonts w:ascii="Times New Roman"/>
                <w:sz w:val="24"/>
              </w:rPr>
              <w:t>Yousuite</w:t>
            </w:r>
          </w:p>
        </w:tc>
        <w:tc>
          <w:tcPr>
            <w:tcW w:w="1330"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55,904,253</w:t>
            </w: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55,904,253</w:t>
            </w: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1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111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1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1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1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1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12"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hAnsi="宋体" w:cs="宋体" w:eastAsia="宋体" w:hint="default"/>
                <w:sz w:val="24"/>
                <w:szCs w:val="24"/>
              </w:rPr>
              <w:t>合计</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41,091,121</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173,975,126</w:t>
            </w:r>
          </w:p>
        </w:tc>
        <w:tc>
          <w:tcPr>
            <w:tcW w:w="61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190,105,564</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6" w:right="0"/>
              <w:jc w:val="center"/>
              <w:rPr>
                <w:rFonts w:ascii="Times New Roman" w:hAnsi="Times New Roman" w:cs="Times New Roman" w:eastAsia="Times New Roman" w:hint="default"/>
                <w:sz w:val="24"/>
                <w:szCs w:val="24"/>
              </w:rPr>
            </w:pPr>
            <w:r>
              <w:rPr>
                <w:rFonts w:ascii="Times New Roman"/>
                <w:sz w:val="24"/>
              </w:rPr>
              <w:t>24,960,683</w:t>
            </w:r>
          </w:p>
        </w:tc>
        <w:tc>
          <w:tcPr>
            <w:tcW w:w="646"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73" w:lineRule="exact"/>
        <w:ind w:left="216" w:right="0"/>
        <w:jc w:val="left"/>
      </w:pPr>
      <w:r>
        <w:rPr/>
        <w:t>其他说明</w:t>
      </w:r>
    </w:p>
    <w:p>
      <w:pPr>
        <w:pStyle w:val="BodyText"/>
        <w:spacing w:line="313" w:lineRule="exact"/>
        <w:ind w:left="216" w:right="0"/>
        <w:jc w:val="left"/>
      </w:pPr>
      <w:r>
        <w:rPr/>
        <w:t>无。</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27</w:t>
      </w:r>
      <w:r>
        <w:rPr/>
        <w:t>、</w:t>
      </w:r>
      <w:r>
        <w:rPr>
          <w:spacing w:val="-102"/>
        </w:rPr>
        <w:t> </w:t>
      </w:r>
      <w:r>
        <w:rPr/>
        <w:t>商誉</w:t>
      </w:r>
      <w:r>
        <w:rPr>
          <w:rFonts w:ascii="宋体" w:hAnsi="宋体" w:cs="宋体" w:eastAsia="宋体" w:hint="default"/>
          <w:w w:val="99"/>
        </w:rPr>
        <w:t> </w:t>
      </w:r>
      <w:r>
        <w:rPr>
          <w:rFonts w:ascii="宋体" w:hAnsi="宋体" w:cs="宋体" w:eastAsia="宋体" w:hint="default"/>
          <w:b w:val="0"/>
          <w:bCs w:val="0"/>
        </w:rPr>
      </w:r>
    </w:p>
    <w:p>
      <w:pPr>
        <w:pStyle w:val="Heading2"/>
        <w:tabs>
          <w:tab w:pos="1057" w:val="left" w:leader="none"/>
        </w:tabs>
        <w:spacing w:line="240" w:lineRule="auto" w:before="55"/>
        <w:ind w:right="0"/>
        <w:jc w:val="left"/>
        <w:rPr>
          <w:rFonts w:ascii="宋体" w:hAnsi="宋体" w:cs="宋体" w:eastAsia="宋体" w:hint="default"/>
          <w:b w:val="0"/>
          <w:bCs w:val="0"/>
        </w:rPr>
      </w:pPr>
      <w:r>
        <w:rPr>
          <w:rFonts w:ascii="宋体" w:hAnsi="宋体" w:cs="宋体" w:eastAsia="宋体" w:hint="default"/>
        </w:rPr>
        <w:t>(1).</w:t>
        <w:tab/>
      </w:r>
      <w:r>
        <w:rPr/>
        <w:t>商誉账面原值</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8"/>
        <w:ind w:left="216" w:right="0"/>
        <w:jc w:val="left"/>
      </w:pPr>
      <w:r>
        <w:rPr/>
        <w:t>√适用</w:t>
        <w:tab/>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623" w:space="3571"/>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940"/>
        <w:gridCol w:w="1177"/>
        <w:gridCol w:w="1205"/>
        <w:gridCol w:w="1179"/>
        <w:gridCol w:w="1202"/>
        <w:gridCol w:w="1191"/>
        <w:gridCol w:w="1157"/>
      </w:tblGrid>
      <w:tr>
        <w:trPr>
          <w:trHeight w:val="319" w:hRule="exact"/>
        </w:trPr>
        <w:tc>
          <w:tcPr>
            <w:tcW w:w="1940" w:type="dxa"/>
            <w:vMerge w:val="restart"/>
            <w:tcBorders>
              <w:top w:val="single" w:sz="4" w:space="0" w:color="000000"/>
              <w:left w:val="single" w:sz="4" w:space="0" w:color="000000"/>
              <w:right w:val="single" w:sz="4" w:space="0" w:color="000000"/>
            </w:tcBorders>
          </w:tcPr>
          <w:p>
            <w:pPr>
              <w:pStyle w:val="TableParagraph"/>
              <w:spacing w:line="277" w:lineRule="exact"/>
              <w:ind w:left="125" w:right="0"/>
              <w:jc w:val="left"/>
              <w:rPr>
                <w:rFonts w:ascii="宋体" w:hAnsi="宋体" w:cs="宋体" w:eastAsia="宋体" w:hint="default"/>
                <w:sz w:val="24"/>
                <w:szCs w:val="24"/>
              </w:rPr>
            </w:pPr>
            <w:r>
              <w:rPr>
                <w:rFonts w:ascii="宋体" w:hAnsi="宋体" w:cs="宋体" w:eastAsia="宋体" w:hint="default"/>
                <w:sz w:val="24"/>
                <w:szCs w:val="24"/>
              </w:rPr>
              <w:t>被投资单位名称</w:t>
            </w:r>
          </w:p>
          <w:p>
            <w:pPr>
              <w:pStyle w:val="TableParagraph"/>
              <w:spacing w:line="312" w:lineRule="exact" w:before="28"/>
              <w:ind w:left="845" w:right="122" w:hanging="720"/>
              <w:jc w:val="left"/>
              <w:rPr>
                <w:rFonts w:ascii="宋体" w:hAnsi="宋体" w:cs="宋体" w:eastAsia="宋体" w:hint="default"/>
                <w:sz w:val="24"/>
                <w:szCs w:val="24"/>
              </w:rPr>
            </w:pPr>
            <w:r>
              <w:rPr>
                <w:rFonts w:ascii="宋体" w:hAnsi="宋体" w:cs="宋体" w:eastAsia="宋体" w:hint="default"/>
                <w:sz w:val="24"/>
                <w:szCs w:val="24"/>
              </w:rPr>
              <w:t>或形成商誉的事 项</w:t>
            </w:r>
          </w:p>
        </w:tc>
        <w:tc>
          <w:tcPr>
            <w:tcW w:w="117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100"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23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05"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2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08"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157" w:type="dxa"/>
            <w:vMerge w:val="restart"/>
            <w:tcBorders>
              <w:top w:val="single" w:sz="4" w:space="0" w:color="000000"/>
              <w:left w:val="single" w:sz="4" w:space="0" w:color="000000"/>
              <w:right w:val="single" w:sz="4" w:space="0" w:color="000000"/>
            </w:tcBorders>
          </w:tcPr>
          <w:p>
            <w:pPr>
              <w:pStyle w:val="TableParagraph"/>
              <w:spacing w:line="310" w:lineRule="exact" w:before="152"/>
              <w:ind w:left="453" w:right="211" w:hanging="240"/>
              <w:jc w:val="left"/>
              <w:rPr>
                <w:rFonts w:ascii="宋体" w:hAnsi="宋体" w:cs="宋体" w:eastAsia="宋体" w:hint="default"/>
                <w:sz w:val="24"/>
                <w:szCs w:val="24"/>
              </w:rPr>
            </w:pPr>
            <w:r>
              <w:rPr>
                <w:rFonts w:ascii="宋体" w:hAnsi="宋体" w:cs="宋体" w:eastAsia="宋体" w:hint="default"/>
                <w:sz w:val="24"/>
                <w:szCs w:val="24"/>
              </w:rPr>
              <w:t>期末余 额</w:t>
            </w:r>
          </w:p>
        </w:tc>
      </w:tr>
      <w:tr>
        <w:trPr>
          <w:trHeight w:val="634" w:hRule="exact"/>
        </w:trPr>
        <w:tc>
          <w:tcPr>
            <w:tcW w:w="1940" w:type="dxa"/>
            <w:vMerge/>
            <w:tcBorders>
              <w:left w:val="single" w:sz="4" w:space="0" w:color="000000"/>
              <w:bottom w:val="single" w:sz="4" w:space="0" w:color="000000"/>
              <w:right w:val="single" w:sz="4" w:space="0" w:color="000000"/>
            </w:tcBorders>
          </w:tcPr>
          <w:p>
            <w:pPr/>
          </w:p>
        </w:tc>
        <w:tc>
          <w:tcPr>
            <w:tcW w:w="1177" w:type="dxa"/>
            <w:vMerge/>
            <w:tcBorders>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企业合并</w:t>
            </w:r>
          </w:p>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形成的</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17" w:right="0"/>
              <w:jc w:val="center"/>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352" w:right="0"/>
              <w:jc w:val="left"/>
              <w:rPr>
                <w:rFonts w:ascii="宋体" w:hAnsi="宋体" w:cs="宋体" w:eastAsia="宋体" w:hint="default"/>
                <w:sz w:val="24"/>
                <w:szCs w:val="24"/>
              </w:rPr>
            </w:pPr>
            <w:r>
              <w:rPr>
                <w:rFonts w:ascii="宋体" w:hAnsi="宋体" w:cs="宋体" w:eastAsia="宋体" w:hint="default"/>
                <w:sz w:val="24"/>
                <w:szCs w:val="24"/>
              </w:rPr>
              <w:t>处置</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14" w:right="0"/>
              <w:jc w:val="center"/>
              <w:rPr>
                <w:rFonts w:ascii="宋体" w:hAnsi="宋体" w:cs="宋体" w:eastAsia="宋体" w:hint="default"/>
                <w:sz w:val="24"/>
                <w:szCs w:val="24"/>
              </w:rPr>
            </w:pPr>
            <w:r>
              <w:rPr>
                <w:rFonts w:ascii="宋体"/>
                <w:sz w:val="24"/>
              </w:rPr>
              <w:t> </w:t>
            </w:r>
          </w:p>
        </w:tc>
        <w:tc>
          <w:tcPr>
            <w:tcW w:w="1157" w:type="dxa"/>
            <w:vMerge/>
            <w:tcBorders>
              <w:left w:val="single" w:sz="4" w:space="0" w:color="000000"/>
              <w:bottom w:val="single" w:sz="4" w:space="0" w:color="000000"/>
              <w:right w:val="single" w:sz="4" w:space="0" w:color="000000"/>
            </w:tcBorders>
          </w:tcPr>
          <w:p>
            <w:pPr/>
          </w:p>
        </w:tc>
      </w:tr>
      <w:tr>
        <w:trPr>
          <w:trHeight w:val="56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用友汽车</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378,396,3</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87</w:t>
            </w:r>
          </w:p>
        </w:tc>
        <w:tc>
          <w:tcPr>
            <w:tcW w:w="1205"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06" w:right="0"/>
              <w:jc w:val="left"/>
              <w:rPr>
                <w:rFonts w:ascii="Times New Roman" w:hAnsi="Times New Roman" w:cs="Times New Roman" w:eastAsia="Times New Roman" w:hint="default"/>
                <w:sz w:val="24"/>
                <w:szCs w:val="24"/>
              </w:rPr>
            </w:pPr>
            <w:r>
              <w:rPr>
                <w:rFonts w:ascii="Times New Roman"/>
                <w:sz w:val="24"/>
              </w:rPr>
              <w:t>378,396,</w:t>
            </w:r>
          </w:p>
          <w:p>
            <w:pPr>
              <w:pStyle w:val="TableParagraph"/>
              <w:spacing w:line="240" w:lineRule="auto"/>
              <w:ind w:left="686" w:right="0"/>
              <w:jc w:val="left"/>
              <w:rPr>
                <w:rFonts w:ascii="Times New Roman" w:hAnsi="Times New Roman" w:cs="Times New Roman" w:eastAsia="Times New Roman" w:hint="default"/>
                <w:sz w:val="24"/>
                <w:szCs w:val="24"/>
              </w:rPr>
            </w:pPr>
            <w:r>
              <w:rPr>
                <w:rFonts w:ascii="Times New Roman"/>
                <w:sz w:val="24"/>
              </w:rPr>
              <w:t>387</w:t>
            </w:r>
          </w:p>
        </w:tc>
      </w:tr>
      <w:tr>
        <w:trPr>
          <w:trHeight w:val="56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用友政务</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308,399,8</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74</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06" w:right="0"/>
              <w:jc w:val="left"/>
              <w:rPr>
                <w:rFonts w:ascii="Times New Roman" w:hAnsi="Times New Roman" w:cs="Times New Roman" w:eastAsia="Times New Roman" w:hint="default"/>
                <w:sz w:val="24"/>
                <w:szCs w:val="24"/>
              </w:rPr>
            </w:pPr>
            <w:r>
              <w:rPr>
                <w:rFonts w:ascii="Times New Roman"/>
                <w:sz w:val="24"/>
              </w:rPr>
              <w:t>308,399,</w:t>
            </w:r>
          </w:p>
          <w:p>
            <w:pPr>
              <w:pStyle w:val="TableParagraph"/>
              <w:spacing w:line="240" w:lineRule="auto"/>
              <w:ind w:left="686" w:right="0"/>
              <w:jc w:val="left"/>
              <w:rPr>
                <w:rFonts w:ascii="Times New Roman" w:hAnsi="Times New Roman" w:cs="Times New Roman" w:eastAsia="Times New Roman" w:hint="default"/>
                <w:sz w:val="24"/>
                <w:szCs w:val="24"/>
              </w:rPr>
            </w:pPr>
            <w:r>
              <w:rPr>
                <w:rFonts w:ascii="Times New Roman"/>
                <w:sz w:val="24"/>
              </w:rPr>
              <w:t>874</w:t>
            </w:r>
          </w:p>
        </w:tc>
      </w:tr>
      <w:tr>
        <w:trPr>
          <w:trHeight w:val="56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秉钧网络</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113,445,1</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52</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06" w:right="0"/>
              <w:jc w:val="left"/>
              <w:rPr>
                <w:rFonts w:ascii="Times New Roman" w:hAnsi="Times New Roman" w:cs="Times New Roman" w:eastAsia="Times New Roman" w:hint="default"/>
                <w:sz w:val="24"/>
                <w:szCs w:val="24"/>
              </w:rPr>
            </w:pPr>
            <w:r>
              <w:rPr>
                <w:rFonts w:ascii="Times New Roman"/>
                <w:sz w:val="24"/>
              </w:rPr>
              <w:t>113,445,</w:t>
            </w:r>
          </w:p>
          <w:p>
            <w:pPr>
              <w:pStyle w:val="TableParagraph"/>
              <w:spacing w:line="240" w:lineRule="auto"/>
              <w:ind w:left="686" w:right="0"/>
              <w:jc w:val="left"/>
              <w:rPr>
                <w:rFonts w:ascii="Times New Roman" w:hAnsi="Times New Roman" w:cs="Times New Roman" w:eastAsia="Times New Roman" w:hint="default"/>
                <w:sz w:val="24"/>
                <w:szCs w:val="24"/>
              </w:rPr>
            </w:pPr>
            <w:r>
              <w:rPr>
                <w:rFonts w:ascii="Times New Roman"/>
                <w:sz w:val="24"/>
              </w:rPr>
              <w:t>152</w:t>
            </w:r>
          </w:p>
        </w:tc>
      </w:tr>
      <w:tr>
        <w:trPr>
          <w:trHeight w:val="94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特博深信息科技</w:t>
            </w:r>
          </w:p>
          <w:p>
            <w:pPr>
              <w:pStyle w:val="TableParagraph"/>
              <w:spacing w:line="312" w:lineRule="exact" w:before="28"/>
              <w:ind w:left="103" w:right="305"/>
              <w:jc w:val="left"/>
              <w:rPr>
                <w:rFonts w:ascii="Times New Roman" w:hAnsi="Times New Roman" w:cs="Times New Roman" w:eastAsia="Times New Roman" w:hint="default"/>
                <w:sz w:val="24"/>
                <w:szCs w:val="24"/>
              </w:rPr>
            </w:pPr>
            <w:r>
              <w:rPr>
                <w:rFonts w:ascii="宋体" w:hAnsi="宋体" w:cs="宋体" w:eastAsia="宋体" w:hint="default"/>
                <w:sz w:val="24"/>
                <w:szCs w:val="24"/>
              </w:rPr>
              <w:t>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 简称</w:t>
            </w:r>
            <w:r>
              <w:rPr>
                <w:rFonts w:ascii="Times New Roman" w:hAnsi="Times New Roman" w:cs="Times New Roman" w:eastAsia="Times New Roman" w:hint="default"/>
                <w:sz w:val="24"/>
                <w:szCs w:val="24"/>
              </w:rPr>
              <w:t>“</w:t>
            </w:r>
            <w:r>
              <w:rPr>
                <w:rFonts w:ascii="宋体" w:hAnsi="宋体" w:cs="宋体" w:eastAsia="宋体" w:hint="default"/>
                <w:sz w:val="24"/>
                <w:szCs w:val="24"/>
              </w:rPr>
              <w:t>特博深</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right="101"/>
              <w:jc w:val="right"/>
              <w:rPr>
                <w:rFonts w:ascii="Times New Roman" w:hAnsi="Times New Roman" w:cs="Times New Roman" w:eastAsia="Times New Roman" w:hint="default"/>
                <w:sz w:val="24"/>
                <w:szCs w:val="24"/>
              </w:rPr>
            </w:pPr>
            <w:r>
              <w:rPr>
                <w:rFonts w:ascii="Times New Roman"/>
                <w:sz w:val="24"/>
              </w:rPr>
              <w:t>37,828,83</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3</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right="98"/>
              <w:jc w:val="right"/>
              <w:rPr>
                <w:rFonts w:ascii="Times New Roman" w:hAnsi="Times New Roman" w:cs="Times New Roman" w:eastAsia="Times New Roman" w:hint="default"/>
                <w:sz w:val="24"/>
                <w:szCs w:val="24"/>
              </w:rPr>
            </w:pPr>
            <w:r>
              <w:rPr>
                <w:rFonts w:ascii="Times New Roman"/>
                <w:sz w:val="24"/>
              </w:rPr>
              <w:t>37,828,8</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33</w:t>
            </w:r>
          </w:p>
        </w:tc>
      </w:tr>
    </w:tbl>
    <w:p>
      <w:pPr>
        <w:spacing w:after="0" w:line="240" w:lineRule="auto"/>
        <w:jc w:val="right"/>
        <w:rPr>
          <w:rFonts w:ascii="Times New Roman" w:hAnsi="Times New Roman" w:cs="Times New Roman" w:eastAsia="Times New Roman" w:hint="default"/>
          <w:sz w:val="24"/>
          <w:szCs w:val="24"/>
        </w:rPr>
        <w:sectPr>
          <w:type w:val="continuous"/>
          <w:pgSz w:w="11910" w:h="16840"/>
          <w:pgMar w:top="1120" w:bottom="1380" w:left="1060" w:right="15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1940"/>
        <w:gridCol w:w="1177"/>
        <w:gridCol w:w="1205"/>
        <w:gridCol w:w="1179"/>
        <w:gridCol w:w="1202"/>
        <w:gridCol w:w="1191"/>
        <w:gridCol w:w="1157"/>
      </w:tblGrid>
      <w:tr>
        <w:trPr>
          <w:trHeight w:val="125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北京时空超越科</w:t>
            </w:r>
          </w:p>
          <w:p>
            <w:pPr>
              <w:pStyle w:val="TableParagraph"/>
              <w:spacing w:line="225" w:lineRule="auto" w:before="16"/>
              <w:ind w:left="103" w:right="278"/>
              <w:jc w:val="both"/>
              <w:rPr>
                <w:rFonts w:ascii="Times New Roman" w:hAnsi="Times New Roman" w:cs="Times New Roman" w:eastAsia="Times New Roman" w:hint="default"/>
                <w:sz w:val="24"/>
                <w:szCs w:val="24"/>
              </w:rPr>
            </w:pPr>
            <w:r>
              <w:rPr>
                <w:rFonts w:ascii="宋体" w:hAnsi="宋体" w:cs="宋体" w:eastAsia="宋体" w:hint="default"/>
                <w:sz w:val="24"/>
                <w:szCs w:val="24"/>
              </w:rPr>
              <w:t>技有限公司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 下简称</w:t>
            </w:r>
            <w:r>
              <w:rPr>
                <w:rFonts w:ascii="Times New Roman" w:hAnsi="Times New Roman" w:cs="Times New Roman" w:eastAsia="Times New Roman" w:hint="default"/>
                <w:sz w:val="24"/>
                <w:szCs w:val="24"/>
              </w:rPr>
              <w:t>“</w:t>
            </w:r>
            <w:r>
              <w:rPr>
                <w:rFonts w:ascii="宋体" w:hAnsi="宋体" w:cs="宋体" w:eastAsia="宋体" w:hint="default"/>
                <w:sz w:val="24"/>
                <w:szCs w:val="24"/>
              </w:rPr>
              <w:t>时空超 越</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35,997,51</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8</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5"/>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5"/>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5"/>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5"/>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35,997,5</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18</w:t>
            </w:r>
          </w:p>
        </w:tc>
      </w:tr>
      <w:tr>
        <w:trPr>
          <w:trHeight w:val="943"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广州尚南科技有</w:t>
            </w:r>
          </w:p>
          <w:p>
            <w:pPr>
              <w:pStyle w:val="TableParagraph"/>
              <w:spacing w:line="310" w:lineRule="exact" w:before="31"/>
              <w:ind w:left="103" w:right="305"/>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 称</w:t>
            </w:r>
            <w:r>
              <w:rPr>
                <w:rFonts w:ascii="Times New Roman" w:hAnsi="Times New Roman" w:cs="Times New Roman" w:eastAsia="Times New Roman" w:hint="default"/>
                <w:sz w:val="24"/>
                <w:szCs w:val="24"/>
              </w:rPr>
              <w:t>“</w:t>
            </w:r>
            <w:r>
              <w:rPr>
                <w:rFonts w:ascii="宋体" w:hAnsi="宋体" w:cs="宋体" w:eastAsia="宋体" w:hint="default"/>
                <w:sz w:val="24"/>
                <w:szCs w:val="24"/>
              </w:rPr>
              <w:t>广州尚南</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right="101"/>
              <w:jc w:val="right"/>
              <w:rPr>
                <w:rFonts w:ascii="Times New Roman" w:hAnsi="Times New Roman" w:cs="Times New Roman" w:eastAsia="Times New Roman" w:hint="default"/>
                <w:sz w:val="24"/>
                <w:szCs w:val="24"/>
              </w:rPr>
            </w:pPr>
            <w:r>
              <w:rPr>
                <w:rFonts w:ascii="Times New Roman"/>
                <w:sz w:val="24"/>
              </w:rPr>
              <w:t>28,555,71</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3</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right="98"/>
              <w:jc w:val="right"/>
              <w:rPr>
                <w:rFonts w:ascii="Times New Roman" w:hAnsi="Times New Roman" w:cs="Times New Roman" w:eastAsia="Times New Roman" w:hint="default"/>
                <w:sz w:val="24"/>
                <w:szCs w:val="24"/>
              </w:rPr>
            </w:pPr>
            <w:r>
              <w:rPr>
                <w:rFonts w:ascii="Times New Roman"/>
                <w:sz w:val="24"/>
              </w:rPr>
              <w:t>28,555,7</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13</w:t>
            </w:r>
          </w:p>
        </w:tc>
      </w:tr>
      <w:tr>
        <w:trPr>
          <w:trHeight w:val="56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友太安保险</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20,839,93</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6</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20,839,9</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36</w:t>
            </w:r>
          </w:p>
        </w:tc>
      </w:tr>
      <w:tr>
        <w:trPr>
          <w:trHeight w:val="125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广州安易医疗软</w:t>
            </w:r>
          </w:p>
          <w:p>
            <w:pPr>
              <w:pStyle w:val="TableParagraph"/>
              <w:spacing w:line="225" w:lineRule="auto" w:before="15"/>
              <w:ind w:left="103" w:right="199"/>
              <w:jc w:val="both"/>
              <w:rPr>
                <w:rFonts w:ascii="Times New Roman" w:hAnsi="Times New Roman" w:cs="Times New Roman" w:eastAsia="Times New Roman" w:hint="default"/>
                <w:sz w:val="24"/>
                <w:szCs w:val="24"/>
              </w:rPr>
            </w:pPr>
            <w:r>
              <w:rPr>
                <w:rFonts w:ascii="宋体" w:hAnsi="宋体" w:cs="宋体" w:eastAsia="宋体" w:hint="default"/>
                <w:sz w:val="24"/>
                <w:szCs w:val="24"/>
              </w:rPr>
              <w:t>件有限公司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 下简称</w:t>
            </w:r>
            <w:r>
              <w:rPr>
                <w:rFonts w:ascii="Times New Roman" w:hAnsi="Times New Roman" w:cs="Times New Roman" w:eastAsia="Times New Roman" w:hint="default"/>
                <w:sz w:val="24"/>
                <w:szCs w:val="24"/>
              </w:rPr>
              <w:t>“</w:t>
            </w:r>
            <w:r>
              <w:rPr>
                <w:rFonts w:ascii="宋体" w:hAnsi="宋体" w:cs="宋体" w:eastAsia="宋体" w:hint="default"/>
                <w:sz w:val="24"/>
                <w:szCs w:val="24"/>
              </w:rPr>
              <w:t>广州安 易及江门安易</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14,807,95</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8</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4"/>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4"/>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4"/>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4"/>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14,807,9</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58</w:t>
            </w:r>
          </w:p>
        </w:tc>
      </w:tr>
      <w:tr>
        <w:trPr>
          <w:trHeight w:val="634"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用友政务收购参</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股代理公司</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24"/>
                <w:szCs w:val="24"/>
              </w:rPr>
            </w:pPr>
            <w:r>
              <w:rPr>
                <w:rFonts w:ascii="Times New Roman"/>
                <w:sz w:val="24"/>
              </w:rPr>
              <w:t>14,009,57</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Times New Roman" w:hAnsi="Times New Roman" w:cs="Times New Roman" w:eastAsia="Times New Roman" w:hint="default"/>
                <w:sz w:val="24"/>
                <w:szCs w:val="24"/>
              </w:rPr>
            </w:pPr>
            <w:r>
              <w:rPr>
                <w:rFonts w:ascii="Times New Roman"/>
                <w:sz w:val="24"/>
              </w:rPr>
              <w:t>14,009,5</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79</w:t>
            </w:r>
          </w:p>
        </w:tc>
      </w:tr>
      <w:tr>
        <w:trPr>
          <w:trHeight w:val="1565"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上海天诺科技有</w:t>
            </w:r>
          </w:p>
          <w:p>
            <w:pPr>
              <w:pStyle w:val="TableParagraph"/>
              <w:spacing w:line="232" w:lineRule="auto" w:before="7"/>
              <w:ind w:left="103" w:right="144"/>
              <w:jc w:val="both"/>
              <w:rPr>
                <w:rFonts w:ascii="Times New Roman" w:hAnsi="Times New Roman" w:cs="Times New Roman" w:eastAsia="Times New Roman" w:hint="default"/>
                <w:sz w:val="24"/>
                <w:szCs w:val="24"/>
              </w:rPr>
            </w:pPr>
            <w:r>
              <w:rPr>
                <w:rFonts w:ascii="宋体" w:hAnsi="宋体" w:cs="宋体" w:eastAsia="宋体" w:hint="default"/>
                <w:sz w:val="24"/>
                <w:szCs w:val="24"/>
              </w:rPr>
              <w:t>限责任公司及上 海坛网有限公司 </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w:t>
            </w:r>
            <w:r>
              <w:rPr>
                <w:rFonts w:ascii="Times New Roman" w:hAnsi="Times New Roman" w:cs="Times New Roman" w:eastAsia="Times New Roman" w:hint="default"/>
                <w:sz w:val="24"/>
                <w:szCs w:val="24"/>
              </w:rPr>
              <w:t>“</w:t>
            </w:r>
            <w:r>
              <w:rPr>
                <w:rFonts w:ascii="宋体" w:hAnsi="宋体" w:cs="宋体" w:eastAsia="宋体" w:hint="default"/>
                <w:sz w:val="24"/>
                <w:szCs w:val="24"/>
              </w:rPr>
              <w:t>天诺 坛网</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12,659,93</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7</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12,659,9</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37</w:t>
            </w:r>
          </w:p>
        </w:tc>
      </w:tr>
      <w:tr>
        <w:trPr>
          <w:trHeight w:val="564"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平强软件</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10,454,18</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2</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98"/>
              <w:jc w:val="right"/>
              <w:rPr>
                <w:rFonts w:ascii="Times New Roman" w:hAnsi="Times New Roman" w:cs="Times New Roman" w:eastAsia="Times New Roman" w:hint="default"/>
                <w:sz w:val="24"/>
                <w:szCs w:val="24"/>
              </w:rPr>
            </w:pPr>
            <w:r>
              <w:rPr>
                <w:rFonts w:ascii="Times New Roman"/>
                <w:sz w:val="24"/>
              </w:rPr>
              <w:t>10,454,1</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82</w:t>
            </w:r>
          </w:p>
        </w:tc>
      </w:tr>
      <w:tr>
        <w:trPr>
          <w:trHeight w:val="1253"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both"/>
              <w:rPr>
                <w:rFonts w:ascii="宋体" w:hAnsi="宋体" w:cs="宋体" w:eastAsia="宋体" w:hint="default"/>
                <w:sz w:val="24"/>
                <w:szCs w:val="24"/>
              </w:rPr>
            </w:pPr>
            <w:r>
              <w:rPr>
                <w:rFonts w:ascii="宋体" w:hAnsi="宋体" w:cs="宋体" w:eastAsia="宋体" w:hint="default"/>
                <w:sz w:val="24"/>
                <w:szCs w:val="24"/>
              </w:rPr>
              <w:t>北京用友医院管</w:t>
            </w:r>
          </w:p>
          <w:p>
            <w:pPr>
              <w:pStyle w:val="TableParagraph"/>
              <w:spacing w:line="312" w:lineRule="exact" w:before="28"/>
              <w:ind w:left="103" w:right="144"/>
              <w:jc w:val="both"/>
              <w:rPr>
                <w:rFonts w:ascii="Times New Roman" w:hAnsi="Times New Roman" w:cs="Times New Roman" w:eastAsia="Times New Roman" w:hint="default"/>
                <w:sz w:val="24"/>
                <w:szCs w:val="24"/>
              </w:rPr>
            </w:pPr>
            <w:r>
              <w:rPr>
                <w:rFonts w:ascii="宋体" w:hAnsi="宋体" w:cs="宋体" w:eastAsia="宋体" w:hint="default"/>
                <w:sz w:val="24"/>
                <w:szCs w:val="24"/>
              </w:rPr>
              <w:t>理软件有限公司 </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w:t>
            </w:r>
            <w:r>
              <w:rPr>
                <w:rFonts w:ascii="Times New Roman" w:hAnsi="Times New Roman" w:cs="Times New Roman" w:eastAsia="Times New Roman" w:hint="default"/>
                <w:sz w:val="24"/>
                <w:szCs w:val="24"/>
              </w:rPr>
              <w:t>“</w:t>
            </w:r>
            <w:r>
              <w:rPr>
                <w:rFonts w:ascii="宋体" w:hAnsi="宋体" w:cs="宋体" w:eastAsia="宋体" w:hint="default"/>
                <w:sz w:val="24"/>
                <w:szCs w:val="24"/>
              </w:rPr>
              <w:t>用友 医院</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201"/>
              <w:ind w:left="103" w:right="0"/>
              <w:jc w:val="left"/>
              <w:rPr>
                <w:rFonts w:ascii="Times New Roman" w:hAnsi="Times New Roman" w:cs="Times New Roman" w:eastAsia="Times New Roman" w:hint="default"/>
                <w:sz w:val="24"/>
                <w:szCs w:val="24"/>
              </w:rPr>
            </w:pPr>
            <w:r>
              <w:rPr>
                <w:rFonts w:ascii="Times New Roman"/>
                <w:sz w:val="24"/>
              </w:rPr>
              <w:t>7,602,648</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5"/>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5"/>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5"/>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5"/>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9"/>
                <w:szCs w:val="29"/>
              </w:rPr>
            </w:pP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7,602,64</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8</w:t>
            </w:r>
          </w:p>
        </w:tc>
      </w:tr>
      <w:tr>
        <w:trPr>
          <w:trHeight w:val="946"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上海恒聚哈久有</w:t>
            </w:r>
          </w:p>
          <w:p>
            <w:pPr>
              <w:pStyle w:val="TableParagraph"/>
              <w:spacing w:line="312" w:lineRule="exact" w:before="28"/>
              <w:ind w:left="103" w:right="305"/>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 称</w:t>
            </w:r>
            <w:r>
              <w:rPr>
                <w:rFonts w:ascii="Times New Roman" w:hAnsi="Times New Roman" w:cs="Times New Roman" w:eastAsia="Times New Roman" w:hint="default"/>
                <w:sz w:val="24"/>
                <w:szCs w:val="24"/>
              </w:rPr>
              <w:t>“</w:t>
            </w:r>
            <w:r>
              <w:rPr>
                <w:rFonts w:ascii="宋体" w:hAnsi="宋体" w:cs="宋体" w:eastAsia="宋体" w:hint="default"/>
                <w:sz w:val="24"/>
                <w:szCs w:val="24"/>
              </w:rPr>
              <w:t>上海哈久</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6,637,723</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240" w:lineRule="auto"/>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right="98"/>
              <w:jc w:val="right"/>
              <w:rPr>
                <w:rFonts w:ascii="Times New Roman" w:hAnsi="Times New Roman" w:cs="Times New Roman" w:eastAsia="Times New Roman" w:hint="default"/>
                <w:sz w:val="24"/>
                <w:szCs w:val="24"/>
              </w:rPr>
            </w:pPr>
            <w:r>
              <w:rPr>
                <w:rFonts w:ascii="Times New Roman"/>
                <w:sz w:val="24"/>
              </w:rPr>
              <w:t>6,637,72</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3</w:t>
            </w:r>
          </w:p>
        </w:tc>
      </w:tr>
      <w:tr>
        <w:trPr>
          <w:trHeight w:val="1255"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重庆迈特科技有</w:t>
            </w:r>
          </w:p>
          <w:p>
            <w:pPr>
              <w:pStyle w:val="TableParagraph"/>
              <w:spacing w:line="225" w:lineRule="auto" w:before="15"/>
              <w:ind w:left="103" w:right="278"/>
              <w:jc w:val="both"/>
              <w:rPr>
                <w:rFonts w:ascii="Times New Roman" w:hAnsi="Times New Roman" w:cs="Times New Roman" w:eastAsia="Times New Roman" w:hint="default"/>
                <w:sz w:val="24"/>
                <w:szCs w:val="24"/>
              </w:rPr>
            </w:pPr>
            <w:r>
              <w:rPr>
                <w:rFonts w:ascii="宋体" w:hAnsi="宋体" w:cs="宋体" w:eastAsia="宋体" w:hint="default"/>
                <w:sz w:val="24"/>
                <w:szCs w:val="24"/>
              </w:rPr>
              <w:t>限责任公司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 下简称</w:t>
            </w:r>
            <w:r>
              <w:rPr>
                <w:rFonts w:ascii="Times New Roman" w:hAnsi="Times New Roman" w:cs="Times New Roman" w:eastAsia="Times New Roman" w:hint="default"/>
                <w:sz w:val="24"/>
                <w:szCs w:val="24"/>
              </w:rPr>
              <w:t>“</w:t>
            </w:r>
            <w:r>
              <w:rPr>
                <w:rFonts w:ascii="宋体" w:hAnsi="宋体" w:cs="宋体" w:eastAsia="宋体" w:hint="default"/>
                <w:sz w:val="24"/>
                <w:szCs w:val="24"/>
              </w:rPr>
              <w:t>重庆迈 特</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200"/>
              <w:ind w:left="103" w:right="0"/>
              <w:jc w:val="left"/>
              <w:rPr>
                <w:rFonts w:ascii="Times New Roman" w:hAnsi="Times New Roman" w:cs="Times New Roman" w:eastAsia="Times New Roman" w:hint="default"/>
                <w:sz w:val="24"/>
                <w:szCs w:val="24"/>
              </w:rPr>
            </w:pPr>
            <w:r>
              <w:rPr>
                <w:rFonts w:ascii="Times New Roman"/>
                <w:sz w:val="24"/>
              </w:rPr>
              <w:t>5,709,400</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4"/>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4"/>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4"/>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4"/>
                <w:szCs w:val="24"/>
              </w:rPr>
            </w:pPr>
          </w:p>
          <w:p>
            <w:pPr>
              <w:pStyle w:val="TableParagraph"/>
              <w:spacing w:line="240" w:lineRule="auto" w:before="144"/>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9"/>
                <w:szCs w:val="29"/>
              </w:rPr>
            </w:pP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5,709,40</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0</w:t>
            </w:r>
          </w:p>
        </w:tc>
      </w:tr>
      <w:tr>
        <w:trPr>
          <w:trHeight w:val="944"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珠海用友软件有</w:t>
            </w:r>
          </w:p>
          <w:p>
            <w:pPr>
              <w:pStyle w:val="TableParagraph"/>
              <w:spacing w:line="312" w:lineRule="exact" w:before="28"/>
              <w:ind w:left="103" w:right="305"/>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 称</w:t>
            </w:r>
            <w:r>
              <w:rPr>
                <w:rFonts w:ascii="Times New Roman" w:hAnsi="Times New Roman" w:cs="Times New Roman" w:eastAsia="Times New Roman" w:hint="default"/>
                <w:sz w:val="24"/>
                <w:szCs w:val="24"/>
              </w:rPr>
              <w:t>“</w:t>
            </w:r>
            <w:r>
              <w:rPr>
                <w:rFonts w:ascii="宋体" w:hAnsi="宋体" w:cs="宋体" w:eastAsia="宋体" w:hint="default"/>
                <w:sz w:val="24"/>
                <w:szCs w:val="24"/>
              </w:rPr>
              <w:t>珠海用友</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4,778,619</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1"/>
              <w:ind w:right="98"/>
              <w:jc w:val="right"/>
              <w:rPr>
                <w:rFonts w:ascii="Times New Roman" w:hAnsi="Times New Roman" w:cs="Times New Roman" w:eastAsia="Times New Roman" w:hint="default"/>
                <w:sz w:val="24"/>
                <w:szCs w:val="24"/>
              </w:rPr>
            </w:pPr>
            <w:r>
              <w:rPr>
                <w:rFonts w:ascii="Times New Roman"/>
                <w:sz w:val="24"/>
              </w:rPr>
              <w:t>4,778,61</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9</w:t>
            </w:r>
          </w:p>
        </w:tc>
      </w:tr>
      <w:tr>
        <w:trPr>
          <w:trHeight w:val="943"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徐州用友软件有</w:t>
            </w:r>
          </w:p>
          <w:p>
            <w:pPr>
              <w:pStyle w:val="TableParagraph"/>
              <w:spacing w:line="310" w:lineRule="exact" w:before="31"/>
              <w:ind w:left="103" w:right="305"/>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 称</w:t>
            </w:r>
            <w:r>
              <w:rPr>
                <w:rFonts w:ascii="Times New Roman" w:hAnsi="Times New Roman" w:cs="Times New Roman" w:eastAsia="Times New Roman" w:hint="default"/>
                <w:sz w:val="24"/>
                <w:szCs w:val="24"/>
              </w:rPr>
              <w:t>“</w:t>
            </w:r>
            <w:r>
              <w:rPr>
                <w:rFonts w:ascii="宋体" w:hAnsi="宋体" w:cs="宋体" w:eastAsia="宋体" w:hint="default"/>
                <w:sz w:val="24"/>
                <w:szCs w:val="24"/>
              </w:rPr>
              <w:t>徐州用友</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3,497,241</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before="184"/>
              <w:ind w:right="98"/>
              <w:jc w:val="right"/>
              <w:rPr>
                <w:rFonts w:ascii="Times New Roman" w:hAnsi="Times New Roman" w:cs="Times New Roman" w:eastAsia="Times New Roman" w:hint="default"/>
                <w:sz w:val="24"/>
                <w:szCs w:val="24"/>
              </w:rPr>
            </w:pPr>
            <w:r>
              <w:rPr>
                <w:rFonts w:ascii="Times New Roman"/>
                <w:sz w:val="24"/>
              </w:rPr>
              <w:t>3,497,24</w:t>
            </w:r>
          </w:p>
          <w:p>
            <w:pPr>
              <w:pStyle w:val="TableParagraph"/>
              <w:spacing w:line="275" w:lineRule="exact"/>
              <w:ind w:right="98"/>
              <w:jc w:val="right"/>
              <w:rPr>
                <w:rFonts w:ascii="Times New Roman" w:hAnsi="Times New Roman" w:cs="Times New Roman" w:eastAsia="Times New Roman" w:hint="default"/>
                <w:sz w:val="24"/>
                <w:szCs w:val="24"/>
              </w:rPr>
            </w:pPr>
            <w:r>
              <w:rPr>
                <w:rFonts w:ascii="Times New Roman"/>
                <w:sz w:val="24"/>
              </w:rPr>
              <w:t>1</w:t>
            </w:r>
          </w:p>
        </w:tc>
      </w:tr>
      <w:tr>
        <w:trPr>
          <w:trHeight w:val="943"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常州用友软件有</w:t>
            </w:r>
          </w:p>
          <w:p>
            <w:pPr>
              <w:pStyle w:val="TableParagraph"/>
              <w:spacing w:line="312" w:lineRule="exact" w:before="29"/>
              <w:ind w:left="103" w:right="305"/>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 称</w:t>
            </w:r>
            <w:r>
              <w:rPr>
                <w:rFonts w:ascii="Times New Roman" w:hAnsi="Times New Roman" w:cs="Times New Roman" w:eastAsia="Times New Roman" w:hint="default"/>
                <w:sz w:val="24"/>
                <w:szCs w:val="24"/>
              </w:rPr>
              <w:t>“</w:t>
            </w:r>
            <w:r>
              <w:rPr>
                <w:rFonts w:ascii="宋体" w:hAnsi="宋体" w:cs="宋体" w:eastAsia="宋体" w:hint="default"/>
                <w:sz w:val="24"/>
                <w:szCs w:val="24"/>
              </w:rPr>
              <w:t>常州用友</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3,115,084</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3"/>
                <w:szCs w:val="23"/>
              </w:rPr>
            </w:pPr>
          </w:p>
          <w:p>
            <w:pPr>
              <w:pStyle w:val="TableParagraph"/>
              <w:spacing w:line="240" w:lineRule="auto"/>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right="98"/>
              <w:jc w:val="right"/>
              <w:rPr>
                <w:rFonts w:ascii="Times New Roman" w:hAnsi="Times New Roman" w:cs="Times New Roman" w:eastAsia="Times New Roman" w:hint="default"/>
                <w:sz w:val="24"/>
                <w:szCs w:val="24"/>
              </w:rPr>
            </w:pPr>
            <w:r>
              <w:rPr>
                <w:rFonts w:ascii="Times New Roman"/>
                <w:sz w:val="24"/>
              </w:rPr>
              <w:t>3,115,08</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4</w:t>
            </w:r>
          </w:p>
        </w:tc>
      </w:tr>
      <w:tr>
        <w:trPr>
          <w:trHeight w:val="634"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北京伟库电子商</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务科技有限公司</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03" w:right="0"/>
              <w:jc w:val="left"/>
              <w:rPr>
                <w:rFonts w:ascii="Times New Roman" w:hAnsi="Times New Roman" w:cs="Times New Roman" w:eastAsia="Times New Roman" w:hint="default"/>
                <w:sz w:val="24"/>
                <w:szCs w:val="24"/>
              </w:rPr>
            </w:pPr>
            <w:r>
              <w:rPr>
                <w:rFonts w:ascii="Times New Roman"/>
                <w:sz w:val="24"/>
              </w:rPr>
              <w:t>2,896,357</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7"/>
              <w:jc w:val="right"/>
              <w:rPr>
                <w:rFonts w:ascii="宋体" w:hAnsi="宋体" w:cs="宋体" w:eastAsia="宋体" w:hint="default"/>
                <w:sz w:val="24"/>
                <w:szCs w:val="24"/>
              </w:rPr>
            </w:pPr>
            <w:r>
              <w:rPr>
                <w:rFonts w:ascii="宋体"/>
                <w:sz w:val="24"/>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7"/>
              <w:jc w:val="right"/>
              <w:rPr>
                <w:rFonts w:ascii="宋体" w:hAnsi="宋体" w:cs="宋体" w:eastAsia="宋体" w:hint="default"/>
                <w:sz w:val="24"/>
                <w:szCs w:val="24"/>
              </w:rPr>
            </w:pPr>
            <w:r>
              <w:rPr>
                <w:rFonts w:ascii="宋体"/>
                <w:sz w:val="24"/>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5"/>
              <w:jc w:val="right"/>
              <w:rPr>
                <w:rFonts w:ascii="宋体" w:hAnsi="宋体" w:cs="宋体" w:eastAsia="宋体" w:hint="default"/>
                <w:sz w:val="24"/>
                <w:szCs w:val="24"/>
              </w:rPr>
            </w:pPr>
            <w:r>
              <w:rPr>
                <w:rFonts w:ascii="宋体"/>
                <w:sz w:val="24"/>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4"/>
              <w:jc w:val="right"/>
              <w:rPr>
                <w:rFonts w:ascii="宋体" w:hAnsi="宋体" w:cs="宋体" w:eastAsia="宋体" w:hint="default"/>
                <w:sz w:val="24"/>
                <w:szCs w:val="24"/>
              </w:rPr>
            </w:pPr>
            <w:r>
              <w:rPr>
                <w:rFonts w:ascii="宋体"/>
                <w:sz w:val="24"/>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Times New Roman" w:hAnsi="Times New Roman" w:cs="Times New Roman" w:eastAsia="Times New Roman" w:hint="default"/>
                <w:sz w:val="24"/>
                <w:szCs w:val="24"/>
              </w:rPr>
            </w:pPr>
            <w:r>
              <w:rPr>
                <w:rFonts w:ascii="Times New Roman"/>
                <w:sz w:val="24"/>
              </w:rPr>
              <w:t>2,896,35</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7</w:t>
            </w:r>
          </w:p>
        </w:tc>
      </w:tr>
    </w:tbl>
    <w:p>
      <w:pPr>
        <w:spacing w:after="0" w:line="240" w:lineRule="auto"/>
        <w:jc w:val="right"/>
        <w:rPr>
          <w:rFonts w:ascii="Times New Roman" w:hAnsi="Times New Roman" w:cs="Times New Roman" w:eastAsia="Times New Roman" w:hint="default"/>
          <w:sz w:val="24"/>
          <w:szCs w:val="24"/>
        </w:rPr>
        <w:sectPr>
          <w:pgSz w:w="11910" w:h="16840"/>
          <w:pgMar w:header="882" w:footer="1195" w:top="1080" w:bottom="1380" w:left="1060" w:right="15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1940"/>
        <w:gridCol w:w="1177"/>
        <w:gridCol w:w="1205"/>
        <w:gridCol w:w="1179"/>
        <w:gridCol w:w="1202"/>
        <w:gridCol w:w="1191"/>
        <w:gridCol w:w="1157"/>
      </w:tblGrid>
      <w:tr>
        <w:trPr>
          <w:trHeight w:val="634"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w:t>
            </w:r>
            <w:r>
              <w:rPr>
                <w:rFonts w:ascii="Times New Roman" w:hAnsi="Times New Roman" w:cs="Times New Roman" w:eastAsia="Times New Roman" w:hint="default"/>
                <w:sz w:val="24"/>
                <w:szCs w:val="24"/>
              </w:rPr>
              <w:t>“</w:t>
            </w:r>
            <w:r>
              <w:rPr>
                <w:rFonts w:ascii="宋体" w:hAnsi="宋体" w:cs="宋体" w:eastAsia="宋体" w:hint="default"/>
                <w:sz w:val="24"/>
                <w:szCs w:val="24"/>
              </w:rPr>
              <w:t>北京</w:t>
            </w:r>
          </w:p>
          <w:p>
            <w:pPr>
              <w:pStyle w:val="TableParagraph"/>
              <w:spacing w:line="32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伟库</w:t>
            </w:r>
            <w:r>
              <w:rPr>
                <w:rFonts w:ascii="Times New Roman" w:hAnsi="Times New Roman" w:cs="Times New Roman" w:eastAsia="Times New Roman" w:hint="default"/>
                <w:sz w:val="24"/>
                <w:szCs w:val="24"/>
              </w:rPr>
              <w:t>”)</w:t>
            </w:r>
          </w:p>
        </w:tc>
        <w:tc>
          <w:tcPr>
            <w:tcW w:w="1177"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03" w:right="0"/>
              <w:jc w:val="left"/>
              <w:rPr>
                <w:rFonts w:ascii="Times New Roman" w:hAnsi="Times New Roman" w:cs="Times New Roman" w:eastAsia="Times New Roman" w:hint="default"/>
                <w:sz w:val="24"/>
                <w:szCs w:val="24"/>
              </w:rPr>
            </w:pPr>
            <w:r>
              <w:rPr>
                <w:rFonts w:ascii="Times New Roman"/>
                <w:sz w:val="24"/>
              </w:rPr>
              <w:t>3,822,348</w:t>
            </w:r>
          </w:p>
        </w:tc>
        <w:tc>
          <w:tcPr>
            <w:tcW w:w="1205"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3"/>
              <w:jc w:val="right"/>
              <w:rPr>
                <w:rFonts w:ascii="Times New Roman" w:hAnsi="Times New Roman" w:cs="Times New Roman" w:eastAsia="Times New Roman" w:hint="default"/>
                <w:sz w:val="24"/>
                <w:szCs w:val="24"/>
              </w:rPr>
            </w:pPr>
            <w:r>
              <w:rPr>
                <w:rFonts w:ascii="Times New Roman"/>
                <w:sz w:val="24"/>
              </w:rPr>
              <w:t>449,454</w:t>
            </w:r>
          </w:p>
        </w:tc>
        <w:tc>
          <w:tcPr>
            <w:tcW w:w="1191"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3,372,89</w:t>
            </w:r>
          </w:p>
          <w:p>
            <w:pPr>
              <w:pStyle w:val="TableParagraph"/>
              <w:spacing w:line="240" w:lineRule="auto"/>
              <w:ind w:right="98"/>
              <w:jc w:val="right"/>
              <w:rPr>
                <w:rFonts w:ascii="Times New Roman" w:hAnsi="Times New Roman" w:cs="Times New Roman" w:eastAsia="Times New Roman" w:hint="default"/>
                <w:sz w:val="24"/>
                <w:szCs w:val="24"/>
              </w:rPr>
            </w:pPr>
            <w:r>
              <w:rPr>
                <w:rFonts w:ascii="Times New Roman"/>
                <w:sz w:val="24"/>
              </w:rPr>
              <w:t>4</w:t>
            </w:r>
          </w:p>
        </w:tc>
      </w:tr>
      <w:tr>
        <w:trPr>
          <w:trHeight w:val="562" w:hRule="exact"/>
        </w:trPr>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Times New Roman" w:hAnsi="Times New Roman" w:cs="Times New Roman" w:eastAsia="Times New Roman" w:hint="default"/>
                <w:sz w:val="24"/>
                <w:szCs w:val="24"/>
              </w:rPr>
            </w:pPr>
            <w:r>
              <w:rPr>
                <w:rFonts w:ascii="Times New Roman"/>
                <w:sz w:val="24"/>
              </w:rPr>
              <w:t>1,013,454</w:t>
            </w:r>
          </w:p>
          <w:p>
            <w:pPr>
              <w:pStyle w:val="TableParagraph"/>
              <w:spacing w:line="240" w:lineRule="auto"/>
              <w:ind w:left="643" w:right="0"/>
              <w:jc w:val="left"/>
              <w:rPr>
                <w:rFonts w:ascii="Times New Roman" w:hAnsi="Times New Roman" w:cs="Times New Roman" w:eastAsia="Times New Roman" w:hint="default"/>
                <w:sz w:val="24"/>
                <w:szCs w:val="24"/>
              </w:rPr>
            </w:pPr>
            <w:r>
              <w:rPr>
                <w:rFonts w:ascii="Times New Roman"/>
                <w:sz w:val="24"/>
              </w:rPr>
              <w:t>,489</w:t>
            </w:r>
          </w:p>
        </w:tc>
        <w:tc>
          <w:tcPr>
            <w:tcW w:w="1205"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03"/>
              <w:jc w:val="right"/>
              <w:rPr>
                <w:rFonts w:ascii="Times New Roman" w:hAnsi="Times New Roman" w:cs="Times New Roman" w:eastAsia="Times New Roman" w:hint="default"/>
                <w:sz w:val="24"/>
                <w:szCs w:val="24"/>
              </w:rPr>
            </w:pPr>
            <w:r>
              <w:rPr>
                <w:rFonts w:ascii="Times New Roman"/>
                <w:sz w:val="24"/>
              </w:rPr>
              <w:t>449,454</w:t>
            </w:r>
          </w:p>
        </w:tc>
        <w:tc>
          <w:tcPr>
            <w:tcW w:w="1191"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06" w:right="0"/>
              <w:jc w:val="left"/>
              <w:rPr>
                <w:rFonts w:ascii="Times New Roman" w:hAnsi="Times New Roman" w:cs="Times New Roman" w:eastAsia="Times New Roman" w:hint="default"/>
                <w:sz w:val="24"/>
                <w:szCs w:val="24"/>
              </w:rPr>
            </w:pPr>
            <w:r>
              <w:rPr>
                <w:rFonts w:ascii="Times New Roman"/>
                <w:sz w:val="24"/>
              </w:rPr>
              <w:t>1,013,00</w:t>
            </w:r>
          </w:p>
          <w:p>
            <w:pPr>
              <w:pStyle w:val="TableParagraph"/>
              <w:spacing w:line="240" w:lineRule="auto"/>
              <w:ind w:left="506" w:right="0"/>
              <w:jc w:val="left"/>
              <w:rPr>
                <w:rFonts w:ascii="Times New Roman" w:hAnsi="Times New Roman" w:cs="Times New Roman" w:eastAsia="Times New Roman" w:hint="default"/>
                <w:sz w:val="24"/>
                <w:szCs w:val="24"/>
              </w:rPr>
            </w:pPr>
            <w:r>
              <w:rPr>
                <w:rFonts w:ascii="Times New Roman"/>
                <w:sz w:val="24"/>
              </w:rPr>
              <w:t>5,035</w:t>
            </w:r>
          </w:p>
        </w:tc>
      </w:tr>
    </w:tbl>
    <w:p>
      <w:pPr>
        <w:spacing w:line="240" w:lineRule="auto" w:before="5"/>
        <w:rPr>
          <w:rFonts w:ascii="Times New Roman" w:hAnsi="Times New Roman" w:cs="Times New Roman" w:eastAsia="Times New Roman" w:hint="default"/>
          <w:sz w:val="23"/>
          <w:szCs w:val="23"/>
        </w:rPr>
      </w:pPr>
    </w:p>
    <w:p>
      <w:pPr>
        <w:spacing w:after="0" w:line="240" w:lineRule="auto"/>
        <w:rPr>
          <w:rFonts w:ascii="Times New Roman" w:hAnsi="Times New Roman" w:cs="Times New Roman" w:eastAsia="Times New Roman" w:hint="default"/>
          <w:sz w:val="23"/>
          <w:szCs w:val="23"/>
        </w:rPr>
        <w:sectPr>
          <w:footerReference w:type="default" r:id="rId66"/>
          <w:pgSz w:w="11910" w:h="16840"/>
          <w:pgMar w:footer="1195" w:header="882" w:top="1080" w:bottom="1380" w:left="1060" w:right="156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(2).</w:t>
        <w:tab/>
      </w:r>
      <w:r>
        <w:rPr/>
        <w:t>商誉减值准备</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8"/>
        <w:ind w:left="216" w:right="0"/>
        <w:jc w:val="left"/>
      </w:pPr>
      <w:r>
        <w:rPr/>
        <w:t>√适用</w:t>
        <w:tab/>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623" w:space="3571"/>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820"/>
        <w:gridCol w:w="1297"/>
        <w:gridCol w:w="1296"/>
        <w:gridCol w:w="1049"/>
        <w:gridCol w:w="1061"/>
        <w:gridCol w:w="1111"/>
        <w:gridCol w:w="1417"/>
      </w:tblGrid>
      <w:tr>
        <w:trPr>
          <w:trHeight w:val="322" w:hRule="exact"/>
        </w:trPr>
        <w:tc>
          <w:tcPr>
            <w:tcW w:w="1820" w:type="dxa"/>
            <w:vMerge w:val="restart"/>
            <w:tcBorders>
              <w:top w:val="single" w:sz="4" w:space="0" w:color="000000"/>
              <w:left w:val="single" w:sz="4" w:space="0" w:color="000000"/>
              <w:right w:val="single" w:sz="4" w:space="0" w:color="000000"/>
            </w:tcBorders>
          </w:tcPr>
          <w:p>
            <w:pPr>
              <w:pStyle w:val="TableParagraph"/>
              <w:spacing w:line="273" w:lineRule="exact"/>
              <w:ind w:left="185" w:right="0"/>
              <w:jc w:val="left"/>
              <w:rPr>
                <w:rFonts w:ascii="宋体" w:hAnsi="宋体" w:cs="宋体" w:eastAsia="宋体" w:hint="default"/>
                <w:sz w:val="24"/>
                <w:szCs w:val="24"/>
              </w:rPr>
            </w:pPr>
            <w:r>
              <w:rPr>
                <w:rFonts w:ascii="宋体" w:hAnsi="宋体" w:cs="宋体" w:eastAsia="宋体" w:hint="default"/>
                <w:sz w:val="24"/>
                <w:szCs w:val="24"/>
              </w:rPr>
              <w:t>被投资单位名</w:t>
            </w:r>
          </w:p>
          <w:p>
            <w:pPr>
              <w:pStyle w:val="TableParagraph"/>
              <w:spacing w:line="240" w:lineRule="auto"/>
              <w:ind w:left="545" w:right="182" w:hanging="360"/>
              <w:jc w:val="left"/>
              <w:rPr>
                <w:rFonts w:ascii="宋体" w:hAnsi="宋体" w:cs="宋体" w:eastAsia="宋体" w:hint="default"/>
                <w:sz w:val="24"/>
                <w:szCs w:val="24"/>
              </w:rPr>
            </w:pPr>
            <w:r>
              <w:rPr>
                <w:rFonts w:ascii="宋体" w:hAnsi="宋体" w:cs="宋体" w:eastAsia="宋体" w:hint="default"/>
                <w:sz w:val="24"/>
                <w:szCs w:val="24"/>
              </w:rPr>
              <w:t>称或形成商誉 的事项</w:t>
            </w:r>
          </w:p>
        </w:tc>
        <w:tc>
          <w:tcPr>
            <w:tcW w:w="1297"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60"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23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86"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21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99"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223"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622" w:hRule="exact"/>
        </w:trPr>
        <w:tc>
          <w:tcPr>
            <w:tcW w:w="1820" w:type="dxa"/>
            <w:vMerge/>
            <w:tcBorders>
              <w:left w:val="single" w:sz="4" w:space="0" w:color="000000"/>
              <w:bottom w:val="single" w:sz="4" w:space="0" w:color="000000"/>
              <w:right w:val="single" w:sz="4" w:space="0" w:color="000000"/>
            </w:tcBorders>
          </w:tcPr>
          <w:p>
            <w:pPr/>
          </w:p>
        </w:tc>
        <w:tc>
          <w:tcPr>
            <w:tcW w:w="1297" w:type="dxa"/>
            <w:vMerge/>
            <w:tcBorders>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00" w:right="0"/>
              <w:jc w:val="left"/>
              <w:rPr>
                <w:rFonts w:ascii="宋体" w:hAnsi="宋体" w:cs="宋体" w:eastAsia="宋体" w:hint="default"/>
                <w:sz w:val="24"/>
                <w:szCs w:val="24"/>
              </w:rPr>
            </w:pPr>
            <w:r>
              <w:rPr>
                <w:rFonts w:ascii="宋体" w:hAnsi="宋体" w:cs="宋体" w:eastAsia="宋体" w:hint="default"/>
                <w:sz w:val="24"/>
                <w:szCs w:val="24"/>
              </w:rPr>
              <w:t>计提</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12" w:right="0"/>
              <w:jc w:val="center"/>
              <w:rPr>
                <w:rFonts w:ascii="宋体" w:hAnsi="宋体" w:cs="宋体" w:eastAsia="宋体" w:hint="default"/>
                <w:sz w:val="24"/>
                <w:szCs w:val="24"/>
              </w:rPr>
            </w:pPr>
            <w:r>
              <w:rPr>
                <w:rFonts w:ascii="宋体"/>
                <w:sz w:val="24"/>
              </w:rPr>
              <w:t> </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85" w:right="0"/>
              <w:jc w:val="left"/>
              <w:rPr>
                <w:rFonts w:ascii="宋体" w:hAnsi="宋体" w:cs="宋体" w:eastAsia="宋体" w:hint="default"/>
                <w:sz w:val="24"/>
                <w:szCs w:val="24"/>
              </w:rPr>
            </w:pPr>
            <w:r>
              <w:rPr>
                <w:rFonts w:ascii="宋体" w:hAnsi="宋体" w:cs="宋体" w:eastAsia="宋体" w:hint="default"/>
                <w:sz w:val="24"/>
                <w:szCs w:val="24"/>
              </w:rPr>
              <w:t>处置</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17" w:right="0"/>
              <w:jc w:val="center"/>
              <w:rPr>
                <w:rFonts w:ascii="宋体" w:hAnsi="宋体" w:cs="宋体" w:eastAsia="宋体" w:hint="default"/>
                <w:sz w:val="24"/>
                <w:szCs w:val="24"/>
              </w:rPr>
            </w:pPr>
            <w:r>
              <w:rPr>
                <w:rFonts w:ascii="宋体"/>
                <w:sz w:val="24"/>
              </w:rPr>
              <w:t> </w:t>
            </w:r>
          </w:p>
        </w:tc>
        <w:tc>
          <w:tcPr>
            <w:tcW w:w="1417" w:type="dxa"/>
            <w:vMerge/>
            <w:tcBorders>
              <w:left w:val="single" w:sz="4" w:space="0" w:color="000000"/>
              <w:bottom w:val="single" w:sz="4" w:space="0" w:color="000000"/>
              <w:right w:val="single" w:sz="4" w:space="0" w:color="000000"/>
            </w:tcBorders>
          </w:tcPr>
          <w:p>
            <w:pPr/>
          </w:p>
        </w:tc>
      </w:tr>
      <w:tr>
        <w:trPr>
          <w:trHeight w:val="32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时空超越</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28,873,073</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7,124,445</w:t>
            </w:r>
          </w:p>
        </w:tc>
        <w:tc>
          <w:tcPr>
            <w:tcW w:w="1049"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35,997,518</w:t>
            </w:r>
          </w:p>
        </w:tc>
      </w:tr>
      <w:tr>
        <w:trPr>
          <w:trHeight w:val="32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天诺坛网</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6,354,823</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6,354,823</w:t>
            </w:r>
          </w:p>
        </w:tc>
      </w:tr>
      <w:tr>
        <w:trPr>
          <w:trHeight w:val="32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上海哈久</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6,637,723</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6,637,723</w:t>
            </w:r>
          </w:p>
        </w:tc>
      </w:tr>
      <w:tr>
        <w:trPr>
          <w:trHeight w:val="32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北京伟库</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2,896,357</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2,896,357</w:t>
            </w:r>
          </w:p>
        </w:tc>
      </w:tr>
      <w:tr>
        <w:trPr>
          <w:trHeight w:val="32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秉钧网络</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43,671,000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26,557,202</w:t>
            </w:r>
          </w:p>
        </w:tc>
        <w:tc>
          <w:tcPr>
            <w:tcW w:w="1049"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70,228,202</w:t>
            </w:r>
          </w:p>
        </w:tc>
      </w:tr>
      <w:tr>
        <w:trPr>
          <w:trHeight w:val="32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88,432,976</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33,681,647</w:t>
            </w:r>
          </w:p>
        </w:tc>
        <w:tc>
          <w:tcPr>
            <w:tcW w:w="1049"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122,114,623</w:t>
            </w:r>
          </w:p>
        </w:tc>
      </w:tr>
    </w:tbl>
    <w:p>
      <w:pPr>
        <w:spacing w:line="240" w:lineRule="auto" w:before="8"/>
        <w:rPr>
          <w:rFonts w:ascii="宋体" w:hAnsi="宋体" w:cs="宋体" w:eastAsia="宋体" w:hint="default"/>
          <w:sz w:val="20"/>
          <w:szCs w:val="20"/>
        </w:r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(3).</w:t>
      </w:r>
      <w:r>
        <w:rPr/>
        <w:t>商誉所在资产组或资产组组合的相关信息</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5"/>
        <w:ind w:left="216" w:right="0"/>
        <w:jc w:val="left"/>
      </w:pPr>
      <w:r>
        <w:rPr/>
        <w:t>□适用</w:t>
        <w:tab/>
        <w:t>√不适用</w:t>
      </w:r>
    </w:p>
    <w:p>
      <w:pPr>
        <w:spacing w:line="240" w:lineRule="auto" w:before="10"/>
        <w:rPr>
          <w:rFonts w:ascii="宋体" w:hAnsi="宋体" w:cs="宋体" w:eastAsia="宋体" w:hint="default"/>
          <w:sz w:val="25"/>
          <w:szCs w:val="25"/>
        </w:rPr>
      </w:pPr>
    </w:p>
    <w:p>
      <w:pPr>
        <w:pStyle w:val="Heading2"/>
        <w:spacing w:line="237" w:lineRule="auto"/>
        <w:ind w:left="702" w:right="235" w:hanging="486"/>
        <w:jc w:val="both"/>
        <w:rPr>
          <w:rFonts w:ascii="宋体" w:hAnsi="宋体" w:cs="宋体" w:eastAsia="宋体" w:hint="default"/>
          <w:b w:val="0"/>
          <w:bCs w:val="0"/>
        </w:rPr>
      </w:pPr>
      <w:r>
        <w:rPr>
          <w:rFonts w:ascii="宋体" w:hAnsi="宋体" w:cs="宋体" w:eastAsia="宋体" w:hint="default"/>
          <w:spacing w:val="-2"/>
          <w:w w:val="95"/>
        </w:rPr>
        <w:t>(4).</w:t>
      </w:r>
      <w:r>
        <w:rPr>
          <w:spacing w:val="-2"/>
          <w:w w:val="95"/>
        </w:rPr>
        <w:t>说明商誉减值测试过程、关键参数（例如预计未来现金流量现值时的预测期增长</w:t>
      </w:r>
      <w:r>
        <w:rPr>
          <w:spacing w:val="90"/>
          <w:w w:val="95"/>
        </w:rPr>
        <w:t> </w:t>
      </w:r>
      <w:r>
        <w:rPr>
          <w:spacing w:val="90"/>
          <w:w w:val="95"/>
        </w:rPr>
      </w:r>
      <w:r>
        <w:rPr>
          <w:spacing w:val="-2"/>
          <w:w w:val="95"/>
        </w:rPr>
        <w:t>率、稳定期增长率、利润率、折现率、预测期等，如适用）及商誉减值损失的确</w:t>
      </w:r>
      <w:r>
        <w:rPr>
          <w:w w:val="99"/>
        </w:rPr>
        <w:t> </w:t>
      </w:r>
      <w:r>
        <w:rPr/>
        <w:t>认方法</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312" w:lineRule="exact" w:before="89"/>
        <w:ind w:left="216" w:right="7243"/>
        <w:jc w:val="left"/>
      </w:pPr>
      <w:r>
        <w:rPr/>
        <w:t>√适用</w:t>
        <w:tab/>
      </w:r>
      <w:r>
        <w:rPr>
          <w:rFonts w:ascii="Times New Roman" w:hAnsi="Times New Roman" w:cs="Times New Roman" w:eastAsia="Times New Roman" w:hint="default"/>
        </w:rPr>
        <w:t>□</w:t>
      </w:r>
      <w:r>
        <w:rPr/>
        <w:t>不适用 商誉的减值测试</w:t>
      </w:r>
    </w:p>
    <w:p>
      <w:pPr>
        <w:spacing w:line="240" w:lineRule="auto" w:before="12"/>
        <w:rPr>
          <w:rFonts w:ascii="宋体" w:hAnsi="宋体" w:cs="宋体" w:eastAsia="宋体" w:hint="default"/>
          <w:sz w:val="20"/>
          <w:szCs w:val="20"/>
        </w:rPr>
      </w:pPr>
    </w:p>
    <w:p>
      <w:pPr>
        <w:pStyle w:val="BodyText"/>
        <w:spacing w:line="312" w:lineRule="exact"/>
        <w:ind w:left="216" w:right="0"/>
        <w:jc w:val="left"/>
      </w:pPr>
      <w:r>
        <w:rPr/>
        <w:t>本公司于</w:t>
      </w:r>
      <w:r>
        <w:rPr>
          <w:spacing w:val="-60"/>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日对上述商誉执行了减值测试。除秉钧网络、时空超越本 年发生减值外，本集团本年无需计提其他商誉的减值准备。</w:t>
      </w:r>
    </w:p>
    <w:p>
      <w:pPr>
        <w:spacing w:line="240" w:lineRule="auto" w:before="3"/>
        <w:rPr>
          <w:rFonts w:ascii="宋体" w:hAnsi="宋体" w:cs="宋体" w:eastAsia="宋体" w:hint="default"/>
          <w:sz w:val="21"/>
          <w:szCs w:val="21"/>
        </w:rPr>
      </w:pPr>
    </w:p>
    <w:p>
      <w:pPr>
        <w:pStyle w:val="BodyText"/>
        <w:spacing w:line="310" w:lineRule="exact"/>
        <w:ind w:left="216" w:right="218"/>
        <w:jc w:val="left"/>
      </w:pPr>
      <w:r>
        <w:rPr>
          <w:spacing w:val="-2"/>
        </w:rPr>
        <w:t>本公司对商誉相关资产组的可收回金额采用预计未来现金流量的现值，根据管理层批</w:t>
      </w:r>
      <w:r>
        <w:rPr>
          <w:spacing w:val="-93"/>
        </w:rPr>
        <w:t> </w:t>
      </w:r>
      <w:r>
        <w:rPr>
          <w:spacing w:val="-93"/>
        </w:rPr>
      </w:r>
      <w:r>
        <w:rPr/>
        <w:t>准的</w:t>
      </w:r>
      <w:r>
        <w:rPr>
          <w:spacing w:val="-84"/>
        </w:rPr>
        <w:t> </w:t>
      </w:r>
      <w:r>
        <w:rPr>
          <w:rFonts w:ascii="Times New Roman" w:hAnsi="Times New Roman" w:cs="Times New Roman" w:eastAsia="Times New Roman" w:hint="default"/>
        </w:rPr>
        <w:t>5</w:t>
      </w:r>
      <w:r>
        <w:rPr>
          <w:rFonts w:ascii="Times New Roman" w:hAnsi="Times New Roman" w:cs="Times New Roman" w:eastAsia="Times New Roman" w:hint="default"/>
          <w:spacing w:val="-24"/>
        </w:rPr>
        <w:t> </w:t>
      </w:r>
      <w:r>
        <w:rPr/>
        <w:t>年期的财务预算基础上的现金流量预测来确定。现金流量预测所用的折现率是</w:t>
      </w:r>
    </w:p>
    <w:p>
      <w:pPr>
        <w:pStyle w:val="BodyText"/>
        <w:spacing w:line="292" w:lineRule="exact"/>
        <w:ind w:left="216" w:right="0"/>
        <w:jc w:val="left"/>
        <w:rPr>
          <w:rFonts w:ascii="Times New Roman" w:hAnsi="Times New Roman" w:cs="Times New Roman" w:eastAsia="Times New Roman" w:hint="default"/>
        </w:rPr>
      </w:pPr>
      <w:r>
        <w:rPr>
          <w:rFonts w:ascii="Times New Roman" w:hAnsi="Times New Roman" w:cs="Times New Roman" w:eastAsia="Times New Roman" w:hint="default"/>
        </w:rPr>
        <w:t>13.50%-20%(2018</w:t>
      </w:r>
      <w:r>
        <w:rPr>
          <w:rFonts w:ascii="Times New Roman" w:hAnsi="Times New Roman" w:cs="Times New Roman" w:eastAsia="Times New Roman" w:hint="default"/>
          <w:spacing w:val="-1"/>
        </w:rPr>
        <w:t> </w:t>
      </w:r>
      <w:r>
        <w:rPr/>
        <w:t>年：</w:t>
      </w:r>
      <w:r>
        <w:rPr>
          <w:rFonts w:ascii="Times New Roman" w:hAnsi="Times New Roman" w:cs="Times New Roman" w:eastAsia="Times New Roman" w:hint="default"/>
        </w:rPr>
        <w:t>15.60%-20%)</w:t>
      </w:r>
      <w:r>
        <w:rPr/>
        <w:t>。用于推断</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年以后的现金流量的增长率是</w:t>
      </w:r>
      <w:r>
        <w:rPr>
          <w:spacing w:val="-60"/>
        </w:rPr>
        <w:t> </w:t>
      </w:r>
      <w:r>
        <w:rPr>
          <w:rFonts w:ascii="Times New Roman" w:hAnsi="Times New Roman" w:cs="Times New Roman" w:eastAsia="Times New Roman" w:hint="default"/>
        </w:rPr>
        <w:t>3%</w:t>
      </w:r>
    </w:p>
    <w:p>
      <w:pPr>
        <w:pStyle w:val="BodyText"/>
        <w:spacing w:line="310" w:lineRule="exact" w:before="22"/>
        <w:ind w:left="216" w:right="217"/>
        <w:jc w:val="left"/>
      </w:pP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27"/>
        </w:rPr>
        <w:t> </w:t>
      </w:r>
      <w:r>
        <w:rPr/>
        <w:t>年：</w:t>
      </w:r>
      <w:r>
        <w:rPr>
          <w:rFonts w:ascii="Times New Roman" w:hAnsi="Times New Roman" w:cs="Times New Roman" w:eastAsia="Times New Roman" w:hint="default"/>
        </w:rPr>
        <w:t>3%)</w:t>
      </w:r>
      <w:r>
        <w:rPr/>
        <w:t>。该增长率接近国内历史通货膨胀率，本集团认为这一增长率是合理 的。</w:t>
      </w:r>
    </w:p>
    <w:p>
      <w:pPr>
        <w:spacing w:line="240" w:lineRule="auto" w:before="2"/>
        <w:rPr>
          <w:rFonts w:ascii="宋体" w:hAnsi="宋体" w:cs="宋体" w:eastAsia="宋体" w:hint="default"/>
          <w:sz w:val="21"/>
          <w:szCs w:val="21"/>
        </w:rPr>
      </w:pPr>
    </w:p>
    <w:p>
      <w:pPr>
        <w:pStyle w:val="BodyText"/>
        <w:spacing w:line="312" w:lineRule="exact"/>
        <w:ind w:left="216" w:right="0"/>
        <w:jc w:val="left"/>
      </w:pPr>
      <w:r>
        <w:rPr/>
        <w:t>计算相关资产组于</w:t>
      </w:r>
      <w:r>
        <w:rPr>
          <w:spacing w:val="-60"/>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日预计未来现金流量现值采用了假设，以下详述 了管理层为进行商誉的减值测试，在确定现金流量预测时作出的关键假设：</w:t>
      </w:r>
    </w:p>
    <w:p>
      <w:pPr>
        <w:spacing w:line="240" w:lineRule="auto" w:before="3"/>
        <w:rPr>
          <w:rFonts w:ascii="宋体" w:hAnsi="宋体" w:cs="宋体" w:eastAsia="宋体" w:hint="default"/>
          <w:sz w:val="21"/>
          <w:szCs w:val="21"/>
        </w:rPr>
      </w:pPr>
    </w:p>
    <w:p>
      <w:pPr>
        <w:pStyle w:val="BodyText"/>
        <w:spacing w:line="310" w:lineRule="exact"/>
        <w:ind w:left="216" w:right="0"/>
        <w:jc w:val="left"/>
      </w:pPr>
      <w:r>
        <w:rPr>
          <w:spacing w:val="-2"/>
        </w:rPr>
        <w:t>收入增长</w:t>
      </w:r>
      <w:r>
        <w:rPr>
          <w:rFonts w:ascii="Times New Roman" w:hAnsi="Times New Roman" w:cs="Times New Roman" w:eastAsia="Times New Roman" w:hint="default"/>
          <w:spacing w:val="-2"/>
        </w:rPr>
        <w:t>—</w:t>
      </w:r>
      <w:r>
        <w:rPr>
          <w:spacing w:val="-2"/>
        </w:rPr>
        <w:t>确定基础是在预算年度前一年及历史上实现的收入增长率基础上，根据预</w:t>
      </w:r>
      <w:r>
        <w:rPr>
          <w:spacing w:val="-94"/>
        </w:rPr>
        <w:t> </w:t>
      </w:r>
      <w:r>
        <w:rPr>
          <w:spacing w:val="-94"/>
        </w:rPr>
      </w:r>
      <w:r>
        <w:rPr/>
        <w:t>计的市场需求及自身的业务发展及营销战略而保持相应的增长率。</w:t>
      </w:r>
    </w:p>
    <w:p>
      <w:pPr>
        <w:spacing w:after="0" w:line="310" w:lineRule="exact"/>
        <w:jc w:val="left"/>
        <w:sectPr>
          <w:type w:val="continuous"/>
          <w:pgSz w:w="11910" w:h="16840"/>
          <w:pgMar w:top="1120" w:bottom="1380" w:left="1060" w:right="1560"/>
        </w:sectPr>
      </w:pPr>
    </w:p>
    <w:p>
      <w:pPr>
        <w:spacing w:line="240" w:lineRule="auto" w:before="4"/>
        <w:rPr>
          <w:rFonts w:ascii="宋体" w:hAnsi="宋体" w:cs="宋体" w:eastAsia="宋体" w:hint="default"/>
          <w:sz w:val="22"/>
          <w:szCs w:val="22"/>
        </w:rPr>
      </w:pPr>
    </w:p>
    <w:p>
      <w:pPr>
        <w:pStyle w:val="BodyText"/>
        <w:spacing w:line="312" w:lineRule="exact" w:before="56"/>
        <w:ind w:right="235"/>
        <w:jc w:val="both"/>
      </w:pPr>
      <w:r>
        <w:rPr>
          <w:spacing w:val="-2"/>
        </w:rPr>
        <w:t>预算毛利</w:t>
      </w:r>
      <w:r>
        <w:rPr>
          <w:rFonts w:ascii="Times New Roman" w:hAnsi="Times New Roman" w:cs="Times New Roman" w:eastAsia="Times New Roman" w:hint="default"/>
          <w:spacing w:val="-2"/>
        </w:rPr>
        <w:t>—</w:t>
      </w:r>
      <w:r>
        <w:rPr>
          <w:spacing w:val="-2"/>
        </w:rPr>
        <w:t>确定基础是在预算年度前一年实现的平均毛利率基础上，根据预计效率的</w:t>
      </w:r>
      <w:r>
        <w:rPr>
          <w:spacing w:val="-94"/>
        </w:rPr>
        <w:t> </w:t>
      </w:r>
      <w:r>
        <w:rPr>
          <w:spacing w:val="-94"/>
        </w:rPr>
      </w:r>
      <w:r>
        <w:rPr/>
        <w:t>提高及预计市场开发情况适当提高该平均毛利率。</w:t>
      </w:r>
    </w:p>
    <w:p>
      <w:pPr>
        <w:spacing w:line="240" w:lineRule="auto" w:before="7"/>
        <w:rPr>
          <w:rFonts w:ascii="宋体" w:hAnsi="宋体" w:cs="宋体" w:eastAsia="宋体" w:hint="default"/>
          <w:sz w:val="18"/>
          <w:szCs w:val="18"/>
        </w:rPr>
      </w:pPr>
    </w:p>
    <w:p>
      <w:pPr>
        <w:pStyle w:val="BodyText"/>
        <w:spacing w:line="240" w:lineRule="auto"/>
        <w:ind w:right="0"/>
        <w:jc w:val="both"/>
      </w:pPr>
      <w:r>
        <w:rPr/>
        <w:t>折现率</w:t>
      </w:r>
      <w:r>
        <w:rPr>
          <w:rFonts w:ascii="Times New Roman" w:hAnsi="Times New Roman" w:cs="Times New Roman" w:eastAsia="Times New Roman" w:hint="default"/>
        </w:rPr>
        <w:t>—</w:t>
      </w:r>
      <w:r>
        <w:rPr/>
        <w:t>采用的折现率是反映相关资产组特定风险的税前折现率。</w:t>
      </w:r>
    </w:p>
    <w:p>
      <w:pPr>
        <w:spacing w:line="240" w:lineRule="auto" w:before="12"/>
        <w:rPr>
          <w:rFonts w:ascii="宋体" w:hAnsi="宋体" w:cs="宋体" w:eastAsia="宋体" w:hint="default"/>
          <w:sz w:val="21"/>
          <w:szCs w:val="21"/>
        </w:rPr>
      </w:pPr>
    </w:p>
    <w:p>
      <w:pPr>
        <w:pStyle w:val="BodyText"/>
        <w:spacing w:line="312" w:lineRule="exact"/>
        <w:ind w:right="410"/>
        <w:jc w:val="left"/>
      </w:pPr>
      <w:r>
        <w:rPr/>
        <w:t>分配至上述资产组或资产组组合的关键假设的金额与本集团历史经验及外部信息一 致。</w:t>
      </w:r>
    </w:p>
    <w:p>
      <w:pPr>
        <w:spacing w:line="240" w:lineRule="auto" w:before="7"/>
        <w:rPr>
          <w:rFonts w:ascii="宋体" w:hAnsi="宋体" w:cs="宋体" w:eastAsia="宋体" w:hint="default"/>
          <w:sz w:val="18"/>
          <w:szCs w:val="18"/>
        </w:rPr>
      </w:pPr>
    </w:p>
    <w:p>
      <w:pPr>
        <w:pStyle w:val="BodyText"/>
        <w:spacing w:line="240" w:lineRule="auto"/>
        <w:ind w:right="0"/>
        <w:jc w:val="both"/>
      </w:pPr>
      <w:r>
        <w:rPr/>
        <w:t>关键商誉减值结果如下：</w:t>
      </w:r>
    </w:p>
    <w:p>
      <w:pPr>
        <w:spacing w:line="240" w:lineRule="auto" w:before="4"/>
        <w:rPr>
          <w:rFonts w:ascii="宋体" w:hAnsi="宋体" w:cs="宋体" w:eastAsia="宋体" w:hint="default"/>
          <w:sz w:val="23"/>
          <w:szCs w:val="23"/>
        </w:rPr>
      </w:pPr>
    </w:p>
    <w:p>
      <w:pPr>
        <w:pStyle w:val="BodyText"/>
        <w:spacing w:line="312" w:lineRule="exact"/>
        <w:ind w:right="232"/>
        <w:jc w:val="both"/>
      </w:pPr>
      <w:r>
        <w:rPr/>
        <w:t>注</w:t>
      </w:r>
      <w:r>
        <w:rPr>
          <w:spacing w:val="-51"/>
        </w:rPr>
        <w:t> </w:t>
      </w:r>
      <w:r>
        <w:rPr>
          <w:rFonts w:ascii="Times New Roman" w:hAnsi="Times New Roman" w:cs="Times New Roman" w:eastAsia="Times New Roman" w:hint="default"/>
          <w:spacing w:val="-11"/>
        </w:rPr>
        <w:t>1</w:t>
      </w:r>
      <w:r>
        <w:rPr>
          <w:spacing w:val="-11"/>
        </w:rPr>
        <w:t>：本集团于</w:t>
      </w:r>
      <w:r>
        <w:rPr>
          <w:spacing w:val="-5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spacing w:val="-5"/>
        </w:rPr>
        <w:t>年收购用友汽车（原上海英孚思为信息科技股份有限公司）</w:t>
      </w:r>
      <w:r>
        <w:rPr>
          <w:rFonts w:ascii="Times New Roman" w:hAnsi="Times New Roman" w:cs="Times New Roman" w:eastAsia="Times New Roman" w:hint="default"/>
          <w:spacing w:val="-5"/>
        </w:rPr>
        <w:t>100%</w:t>
      </w:r>
      <w:r>
        <w:rPr>
          <w:rFonts w:ascii="Times New Roman" w:hAnsi="Times New Roman" w:cs="Times New Roman" w:eastAsia="Times New Roman" w:hint="default"/>
        </w:rPr>
        <w:t> </w:t>
      </w:r>
      <w:r>
        <w:rPr/>
        <w:t>股权，形成商誉人民币</w:t>
      </w:r>
      <w:r>
        <w:rPr>
          <w:spacing w:val="-60"/>
        </w:rPr>
        <w:t> </w:t>
      </w:r>
      <w:r>
        <w:rPr>
          <w:rFonts w:ascii="Times New Roman" w:hAnsi="Times New Roman" w:cs="Times New Roman" w:eastAsia="Times New Roman" w:hint="default"/>
        </w:rPr>
        <w:t>378,396,387 </w:t>
      </w:r>
      <w:r>
        <w:rPr/>
        <w:t>元。集团将该商誉分配至用友汽车主体资产组，</w:t>
      </w:r>
    </w:p>
    <w:p>
      <w:pPr>
        <w:pStyle w:val="BodyText"/>
        <w:spacing w:line="290" w:lineRule="exact"/>
        <w:ind w:right="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日，该资产组除商誉外的长期资产账面价值为人民币</w:t>
      </w:r>
      <w:r>
        <w:rPr>
          <w:spacing w:val="-58"/>
        </w:rPr>
        <w:t> </w:t>
      </w:r>
      <w:r>
        <w:rPr>
          <w:rFonts w:ascii="Times New Roman" w:hAnsi="Times New Roman" w:cs="Times New Roman" w:eastAsia="Times New Roman" w:hint="default"/>
        </w:rPr>
        <w:t>16,945,970</w:t>
      </w:r>
      <w:r>
        <w:rPr>
          <w:rFonts w:ascii="Times New Roman" w:hAnsi="Times New Roman" w:cs="Times New Roman" w:eastAsia="Times New Roman" w:hint="default"/>
          <w:spacing w:val="4"/>
        </w:rPr>
        <w:t> </w:t>
      </w:r>
      <w:r>
        <w:rPr/>
        <w:t>元。</w:t>
      </w:r>
    </w:p>
    <w:p>
      <w:pPr>
        <w:pStyle w:val="BodyText"/>
        <w:spacing w:line="304" w:lineRule="exact"/>
        <w:ind w:right="0"/>
        <w:jc w:val="both"/>
      </w:pPr>
      <w:r>
        <w:rPr/>
        <w:t>集团据此进行了减值测试。</w:t>
      </w:r>
    </w:p>
    <w:p>
      <w:pPr>
        <w:spacing w:line="240" w:lineRule="auto" w:before="0"/>
        <w:rPr>
          <w:rFonts w:ascii="宋体" w:hAnsi="宋体" w:cs="宋体" w:eastAsia="宋体" w:hint="default"/>
          <w:sz w:val="22"/>
          <w:szCs w:val="22"/>
        </w:rPr>
      </w:pPr>
    </w:p>
    <w:p>
      <w:pPr>
        <w:pStyle w:val="BodyText"/>
        <w:spacing w:line="228" w:lineRule="auto"/>
        <w:ind w:right="232"/>
        <w:jc w:val="both"/>
      </w:pPr>
      <w:r>
        <w:rPr>
          <w:spacing w:val="-2"/>
        </w:rPr>
        <w:t>本集团对该资产组可收回金额是根据资产组的预计未来现金流量现值来确定。预计未</w:t>
      </w:r>
      <w:r>
        <w:rPr>
          <w:spacing w:val="-94"/>
        </w:rPr>
        <w:t> </w:t>
      </w:r>
      <w:r>
        <w:rPr>
          <w:spacing w:val="-94"/>
        </w:rPr>
      </w:r>
      <w:r>
        <w:rPr/>
        <w:t>来现金流量来源为管理层批准的</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8"/>
        </w:rPr>
        <w:t> </w:t>
      </w:r>
      <w:r>
        <w:rPr>
          <w:spacing w:val="-3"/>
        </w:rPr>
        <w:t>年期财务预算中的现金流量预测数据。计算现值所</w:t>
      </w:r>
      <w:r>
        <w:rPr/>
        <w:t> 用的折现率是</w:t>
      </w:r>
      <w:r>
        <w:rPr>
          <w:spacing w:val="-61"/>
        </w:rPr>
        <w:t> </w:t>
      </w:r>
      <w:r>
        <w:rPr>
          <w:rFonts w:ascii="Times New Roman" w:hAnsi="Times New Roman" w:cs="Times New Roman" w:eastAsia="Times New Roman" w:hint="default"/>
        </w:rPr>
        <w:t>13.50%</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rFonts w:ascii="Times New Roman" w:hAnsi="Times New Roman" w:cs="Times New Roman" w:eastAsia="Times New Roman" w:hint="default"/>
        </w:rPr>
        <w:t>18.00%</w:t>
      </w:r>
      <w:r>
        <w:rPr/>
        <w:t>），用于推断</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年以后的现金流量的增长率 是</w:t>
      </w:r>
      <w:r>
        <w:rPr>
          <w:spacing w:val="-47"/>
        </w:rPr>
        <w:t> </w:t>
      </w:r>
      <w:r>
        <w:rPr>
          <w:rFonts w:ascii="Times New Roman" w:hAnsi="Times New Roman" w:cs="Times New Roman" w:eastAsia="Times New Roman" w:hint="default"/>
          <w:spacing w:val="-3"/>
        </w:rPr>
        <w:t>3%</w:t>
      </w:r>
      <w:r>
        <w:rPr>
          <w:spacing w:val="-3"/>
        </w:rPr>
        <w:t>（</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13"/>
        </w:rPr>
        <w:t> </w:t>
      </w:r>
      <w:r>
        <w:rPr>
          <w:spacing w:val="-3"/>
        </w:rPr>
        <w:t>年：</w:t>
      </w:r>
      <w:r>
        <w:rPr>
          <w:rFonts w:ascii="Times New Roman" w:hAnsi="Times New Roman" w:cs="Times New Roman" w:eastAsia="Times New Roman" w:hint="default"/>
          <w:spacing w:val="-3"/>
        </w:rPr>
        <w:t>3%</w:t>
      </w:r>
      <w:r>
        <w:rPr>
          <w:spacing w:val="-3"/>
        </w:rPr>
        <w:t>）。该增长率接近国内历史通货膨胀率，本集团认为这一增长率</w:t>
      </w:r>
      <w:r>
        <w:rPr>
          <w:spacing w:val="-118"/>
        </w:rPr>
        <w:t> </w:t>
      </w:r>
      <w:r>
        <w:rPr>
          <w:spacing w:val="-118"/>
        </w:rPr>
      </w:r>
      <w:r>
        <w:rPr/>
        <w:t>是合理的。根据商誉减值测试结果，本集团无需对该商誉计提减值准备。</w:t>
      </w:r>
    </w:p>
    <w:p>
      <w:pPr>
        <w:spacing w:line="240" w:lineRule="auto" w:before="3"/>
        <w:rPr>
          <w:rFonts w:ascii="宋体" w:hAnsi="宋体" w:cs="宋体" w:eastAsia="宋体" w:hint="default"/>
          <w:sz w:val="23"/>
          <w:szCs w:val="23"/>
        </w:rPr>
      </w:pPr>
    </w:p>
    <w:p>
      <w:pPr>
        <w:pStyle w:val="BodyText"/>
        <w:spacing w:line="312" w:lineRule="exact"/>
        <w:ind w:right="235"/>
        <w:jc w:val="both"/>
      </w:pPr>
      <w:r>
        <w:rPr/>
        <w:t>注</w:t>
      </w:r>
      <w:r>
        <w:rPr>
          <w:spacing w:val="-60"/>
        </w:rPr>
        <w:t> </w:t>
      </w:r>
      <w:r>
        <w:rPr>
          <w:rFonts w:ascii="Times New Roman" w:hAnsi="Times New Roman" w:cs="Times New Roman" w:eastAsia="Times New Roman" w:hint="default"/>
        </w:rPr>
        <w:t>2</w:t>
      </w:r>
      <w:r>
        <w:rPr/>
        <w:t>：本集团于</w:t>
      </w:r>
      <w:r>
        <w:rPr>
          <w:spacing w:val="-61"/>
        </w:rPr>
        <w:t> </w:t>
      </w:r>
      <w:r>
        <w:rPr>
          <w:rFonts w:ascii="Times New Roman" w:hAnsi="Times New Roman" w:cs="Times New Roman" w:eastAsia="Times New Roman" w:hint="default"/>
        </w:rPr>
        <w:t>2003 </w:t>
      </w:r>
      <w:r>
        <w:rPr/>
        <w:t>年收购用友政务及</w:t>
      </w:r>
      <w:r>
        <w:rPr>
          <w:spacing w:val="-60"/>
        </w:rPr>
        <w:t> </w:t>
      </w:r>
      <w:r>
        <w:rPr>
          <w:rFonts w:ascii="Times New Roman" w:hAnsi="Times New Roman" w:cs="Times New Roman" w:eastAsia="Times New Roman" w:hint="default"/>
        </w:rPr>
        <w:t>2008 </w:t>
      </w:r>
      <w:r>
        <w:rPr/>
        <w:t>年度收购北京方正春元科技发展有限公 司</w:t>
      </w:r>
      <w:r>
        <w:rPr>
          <w:spacing w:val="-65"/>
        </w:rPr>
        <w:t> </w:t>
      </w:r>
      <w:r>
        <w:rPr>
          <w:rFonts w:ascii="Times New Roman" w:hAnsi="Times New Roman" w:cs="Times New Roman" w:eastAsia="Times New Roman" w:hint="default"/>
        </w:rPr>
        <w:t>100%</w:t>
      </w:r>
      <w:r>
        <w:rPr/>
        <w:t>股权。</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年本集团对这两家子公司进行合并，实现统一的业务管理、部门 设置、人员调配及财务管理。合计形成的商誉人民币</w:t>
      </w:r>
      <w:r>
        <w:rPr>
          <w:spacing w:val="-59"/>
        </w:rPr>
        <w:t> </w:t>
      </w:r>
      <w:r>
        <w:rPr>
          <w:rFonts w:ascii="Times New Roman" w:hAnsi="Times New Roman" w:cs="Times New Roman" w:eastAsia="Times New Roman" w:hint="default"/>
        </w:rPr>
        <w:t>308,399,874 </w:t>
      </w:r>
      <w:r>
        <w:rPr/>
        <w:t>元。集团将该商誉</w:t>
      </w:r>
    </w:p>
    <w:p>
      <w:pPr>
        <w:pStyle w:val="BodyText"/>
        <w:spacing w:line="289" w:lineRule="exact"/>
        <w:ind w:right="0"/>
        <w:jc w:val="both"/>
      </w:pPr>
      <w:r>
        <w:rPr>
          <w:spacing w:val="-4"/>
        </w:rPr>
        <w:t>分配至用友政务主体资产组，</w:t>
      </w:r>
      <w:r>
        <w:rPr>
          <w:rFonts w:ascii="Times New Roman" w:hAnsi="Times New Roman" w:cs="Times New Roman" w:eastAsia="Times New Roman" w:hint="default"/>
          <w:spacing w:val="-4"/>
        </w:rPr>
        <w:t>2019</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spacing w:val="-4"/>
        </w:rPr>
        <w:t>日，该资产组除商誉外的长期资产账面</w:t>
      </w:r>
    </w:p>
    <w:p>
      <w:pPr>
        <w:pStyle w:val="BodyText"/>
        <w:spacing w:line="322" w:lineRule="exact"/>
        <w:ind w:right="0"/>
        <w:jc w:val="both"/>
      </w:pPr>
      <w:r>
        <w:rPr/>
        <w:t>价值为人民币</w:t>
      </w:r>
      <w:r>
        <w:rPr>
          <w:spacing w:val="-60"/>
        </w:rPr>
        <w:t> </w:t>
      </w:r>
      <w:r>
        <w:rPr>
          <w:rFonts w:ascii="Times New Roman" w:hAnsi="Times New Roman" w:cs="Times New Roman" w:eastAsia="Times New Roman" w:hint="default"/>
        </w:rPr>
        <w:t>40,755,419 </w:t>
      </w:r>
      <w:r>
        <w:rPr/>
        <w:t>元。集团据此进行了减值测试。</w:t>
      </w:r>
    </w:p>
    <w:p>
      <w:pPr>
        <w:spacing w:line="240" w:lineRule="auto" w:before="8"/>
        <w:rPr>
          <w:rFonts w:ascii="宋体" w:hAnsi="宋体" w:cs="宋体" w:eastAsia="宋体" w:hint="default"/>
          <w:sz w:val="20"/>
          <w:szCs w:val="20"/>
        </w:rPr>
      </w:pPr>
    </w:p>
    <w:p>
      <w:pPr>
        <w:pStyle w:val="BodyText"/>
        <w:spacing w:line="228" w:lineRule="auto"/>
        <w:ind w:right="232"/>
        <w:jc w:val="both"/>
      </w:pPr>
      <w:r>
        <w:rPr>
          <w:spacing w:val="-2"/>
        </w:rPr>
        <w:t>本集团对该资产组可收回金额是根据资产组的预计未来现金流量现值来确定。预计未</w:t>
      </w:r>
      <w:r>
        <w:rPr>
          <w:spacing w:val="-94"/>
        </w:rPr>
        <w:t> </w:t>
      </w:r>
      <w:r>
        <w:rPr>
          <w:spacing w:val="-94"/>
        </w:rPr>
      </w:r>
      <w:r>
        <w:rPr/>
        <w:t>来现金流量来源为管理层批准的</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8"/>
        </w:rPr>
        <w:t> </w:t>
      </w:r>
      <w:r>
        <w:rPr>
          <w:spacing w:val="-3"/>
        </w:rPr>
        <w:t>年期财务预算中的现金流量预测数据。计算现值所</w:t>
      </w:r>
      <w:r>
        <w:rPr/>
        <w:t> 用的折现率是</w:t>
      </w:r>
      <w:r>
        <w:rPr>
          <w:spacing w:val="-61"/>
        </w:rPr>
        <w:t> </w:t>
      </w:r>
      <w:r>
        <w:rPr>
          <w:rFonts w:ascii="Times New Roman" w:hAnsi="Times New Roman" w:cs="Times New Roman" w:eastAsia="Times New Roman" w:hint="default"/>
        </w:rPr>
        <w:t>15.99%</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rFonts w:ascii="Times New Roman" w:hAnsi="Times New Roman" w:cs="Times New Roman" w:eastAsia="Times New Roman" w:hint="default"/>
        </w:rPr>
        <w:t>18.00%</w:t>
      </w:r>
      <w:r>
        <w:rPr/>
        <w:t>），用于推断</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年以后的现金流量的增长率 是</w:t>
      </w:r>
      <w:r>
        <w:rPr>
          <w:spacing w:val="-47"/>
        </w:rPr>
        <w:t> </w:t>
      </w:r>
      <w:r>
        <w:rPr>
          <w:rFonts w:ascii="Times New Roman" w:hAnsi="Times New Roman" w:cs="Times New Roman" w:eastAsia="Times New Roman" w:hint="default"/>
          <w:spacing w:val="-3"/>
        </w:rPr>
        <w:t>3%</w:t>
      </w:r>
      <w:r>
        <w:rPr>
          <w:spacing w:val="-3"/>
        </w:rPr>
        <w:t>（</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13"/>
        </w:rPr>
        <w:t> </w:t>
      </w:r>
      <w:r>
        <w:rPr>
          <w:spacing w:val="-3"/>
        </w:rPr>
        <w:t>年：</w:t>
      </w:r>
      <w:r>
        <w:rPr>
          <w:rFonts w:ascii="Times New Roman" w:hAnsi="Times New Roman" w:cs="Times New Roman" w:eastAsia="Times New Roman" w:hint="default"/>
          <w:spacing w:val="-3"/>
        </w:rPr>
        <w:t>3%</w:t>
      </w:r>
      <w:r>
        <w:rPr>
          <w:spacing w:val="-3"/>
        </w:rPr>
        <w:t>）。该增长率接近国内历史通货膨胀率，本集团认为这一增长率</w:t>
      </w:r>
      <w:r>
        <w:rPr>
          <w:spacing w:val="-118"/>
        </w:rPr>
        <w:t> </w:t>
      </w:r>
      <w:r>
        <w:rPr>
          <w:spacing w:val="-118"/>
        </w:rPr>
      </w:r>
      <w:r>
        <w:rPr/>
        <w:t>是合理的。根据商誉减值测试结果，本集团无需对该商誉计提减值准备。</w:t>
      </w:r>
    </w:p>
    <w:p>
      <w:pPr>
        <w:spacing w:line="240" w:lineRule="auto" w:before="5"/>
        <w:rPr>
          <w:rFonts w:ascii="宋体" w:hAnsi="宋体" w:cs="宋体" w:eastAsia="宋体" w:hint="default"/>
          <w:sz w:val="23"/>
          <w:szCs w:val="23"/>
        </w:rPr>
      </w:pPr>
    </w:p>
    <w:p>
      <w:pPr>
        <w:pStyle w:val="BodyText"/>
        <w:spacing w:line="312" w:lineRule="exact"/>
        <w:ind w:right="231"/>
        <w:jc w:val="both"/>
      </w:pPr>
      <w:r>
        <w:rPr/>
        <w:t>注</w:t>
      </w:r>
      <w:r>
        <w:rPr>
          <w:spacing w:val="-61"/>
        </w:rPr>
        <w:t> </w:t>
      </w:r>
      <w:r>
        <w:rPr>
          <w:rFonts w:ascii="Times New Roman" w:hAnsi="Times New Roman" w:cs="Times New Roman" w:eastAsia="Times New Roman" w:hint="default"/>
        </w:rPr>
        <w:t>3</w:t>
      </w:r>
      <w:r>
        <w:rPr/>
        <w:t>：本集团于</w:t>
      </w:r>
      <w:r>
        <w:rPr>
          <w:spacing w:val="-62"/>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年收购秉钧网络</w:t>
      </w:r>
      <w:r>
        <w:rPr>
          <w:spacing w:val="-61"/>
        </w:rPr>
        <w:t> </w:t>
      </w:r>
      <w:r>
        <w:rPr>
          <w:rFonts w:ascii="Times New Roman" w:hAnsi="Times New Roman" w:cs="Times New Roman" w:eastAsia="Times New Roman" w:hint="default"/>
        </w:rPr>
        <w:t>62.5%</w:t>
      </w:r>
      <w:r>
        <w:rPr/>
        <w:t>的股权产生商誉人民币</w:t>
      </w:r>
      <w:r>
        <w:rPr>
          <w:spacing w:val="-61"/>
        </w:rPr>
        <w:t> </w:t>
      </w:r>
      <w:r>
        <w:rPr>
          <w:rFonts w:ascii="Times New Roman" w:hAnsi="Times New Roman" w:cs="Times New Roman" w:eastAsia="Times New Roman" w:hint="default"/>
        </w:rPr>
        <w:t>113,445,152</w:t>
      </w:r>
      <w:r>
        <w:rPr>
          <w:rFonts w:ascii="Times New Roman" w:hAnsi="Times New Roman" w:cs="Times New Roman" w:eastAsia="Times New Roman" w:hint="default"/>
          <w:spacing w:val="-1"/>
        </w:rPr>
        <w:t> </w:t>
      </w:r>
      <w:r>
        <w:rPr/>
        <w:t>元。 </w:t>
      </w:r>
      <w:r>
        <w:rPr>
          <w:spacing w:val="-3"/>
        </w:rPr>
        <w:t>集团将该商誉分配至秉钧网络主体资产组，</w:t>
      </w:r>
      <w:r>
        <w:rPr>
          <w:rFonts w:ascii="Times New Roman" w:hAnsi="Times New Roman" w:cs="Times New Roman" w:eastAsia="Times New Roman" w:hint="default"/>
          <w:spacing w:val="-3"/>
        </w:rPr>
        <w:t>2019</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spacing w:val="-5"/>
        </w:rPr>
        <w:t>日，该资产组除商誉外的</w:t>
      </w:r>
    </w:p>
    <w:p>
      <w:pPr>
        <w:pStyle w:val="BodyText"/>
        <w:spacing w:line="300" w:lineRule="exact"/>
        <w:ind w:right="0"/>
        <w:jc w:val="both"/>
      </w:pPr>
      <w:r>
        <w:rPr/>
        <w:t>长期资产账面价值为人民币</w:t>
      </w:r>
      <w:r>
        <w:rPr>
          <w:spacing w:val="-59"/>
        </w:rPr>
        <w:t> </w:t>
      </w:r>
      <w:r>
        <w:rPr>
          <w:rFonts w:ascii="Times New Roman" w:hAnsi="Times New Roman" w:cs="Times New Roman" w:eastAsia="Times New Roman" w:hint="default"/>
        </w:rPr>
        <w:t>9,903,889 </w:t>
      </w:r>
      <w:r>
        <w:rPr/>
        <w:t>元。集团据此进行了减值测试。</w:t>
      </w:r>
    </w:p>
    <w:p>
      <w:pPr>
        <w:spacing w:line="240" w:lineRule="auto" w:before="8"/>
        <w:rPr>
          <w:rFonts w:ascii="宋体" w:hAnsi="宋体" w:cs="宋体" w:eastAsia="宋体" w:hint="default"/>
          <w:sz w:val="20"/>
          <w:szCs w:val="20"/>
        </w:rPr>
      </w:pPr>
    </w:p>
    <w:p>
      <w:pPr>
        <w:pStyle w:val="BodyText"/>
        <w:spacing w:line="228" w:lineRule="auto"/>
        <w:ind w:right="231"/>
        <w:jc w:val="both"/>
      </w:pPr>
      <w:r>
        <w:rPr>
          <w:spacing w:val="-2"/>
        </w:rPr>
        <w:t>本集团对该资产组可收回金额是根据资产组的预计未来现金流量现值来确定。预计未</w:t>
      </w:r>
      <w:r>
        <w:rPr>
          <w:spacing w:val="-94"/>
        </w:rPr>
        <w:t> </w:t>
      </w:r>
      <w:r>
        <w:rPr>
          <w:spacing w:val="-94"/>
        </w:rPr>
      </w:r>
      <w:r>
        <w:rPr/>
        <w:t>来现金流量来源为管理层批准的</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8"/>
        </w:rPr>
        <w:t> </w:t>
      </w:r>
      <w:r>
        <w:rPr>
          <w:spacing w:val="-3"/>
        </w:rPr>
        <w:t>年期财务预算中的现金流量预测数据。计算现值所</w:t>
      </w:r>
      <w:r>
        <w:rPr/>
        <w:t> 用的折现率是</w:t>
      </w:r>
      <w:r>
        <w:rPr>
          <w:spacing w:val="-61"/>
        </w:rPr>
        <w:t> </w:t>
      </w:r>
      <w:r>
        <w:rPr>
          <w:rFonts w:ascii="Times New Roman" w:hAnsi="Times New Roman" w:cs="Times New Roman" w:eastAsia="Times New Roman" w:hint="default"/>
        </w:rPr>
        <w:t>16.12%</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rFonts w:ascii="Times New Roman" w:hAnsi="Times New Roman" w:cs="Times New Roman" w:eastAsia="Times New Roman" w:hint="default"/>
        </w:rPr>
        <w:t>15.60%</w:t>
      </w:r>
      <w:r>
        <w:rPr/>
        <w:t>），用于推断</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年以后的现金流量的增长率 是</w:t>
      </w:r>
      <w:r>
        <w:rPr>
          <w:spacing w:val="-47"/>
        </w:rPr>
        <w:t> </w:t>
      </w:r>
      <w:r>
        <w:rPr>
          <w:rFonts w:ascii="Times New Roman" w:hAnsi="Times New Roman" w:cs="Times New Roman" w:eastAsia="Times New Roman" w:hint="default"/>
          <w:spacing w:val="-3"/>
        </w:rPr>
        <w:t>3%</w:t>
      </w:r>
      <w:r>
        <w:rPr>
          <w:spacing w:val="-3"/>
        </w:rPr>
        <w:t>（</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13"/>
        </w:rPr>
        <w:t> </w:t>
      </w:r>
      <w:r>
        <w:rPr>
          <w:spacing w:val="-3"/>
        </w:rPr>
        <w:t>年：</w:t>
      </w:r>
      <w:r>
        <w:rPr>
          <w:rFonts w:ascii="Times New Roman" w:hAnsi="Times New Roman" w:cs="Times New Roman" w:eastAsia="Times New Roman" w:hint="default"/>
          <w:spacing w:val="-3"/>
        </w:rPr>
        <w:t>3%</w:t>
      </w:r>
      <w:r>
        <w:rPr>
          <w:spacing w:val="-3"/>
        </w:rPr>
        <w:t>）。该增长率接近国内历史通货膨胀率，本集团认为这一增长率</w:t>
      </w:r>
      <w:r>
        <w:rPr>
          <w:spacing w:val="-118"/>
        </w:rPr>
        <w:t> </w:t>
      </w:r>
      <w:r>
        <w:rPr>
          <w:spacing w:val="-118"/>
        </w:rPr>
      </w:r>
      <w:r>
        <w:rPr>
          <w:spacing w:val="-7"/>
        </w:rPr>
        <w:t>是合理的。根据商誉减值测试结果，本集团本年度计提商誉减值损失人民币</w:t>
      </w:r>
      <w:r>
        <w:rPr>
          <w:spacing w:val="-55"/>
        </w:rPr>
        <w:t> </w:t>
      </w:r>
      <w:r>
        <w:rPr>
          <w:rFonts w:ascii="Times New Roman" w:hAnsi="Times New Roman" w:cs="Times New Roman" w:eastAsia="Times New Roman" w:hint="default"/>
        </w:rPr>
        <w:t>26,557,202 </w:t>
      </w:r>
      <w:r>
        <w:rPr/>
        <w:t>元。</w:t>
      </w:r>
    </w:p>
    <w:p>
      <w:pPr>
        <w:spacing w:after="0" w:line="228" w:lineRule="auto"/>
        <w:jc w:val="both"/>
        <w:sectPr>
          <w:footerReference w:type="default" r:id="rId67"/>
          <w:pgSz w:w="11910" w:h="16840"/>
          <w:pgMar w:footer="1195" w:header="882" w:top="1080" w:bottom="1380" w:left="1140" w:right="1560"/>
          <w:pgNumType w:start="101"/>
        </w:sectPr>
      </w:pPr>
    </w:p>
    <w:p>
      <w:pPr>
        <w:spacing w:line="240" w:lineRule="auto" w:before="4"/>
        <w:rPr>
          <w:rFonts w:ascii="宋体" w:hAnsi="宋体" w:cs="宋体" w:eastAsia="宋体" w:hint="default"/>
          <w:sz w:val="22"/>
          <w:szCs w:val="22"/>
        </w:r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(5).</w:t>
        <w:tab/>
      </w:r>
      <w:r>
        <w:rPr/>
        <w:t>商誉减值测试的影响</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58"/>
        <w:ind w:left="216" w:right="0"/>
        <w:jc w:val="left"/>
      </w:pPr>
      <w:r>
        <w:rPr/>
        <w:t>□适用</w:t>
        <w:tab/>
        <w:t>√不适用</w:t>
      </w:r>
    </w:p>
    <w:p>
      <w:pPr>
        <w:spacing w:line="240" w:lineRule="auto" w:before="10"/>
        <w:rPr>
          <w:rFonts w:ascii="宋体" w:hAnsi="宋体" w:cs="宋体" w:eastAsia="宋体" w:hint="default"/>
          <w:sz w:val="20"/>
          <w:szCs w:val="20"/>
        </w:rPr>
      </w:pPr>
    </w:p>
    <w:p>
      <w:pPr>
        <w:pStyle w:val="BodyText"/>
        <w:spacing w:line="313" w:lineRule="exact"/>
        <w:ind w:left="216" w:right="0"/>
        <w:jc w:val="left"/>
      </w:pPr>
      <w:r>
        <w:rPr/>
        <w:t>其他说明</w:t>
      </w:r>
    </w:p>
    <w:p>
      <w:pPr>
        <w:pStyle w:val="BodyText"/>
        <w:tabs>
          <w:tab w:pos="1177" w:val="left" w:leader="none"/>
        </w:tabs>
        <w:spacing w:line="313" w:lineRule="exact"/>
        <w:ind w:left="216" w:right="0"/>
        <w:jc w:val="left"/>
      </w:pPr>
      <w:r>
        <w:rPr/>
        <w:t>□适用</w:t>
        <w:tab/>
        <w:t>√不适用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82" w:footer="1195" w:top="108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28</w:t>
      </w:r>
      <w:r>
        <w:rPr/>
        <w:t>、</w:t>
      </w:r>
      <w:r>
        <w:rPr>
          <w:spacing w:val="-103"/>
        </w:rPr>
        <w:t> </w:t>
      </w:r>
      <w:r>
        <w:rPr/>
        <w:t>长期待摊费用</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287" w:space="3907"/>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260"/>
        <w:gridCol w:w="2432"/>
        <w:gridCol w:w="1310"/>
        <w:gridCol w:w="1311"/>
        <w:gridCol w:w="1332"/>
        <w:gridCol w:w="1405"/>
      </w:tblGrid>
      <w:tr>
        <w:trPr>
          <w:trHeight w:val="63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84"/>
              <w:jc w:val="right"/>
              <w:rPr>
                <w:rFonts w:ascii="宋体" w:hAnsi="宋体" w:cs="宋体" w:eastAsia="宋体" w:hint="default"/>
                <w:sz w:val="24"/>
                <w:szCs w:val="24"/>
              </w:rPr>
            </w:pPr>
            <w:r>
              <w:rPr>
                <w:rFonts w:ascii="宋体" w:hAnsi="宋体" w:cs="宋体" w:eastAsia="宋体" w:hint="default"/>
                <w:sz w:val="24"/>
                <w:szCs w:val="24"/>
              </w:rPr>
              <w:t>项目</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29"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本期增加</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金额</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本期摊销</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金额</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其他减少</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金额</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6"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装修费</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14,587,865</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34" w:right="0"/>
              <w:jc w:val="center"/>
              <w:rPr>
                <w:rFonts w:ascii="Times New Roman" w:hAnsi="Times New Roman" w:cs="Times New Roman" w:eastAsia="Times New Roman" w:hint="default"/>
                <w:sz w:val="24"/>
                <w:szCs w:val="24"/>
              </w:rPr>
            </w:pPr>
            <w:r>
              <w:rPr>
                <w:rFonts w:ascii="Times New Roman"/>
                <w:sz w:val="24"/>
              </w:rPr>
              <w:t>6,107,823</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7,172,821</w:t>
            </w:r>
          </w:p>
        </w:tc>
        <w:tc>
          <w:tcPr>
            <w:tcW w:w="1332" w:type="dxa"/>
            <w:tcBorders>
              <w:top w:val="single" w:sz="4" w:space="0" w:color="000000"/>
              <w:left w:val="single" w:sz="4" w:space="0" w:color="000000"/>
              <w:bottom w:val="single" w:sz="4" w:space="0" w:color="000000"/>
              <w:right w:val="single" w:sz="4" w:space="0" w:color="000000"/>
            </w:tcBorders>
          </w:tcPr>
          <w:p>
            <w:pP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13,522,867</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11,040,843</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34" w:right="0"/>
              <w:jc w:val="center"/>
              <w:rPr>
                <w:rFonts w:ascii="Times New Roman" w:hAnsi="Times New Roman" w:cs="Times New Roman" w:eastAsia="Times New Roman" w:hint="default"/>
                <w:sz w:val="24"/>
                <w:szCs w:val="24"/>
              </w:rPr>
            </w:pPr>
            <w:r>
              <w:rPr>
                <w:rFonts w:ascii="Times New Roman"/>
                <w:sz w:val="24"/>
              </w:rPr>
              <w:t>8,648,609</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15,027,229</w:t>
            </w:r>
          </w:p>
        </w:tc>
        <w:tc>
          <w:tcPr>
            <w:tcW w:w="1332" w:type="dxa"/>
            <w:tcBorders>
              <w:top w:val="single" w:sz="4" w:space="0" w:color="000000"/>
              <w:left w:val="single" w:sz="4" w:space="0" w:color="000000"/>
              <w:bottom w:val="single" w:sz="4" w:space="0" w:color="000000"/>
              <w:right w:val="single" w:sz="4" w:space="0" w:color="000000"/>
            </w:tcBorders>
          </w:tcPr>
          <w:p>
            <w:pP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4,662,223</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84"/>
              <w:jc w:val="right"/>
              <w:rPr>
                <w:rFonts w:ascii="宋体" w:hAnsi="宋体" w:cs="宋体" w:eastAsia="宋体" w:hint="default"/>
                <w:sz w:val="24"/>
                <w:szCs w:val="24"/>
              </w:rPr>
            </w:pPr>
            <w:r>
              <w:rPr>
                <w:rFonts w:ascii="宋体" w:hAnsi="宋体" w:cs="宋体" w:eastAsia="宋体" w:hint="default"/>
                <w:sz w:val="24"/>
                <w:szCs w:val="24"/>
              </w:rPr>
              <w:t>合计</w:t>
            </w:r>
          </w:p>
        </w:tc>
        <w:tc>
          <w:tcPr>
            <w:tcW w:w="243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25,628,708</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4" w:right="0"/>
              <w:jc w:val="center"/>
              <w:rPr>
                <w:rFonts w:ascii="Times New Roman" w:hAnsi="Times New Roman" w:cs="Times New Roman" w:eastAsia="Times New Roman" w:hint="default"/>
                <w:sz w:val="24"/>
                <w:szCs w:val="24"/>
              </w:rPr>
            </w:pPr>
            <w:r>
              <w:rPr>
                <w:rFonts w:ascii="Times New Roman"/>
                <w:sz w:val="24"/>
              </w:rPr>
              <w:t>14,756,432</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22,200,050</w:t>
            </w:r>
          </w:p>
        </w:tc>
        <w:tc>
          <w:tcPr>
            <w:tcW w:w="1332" w:type="dxa"/>
            <w:tcBorders>
              <w:top w:val="single" w:sz="4" w:space="0" w:color="000000"/>
              <w:left w:val="single" w:sz="4" w:space="0" w:color="000000"/>
              <w:bottom w:val="single" w:sz="4" w:space="0" w:color="000000"/>
              <w:right w:val="single" w:sz="4" w:space="0" w:color="000000"/>
            </w:tcBorders>
          </w:tcPr>
          <w:p>
            <w:pP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18,185,090</w:t>
            </w:r>
          </w:p>
        </w:tc>
      </w:tr>
    </w:tbl>
    <w:p>
      <w:pPr>
        <w:pStyle w:val="BodyText"/>
        <w:spacing w:line="273" w:lineRule="exact"/>
        <w:ind w:left="216" w:right="0"/>
        <w:jc w:val="left"/>
      </w:pPr>
      <w:r>
        <w:rPr/>
        <w:t>其他说明：</w:t>
      </w:r>
    </w:p>
    <w:p>
      <w:pPr>
        <w:pStyle w:val="BodyText"/>
        <w:spacing w:line="313" w:lineRule="exact"/>
        <w:ind w:left="216" w:right="0"/>
        <w:jc w:val="left"/>
      </w:pPr>
      <w:r>
        <w:rPr/>
        <w:t>无</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tabs>
          <w:tab w:pos="1057" w:val="left" w:leader="none"/>
        </w:tabs>
        <w:spacing w:line="283" w:lineRule="auto" w:before="26"/>
        <w:ind w:right="0"/>
        <w:jc w:val="left"/>
        <w:rPr>
          <w:rFonts w:ascii="宋体" w:hAnsi="宋体" w:cs="宋体" w:eastAsia="宋体" w:hint="default"/>
          <w:b w:val="0"/>
          <w:bCs w:val="0"/>
        </w:rPr>
      </w:pPr>
      <w:r>
        <w:rPr>
          <w:rFonts w:ascii="宋体" w:hAnsi="宋体" w:cs="宋体" w:eastAsia="宋体" w:hint="default"/>
        </w:rPr>
        <w:t>29</w:t>
      </w:r>
      <w:r>
        <w:rPr/>
        <w:t>、</w:t>
      </w:r>
      <w:r>
        <w:rPr>
          <w:spacing w:val="-101"/>
        </w:rPr>
        <w:t> </w:t>
      </w:r>
      <w:r>
        <w:rPr/>
        <w:t>递延所得税资产</w:t>
      </w:r>
      <w:r>
        <w:rPr>
          <w:rFonts w:ascii="宋体" w:hAnsi="宋体" w:cs="宋体" w:eastAsia="宋体" w:hint="default"/>
        </w:rPr>
        <w:t>/</w:t>
      </w:r>
      <w:r>
        <w:rPr>
          <w:rFonts w:ascii="宋体" w:hAnsi="宋体" w:cs="宋体" w:eastAsia="宋体" w:hint="default"/>
          <w:spacing w:val="-1"/>
        </w:rPr>
        <w:t> </w:t>
      </w:r>
      <w:r>
        <w:rPr/>
        <w:t>递延所得税负债</w:t>
      </w:r>
      <w:r>
        <w:rPr>
          <w:rFonts w:ascii="宋体" w:hAnsi="宋体" w:cs="宋体" w:eastAsia="宋体" w:hint="default"/>
          <w:w w:val="99"/>
        </w:rPr>
        <w:t> </w:t>
      </w:r>
      <w:r>
        <w:rPr>
          <w:rFonts w:ascii="宋体" w:hAnsi="宋体" w:cs="宋体" w:eastAsia="宋体" w:hint="default"/>
        </w:rPr>
        <w:t>(1).</w:t>
        <w:tab/>
      </w:r>
      <w:r>
        <w:rPr/>
        <w:t>未经抵销的递延所得税资产</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21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4457" w:space="1737"/>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444"/>
        <w:gridCol w:w="1652"/>
        <w:gridCol w:w="1649"/>
        <w:gridCol w:w="1663"/>
        <w:gridCol w:w="1645"/>
      </w:tblGrid>
      <w:tr>
        <w:trPr>
          <w:trHeight w:val="322" w:hRule="exact"/>
        </w:trPr>
        <w:tc>
          <w:tcPr>
            <w:tcW w:w="2444"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3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634" w:hRule="exact"/>
        </w:trPr>
        <w:tc>
          <w:tcPr>
            <w:tcW w:w="2444" w:type="dxa"/>
            <w:vMerge/>
            <w:tcBorders>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可抵扣暂时</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性差异</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递延所得税</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资产</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
              <w:jc w:val="center"/>
              <w:rPr>
                <w:rFonts w:ascii="宋体" w:hAnsi="宋体" w:cs="宋体" w:eastAsia="宋体" w:hint="default"/>
                <w:sz w:val="24"/>
                <w:szCs w:val="24"/>
              </w:rPr>
            </w:pPr>
            <w:r>
              <w:rPr>
                <w:rFonts w:ascii="宋体" w:hAnsi="宋体" w:cs="宋体" w:eastAsia="宋体" w:hint="default"/>
                <w:sz w:val="24"/>
                <w:szCs w:val="24"/>
              </w:rPr>
              <w:t>可抵扣暂时性</w:t>
            </w:r>
          </w:p>
          <w:p>
            <w:pPr>
              <w:pStyle w:val="TableParagraph"/>
              <w:spacing w:line="313" w:lineRule="exact"/>
              <w:ind w:right="5"/>
              <w:jc w:val="center"/>
              <w:rPr>
                <w:rFonts w:ascii="宋体" w:hAnsi="宋体" w:cs="宋体" w:eastAsia="宋体" w:hint="default"/>
                <w:sz w:val="24"/>
                <w:szCs w:val="24"/>
              </w:rPr>
            </w:pPr>
            <w:r>
              <w:rPr>
                <w:rFonts w:ascii="宋体" w:hAnsi="宋体" w:cs="宋体" w:eastAsia="宋体" w:hint="default"/>
                <w:sz w:val="24"/>
                <w:szCs w:val="24"/>
              </w:rPr>
              <w:t>差异</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
              <w:jc w:val="center"/>
              <w:rPr>
                <w:rFonts w:ascii="宋体" w:hAnsi="宋体" w:cs="宋体" w:eastAsia="宋体" w:hint="default"/>
                <w:sz w:val="24"/>
                <w:szCs w:val="24"/>
              </w:rPr>
            </w:pPr>
            <w:r>
              <w:rPr>
                <w:rFonts w:ascii="宋体" w:hAnsi="宋体" w:cs="宋体" w:eastAsia="宋体" w:hint="default"/>
                <w:sz w:val="24"/>
                <w:szCs w:val="24"/>
              </w:rPr>
              <w:t>递延所得税</w:t>
            </w:r>
          </w:p>
          <w:p>
            <w:pPr>
              <w:pStyle w:val="TableParagraph"/>
              <w:spacing w:line="313" w:lineRule="exact"/>
              <w:ind w:right="4"/>
              <w:jc w:val="center"/>
              <w:rPr>
                <w:rFonts w:ascii="宋体" w:hAnsi="宋体" w:cs="宋体" w:eastAsia="宋体" w:hint="default"/>
                <w:sz w:val="24"/>
                <w:szCs w:val="24"/>
              </w:rPr>
            </w:pPr>
            <w:r>
              <w:rPr>
                <w:rFonts w:ascii="宋体" w:hAnsi="宋体" w:cs="宋体" w:eastAsia="宋体" w:hint="default"/>
                <w:sz w:val="24"/>
                <w:szCs w:val="24"/>
              </w:rPr>
              <w:t>资产</w:t>
            </w:r>
          </w:p>
        </w:tc>
      </w:tr>
      <w:tr>
        <w:trPr>
          <w:trHeight w:val="319"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资产减值准备</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190,979,456</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18,294,458</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4"/>
                <w:szCs w:val="24"/>
              </w:rPr>
            </w:pPr>
            <w:r>
              <w:rPr>
                <w:rFonts w:ascii="Times New Roman"/>
                <w:sz w:val="24"/>
              </w:rPr>
              <w:t>171,815,748</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24"/>
                <w:szCs w:val="24"/>
              </w:rPr>
            </w:pPr>
            <w:r>
              <w:rPr>
                <w:rFonts w:ascii="Times New Roman"/>
                <w:sz w:val="24"/>
              </w:rPr>
              <w:t>17,413,415</w:t>
            </w:r>
          </w:p>
        </w:tc>
      </w:tr>
      <w:tr>
        <w:trPr>
          <w:trHeight w:val="634"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内部交易未实现利</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润</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40,443,150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5"/>
              <w:jc w:val="right"/>
              <w:rPr>
                <w:rFonts w:ascii="Times New Roman" w:hAnsi="Times New Roman" w:cs="Times New Roman" w:eastAsia="Times New Roman" w:hint="default"/>
                <w:sz w:val="24"/>
                <w:szCs w:val="24"/>
              </w:rPr>
            </w:pPr>
            <w:r>
              <w:rPr>
                <w:rFonts w:ascii="Times New Roman"/>
                <w:sz w:val="24"/>
              </w:rPr>
              <w:t>9,069,105</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3"/>
              <w:jc w:val="right"/>
              <w:rPr>
                <w:rFonts w:ascii="Times New Roman" w:hAnsi="Times New Roman" w:cs="Times New Roman" w:eastAsia="Times New Roman" w:hint="default"/>
                <w:sz w:val="24"/>
                <w:szCs w:val="24"/>
              </w:rPr>
            </w:pPr>
            <w:r>
              <w:rPr>
                <w:rFonts w:ascii="Times New Roman"/>
                <w:sz w:val="24"/>
              </w:rPr>
              <w:t>28,221,268</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3"/>
              <w:jc w:val="right"/>
              <w:rPr>
                <w:rFonts w:ascii="Times New Roman" w:hAnsi="Times New Roman" w:cs="Times New Roman" w:eastAsia="Times New Roman" w:hint="default"/>
                <w:sz w:val="24"/>
                <w:szCs w:val="24"/>
              </w:rPr>
            </w:pPr>
            <w:r>
              <w:rPr>
                <w:rFonts w:ascii="Times New Roman"/>
                <w:sz w:val="24"/>
              </w:rPr>
              <w:t>6,976,532</w:t>
            </w:r>
          </w:p>
        </w:tc>
      </w:tr>
      <w:tr>
        <w:trPr>
          <w:trHeight w:val="322"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43" w:right="0"/>
              <w:jc w:val="left"/>
              <w:rPr>
                <w:rFonts w:ascii="宋体" w:hAnsi="宋体" w:cs="宋体" w:eastAsia="宋体" w:hint="default"/>
                <w:sz w:val="24"/>
                <w:szCs w:val="24"/>
              </w:rPr>
            </w:pPr>
            <w:r>
              <w:rPr>
                <w:rFonts w:ascii="宋体" w:hAnsi="宋体" w:cs="宋体" w:eastAsia="宋体" w:hint="default"/>
                <w:sz w:val="24"/>
                <w:szCs w:val="24"/>
              </w:rPr>
              <w:t>可抵扣亏损</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688,821,343</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88,075,002</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4"/>
                <w:szCs w:val="24"/>
              </w:rPr>
            </w:pPr>
            <w:r>
              <w:rPr>
                <w:rFonts w:ascii="Times New Roman"/>
                <w:sz w:val="24"/>
              </w:rPr>
              <w:t>201,964,308</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24"/>
                <w:szCs w:val="24"/>
              </w:rPr>
            </w:pPr>
            <w:r>
              <w:rPr>
                <w:rFonts w:ascii="Times New Roman"/>
                <w:sz w:val="24"/>
              </w:rPr>
              <w:t>29,593,414</w:t>
            </w:r>
          </w:p>
        </w:tc>
      </w:tr>
      <w:tr>
        <w:trPr>
          <w:trHeight w:val="631"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未支付的应付职工薪</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酬</w:t>
            </w:r>
          </w:p>
        </w:tc>
        <w:tc>
          <w:tcPr>
            <w:tcW w:w="1652"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3"/>
              <w:jc w:val="right"/>
              <w:rPr>
                <w:rFonts w:ascii="Times New Roman" w:hAnsi="Times New Roman" w:cs="Times New Roman" w:eastAsia="Times New Roman" w:hint="default"/>
                <w:sz w:val="24"/>
                <w:szCs w:val="24"/>
              </w:rPr>
            </w:pPr>
            <w:r>
              <w:rPr>
                <w:rFonts w:ascii="Times New Roman"/>
                <w:sz w:val="24"/>
              </w:rPr>
              <w:t>22,504,449</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3"/>
              <w:jc w:val="right"/>
              <w:rPr>
                <w:rFonts w:ascii="Times New Roman" w:hAnsi="Times New Roman" w:cs="Times New Roman" w:eastAsia="Times New Roman" w:hint="default"/>
                <w:sz w:val="24"/>
                <w:szCs w:val="24"/>
              </w:rPr>
            </w:pPr>
            <w:r>
              <w:rPr>
                <w:rFonts w:ascii="Times New Roman"/>
                <w:sz w:val="24"/>
              </w:rPr>
              <w:t>2,250,445</w:t>
            </w:r>
          </w:p>
        </w:tc>
      </w:tr>
      <w:tr>
        <w:trPr>
          <w:trHeight w:val="322"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政府补助</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68,572,162</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6,864,925</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3"/>
              <w:jc w:val="right"/>
              <w:rPr>
                <w:rFonts w:ascii="Times New Roman" w:hAnsi="Times New Roman" w:cs="Times New Roman" w:eastAsia="Times New Roman" w:hint="default"/>
                <w:sz w:val="24"/>
                <w:szCs w:val="24"/>
              </w:rPr>
            </w:pPr>
            <w:r>
              <w:rPr>
                <w:rFonts w:ascii="Times New Roman"/>
                <w:sz w:val="24"/>
              </w:rPr>
              <w:t>60,475,428</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3"/>
              <w:jc w:val="right"/>
              <w:rPr>
                <w:rFonts w:ascii="Times New Roman" w:hAnsi="Times New Roman" w:cs="Times New Roman" w:eastAsia="Times New Roman" w:hint="default"/>
                <w:sz w:val="24"/>
                <w:szCs w:val="24"/>
              </w:rPr>
            </w:pPr>
            <w:r>
              <w:rPr>
                <w:rFonts w:ascii="Times New Roman"/>
                <w:sz w:val="24"/>
              </w:rPr>
              <w:t>6,030,001</w:t>
            </w:r>
          </w:p>
        </w:tc>
      </w:tr>
      <w:tr>
        <w:trPr>
          <w:trHeight w:val="322"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预提费用</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89,253,873</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11,784,054</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3"/>
              <w:jc w:val="right"/>
              <w:rPr>
                <w:rFonts w:ascii="Times New Roman" w:hAnsi="Times New Roman" w:cs="Times New Roman" w:eastAsia="Times New Roman" w:hint="default"/>
                <w:sz w:val="24"/>
                <w:szCs w:val="24"/>
              </w:rPr>
            </w:pPr>
            <w:r>
              <w:rPr>
                <w:rFonts w:ascii="Times New Roman"/>
                <w:sz w:val="24"/>
              </w:rPr>
              <w:t>148,256,715</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4"/>
              <w:jc w:val="right"/>
              <w:rPr>
                <w:rFonts w:ascii="Times New Roman" w:hAnsi="Times New Roman" w:cs="Times New Roman" w:eastAsia="Times New Roman" w:hint="default"/>
                <w:sz w:val="24"/>
                <w:szCs w:val="24"/>
              </w:rPr>
            </w:pPr>
            <w:r>
              <w:rPr>
                <w:rFonts w:ascii="Times New Roman"/>
                <w:sz w:val="24"/>
              </w:rPr>
              <w:t>18,036,268</w:t>
            </w:r>
          </w:p>
        </w:tc>
      </w:tr>
      <w:tr>
        <w:trPr>
          <w:trHeight w:val="322"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折旧及摊销差异</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122,563,255</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13,915,290</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3"/>
              <w:jc w:val="right"/>
              <w:rPr>
                <w:rFonts w:ascii="Times New Roman" w:hAnsi="Times New Roman" w:cs="Times New Roman" w:eastAsia="Times New Roman" w:hint="default"/>
                <w:sz w:val="24"/>
                <w:szCs w:val="24"/>
              </w:rPr>
            </w:pPr>
            <w:r>
              <w:rPr>
                <w:rFonts w:ascii="Times New Roman"/>
                <w:sz w:val="24"/>
              </w:rPr>
              <w:t>23,591,372</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3"/>
              <w:jc w:val="right"/>
              <w:rPr>
                <w:rFonts w:ascii="Times New Roman" w:hAnsi="Times New Roman" w:cs="Times New Roman" w:eastAsia="Times New Roman" w:hint="default"/>
                <w:sz w:val="24"/>
                <w:szCs w:val="24"/>
              </w:rPr>
            </w:pPr>
            <w:r>
              <w:rPr>
                <w:rFonts w:ascii="Times New Roman"/>
                <w:sz w:val="24"/>
              </w:rPr>
              <w:t>2,520,081</w:t>
            </w:r>
          </w:p>
        </w:tc>
      </w:tr>
      <w:tr>
        <w:trPr>
          <w:trHeight w:val="322"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股权激励成本</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137,295,480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14,641,514</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4"/>
                <w:szCs w:val="24"/>
              </w:rPr>
            </w:pPr>
            <w:r>
              <w:rPr>
                <w:rFonts w:ascii="Times New Roman"/>
                <w:sz w:val="24"/>
              </w:rPr>
              <w:t>218,531,011</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24"/>
                <w:szCs w:val="24"/>
              </w:rPr>
            </w:pPr>
            <w:r>
              <w:rPr>
                <w:rFonts w:ascii="Times New Roman"/>
                <w:sz w:val="24"/>
              </w:rPr>
              <w:t>21,901,540</w:t>
            </w:r>
          </w:p>
        </w:tc>
      </w:tr>
      <w:tr>
        <w:trPr>
          <w:trHeight w:val="631"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金融资产公允价值变</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动</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88,996,652</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5"/>
              <w:jc w:val="right"/>
              <w:rPr>
                <w:rFonts w:ascii="Times New Roman" w:hAnsi="Times New Roman" w:cs="Times New Roman" w:eastAsia="Times New Roman" w:hint="default"/>
                <w:sz w:val="24"/>
                <w:szCs w:val="24"/>
              </w:rPr>
            </w:pPr>
            <w:r>
              <w:rPr>
                <w:rFonts w:ascii="Times New Roman"/>
                <w:sz w:val="24"/>
              </w:rPr>
              <w:t>8,601,427</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3"/>
              <w:jc w:val="right"/>
              <w:rPr>
                <w:rFonts w:ascii="Times New Roman" w:hAnsi="Times New Roman" w:cs="Times New Roman" w:eastAsia="Times New Roman" w:hint="default"/>
                <w:sz w:val="24"/>
                <w:szCs w:val="24"/>
              </w:rPr>
            </w:pPr>
            <w:r>
              <w:rPr>
                <w:rFonts w:ascii="Times New Roman"/>
                <w:sz w:val="24"/>
              </w:rPr>
              <w:t>64,656,515</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3"/>
              <w:jc w:val="right"/>
              <w:rPr>
                <w:rFonts w:ascii="Times New Roman" w:hAnsi="Times New Roman" w:cs="Times New Roman" w:eastAsia="Times New Roman" w:hint="default"/>
                <w:sz w:val="24"/>
                <w:szCs w:val="24"/>
              </w:rPr>
            </w:pPr>
            <w:r>
              <w:rPr>
                <w:rFonts w:ascii="Times New Roman"/>
                <w:sz w:val="24"/>
              </w:rPr>
              <w:t>6,950,575</w:t>
            </w:r>
          </w:p>
        </w:tc>
      </w:tr>
      <w:tr>
        <w:trPr>
          <w:trHeight w:val="634"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按权益法核算的长期</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股权投资暂时性差异</w:t>
            </w:r>
          </w:p>
        </w:tc>
        <w:tc>
          <w:tcPr>
            <w:tcW w:w="1652"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3"/>
              <w:jc w:val="right"/>
              <w:rPr>
                <w:rFonts w:ascii="Times New Roman" w:hAnsi="Times New Roman" w:cs="Times New Roman" w:eastAsia="Times New Roman" w:hint="default"/>
                <w:sz w:val="24"/>
                <w:szCs w:val="24"/>
              </w:rPr>
            </w:pPr>
            <w:r>
              <w:rPr>
                <w:rFonts w:ascii="Times New Roman"/>
                <w:sz w:val="24"/>
              </w:rPr>
              <w:t>22,034,609</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3"/>
              <w:jc w:val="right"/>
              <w:rPr>
                <w:rFonts w:ascii="Times New Roman" w:hAnsi="Times New Roman" w:cs="Times New Roman" w:eastAsia="Times New Roman" w:hint="default"/>
                <w:sz w:val="24"/>
                <w:szCs w:val="24"/>
              </w:rPr>
            </w:pPr>
            <w:r>
              <w:rPr>
                <w:rFonts w:ascii="Times New Roman"/>
                <w:sz w:val="24"/>
              </w:rPr>
              <w:t>2,203,461</w:t>
            </w: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3" w:type="dxa"/>
            <w:tcBorders>
              <w:top w:val="single" w:sz="4" w:space="0" w:color="000000"/>
              <w:left w:val="single" w:sz="4" w:space="0" w:color="000000"/>
              <w:bottom w:val="single" w:sz="4" w:space="0" w:color="000000"/>
              <w:right w:val="single" w:sz="4" w:space="0" w:color="000000"/>
            </w:tcBorders>
          </w:tcPr>
          <w:p>
            <w:pPr/>
          </w:p>
        </w:tc>
        <w:tc>
          <w:tcPr>
            <w:tcW w:w="1645"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3" w:type="dxa"/>
            <w:tcBorders>
              <w:top w:val="single" w:sz="4" w:space="0" w:color="000000"/>
              <w:left w:val="single" w:sz="4" w:space="0" w:color="000000"/>
              <w:bottom w:val="single" w:sz="4" w:space="0" w:color="000000"/>
              <w:right w:val="single" w:sz="4" w:space="0" w:color="000000"/>
            </w:tcBorders>
          </w:tcPr>
          <w:p>
            <w:pPr/>
          </w:p>
        </w:tc>
        <w:tc>
          <w:tcPr>
            <w:tcW w:w="1645"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3" w:type="dxa"/>
            <w:tcBorders>
              <w:top w:val="single" w:sz="4" w:space="0" w:color="000000"/>
              <w:left w:val="single" w:sz="4" w:space="0" w:color="000000"/>
              <w:bottom w:val="single" w:sz="4" w:space="0" w:color="000000"/>
              <w:right w:val="single" w:sz="4" w:space="0" w:color="000000"/>
            </w:tcBorders>
          </w:tcPr>
          <w:p>
            <w:pPr/>
          </w:p>
        </w:tc>
        <w:tc>
          <w:tcPr>
            <w:tcW w:w="1645"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3" w:type="dxa"/>
            <w:tcBorders>
              <w:top w:val="single" w:sz="4" w:space="0" w:color="000000"/>
              <w:left w:val="single" w:sz="4" w:space="0" w:color="000000"/>
              <w:bottom w:val="single" w:sz="4" w:space="0" w:color="000000"/>
              <w:right w:val="single" w:sz="4" w:space="0" w:color="000000"/>
            </w:tcBorders>
          </w:tcPr>
          <w:p>
            <w:pPr/>
          </w:p>
        </w:tc>
        <w:tc>
          <w:tcPr>
            <w:tcW w:w="1645"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2444"/>
        <w:gridCol w:w="1652"/>
        <w:gridCol w:w="1649"/>
        <w:gridCol w:w="1663"/>
        <w:gridCol w:w="1645"/>
      </w:tblGrid>
      <w:tr>
        <w:trPr>
          <w:trHeight w:val="295" w:hRule="exact"/>
        </w:trPr>
        <w:tc>
          <w:tcPr>
            <w:tcW w:w="244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3" w:type="dxa"/>
            <w:tcBorders>
              <w:top w:val="single" w:sz="4" w:space="0" w:color="000000"/>
              <w:left w:val="single" w:sz="4" w:space="0" w:color="000000"/>
              <w:bottom w:val="single" w:sz="4" w:space="0" w:color="000000"/>
              <w:right w:val="single" w:sz="4" w:space="0" w:color="000000"/>
            </w:tcBorders>
          </w:tcPr>
          <w:p>
            <w:pPr/>
          </w:p>
        </w:tc>
        <w:tc>
          <w:tcPr>
            <w:tcW w:w="1645" w:type="dxa"/>
            <w:tcBorders>
              <w:top w:val="single" w:sz="4" w:space="0" w:color="000000"/>
              <w:left w:val="single" w:sz="4" w:space="0" w:color="000000"/>
              <w:bottom w:val="single" w:sz="4" w:space="0" w:color="000000"/>
              <w:right w:val="single" w:sz="4" w:space="0" w:color="000000"/>
            </w:tcBorders>
          </w:tcPr>
          <w:p>
            <w:pPr/>
          </w:p>
        </w:tc>
      </w:tr>
      <w:tr>
        <w:trPr>
          <w:trHeight w:val="296" w:hRule="exact"/>
        </w:trPr>
        <w:tc>
          <w:tcPr>
            <w:tcW w:w="2444" w:type="dxa"/>
            <w:tcBorders>
              <w:top w:val="single" w:sz="4" w:space="0" w:color="000000"/>
              <w:left w:val="single" w:sz="4" w:space="0" w:color="000000"/>
              <w:bottom w:val="single" w:sz="4" w:space="0" w:color="000000"/>
              <w:right w:val="single" w:sz="4" w:space="0" w:color="000000"/>
            </w:tcBorders>
          </w:tcPr>
          <w:p>
            <w:pPr/>
          </w:p>
        </w:tc>
        <w:tc>
          <w:tcPr>
            <w:tcW w:w="1652" w:type="dxa"/>
            <w:tcBorders>
              <w:top w:val="single" w:sz="4" w:space="0" w:color="000000"/>
              <w:left w:val="single" w:sz="4" w:space="0" w:color="000000"/>
              <w:bottom w:val="single" w:sz="4" w:space="0" w:color="000000"/>
              <w:right w:val="single" w:sz="4" w:space="0" w:color="000000"/>
            </w:tcBorders>
          </w:tcPr>
          <w:p>
            <w:pPr/>
          </w:p>
        </w:tc>
        <w:tc>
          <w:tcPr>
            <w:tcW w:w="1649" w:type="dxa"/>
            <w:tcBorders>
              <w:top w:val="single" w:sz="4" w:space="0" w:color="000000"/>
              <w:left w:val="single" w:sz="4" w:space="0" w:color="000000"/>
              <w:bottom w:val="single" w:sz="4" w:space="0" w:color="000000"/>
              <w:right w:val="single" w:sz="4" w:space="0" w:color="000000"/>
            </w:tcBorders>
          </w:tcPr>
          <w:p>
            <w:pPr/>
          </w:p>
        </w:tc>
        <w:tc>
          <w:tcPr>
            <w:tcW w:w="1663" w:type="dxa"/>
            <w:tcBorders>
              <w:top w:val="single" w:sz="4" w:space="0" w:color="000000"/>
              <w:left w:val="single" w:sz="4" w:space="0" w:color="000000"/>
              <w:bottom w:val="single" w:sz="4" w:space="0" w:color="000000"/>
              <w:right w:val="single" w:sz="4" w:space="0" w:color="000000"/>
            </w:tcBorders>
          </w:tcPr>
          <w:p>
            <w:pPr/>
          </w:p>
        </w:tc>
        <w:tc>
          <w:tcPr>
            <w:tcW w:w="16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58" w:right="0"/>
              <w:jc w:val="left"/>
              <w:rPr>
                <w:rFonts w:ascii="Times New Roman" w:hAnsi="Times New Roman" w:cs="Times New Roman" w:eastAsia="Times New Roman" w:hint="default"/>
                <w:sz w:val="24"/>
                <w:szCs w:val="24"/>
              </w:rPr>
            </w:pPr>
            <w:r>
              <w:rPr>
                <w:rFonts w:ascii="Times New Roman"/>
                <w:sz w:val="24"/>
              </w:rPr>
              <w:t>1,426,925,371</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33" w:right="0"/>
              <w:jc w:val="left"/>
              <w:rPr>
                <w:rFonts w:ascii="Times New Roman" w:hAnsi="Times New Roman" w:cs="Times New Roman" w:eastAsia="Times New Roman" w:hint="default"/>
                <w:sz w:val="24"/>
                <w:szCs w:val="24"/>
              </w:rPr>
            </w:pPr>
            <w:r>
              <w:rPr>
                <w:rFonts w:ascii="Times New Roman"/>
                <w:sz w:val="24"/>
              </w:rPr>
              <w:t>171,245,775</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47" w:right="0"/>
              <w:jc w:val="left"/>
              <w:rPr>
                <w:rFonts w:ascii="Times New Roman" w:hAnsi="Times New Roman" w:cs="Times New Roman" w:eastAsia="Times New Roman" w:hint="default"/>
                <w:sz w:val="24"/>
                <w:szCs w:val="24"/>
              </w:rPr>
            </w:pPr>
            <w:r>
              <w:rPr>
                <w:rFonts w:ascii="Times New Roman"/>
                <w:sz w:val="24"/>
              </w:rPr>
              <w:t>962,051,423</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28" w:right="0"/>
              <w:jc w:val="left"/>
              <w:rPr>
                <w:rFonts w:ascii="Times New Roman" w:hAnsi="Times New Roman" w:cs="Times New Roman" w:eastAsia="Times New Roman" w:hint="default"/>
                <w:sz w:val="24"/>
                <w:szCs w:val="24"/>
              </w:rPr>
            </w:pPr>
            <w:r>
              <w:rPr>
                <w:rFonts w:ascii="Times New Roman"/>
                <w:sz w:val="24"/>
              </w:rPr>
              <w:t>113,875,732</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82" w:footer="1195" w:top="1080" w:bottom="1380" w:left="1060" w:right="156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(2).</w:t>
        <w:tab/>
      </w:r>
      <w:r>
        <w:rPr/>
        <w:t>未经抵销的递延所得税负债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4070" w:space="2123"/>
            <w:col w:w="3097"/>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168"/>
        <w:gridCol w:w="1467"/>
        <w:gridCol w:w="1457"/>
        <w:gridCol w:w="1450"/>
        <w:gridCol w:w="2509"/>
      </w:tblGrid>
      <w:tr>
        <w:trPr>
          <w:trHeight w:val="322" w:hRule="exact"/>
        </w:trPr>
        <w:tc>
          <w:tcPr>
            <w:tcW w:w="2168"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项目</w:t>
            </w:r>
          </w:p>
        </w:tc>
        <w:tc>
          <w:tcPr>
            <w:tcW w:w="29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631" w:hRule="exact"/>
        </w:trPr>
        <w:tc>
          <w:tcPr>
            <w:tcW w:w="2168" w:type="dxa"/>
            <w:vMerge/>
            <w:tcBorders>
              <w:left w:val="single" w:sz="4" w:space="0" w:color="000000"/>
              <w:bottom w:val="single" w:sz="4" w:space="0" w:color="000000"/>
              <w:right w:val="single" w:sz="4" w:space="0" w:color="000000"/>
            </w:tcBorders>
          </w:tcPr>
          <w:p>
            <w:pP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
              <w:jc w:val="center"/>
              <w:rPr>
                <w:rFonts w:ascii="宋体" w:hAnsi="宋体" w:cs="宋体" w:eastAsia="宋体" w:hint="default"/>
                <w:sz w:val="24"/>
                <w:szCs w:val="24"/>
              </w:rPr>
            </w:pPr>
            <w:r>
              <w:rPr>
                <w:rFonts w:ascii="宋体" w:hAnsi="宋体" w:cs="宋体" w:eastAsia="宋体" w:hint="default"/>
                <w:sz w:val="24"/>
                <w:szCs w:val="24"/>
              </w:rPr>
              <w:t>应纳税暂时</w:t>
            </w:r>
          </w:p>
          <w:p>
            <w:pPr>
              <w:pStyle w:val="TableParagraph"/>
              <w:spacing w:line="313" w:lineRule="exact"/>
              <w:ind w:right="2"/>
              <w:jc w:val="center"/>
              <w:rPr>
                <w:rFonts w:ascii="宋体" w:hAnsi="宋体" w:cs="宋体" w:eastAsia="宋体" w:hint="default"/>
                <w:sz w:val="24"/>
                <w:szCs w:val="24"/>
              </w:rPr>
            </w:pPr>
            <w:r>
              <w:rPr>
                <w:rFonts w:ascii="宋体" w:hAnsi="宋体" w:cs="宋体" w:eastAsia="宋体" w:hint="default"/>
                <w:sz w:val="24"/>
                <w:szCs w:val="24"/>
              </w:rPr>
              <w:t>性差异</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递延所得税</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负债</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应纳税暂时</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性差异</w:t>
            </w:r>
          </w:p>
        </w:tc>
        <w:tc>
          <w:tcPr>
            <w:tcW w:w="250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4"/>
                <w:szCs w:val="24"/>
              </w:rPr>
            </w:pPr>
            <w:r>
              <w:rPr>
                <w:rFonts w:ascii="宋体" w:hAnsi="宋体" w:cs="宋体" w:eastAsia="宋体" w:hint="default"/>
                <w:sz w:val="24"/>
                <w:szCs w:val="24"/>
              </w:rPr>
              <w:t>递延所得税</w:t>
            </w:r>
          </w:p>
          <w:p>
            <w:pPr>
              <w:pStyle w:val="TableParagraph"/>
              <w:spacing w:line="313" w:lineRule="exact"/>
              <w:ind w:right="1"/>
              <w:jc w:val="center"/>
              <w:rPr>
                <w:rFonts w:ascii="宋体" w:hAnsi="宋体" w:cs="宋体" w:eastAsia="宋体" w:hint="default"/>
                <w:sz w:val="24"/>
                <w:szCs w:val="24"/>
              </w:rPr>
            </w:pPr>
            <w:r>
              <w:rPr>
                <w:rFonts w:ascii="宋体" w:hAnsi="宋体" w:cs="宋体" w:eastAsia="宋体" w:hint="default"/>
                <w:sz w:val="24"/>
                <w:szCs w:val="24"/>
              </w:rPr>
              <w:t>负债</w:t>
            </w:r>
          </w:p>
        </w:tc>
      </w:tr>
      <w:tr>
        <w:trPr>
          <w:trHeight w:val="634" w:hRule="exact"/>
        </w:trPr>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非同一控制企业合</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并资产评估增值</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58,255,617</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10,885,458</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58,255,617</w:t>
            </w:r>
          </w:p>
        </w:tc>
        <w:tc>
          <w:tcPr>
            <w:tcW w:w="2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10,885,458</w:t>
            </w:r>
          </w:p>
        </w:tc>
      </w:tr>
      <w:tr>
        <w:trPr>
          <w:trHeight w:val="631" w:hRule="exact"/>
        </w:trPr>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其他债权投资公允</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价值变动</w:t>
            </w:r>
          </w:p>
        </w:tc>
        <w:tc>
          <w:tcPr>
            <w:tcW w:w="1467"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c>
          <w:tcPr>
            <w:tcW w:w="250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其他权益工具投资</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公允价值变动</w:t>
            </w:r>
          </w:p>
        </w:tc>
        <w:tc>
          <w:tcPr>
            <w:tcW w:w="1467"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c>
          <w:tcPr>
            <w:tcW w:w="2509"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金融资产公允价值</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变动</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433,232,202</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44,094,033</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54,934,525</w:t>
            </w:r>
          </w:p>
        </w:tc>
        <w:tc>
          <w:tcPr>
            <w:tcW w:w="2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6,796,685</w:t>
            </w:r>
          </w:p>
        </w:tc>
      </w:tr>
      <w:tr>
        <w:trPr>
          <w:trHeight w:val="295" w:hRule="exact"/>
        </w:trPr>
        <w:tc>
          <w:tcPr>
            <w:tcW w:w="2168" w:type="dxa"/>
            <w:tcBorders>
              <w:top w:val="single" w:sz="4" w:space="0" w:color="000000"/>
              <w:left w:val="single" w:sz="4" w:space="0" w:color="000000"/>
              <w:bottom w:val="single" w:sz="4" w:space="0" w:color="000000"/>
              <w:right w:val="single" w:sz="4" w:space="0" w:color="000000"/>
            </w:tcBorders>
          </w:tcPr>
          <w:p>
            <w:pPr/>
          </w:p>
        </w:tc>
        <w:tc>
          <w:tcPr>
            <w:tcW w:w="1467" w:type="dxa"/>
            <w:tcBorders>
              <w:top w:val="single" w:sz="4" w:space="0" w:color="000000"/>
              <w:left w:val="single" w:sz="4" w:space="0" w:color="000000"/>
              <w:bottom w:val="single" w:sz="4" w:space="0" w:color="000000"/>
              <w:right w:val="single" w:sz="4" w:space="0" w:color="000000"/>
            </w:tcBorders>
          </w:tcPr>
          <w:p>
            <w:pPr/>
          </w:p>
        </w:tc>
        <w:tc>
          <w:tcPr>
            <w:tcW w:w="1457" w:type="dxa"/>
            <w:tcBorders>
              <w:top w:val="single" w:sz="4" w:space="0" w:color="000000"/>
              <w:left w:val="single" w:sz="4" w:space="0" w:color="000000"/>
              <w:bottom w:val="single" w:sz="4" w:space="0" w:color="000000"/>
              <w:right w:val="single" w:sz="4" w:space="0" w:color="000000"/>
            </w:tcBorders>
          </w:tcPr>
          <w:p>
            <w:pPr/>
          </w:p>
        </w:tc>
        <w:tc>
          <w:tcPr>
            <w:tcW w:w="1450" w:type="dxa"/>
            <w:tcBorders>
              <w:top w:val="single" w:sz="4" w:space="0" w:color="000000"/>
              <w:left w:val="single" w:sz="4" w:space="0" w:color="000000"/>
              <w:bottom w:val="single" w:sz="4" w:space="0" w:color="000000"/>
              <w:right w:val="single" w:sz="4" w:space="0" w:color="000000"/>
            </w:tcBorders>
          </w:tcPr>
          <w:p>
            <w:pPr/>
          </w:p>
        </w:tc>
        <w:tc>
          <w:tcPr>
            <w:tcW w:w="250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6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hAnsi="宋体" w:cs="宋体" w:eastAsia="宋体" w:hint="default"/>
                <w:sz w:val="24"/>
                <w:szCs w:val="24"/>
              </w:rPr>
              <w:t>合计</w:t>
            </w:r>
          </w:p>
        </w:tc>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491,487,819</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54,979,491</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113,190,142</w:t>
            </w:r>
          </w:p>
        </w:tc>
        <w:tc>
          <w:tcPr>
            <w:tcW w:w="2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17,682,143</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60" w:right="156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(3).</w:t>
        <w:tab/>
      </w:r>
      <w:r>
        <w:rPr/>
        <w:t>以抵销后净额列示的递延所得税资产或负债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4"/>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5758" w:space="435"/>
            <w:col w:w="3097"/>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112"/>
        <w:gridCol w:w="1424"/>
        <w:gridCol w:w="2662"/>
        <w:gridCol w:w="1435"/>
        <w:gridCol w:w="1417"/>
      </w:tblGrid>
      <w:tr>
        <w:trPr>
          <w:trHeight w:val="1255"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递延所得税</w:t>
            </w:r>
          </w:p>
          <w:p>
            <w:pPr>
              <w:pStyle w:val="TableParagraph"/>
              <w:spacing w:line="312" w:lineRule="exact" w:before="28"/>
              <w:ind w:left="105" w:right="106"/>
              <w:jc w:val="center"/>
              <w:rPr>
                <w:rFonts w:ascii="宋体" w:hAnsi="宋体" w:cs="宋体" w:eastAsia="宋体" w:hint="default"/>
                <w:sz w:val="24"/>
                <w:szCs w:val="24"/>
              </w:rPr>
            </w:pPr>
            <w:r>
              <w:rPr>
                <w:rFonts w:ascii="宋体" w:hAnsi="宋体" w:cs="宋体" w:eastAsia="宋体" w:hint="default"/>
                <w:sz w:val="24"/>
                <w:szCs w:val="24"/>
              </w:rPr>
              <w:t>资产和负债 期末互抵金 额</w:t>
            </w:r>
          </w:p>
        </w:tc>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484" w:right="125" w:hanging="360"/>
              <w:jc w:val="left"/>
              <w:rPr>
                <w:rFonts w:ascii="宋体" w:hAnsi="宋体" w:cs="宋体" w:eastAsia="宋体" w:hint="default"/>
                <w:sz w:val="24"/>
                <w:szCs w:val="24"/>
              </w:rPr>
            </w:pPr>
            <w:r>
              <w:rPr>
                <w:rFonts w:ascii="宋体" w:hAnsi="宋体" w:cs="宋体" w:eastAsia="宋体" w:hint="default"/>
                <w:sz w:val="24"/>
                <w:szCs w:val="24"/>
              </w:rPr>
              <w:t>抵销后递延所得税资产 或负债期末余额</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递延所得税</w:t>
            </w:r>
          </w:p>
          <w:p>
            <w:pPr>
              <w:pStyle w:val="TableParagraph"/>
              <w:spacing w:line="312" w:lineRule="exact" w:before="28"/>
              <w:ind w:left="110" w:right="113"/>
              <w:jc w:val="center"/>
              <w:rPr>
                <w:rFonts w:ascii="宋体" w:hAnsi="宋体" w:cs="宋体" w:eastAsia="宋体" w:hint="default"/>
                <w:sz w:val="24"/>
                <w:szCs w:val="24"/>
              </w:rPr>
            </w:pPr>
            <w:r>
              <w:rPr>
                <w:rFonts w:ascii="宋体" w:hAnsi="宋体" w:cs="宋体" w:eastAsia="宋体" w:hint="default"/>
                <w:sz w:val="24"/>
                <w:szCs w:val="24"/>
              </w:rPr>
              <w:t>资产和负债 期初互抵金 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抵销后递延</w:t>
            </w:r>
          </w:p>
          <w:p>
            <w:pPr>
              <w:pStyle w:val="TableParagraph"/>
              <w:spacing w:line="312" w:lineRule="exact" w:before="28"/>
              <w:ind w:left="103" w:right="101"/>
              <w:jc w:val="center"/>
              <w:rPr>
                <w:rFonts w:ascii="宋体" w:hAnsi="宋体" w:cs="宋体" w:eastAsia="宋体" w:hint="default"/>
                <w:sz w:val="24"/>
                <w:szCs w:val="24"/>
              </w:rPr>
            </w:pPr>
            <w:r>
              <w:rPr>
                <w:rFonts w:ascii="宋体" w:hAnsi="宋体" w:cs="宋体" w:eastAsia="宋体" w:hint="default"/>
                <w:sz w:val="24"/>
                <w:szCs w:val="24"/>
              </w:rPr>
              <w:t>所得税资产 或负债期初 余额</w:t>
            </w:r>
          </w:p>
        </w:tc>
      </w:tr>
      <w:tr>
        <w:trPr>
          <w:trHeight w:val="322"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递延所得税资产</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36,757,294</w:t>
            </w:r>
          </w:p>
        </w:tc>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134,488,481</w:t>
            </w:r>
          </w:p>
        </w:tc>
        <w:tc>
          <w:tcPr>
            <w:tcW w:w="1435"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113,875,732</w:t>
            </w:r>
          </w:p>
        </w:tc>
      </w:tr>
      <w:tr>
        <w:trPr>
          <w:trHeight w:val="322"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递延所得税负债</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36,757,294</w:t>
            </w:r>
          </w:p>
        </w:tc>
        <w:tc>
          <w:tcPr>
            <w:tcW w:w="266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18,222,197</w:t>
            </w:r>
          </w:p>
        </w:tc>
        <w:tc>
          <w:tcPr>
            <w:tcW w:w="1435"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17,682,143</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60" w:right="156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(4).</w:t>
        <w:tab/>
      </w:r>
      <w:r>
        <w:rPr/>
        <w:t>未确认递延所得税资产明细</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4"/>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4070" w:space="2123"/>
            <w:col w:w="3097"/>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795"/>
        <w:gridCol w:w="3272"/>
        <w:gridCol w:w="2984"/>
      </w:tblGrid>
      <w:tr>
        <w:trPr>
          <w:trHeight w:val="322" w:hRule="exact"/>
        </w:trPr>
        <w:tc>
          <w:tcPr>
            <w:tcW w:w="2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2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449" w:hRule="exact"/>
        </w:trPr>
        <w:tc>
          <w:tcPr>
            <w:tcW w:w="2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宋体" w:hAnsi="宋体" w:cs="宋体" w:eastAsia="宋体" w:hint="default"/>
                <w:sz w:val="24"/>
                <w:szCs w:val="24"/>
              </w:rPr>
            </w:pPr>
            <w:r>
              <w:rPr>
                <w:rFonts w:ascii="宋体" w:hAnsi="宋体" w:cs="宋体" w:eastAsia="宋体" w:hint="default"/>
                <w:sz w:val="24"/>
                <w:szCs w:val="24"/>
              </w:rPr>
              <w:t>可抵扣暂时性差异</w:t>
            </w:r>
          </w:p>
        </w:tc>
        <w:tc>
          <w:tcPr>
            <w:tcW w:w="3272" w:type="dxa"/>
            <w:tcBorders>
              <w:top w:val="single" w:sz="4" w:space="0" w:color="000000"/>
              <w:left w:val="single" w:sz="4" w:space="0" w:color="000000"/>
              <w:bottom w:val="single" w:sz="4" w:space="0" w:color="000000"/>
              <w:right w:val="single" w:sz="4" w:space="0" w:color="000000"/>
            </w:tcBorders>
          </w:tcPr>
          <w:p>
            <w:pPr/>
          </w:p>
        </w:tc>
        <w:tc>
          <w:tcPr>
            <w:tcW w:w="29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可抵扣亏损</w:t>
            </w:r>
          </w:p>
        </w:tc>
        <w:tc>
          <w:tcPr>
            <w:tcW w:w="32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634,743,485</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640,371,691</w:t>
            </w:r>
          </w:p>
        </w:tc>
      </w:tr>
      <w:tr>
        <w:trPr>
          <w:trHeight w:val="322" w:hRule="exact"/>
        </w:trPr>
        <w:tc>
          <w:tcPr>
            <w:tcW w:w="2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资产减值准备</w:t>
            </w:r>
          </w:p>
        </w:tc>
        <w:tc>
          <w:tcPr>
            <w:tcW w:w="32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603,386,038</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436,513,230</w:t>
            </w:r>
          </w:p>
        </w:tc>
      </w:tr>
      <w:tr>
        <w:trPr>
          <w:trHeight w:val="295" w:hRule="exact"/>
        </w:trPr>
        <w:tc>
          <w:tcPr>
            <w:tcW w:w="2795" w:type="dxa"/>
            <w:tcBorders>
              <w:top w:val="single" w:sz="4" w:space="0" w:color="000000"/>
              <w:left w:val="single" w:sz="4" w:space="0" w:color="000000"/>
              <w:bottom w:val="single" w:sz="4" w:space="0" w:color="000000"/>
              <w:right w:val="single" w:sz="4" w:space="0" w:color="000000"/>
            </w:tcBorders>
          </w:tcPr>
          <w:p>
            <w:pPr/>
          </w:p>
        </w:tc>
        <w:tc>
          <w:tcPr>
            <w:tcW w:w="3272" w:type="dxa"/>
            <w:tcBorders>
              <w:top w:val="single" w:sz="4" w:space="0" w:color="000000"/>
              <w:left w:val="single" w:sz="4" w:space="0" w:color="000000"/>
              <w:bottom w:val="single" w:sz="4" w:space="0" w:color="000000"/>
              <w:right w:val="single" w:sz="4" w:space="0" w:color="000000"/>
            </w:tcBorders>
          </w:tcPr>
          <w:p>
            <w:pPr/>
          </w:p>
        </w:tc>
        <w:tc>
          <w:tcPr>
            <w:tcW w:w="298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7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2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1,238,129,523</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1,076,884,921</w:t>
            </w:r>
          </w:p>
        </w:tc>
      </w:tr>
    </w:tbl>
    <w:p>
      <w:pPr>
        <w:spacing w:after="0" w:line="268" w:lineRule="exact"/>
        <w:jc w:val="right"/>
        <w:rPr>
          <w:rFonts w:ascii="Times New Roman" w:hAnsi="Times New Roman" w:cs="Times New Roman" w:eastAsia="Times New Roman" w:hint="default"/>
          <w:sz w:val="24"/>
          <w:szCs w:val="24"/>
        </w:rPr>
        <w:sectPr>
          <w:type w:val="continuous"/>
          <w:pgSz w:w="11910" w:h="16840"/>
          <w:pgMar w:top="1120" w:bottom="1380" w:left="1060" w:right="1560"/>
        </w:sectPr>
      </w:pPr>
    </w:p>
    <w:p>
      <w:pPr>
        <w:spacing w:line="240" w:lineRule="auto" w:before="4"/>
        <w:rPr>
          <w:rFonts w:ascii="宋体" w:hAnsi="宋体" w:cs="宋体" w:eastAsia="宋体" w:hint="default"/>
          <w:sz w:val="22"/>
          <w:szCs w:val="22"/>
        </w:r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(5).</w:t>
        <w:tab/>
      </w:r>
      <w:r>
        <w:rPr/>
        <w:t>未确认递延所得税资产的可抵扣亏损将于以下年度到期</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pStyle w:val="BodyText"/>
        <w:tabs>
          <w:tab w:pos="1199" w:val="left" w:leader="none"/>
        </w:tabs>
        <w:spacing w:line="291" w:lineRule="exact"/>
        <w:ind w:left="0" w:right="288"/>
        <w:jc w:val="right"/>
      </w:pPr>
      <w:r>
        <w:rPr/>
        <w:t>单位：元</w:t>
        <w:tab/>
        <w:t>币种：人民币</w:t>
      </w: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084"/>
        <w:gridCol w:w="2288"/>
        <w:gridCol w:w="2324"/>
        <w:gridCol w:w="2355"/>
      </w:tblGrid>
      <w:tr>
        <w:trPr>
          <w:trHeight w:val="322"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年份</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58" w:right="0"/>
              <w:jc w:val="left"/>
              <w:rPr>
                <w:rFonts w:ascii="宋体" w:hAnsi="宋体" w:cs="宋体" w:eastAsia="宋体" w:hint="default"/>
                <w:sz w:val="24"/>
                <w:szCs w:val="24"/>
              </w:rPr>
            </w:pPr>
            <w:r>
              <w:rPr>
                <w:rFonts w:ascii="宋体" w:hAnsi="宋体" w:cs="宋体" w:eastAsia="宋体" w:hint="default"/>
                <w:sz w:val="24"/>
                <w:szCs w:val="24"/>
              </w:rPr>
              <w:t>期末金额</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76" w:right="0"/>
              <w:jc w:val="left"/>
              <w:rPr>
                <w:rFonts w:ascii="宋体" w:hAnsi="宋体" w:cs="宋体" w:eastAsia="宋体" w:hint="default"/>
                <w:sz w:val="24"/>
                <w:szCs w:val="24"/>
              </w:rPr>
            </w:pPr>
            <w:r>
              <w:rPr>
                <w:rFonts w:ascii="宋体" w:hAnsi="宋体" w:cs="宋体" w:eastAsia="宋体" w:hint="default"/>
                <w:sz w:val="24"/>
                <w:szCs w:val="24"/>
              </w:rPr>
              <w:t>期初金额</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备注</w:t>
            </w:r>
          </w:p>
        </w:tc>
      </w:tr>
      <w:tr>
        <w:trPr>
          <w:trHeight w:val="322"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
              <w:jc w:val="center"/>
              <w:rPr>
                <w:rFonts w:ascii="宋体" w:hAnsi="宋体" w:cs="宋体" w:eastAsia="宋体" w:hint="default"/>
                <w:sz w:val="24"/>
                <w:szCs w:val="24"/>
              </w:rPr>
            </w:pPr>
            <w:r>
              <w:rPr>
                <w:rFonts w:ascii="Times New Roman" w:hAnsi="Times New Roman" w:cs="Times New Roman" w:eastAsia="Times New Roman" w:hint="default"/>
                <w:sz w:val="24"/>
                <w:szCs w:val="24"/>
              </w:rPr>
              <w:t>2019</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p>
        </w:tc>
        <w:tc>
          <w:tcPr>
            <w:tcW w:w="2288" w:type="dxa"/>
            <w:tcBorders>
              <w:top w:val="single" w:sz="4" w:space="0" w:color="000000"/>
              <w:left w:val="single" w:sz="4" w:space="0" w:color="000000"/>
              <w:bottom w:val="single" w:sz="4" w:space="0" w:color="000000"/>
              <w:right w:val="single" w:sz="4" w:space="0" w:color="000000"/>
            </w:tcBorders>
          </w:tcPr>
          <w:p>
            <w:pP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50,914,287</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
              <w:jc w:val="center"/>
              <w:rPr>
                <w:rFonts w:ascii="宋体" w:hAnsi="宋体" w:cs="宋体" w:eastAsia="宋体" w:hint="default"/>
                <w:sz w:val="24"/>
                <w:szCs w:val="24"/>
              </w:rPr>
            </w:pPr>
            <w:r>
              <w:rPr>
                <w:rFonts w:ascii="Times New Roman" w:hAnsi="Times New Roman" w:cs="Times New Roman" w:eastAsia="Times New Roman" w:hint="default"/>
                <w:sz w:val="24"/>
                <w:szCs w:val="24"/>
              </w:rPr>
              <w:t>2020</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70,400,166</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105,417,149</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
              <w:jc w:val="center"/>
              <w:rPr>
                <w:rFonts w:ascii="宋体" w:hAnsi="宋体" w:cs="宋体" w:eastAsia="宋体" w:hint="default"/>
                <w:sz w:val="24"/>
                <w:szCs w:val="24"/>
              </w:rPr>
            </w:pPr>
            <w:r>
              <w:rPr>
                <w:rFonts w:ascii="Times New Roman" w:hAnsi="Times New Roman" w:cs="Times New Roman" w:eastAsia="Times New Roman" w:hint="default"/>
                <w:sz w:val="24"/>
                <w:szCs w:val="24"/>
              </w:rPr>
              <w:t>2021</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128,462,965</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156,382,235</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right="1"/>
              <w:jc w:val="center"/>
              <w:rPr>
                <w:rFonts w:ascii="宋体" w:hAnsi="宋体" w:cs="宋体" w:eastAsia="宋体" w:hint="default"/>
                <w:sz w:val="24"/>
                <w:szCs w:val="24"/>
              </w:rPr>
            </w:pPr>
            <w:r>
              <w:rPr>
                <w:rFonts w:ascii="Times New Roman" w:hAnsi="Times New Roman" w:cs="Times New Roman" w:eastAsia="Times New Roman" w:hint="default"/>
                <w:sz w:val="24"/>
                <w:szCs w:val="24"/>
              </w:rPr>
              <w:t>2022</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97,724,173</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99,638,385</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right="1"/>
              <w:jc w:val="center"/>
              <w:rPr>
                <w:rFonts w:ascii="宋体" w:hAnsi="宋体" w:cs="宋体" w:eastAsia="宋体" w:hint="default"/>
                <w:sz w:val="24"/>
                <w:szCs w:val="24"/>
              </w:rPr>
            </w:pPr>
            <w:r>
              <w:rPr>
                <w:rFonts w:ascii="Times New Roman" w:hAnsi="Times New Roman" w:cs="Times New Roman" w:eastAsia="Times New Roman" w:hint="default"/>
                <w:sz w:val="24"/>
                <w:szCs w:val="24"/>
              </w:rPr>
              <w:t>2023</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206,379,135</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228,019,635</w:t>
            </w: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
              <w:jc w:val="center"/>
              <w:rPr>
                <w:rFonts w:ascii="宋体" w:hAnsi="宋体" w:cs="宋体" w:eastAsia="宋体" w:hint="default"/>
                <w:sz w:val="24"/>
                <w:szCs w:val="24"/>
              </w:rPr>
            </w:pPr>
            <w:r>
              <w:rPr>
                <w:rFonts w:ascii="Times New Roman" w:hAnsi="Times New Roman" w:cs="Times New Roman" w:eastAsia="Times New Roman" w:hint="default"/>
                <w:sz w:val="24"/>
                <w:szCs w:val="24"/>
              </w:rPr>
              <w:t>2024</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131,777,046</w:t>
            </w:r>
          </w:p>
        </w:tc>
        <w:tc>
          <w:tcPr>
            <w:tcW w:w="2324" w:type="dxa"/>
            <w:tcBorders>
              <w:top w:val="single" w:sz="4" w:space="0" w:color="000000"/>
              <w:left w:val="single" w:sz="4" w:space="0" w:color="000000"/>
              <w:bottom w:val="single" w:sz="4" w:space="0" w:color="000000"/>
              <w:right w:val="single" w:sz="4" w:space="0" w:color="000000"/>
            </w:tcBorders>
          </w:tcPr>
          <w:p>
            <w:pPr/>
          </w:p>
        </w:tc>
        <w:tc>
          <w:tcPr>
            <w:tcW w:w="235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634,743,485</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640,371,691</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sz w:val="24"/>
              </w:rPr>
              <w:t>/</w:t>
            </w:r>
          </w:p>
        </w:tc>
      </w:tr>
    </w:tbl>
    <w:p>
      <w:pPr>
        <w:spacing w:line="240" w:lineRule="auto" w:before="1"/>
        <w:rPr>
          <w:rFonts w:ascii="宋体" w:hAnsi="宋体" w:cs="宋体" w:eastAsia="宋体" w:hint="default"/>
          <w:sz w:val="16"/>
          <w:szCs w:val="16"/>
        </w:rPr>
      </w:pPr>
    </w:p>
    <w:p>
      <w:pPr>
        <w:pStyle w:val="BodyText"/>
        <w:spacing w:line="313" w:lineRule="exact" w:before="26"/>
        <w:ind w:left="216" w:right="0"/>
        <w:jc w:val="left"/>
      </w:pPr>
      <w:r>
        <w:rPr/>
        <w:t>其他说明：</w:t>
      </w:r>
    </w:p>
    <w:p>
      <w:pPr>
        <w:pStyle w:val="BodyText"/>
        <w:spacing w:line="313" w:lineRule="exact"/>
        <w:ind w:left="216" w:right="0"/>
        <w:jc w:val="left"/>
      </w:pPr>
      <w:r>
        <w:rPr/>
        <w:t>□适用 √不适用</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2" w:footer="1195" w:top="1080" w:bottom="1380" w:left="1060" w:right="1560"/>
        </w:sectPr>
      </w:pPr>
    </w:p>
    <w:p>
      <w:pPr>
        <w:pStyle w:val="Heading2"/>
        <w:spacing w:line="240" w:lineRule="auto" w:before="26"/>
        <w:ind w:right="-17"/>
        <w:jc w:val="left"/>
        <w:rPr>
          <w:b w:val="0"/>
          <w:bCs w:val="0"/>
        </w:rPr>
      </w:pPr>
      <w:r>
        <w:rPr>
          <w:rFonts w:ascii="宋体" w:hAnsi="宋体" w:cs="宋体" w:eastAsia="宋体" w:hint="default"/>
        </w:rPr>
        <w:t>30</w:t>
      </w:r>
      <w:r>
        <w:rPr/>
        <w:t>、</w:t>
      </w:r>
      <w:r>
        <w:rPr>
          <w:spacing w:val="-102"/>
        </w:rPr>
        <w:t> </w:t>
      </w:r>
      <w:r>
        <w:rPr/>
        <w:t>其他非流动资产</w:t>
      </w:r>
      <w:r>
        <w:rPr>
          <w:b w:val="0"/>
          <w:bCs w:val="0"/>
        </w:rPr>
      </w:r>
    </w:p>
    <w:p>
      <w:pPr>
        <w:pStyle w:val="BodyText"/>
        <w:spacing w:line="240" w:lineRule="auto" w:before="58"/>
        <w:ind w:left="216" w:right="-17"/>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408" w:space="3785"/>
            <w:col w:w="3097"/>
          </w:cols>
        </w:sectPr>
      </w:pPr>
    </w:p>
    <w:p>
      <w:pPr>
        <w:spacing w:line="240" w:lineRule="auto" w:before="10"/>
        <w:rPr>
          <w:rFonts w:ascii="宋体" w:hAnsi="宋体" w:cs="宋体" w:eastAsia="宋体" w:hint="default"/>
          <w:sz w:val="2"/>
          <w:szCs w:val="2"/>
        </w:rPr>
      </w:pPr>
    </w:p>
    <w:tbl>
      <w:tblPr>
        <w:tblW w:w="0" w:type="auto"/>
        <w:jc w:val="left"/>
        <w:tblInd w:w="180" w:type="dxa"/>
        <w:tblLayout w:type="fixed"/>
        <w:tblCellMar>
          <w:top w:w="0" w:type="dxa"/>
          <w:left w:w="0" w:type="dxa"/>
          <w:bottom w:w="0" w:type="dxa"/>
          <w:right w:w="0" w:type="dxa"/>
        </w:tblCellMar>
        <w:tblLook w:val="01E0"/>
      </w:tblPr>
      <w:tblGrid>
        <w:gridCol w:w="2684"/>
        <w:gridCol w:w="3346"/>
        <w:gridCol w:w="2866"/>
      </w:tblGrid>
      <w:tr>
        <w:trPr>
          <w:trHeight w:val="322" w:hRule="exact"/>
        </w:trPr>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095"/>
              <w:jc w:val="right"/>
              <w:rPr>
                <w:rFonts w:ascii="宋体" w:hAnsi="宋体" w:cs="宋体" w:eastAsia="宋体" w:hint="default"/>
                <w:sz w:val="24"/>
                <w:szCs w:val="24"/>
              </w:rPr>
            </w:pPr>
            <w:r>
              <w:rPr>
                <w:rFonts w:ascii="宋体" w:hAnsi="宋体" w:cs="宋体" w:eastAsia="宋体" w:hint="default"/>
                <w:sz w:val="24"/>
                <w:szCs w:val="24"/>
              </w:rPr>
              <w:t>项目</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945" w:right="0"/>
              <w:jc w:val="left"/>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股权投资款</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Times New Roman" w:hAnsi="Times New Roman" w:cs="Times New Roman" w:eastAsia="Times New Roman" w:hint="default"/>
                <w:sz w:val="24"/>
                <w:szCs w:val="24"/>
              </w:rPr>
            </w:pPr>
            <w:r>
              <w:rPr>
                <w:rFonts w:ascii="Times New Roman"/>
                <w:sz w:val="24"/>
              </w:rPr>
              <w:t>41,062,749</w:t>
            </w:r>
          </w:p>
        </w:tc>
        <w:tc>
          <w:tcPr>
            <w:tcW w:w="286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基建及装修款</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28,426,391</w:t>
            </w:r>
          </w:p>
        </w:tc>
        <w:tc>
          <w:tcPr>
            <w:tcW w:w="286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95"/>
              <w:jc w:val="right"/>
              <w:rPr>
                <w:rFonts w:ascii="宋体" w:hAnsi="宋体" w:cs="宋体" w:eastAsia="宋体" w:hint="default"/>
                <w:sz w:val="24"/>
                <w:szCs w:val="24"/>
              </w:rPr>
            </w:pPr>
            <w:r>
              <w:rPr>
                <w:rFonts w:ascii="宋体" w:hAnsi="宋体" w:cs="宋体" w:eastAsia="宋体" w:hint="default"/>
                <w:sz w:val="24"/>
                <w:szCs w:val="24"/>
              </w:rPr>
              <w:t>合计</w:t>
            </w:r>
          </w:p>
        </w:tc>
        <w:tc>
          <w:tcPr>
            <w:tcW w:w="334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69,489,140</w:t>
            </w:r>
          </w:p>
        </w:tc>
        <w:tc>
          <w:tcPr>
            <w:tcW w:w="286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73" w:lineRule="exact"/>
        <w:ind w:left="216" w:right="0"/>
        <w:jc w:val="left"/>
      </w:pPr>
      <w:r>
        <w:rPr/>
        <w:t>其他说明：</w:t>
      </w:r>
    </w:p>
    <w:p>
      <w:pPr>
        <w:pStyle w:val="BodyText"/>
        <w:spacing w:line="313" w:lineRule="exact"/>
        <w:ind w:left="216" w:right="0"/>
        <w:jc w:val="left"/>
      </w:pPr>
      <w:r>
        <w:rPr/>
        <w:t>无</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31</w:t>
      </w:r>
      <w:r>
        <w:rPr/>
        <w:t>、</w:t>
      </w:r>
      <w:r>
        <w:rPr>
          <w:spacing w:val="-101"/>
        </w:rPr>
        <w:t> </w:t>
      </w:r>
      <w:r>
        <w:rPr/>
        <w:t>短期借款</w:t>
      </w:r>
      <w:r>
        <w:rPr>
          <w:rFonts w:ascii="宋体" w:hAnsi="宋体" w:cs="宋体" w:eastAsia="宋体" w:hint="default"/>
          <w:w w:val="99"/>
        </w:rPr>
        <w:t> </w:t>
      </w:r>
      <w:r>
        <w:rPr>
          <w:rFonts w:ascii="宋体" w:hAnsi="宋体" w:cs="宋体" w:eastAsia="宋体" w:hint="default"/>
          <w:b w:val="0"/>
          <w:bCs w:val="0"/>
        </w:rPr>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rPr>
        <w:t>(1).</w:t>
        <w:tab/>
      </w:r>
      <w:r>
        <w:rPr/>
        <w:t>短期借款分类</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623" w:space="3571"/>
            <w:col w:w="3096"/>
          </w:cols>
        </w:sectPr>
      </w:pPr>
    </w:p>
    <w:p>
      <w:pPr>
        <w:spacing w:line="240" w:lineRule="auto" w:before="12"/>
        <w:rPr>
          <w:rFonts w:ascii="宋体" w:hAnsi="宋体" w:cs="宋体" w:eastAsia="宋体" w:hint="default"/>
          <w:sz w:val="2"/>
          <w:szCs w:val="2"/>
        </w:rPr>
      </w:pPr>
    </w:p>
    <w:tbl>
      <w:tblPr>
        <w:tblW w:w="0" w:type="auto"/>
        <w:jc w:val="left"/>
        <w:tblInd w:w="180" w:type="dxa"/>
        <w:tblLayout w:type="fixed"/>
        <w:tblCellMar>
          <w:top w:w="0" w:type="dxa"/>
          <w:left w:w="0" w:type="dxa"/>
          <w:bottom w:w="0" w:type="dxa"/>
          <w:right w:w="0" w:type="dxa"/>
        </w:tblCellMar>
        <w:tblLook w:val="01E0"/>
      </w:tblPr>
      <w:tblGrid>
        <w:gridCol w:w="2871"/>
        <w:gridCol w:w="3005"/>
        <w:gridCol w:w="3020"/>
      </w:tblGrid>
      <w:tr>
        <w:trPr>
          <w:trHeight w:val="322"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190"/>
              <w:jc w:val="right"/>
              <w:rPr>
                <w:rFonts w:ascii="宋体" w:hAnsi="宋体" w:cs="宋体" w:eastAsia="宋体" w:hint="default"/>
                <w:sz w:val="24"/>
                <w:szCs w:val="24"/>
              </w:rPr>
            </w:pPr>
            <w:r>
              <w:rPr>
                <w:rFonts w:ascii="宋体" w:hAnsi="宋体" w:cs="宋体" w:eastAsia="宋体" w:hint="default"/>
                <w:sz w:val="24"/>
                <w:szCs w:val="24"/>
              </w:rPr>
              <w:t>项目</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质押借款</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4"/>
              <w:jc w:val="right"/>
              <w:rPr>
                <w:rFonts w:ascii="Times New Roman" w:hAnsi="Times New Roman" w:cs="Times New Roman" w:eastAsia="Times New Roman" w:hint="default"/>
                <w:sz w:val="24"/>
                <w:szCs w:val="24"/>
              </w:rPr>
            </w:pPr>
            <w:r>
              <w:rPr>
                <w:rFonts w:ascii="Times New Roman"/>
                <w:sz w:val="24"/>
              </w:rPr>
              <w:t>5,500,260</w:t>
            </w:r>
          </w:p>
        </w:tc>
        <w:tc>
          <w:tcPr>
            <w:tcW w:w="30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抵押借款</w:t>
            </w:r>
          </w:p>
        </w:tc>
        <w:tc>
          <w:tcPr>
            <w:tcW w:w="3005" w:type="dxa"/>
            <w:tcBorders>
              <w:top w:val="single" w:sz="4" w:space="0" w:color="000000"/>
              <w:left w:val="single" w:sz="4" w:space="0" w:color="000000"/>
              <w:bottom w:val="single" w:sz="4" w:space="0" w:color="000000"/>
              <w:right w:val="single" w:sz="4" w:space="0" w:color="000000"/>
            </w:tcBorders>
          </w:tcPr>
          <w:p>
            <w:pPr/>
          </w:p>
        </w:tc>
        <w:tc>
          <w:tcPr>
            <w:tcW w:w="30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保证借款</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4"/>
              <w:jc w:val="right"/>
              <w:rPr>
                <w:rFonts w:ascii="Times New Roman" w:hAnsi="Times New Roman" w:cs="Times New Roman" w:eastAsia="Times New Roman" w:hint="default"/>
                <w:sz w:val="24"/>
                <w:szCs w:val="24"/>
              </w:rPr>
            </w:pPr>
            <w:r>
              <w:rPr>
                <w:rFonts w:ascii="Times New Roman"/>
                <w:sz w:val="24"/>
              </w:rPr>
              <w:t>210,786,000</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6"/>
              <w:jc w:val="right"/>
              <w:rPr>
                <w:rFonts w:ascii="Times New Roman" w:hAnsi="Times New Roman" w:cs="Times New Roman" w:eastAsia="Times New Roman" w:hint="default"/>
                <w:sz w:val="24"/>
                <w:szCs w:val="24"/>
              </w:rPr>
            </w:pPr>
            <w:r>
              <w:rPr>
                <w:rFonts w:ascii="Times New Roman"/>
                <w:sz w:val="24"/>
              </w:rPr>
              <w:t>1,358,329,000</w:t>
            </w:r>
          </w:p>
        </w:tc>
      </w:tr>
      <w:tr>
        <w:trPr>
          <w:trHeight w:val="320"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信用借款</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204"/>
              <w:jc w:val="right"/>
              <w:rPr>
                <w:rFonts w:ascii="Times New Roman" w:hAnsi="Times New Roman" w:cs="Times New Roman" w:eastAsia="Times New Roman" w:hint="default"/>
                <w:sz w:val="24"/>
                <w:szCs w:val="24"/>
              </w:rPr>
            </w:pPr>
            <w:r>
              <w:rPr>
                <w:rFonts w:ascii="Times New Roman"/>
                <w:sz w:val="24"/>
              </w:rPr>
              <w:t>4,019,258,390</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206"/>
              <w:jc w:val="right"/>
              <w:rPr>
                <w:rFonts w:ascii="Times New Roman" w:hAnsi="Times New Roman" w:cs="Times New Roman" w:eastAsia="Times New Roman" w:hint="default"/>
                <w:sz w:val="24"/>
                <w:szCs w:val="24"/>
              </w:rPr>
            </w:pPr>
            <w:r>
              <w:rPr>
                <w:rFonts w:ascii="Times New Roman"/>
                <w:sz w:val="24"/>
              </w:rPr>
              <w:t>1,798,075,000</w:t>
            </w:r>
          </w:p>
        </w:tc>
      </w:tr>
      <w:tr>
        <w:trPr>
          <w:trHeight w:val="288" w:hRule="exact"/>
        </w:trPr>
        <w:tc>
          <w:tcPr>
            <w:tcW w:w="2871" w:type="dxa"/>
            <w:tcBorders>
              <w:top w:val="single" w:sz="4" w:space="0" w:color="000000"/>
              <w:left w:val="single" w:sz="4" w:space="0" w:color="000000"/>
              <w:bottom w:val="single" w:sz="4" w:space="0" w:color="000000"/>
              <w:right w:val="single" w:sz="4" w:space="0" w:color="000000"/>
            </w:tcBorders>
          </w:tcPr>
          <w:p>
            <w:pPr/>
          </w:p>
        </w:tc>
        <w:tc>
          <w:tcPr>
            <w:tcW w:w="3005" w:type="dxa"/>
            <w:tcBorders>
              <w:top w:val="single" w:sz="4" w:space="0" w:color="000000"/>
              <w:left w:val="single" w:sz="4" w:space="0" w:color="000000"/>
              <w:bottom w:val="single" w:sz="4" w:space="0" w:color="000000"/>
              <w:right w:val="single" w:sz="4" w:space="0" w:color="000000"/>
            </w:tcBorders>
          </w:tcPr>
          <w:p>
            <w:pPr/>
          </w:p>
        </w:tc>
        <w:tc>
          <w:tcPr>
            <w:tcW w:w="3020"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871" w:type="dxa"/>
            <w:tcBorders>
              <w:top w:val="single" w:sz="4" w:space="0" w:color="000000"/>
              <w:left w:val="single" w:sz="4" w:space="0" w:color="000000"/>
              <w:bottom w:val="single" w:sz="4" w:space="0" w:color="000000"/>
              <w:right w:val="single" w:sz="4" w:space="0" w:color="000000"/>
            </w:tcBorders>
          </w:tcPr>
          <w:p>
            <w:pPr/>
          </w:p>
        </w:tc>
        <w:tc>
          <w:tcPr>
            <w:tcW w:w="3005" w:type="dxa"/>
            <w:tcBorders>
              <w:top w:val="single" w:sz="4" w:space="0" w:color="000000"/>
              <w:left w:val="single" w:sz="4" w:space="0" w:color="000000"/>
              <w:bottom w:val="single" w:sz="4" w:space="0" w:color="000000"/>
              <w:right w:val="single" w:sz="4" w:space="0" w:color="000000"/>
            </w:tcBorders>
          </w:tcPr>
          <w:p>
            <w:pPr/>
          </w:p>
        </w:tc>
        <w:tc>
          <w:tcPr>
            <w:tcW w:w="302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190"/>
              <w:jc w:val="right"/>
              <w:rPr>
                <w:rFonts w:ascii="宋体" w:hAnsi="宋体" w:cs="宋体" w:eastAsia="宋体" w:hint="default"/>
                <w:sz w:val="24"/>
                <w:szCs w:val="24"/>
              </w:rPr>
            </w:pPr>
            <w:r>
              <w:rPr>
                <w:rFonts w:ascii="宋体" w:hAnsi="宋体" w:cs="宋体" w:eastAsia="宋体" w:hint="default"/>
                <w:sz w:val="24"/>
                <w:szCs w:val="24"/>
              </w:rPr>
              <w:t>合计</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4"/>
              <w:jc w:val="right"/>
              <w:rPr>
                <w:rFonts w:ascii="Times New Roman" w:hAnsi="Times New Roman" w:cs="Times New Roman" w:eastAsia="Times New Roman" w:hint="default"/>
                <w:sz w:val="24"/>
                <w:szCs w:val="24"/>
              </w:rPr>
            </w:pPr>
            <w:r>
              <w:rPr>
                <w:rFonts w:ascii="Times New Roman"/>
                <w:sz w:val="24"/>
              </w:rPr>
              <w:t>4,235,544,650</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6"/>
              <w:jc w:val="right"/>
              <w:rPr>
                <w:rFonts w:ascii="Times New Roman" w:hAnsi="Times New Roman" w:cs="Times New Roman" w:eastAsia="Times New Roman" w:hint="default"/>
                <w:sz w:val="24"/>
                <w:szCs w:val="24"/>
              </w:rPr>
            </w:pPr>
            <w:r>
              <w:rPr>
                <w:rFonts w:ascii="Times New Roman"/>
                <w:sz w:val="24"/>
              </w:rPr>
              <w:t>3,156,404,000</w:t>
            </w:r>
          </w:p>
        </w:tc>
      </w:tr>
    </w:tbl>
    <w:p>
      <w:pPr>
        <w:pStyle w:val="BodyText"/>
        <w:spacing w:line="272" w:lineRule="exact"/>
        <w:ind w:left="216" w:right="0"/>
        <w:jc w:val="left"/>
      </w:pPr>
      <w:r>
        <w:rPr/>
        <w:t>短期借款分类的说明：</w:t>
      </w:r>
    </w:p>
    <w:p>
      <w:pPr>
        <w:pStyle w:val="BodyText"/>
        <w:spacing w:line="320" w:lineRule="exact"/>
        <w:ind w:left="216" w:right="0"/>
        <w:jc w:val="left"/>
        <w:rPr>
          <w:rFonts w:ascii="Times New Roman" w:hAnsi="Times New Roman" w:cs="Times New Roman" w:eastAsia="Times New Roman" w:hint="default"/>
        </w:rPr>
      </w:pPr>
      <w:r>
        <w:rPr/>
        <w:t>注</w:t>
      </w:r>
      <w:r>
        <w:rPr>
          <w:spacing w:val="-61"/>
        </w:rPr>
        <w:t> </w:t>
      </w:r>
      <w:r>
        <w:rPr>
          <w:rFonts w:ascii="Times New Roman" w:hAnsi="Times New Roman" w:cs="Times New Roman" w:eastAsia="Times New Roman" w:hint="default"/>
        </w:rPr>
        <w:t>1</w:t>
      </w:r>
      <w:r>
        <w:rPr/>
        <w:t>．于</w:t>
      </w:r>
      <w:r>
        <w:rPr>
          <w:spacing w:val="-6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日，上述借款的年利率为</w:t>
      </w:r>
      <w:r>
        <w:rPr>
          <w:spacing w:val="-61"/>
        </w:rPr>
        <w:t> </w:t>
      </w:r>
      <w:r>
        <w:rPr>
          <w:rFonts w:ascii="Times New Roman" w:hAnsi="Times New Roman" w:cs="Times New Roman" w:eastAsia="Times New Roman" w:hint="default"/>
        </w:rPr>
        <w:t>3.52%</w:t>
      </w:r>
      <w:r>
        <w:rPr/>
        <w:t>至</w:t>
      </w:r>
      <w:r>
        <w:rPr>
          <w:spacing w:val="-61"/>
        </w:rPr>
        <w:t> </w:t>
      </w:r>
      <w:r>
        <w:rPr>
          <w:rFonts w:ascii="Times New Roman" w:hAnsi="Times New Roman" w:cs="Times New Roman" w:eastAsia="Times New Roman" w:hint="default"/>
        </w:rPr>
        <w:t>4.70%(2018</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31</w:t>
      </w:r>
    </w:p>
    <w:p>
      <w:pPr>
        <w:pStyle w:val="BodyText"/>
        <w:spacing w:line="322" w:lineRule="exact"/>
        <w:ind w:left="216" w:right="0"/>
        <w:jc w:val="left"/>
      </w:pPr>
      <w:r>
        <w:rPr/>
        <w:t>日借款的年利率为</w:t>
      </w:r>
      <w:r>
        <w:rPr>
          <w:spacing w:val="-62"/>
        </w:rPr>
        <w:t> </w:t>
      </w:r>
      <w:r>
        <w:rPr>
          <w:rFonts w:ascii="Times New Roman" w:hAnsi="Times New Roman" w:cs="Times New Roman" w:eastAsia="Times New Roman" w:hint="default"/>
        </w:rPr>
        <w:t>3.92%</w:t>
      </w:r>
      <w:r>
        <w:rPr/>
        <w:t>至</w:t>
      </w:r>
      <w:r>
        <w:rPr>
          <w:spacing w:val="-62"/>
        </w:rPr>
        <w:t> </w:t>
      </w:r>
      <w:r>
        <w:rPr>
          <w:rFonts w:ascii="Times New Roman" w:hAnsi="Times New Roman" w:cs="Times New Roman" w:eastAsia="Times New Roman" w:hint="default"/>
        </w:rPr>
        <w:t>5.66%)</w:t>
      </w:r>
      <w:r>
        <w:rPr/>
        <w:t>。</w:t>
      </w:r>
    </w:p>
    <w:p>
      <w:pPr>
        <w:spacing w:line="240" w:lineRule="auto" w:before="7"/>
        <w:rPr>
          <w:rFonts w:ascii="宋体" w:hAnsi="宋体" w:cs="宋体" w:eastAsia="宋体" w:hint="default"/>
          <w:sz w:val="19"/>
          <w:szCs w:val="19"/>
        </w:rPr>
      </w:pPr>
    </w:p>
    <w:p>
      <w:pPr>
        <w:pStyle w:val="BodyText"/>
        <w:spacing w:line="322" w:lineRule="exact"/>
        <w:ind w:left="216" w:right="0"/>
        <w:jc w:val="left"/>
      </w:pPr>
      <w:r>
        <w:rPr/>
        <w:t>注</w:t>
      </w:r>
      <w:r>
        <w:rPr>
          <w:spacing w:val="-61"/>
        </w:rPr>
        <w:t> </w:t>
      </w:r>
      <w:r>
        <w:rPr>
          <w:rFonts w:ascii="Times New Roman" w:hAnsi="Times New Roman" w:cs="Times New Roman" w:eastAsia="Times New Roman" w:hint="default"/>
        </w:rPr>
        <w:t>2</w:t>
      </w:r>
      <w:r>
        <w:rPr/>
        <w:t>．于</w:t>
      </w:r>
      <w:r>
        <w:rPr>
          <w:spacing w:val="-6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日，本集团以账面价值为人民币</w:t>
      </w:r>
      <w:r>
        <w:rPr>
          <w:spacing w:val="-61"/>
        </w:rPr>
        <w:t> </w:t>
      </w:r>
      <w:r>
        <w:rPr>
          <w:rFonts w:ascii="Times New Roman" w:hAnsi="Times New Roman" w:cs="Times New Roman" w:eastAsia="Times New Roman" w:hint="default"/>
        </w:rPr>
        <w:t>6,298,772</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p>
    <w:p>
      <w:pPr>
        <w:pStyle w:val="BodyText"/>
        <w:spacing w:line="322" w:lineRule="exact"/>
        <w:ind w:left="216" w:right="0"/>
        <w:jc w:val="left"/>
      </w:pP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日：无</w:t>
      </w:r>
      <w:r>
        <w:rPr>
          <w:rFonts w:ascii="Times New Roman" w:hAnsi="Times New Roman" w:cs="Times New Roman" w:eastAsia="Times New Roman" w:hint="default"/>
        </w:rPr>
        <w:t>)</w:t>
      </w:r>
      <w:r>
        <w:rPr/>
        <w:t>的应收账款为质押取得。</w:t>
      </w:r>
    </w:p>
    <w:p>
      <w:pPr>
        <w:spacing w:after="0" w:line="322" w:lineRule="exact"/>
        <w:jc w:val="left"/>
        <w:sectPr>
          <w:type w:val="continuous"/>
          <w:pgSz w:w="11910" w:h="16840"/>
          <w:pgMar w:top="1120" w:bottom="1380" w:left="1060" w:right="15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pStyle w:val="BodyText"/>
        <w:spacing w:line="240" w:lineRule="auto" w:before="26"/>
        <w:ind w:left="236" w:right="0"/>
        <w:jc w:val="left"/>
      </w:pPr>
      <w:r>
        <w:rPr/>
        <w:t>于</w:t>
      </w:r>
      <w:r>
        <w:rPr>
          <w:spacing w:val="-7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5"/>
        </w:rPr>
        <w:t> </w:t>
      </w:r>
      <w:r>
        <w:rPr/>
        <w:t>年</w:t>
      </w:r>
      <w:r>
        <w:rPr>
          <w:spacing w:val="-75"/>
        </w:rPr>
        <w:t> </w:t>
      </w:r>
      <w:r>
        <w:rPr>
          <w:rFonts w:ascii="Times New Roman" w:hAnsi="Times New Roman" w:cs="Times New Roman" w:eastAsia="Times New Roman" w:hint="default"/>
          <w:spacing w:val="2"/>
        </w:rPr>
        <w:t>1</w:t>
      </w:r>
      <w:r>
        <w:rPr>
          <w:rFonts w:ascii="Times New Roman" w:hAnsi="Times New Roman" w:cs="Times New Roman" w:eastAsia="Times New Roman" w:hint="default"/>
        </w:rPr>
        <w:t>2</w:t>
      </w:r>
      <w:r>
        <w:rPr>
          <w:rFonts w:ascii="Times New Roman" w:hAnsi="Times New Roman" w:cs="Times New Roman" w:eastAsia="Times New Roman" w:hint="default"/>
          <w:spacing w:val="-15"/>
        </w:rPr>
        <w:t> </w:t>
      </w:r>
      <w:r>
        <w:rPr/>
        <w:t>月</w:t>
      </w:r>
      <w:r>
        <w:rPr>
          <w:spacing w:val="-75"/>
        </w:rPr>
        <w:t> </w:t>
      </w:r>
      <w:r>
        <w:rPr>
          <w:rFonts w:ascii="Times New Roman" w:hAnsi="Times New Roman" w:cs="Times New Roman" w:eastAsia="Times New Roman" w:hint="default"/>
          <w:spacing w:val="2"/>
        </w:rPr>
        <w:t>3</w:t>
      </w:r>
      <w:r>
        <w:rPr>
          <w:rFonts w:ascii="Times New Roman" w:hAnsi="Times New Roman" w:cs="Times New Roman" w:eastAsia="Times New Roman" w:hint="default"/>
        </w:rPr>
        <w:t>1</w:t>
      </w:r>
      <w:r>
        <w:rPr>
          <w:rFonts w:ascii="Times New Roman" w:hAnsi="Times New Roman" w:cs="Times New Roman" w:eastAsia="Times New Roman" w:hint="default"/>
          <w:spacing w:val="-15"/>
        </w:rPr>
        <w:t> </w:t>
      </w:r>
      <w:r>
        <w:rPr/>
        <w:t>日</w:t>
      </w:r>
      <w:r>
        <w:rPr>
          <w:spacing w:val="-118"/>
        </w:rPr>
        <w:t>，</w:t>
      </w:r>
      <w:r>
        <w:rPr/>
        <w:t>本集团无已到期但未偿还的短期借</w:t>
      </w:r>
      <w:r>
        <w:rPr>
          <w:spacing w:val="1"/>
        </w:rPr>
        <w:t>款</w:t>
      </w:r>
      <w:r>
        <w:rPr>
          <w:rFonts w:ascii="Times New Roman" w:hAnsi="Times New Roman" w:cs="Times New Roman" w:eastAsia="Times New Roman" w:hint="default"/>
        </w:rPr>
        <w:t>(2018</w:t>
      </w:r>
      <w:r>
        <w:rPr>
          <w:rFonts w:ascii="Times New Roman" w:hAnsi="Times New Roman" w:cs="Times New Roman" w:eastAsia="Times New Roman" w:hint="default"/>
          <w:spacing w:val="-16"/>
        </w:rPr>
        <w:t> </w:t>
      </w:r>
      <w:r>
        <w:rPr/>
        <w:t>年</w:t>
      </w:r>
      <w:r>
        <w:rPr>
          <w:spacing w:val="-75"/>
        </w:rPr>
        <w:t> </w:t>
      </w:r>
      <w:r>
        <w:rPr>
          <w:rFonts w:ascii="Times New Roman" w:hAnsi="Times New Roman" w:cs="Times New Roman" w:eastAsia="Times New Roman" w:hint="default"/>
          <w:spacing w:val="2"/>
        </w:rPr>
        <w:t>1</w:t>
      </w:r>
      <w:r>
        <w:rPr>
          <w:rFonts w:ascii="Times New Roman" w:hAnsi="Times New Roman" w:cs="Times New Roman" w:eastAsia="Times New Roman" w:hint="default"/>
        </w:rPr>
        <w:t>2</w:t>
      </w:r>
      <w:r>
        <w:rPr>
          <w:rFonts w:ascii="Times New Roman" w:hAnsi="Times New Roman" w:cs="Times New Roman" w:eastAsia="Times New Roman" w:hint="default"/>
          <w:spacing w:val="-15"/>
        </w:rPr>
        <w:t> </w:t>
      </w:r>
      <w:r>
        <w:rPr/>
        <w:t>月</w:t>
      </w:r>
      <w:r>
        <w:rPr>
          <w:spacing w:val="-75"/>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t>日</w:t>
      </w:r>
      <w:r>
        <w:rPr>
          <w:spacing w:val="-120"/>
        </w:rPr>
        <w:t>：</w:t>
      </w:r>
      <w:r>
        <w:rPr>
          <w:spacing w:val="2"/>
        </w:rPr>
        <w:t>无</w:t>
      </w:r>
      <w:r>
        <w:rPr>
          <w:rFonts w:ascii="Times New Roman" w:hAnsi="Times New Roman" w:cs="Times New Roman" w:eastAsia="Times New Roman" w:hint="default"/>
          <w:spacing w:val="-1"/>
        </w:rPr>
        <w:t>)</w:t>
      </w:r>
      <w:r>
        <w:rPr/>
        <w:t>。</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1"/>
          <w:szCs w:val="21"/>
        </w:rPr>
      </w:pPr>
    </w:p>
    <w:p>
      <w:pPr>
        <w:pStyle w:val="Heading2"/>
        <w:tabs>
          <w:tab w:pos="1077" w:val="left" w:leader="none"/>
        </w:tabs>
        <w:spacing w:line="240" w:lineRule="auto"/>
        <w:ind w:left="236" w:right="4250"/>
        <w:jc w:val="left"/>
        <w:rPr>
          <w:rFonts w:ascii="宋体" w:hAnsi="宋体" w:cs="宋体" w:eastAsia="宋体" w:hint="default"/>
          <w:b w:val="0"/>
          <w:bCs w:val="0"/>
        </w:rPr>
      </w:pPr>
      <w:r>
        <w:rPr>
          <w:rFonts w:ascii="宋体" w:hAnsi="宋体" w:cs="宋体" w:eastAsia="宋体" w:hint="default"/>
        </w:rPr>
        <w:t>(2).</w:t>
        <w:tab/>
      </w:r>
      <w:r>
        <w:rPr/>
        <w:t>已逾期未偿还的短期借款情况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4250"/>
        <w:jc w:val="left"/>
      </w:pPr>
      <w:r>
        <w:rPr/>
        <w:t>□适用 √不适用</w:t>
      </w:r>
    </w:p>
    <w:p>
      <w:pPr>
        <w:spacing w:line="240" w:lineRule="auto" w:before="12"/>
        <w:rPr>
          <w:rFonts w:ascii="宋体" w:hAnsi="宋体" w:cs="宋体" w:eastAsia="宋体" w:hint="default"/>
          <w:sz w:val="20"/>
          <w:szCs w:val="20"/>
        </w:rPr>
      </w:pPr>
    </w:p>
    <w:p>
      <w:pPr>
        <w:pStyle w:val="BodyText"/>
        <w:spacing w:line="313" w:lineRule="exact"/>
        <w:ind w:left="236" w:right="0"/>
        <w:jc w:val="left"/>
      </w:pPr>
      <w:r>
        <w:rPr/>
        <w:t>其中重要的已逾期未偿还的短期借款情况如下：</w:t>
      </w:r>
    </w:p>
    <w:p>
      <w:pPr>
        <w:pStyle w:val="BodyText"/>
        <w:spacing w:line="310" w:lineRule="exact" w:before="31"/>
        <w:ind w:left="236" w:right="7250"/>
        <w:jc w:val="left"/>
      </w:pPr>
      <w:r>
        <w:rPr/>
        <w:t>□适用 √不适用 其他说明</w:t>
      </w:r>
    </w:p>
    <w:p>
      <w:pPr>
        <w:pStyle w:val="BodyText"/>
        <w:spacing w:line="284" w:lineRule="exact"/>
        <w:ind w:left="236" w:right="4250"/>
        <w:jc w:val="left"/>
      </w:pPr>
      <w:r>
        <w:rPr/>
        <w:t>□适用 √不适用</w:t>
      </w:r>
    </w:p>
    <w:p>
      <w:pPr>
        <w:spacing w:line="240" w:lineRule="auto" w:before="8"/>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2" w:footer="1195" w:top="1080" w:bottom="1380" w:left="1040" w:right="1560"/>
        </w:sectPr>
      </w:pPr>
    </w:p>
    <w:p>
      <w:pPr>
        <w:pStyle w:val="Heading2"/>
        <w:spacing w:line="240" w:lineRule="auto" w:before="26"/>
        <w:ind w:left="236" w:right="-17"/>
        <w:jc w:val="left"/>
        <w:rPr>
          <w:b w:val="0"/>
          <w:bCs w:val="0"/>
        </w:rPr>
      </w:pPr>
      <w:r>
        <w:rPr>
          <w:rFonts w:ascii="宋体" w:hAnsi="宋体" w:cs="宋体" w:eastAsia="宋体" w:hint="default"/>
        </w:rPr>
        <w:t>32</w:t>
      </w:r>
      <w:r>
        <w:rPr/>
        <w:t>、</w:t>
      </w:r>
      <w:r>
        <w:rPr>
          <w:spacing w:val="-102"/>
        </w:rPr>
        <w:t> </w:t>
      </w:r>
      <w:r>
        <w:rPr/>
        <w:t>交易性金融负债</w:t>
      </w:r>
      <w:r>
        <w:rPr>
          <w:b w:val="0"/>
          <w:bCs w:val="0"/>
        </w:rPr>
      </w:r>
    </w:p>
    <w:p>
      <w:pPr>
        <w:pStyle w:val="BodyText"/>
        <w:spacing w:line="240" w:lineRule="auto" w:before="55"/>
        <w:ind w:left="236" w:right="-17"/>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428" w:space="3765"/>
            <w:col w:w="3117"/>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2982"/>
        <w:gridCol w:w="1565"/>
        <w:gridCol w:w="1563"/>
        <w:gridCol w:w="1560"/>
        <w:gridCol w:w="1393"/>
      </w:tblGrid>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95"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92"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92"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09"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交易性金融负债</w:t>
            </w:r>
          </w:p>
        </w:tc>
        <w:tc>
          <w:tcPr>
            <w:tcW w:w="1565"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其中：</w:t>
            </w:r>
          </w:p>
        </w:tc>
        <w:tc>
          <w:tcPr>
            <w:tcW w:w="6080" w:type="dxa"/>
            <w:gridSpan w:val="4"/>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88" w:right="0"/>
              <w:jc w:val="left"/>
              <w:rPr>
                <w:rFonts w:ascii="宋体" w:hAnsi="宋体" w:cs="宋体" w:eastAsia="宋体" w:hint="default"/>
                <w:sz w:val="24"/>
                <w:szCs w:val="24"/>
              </w:rPr>
            </w:pPr>
            <w:r>
              <w:rPr>
                <w:rFonts w:ascii="宋体" w:hAnsi="宋体" w:cs="宋体" w:eastAsia="宋体" w:hint="default"/>
                <w:sz w:val="24"/>
                <w:szCs w:val="24"/>
              </w:rPr>
              <w:t>衍生金融工具</w:t>
            </w:r>
          </w:p>
        </w:tc>
        <w:tc>
          <w:tcPr>
            <w:tcW w:w="1565"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8"/>
              <w:jc w:val="right"/>
              <w:rPr>
                <w:rFonts w:ascii="Times New Roman" w:hAnsi="Times New Roman" w:cs="Times New Roman" w:eastAsia="Times New Roman" w:hint="default"/>
                <w:sz w:val="24"/>
                <w:szCs w:val="24"/>
              </w:rPr>
            </w:pPr>
            <w:r>
              <w:rPr>
                <w:rFonts w:ascii="Times New Roman"/>
                <w:sz w:val="24"/>
              </w:rPr>
              <w:t>6,658,487</w:t>
            </w:r>
          </w:p>
        </w:tc>
        <w:tc>
          <w:tcPr>
            <w:tcW w:w="1560"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8"/>
              <w:jc w:val="right"/>
              <w:rPr>
                <w:rFonts w:ascii="Times New Roman" w:hAnsi="Times New Roman" w:cs="Times New Roman" w:eastAsia="Times New Roman" w:hint="default"/>
                <w:sz w:val="24"/>
                <w:szCs w:val="24"/>
              </w:rPr>
            </w:pPr>
            <w:r>
              <w:rPr>
                <w:rFonts w:ascii="Times New Roman"/>
                <w:sz w:val="24"/>
              </w:rPr>
              <w:t>6,658,487</w:t>
            </w:r>
          </w:p>
        </w:tc>
      </w:tr>
      <w:tr>
        <w:trPr>
          <w:trHeight w:val="286" w:hRule="exact"/>
        </w:trPr>
        <w:tc>
          <w:tcPr>
            <w:tcW w:w="2982"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指定以公允价值计量且其</w:t>
            </w:r>
          </w:p>
          <w:p>
            <w:pPr>
              <w:pStyle w:val="TableParagraph"/>
              <w:spacing w:line="312" w:lineRule="exact" w:before="28"/>
              <w:ind w:left="108" w:right="222"/>
              <w:jc w:val="left"/>
              <w:rPr>
                <w:rFonts w:ascii="宋体" w:hAnsi="宋体" w:cs="宋体" w:eastAsia="宋体" w:hint="default"/>
                <w:sz w:val="24"/>
                <w:szCs w:val="24"/>
              </w:rPr>
            </w:pPr>
            <w:r>
              <w:rPr>
                <w:rFonts w:ascii="宋体" w:hAnsi="宋体" w:cs="宋体" w:eastAsia="宋体" w:hint="default"/>
                <w:sz w:val="24"/>
                <w:szCs w:val="24"/>
              </w:rPr>
              <w:t>变动计入当期损益的金融 负债</w:t>
            </w:r>
          </w:p>
        </w:tc>
        <w:tc>
          <w:tcPr>
            <w:tcW w:w="1565"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r>
      <w:tr>
        <w:trPr>
          <w:trHeight w:val="320"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其中：</w:t>
            </w:r>
          </w:p>
        </w:tc>
        <w:tc>
          <w:tcPr>
            <w:tcW w:w="6080" w:type="dxa"/>
            <w:gridSpan w:val="4"/>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2982"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982" w:type="dxa"/>
            <w:tcBorders>
              <w:top w:val="single" w:sz="4" w:space="0" w:color="000000"/>
              <w:left w:val="single" w:sz="4" w:space="0" w:color="000000"/>
              <w:bottom w:val="single" w:sz="4" w:space="0" w:color="000000"/>
              <w:right w:val="single" w:sz="4" w:space="0" w:color="000000"/>
            </w:tcBorders>
          </w:tcPr>
          <w:p>
            <w:pPr/>
          </w:p>
        </w:tc>
        <w:tc>
          <w:tcPr>
            <w:tcW w:w="1565"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565" w:type="dxa"/>
            <w:tcBorders>
              <w:top w:val="single" w:sz="4" w:space="0" w:color="000000"/>
              <w:left w:val="single" w:sz="4" w:space="0" w:color="000000"/>
              <w:bottom w:val="single" w:sz="4" w:space="0" w:color="000000"/>
              <w:right w:val="single" w:sz="4" w:space="0" w:color="000000"/>
            </w:tcBorders>
          </w:tcPr>
          <w:p>
            <w:pP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6,658,487</w:t>
            </w:r>
          </w:p>
        </w:tc>
        <w:tc>
          <w:tcPr>
            <w:tcW w:w="1560"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6,658,487</w:t>
            </w:r>
          </w:p>
        </w:tc>
      </w:tr>
    </w:tbl>
    <w:p>
      <w:pPr>
        <w:pStyle w:val="BodyText"/>
        <w:spacing w:line="273" w:lineRule="exact"/>
        <w:ind w:left="236" w:right="4250"/>
        <w:jc w:val="left"/>
      </w:pPr>
      <w:r>
        <w:rPr/>
        <w:t>其他说明：</w:t>
      </w:r>
    </w:p>
    <w:p>
      <w:pPr>
        <w:pStyle w:val="BodyText"/>
        <w:spacing w:line="313" w:lineRule="exact"/>
        <w:ind w:left="236" w:right="4250"/>
        <w:jc w:val="left"/>
      </w:pPr>
      <w:r>
        <w:rPr/>
        <w:t>□适用 √不适用</w:t>
      </w:r>
    </w:p>
    <w:p>
      <w:pPr>
        <w:spacing w:line="240" w:lineRule="auto" w:before="4"/>
        <w:rPr>
          <w:rFonts w:ascii="宋体" w:hAnsi="宋体" w:cs="宋体" w:eastAsia="宋体" w:hint="default"/>
          <w:sz w:val="25"/>
          <w:szCs w:val="25"/>
        </w:rPr>
      </w:pPr>
    </w:p>
    <w:p>
      <w:pPr>
        <w:pStyle w:val="Heading2"/>
        <w:spacing w:line="240" w:lineRule="auto"/>
        <w:ind w:left="236" w:right="4250"/>
        <w:jc w:val="left"/>
        <w:rPr>
          <w:b w:val="0"/>
          <w:bCs w:val="0"/>
        </w:rPr>
      </w:pPr>
      <w:r>
        <w:rPr>
          <w:rFonts w:ascii="宋体" w:hAnsi="宋体" w:cs="宋体" w:eastAsia="宋体" w:hint="default"/>
        </w:rPr>
        <w:t>33</w:t>
      </w:r>
      <w:r>
        <w:rPr/>
        <w:t>、</w:t>
      </w:r>
      <w:r>
        <w:rPr>
          <w:spacing w:val="-104"/>
        </w:rPr>
        <w:t> </w:t>
      </w:r>
      <w:r>
        <w:rPr/>
        <w:t>衍生金融负债</w:t>
      </w:r>
      <w:r>
        <w:rPr>
          <w:b w:val="0"/>
          <w:bCs w:val="0"/>
        </w:rPr>
      </w:r>
    </w:p>
    <w:p>
      <w:pPr>
        <w:pStyle w:val="BodyText"/>
        <w:spacing w:line="240" w:lineRule="auto" w:before="58"/>
        <w:ind w:left="236" w:right="4250"/>
        <w:jc w:val="left"/>
      </w:pPr>
      <w:r>
        <w:rPr/>
        <w:t>□适用 √不适用</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2"/>
          <w:szCs w:val="22"/>
        </w:rPr>
      </w:pPr>
    </w:p>
    <w:p>
      <w:pPr>
        <w:pStyle w:val="Heading2"/>
        <w:spacing w:line="240" w:lineRule="auto"/>
        <w:ind w:left="236" w:right="4250"/>
        <w:jc w:val="left"/>
        <w:rPr>
          <w:b w:val="0"/>
          <w:bCs w:val="0"/>
        </w:rPr>
      </w:pPr>
      <w:r>
        <w:rPr>
          <w:rFonts w:ascii="宋体" w:hAnsi="宋体" w:cs="宋体" w:eastAsia="宋体" w:hint="default"/>
        </w:rPr>
        <w:t>34</w:t>
      </w:r>
      <w:r>
        <w:rPr/>
        <w:t>、</w:t>
      </w:r>
      <w:r>
        <w:rPr>
          <w:spacing w:val="-101"/>
        </w:rPr>
        <w:t> </w:t>
      </w:r>
      <w:r>
        <w:rPr/>
        <w:t>应付票据</w:t>
      </w:r>
      <w:r>
        <w:rPr>
          <w:b w:val="0"/>
          <w:bCs w:val="0"/>
        </w:rPr>
      </w:r>
    </w:p>
    <w:p>
      <w:pPr>
        <w:pStyle w:val="Heading2"/>
        <w:tabs>
          <w:tab w:pos="1077" w:val="left" w:leader="none"/>
        </w:tabs>
        <w:spacing w:line="240" w:lineRule="auto" w:before="55"/>
        <w:ind w:left="236" w:right="4250"/>
        <w:jc w:val="left"/>
        <w:rPr>
          <w:rFonts w:ascii="宋体" w:hAnsi="宋体" w:cs="宋体" w:eastAsia="宋体" w:hint="default"/>
          <w:b w:val="0"/>
          <w:bCs w:val="0"/>
        </w:rPr>
      </w:pPr>
      <w:r>
        <w:rPr>
          <w:rFonts w:ascii="宋体" w:hAnsi="宋体" w:cs="宋体" w:eastAsia="宋体" w:hint="default"/>
        </w:rPr>
        <w:t>(1).</w:t>
        <w:tab/>
      </w:r>
      <w:r>
        <w:rPr/>
        <w:t>应付票据列示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425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40" w:right="1560"/>
        </w:sectPr>
      </w:pPr>
    </w:p>
    <w:p>
      <w:pPr>
        <w:pStyle w:val="Heading2"/>
        <w:spacing w:line="240" w:lineRule="auto" w:before="26"/>
        <w:ind w:left="236" w:right="0"/>
        <w:jc w:val="left"/>
        <w:rPr>
          <w:b w:val="0"/>
          <w:bCs w:val="0"/>
        </w:rPr>
      </w:pPr>
      <w:r>
        <w:rPr>
          <w:rFonts w:ascii="宋体" w:hAnsi="宋体" w:cs="宋体" w:eastAsia="宋体" w:hint="default"/>
        </w:rPr>
        <w:t>35</w:t>
      </w:r>
      <w:r>
        <w:rPr/>
        <w:t>、</w:t>
      </w:r>
      <w:r>
        <w:rPr>
          <w:spacing w:val="-101"/>
        </w:rPr>
        <w:t> </w:t>
      </w:r>
      <w:r>
        <w:rPr/>
        <w:t>应付账款</w:t>
      </w:r>
      <w:r>
        <w:rPr>
          <w:b w:val="0"/>
          <w:bCs w:val="0"/>
        </w:rPr>
      </w:r>
    </w:p>
    <w:p>
      <w:pPr>
        <w:pStyle w:val="Heading2"/>
        <w:tabs>
          <w:tab w:pos="1077" w:val="left" w:leader="none"/>
        </w:tabs>
        <w:spacing w:line="240" w:lineRule="auto" w:before="55"/>
        <w:ind w:left="236" w:right="0"/>
        <w:jc w:val="left"/>
        <w:rPr>
          <w:rFonts w:ascii="宋体" w:hAnsi="宋体" w:cs="宋体" w:eastAsia="宋体" w:hint="default"/>
          <w:b w:val="0"/>
          <w:bCs w:val="0"/>
        </w:rPr>
      </w:pPr>
      <w:r>
        <w:rPr>
          <w:rFonts w:ascii="宋体" w:hAnsi="宋体" w:cs="宋体" w:eastAsia="宋体" w:hint="default"/>
        </w:rPr>
        <w:t>(1).</w:t>
        <w:tab/>
      </w:r>
      <w:r>
        <w:rPr/>
        <w:t>应付账款列示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643" w:space="3551"/>
            <w:col w:w="3116"/>
          </w:cols>
        </w:sectPr>
      </w:pPr>
    </w:p>
    <w:p>
      <w:pPr>
        <w:spacing w:line="240" w:lineRule="auto" w:before="10"/>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2843"/>
        <w:gridCol w:w="2866"/>
        <w:gridCol w:w="3341"/>
      </w:tblGrid>
      <w:tr>
        <w:trPr>
          <w:trHeight w:val="322"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945"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期初余额</w:t>
            </w:r>
          </w:p>
        </w:tc>
      </w:tr>
    </w:tbl>
    <w:p>
      <w:pPr>
        <w:spacing w:after="0" w:line="276" w:lineRule="exact"/>
        <w:jc w:val="center"/>
        <w:rPr>
          <w:rFonts w:ascii="宋体" w:hAnsi="宋体" w:cs="宋体" w:eastAsia="宋体" w:hint="default"/>
          <w:sz w:val="24"/>
          <w:szCs w:val="24"/>
        </w:rPr>
        <w:sectPr>
          <w:type w:val="continuous"/>
          <w:pgSz w:w="11910" w:h="16840"/>
          <w:pgMar w:top="1120" w:bottom="1380" w:left="104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2843"/>
        <w:gridCol w:w="2866"/>
        <w:gridCol w:w="3341"/>
      </w:tblGrid>
      <w:tr>
        <w:trPr>
          <w:trHeight w:val="322"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363,811,524</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223,825,014</w:t>
            </w:r>
          </w:p>
        </w:tc>
      </w:tr>
      <w:tr>
        <w:trPr>
          <w:trHeight w:val="322"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1-2</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89,242,417</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138,277,485</w:t>
            </w:r>
          </w:p>
        </w:tc>
      </w:tr>
      <w:tr>
        <w:trPr>
          <w:trHeight w:val="322"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2-3</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61,328,717</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31,062,564</w:t>
            </w:r>
          </w:p>
        </w:tc>
      </w:tr>
      <w:tr>
        <w:trPr>
          <w:trHeight w:val="319"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年以上</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82,666,500</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62,457,421</w:t>
            </w:r>
          </w:p>
        </w:tc>
      </w:tr>
      <w:tr>
        <w:trPr>
          <w:trHeight w:val="288" w:hRule="exact"/>
        </w:trPr>
        <w:tc>
          <w:tcPr>
            <w:tcW w:w="2843" w:type="dxa"/>
            <w:tcBorders>
              <w:top w:val="single" w:sz="4" w:space="0" w:color="000000"/>
              <w:left w:val="single" w:sz="4" w:space="0" w:color="000000"/>
              <w:bottom w:val="single" w:sz="4" w:space="0" w:color="000000"/>
              <w:right w:val="single" w:sz="4" w:space="0" w:color="000000"/>
            </w:tcBorders>
          </w:tcPr>
          <w:p>
            <w:pPr/>
          </w:p>
        </w:tc>
        <w:tc>
          <w:tcPr>
            <w:tcW w:w="2866" w:type="dxa"/>
            <w:tcBorders>
              <w:top w:val="single" w:sz="4" w:space="0" w:color="000000"/>
              <w:left w:val="single" w:sz="4" w:space="0" w:color="000000"/>
              <w:bottom w:val="single" w:sz="4" w:space="0" w:color="000000"/>
              <w:right w:val="single" w:sz="4" w:space="0" w:color="000000"/>
            </w:tcBorders>
          </w:tcPr>
          <w:p>
            <w:pPr/>
          </w:p>
        </w:tc>
        <w:tc>
          <w:tcPr>
            <w:tcW w:w="3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597,049,158</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455,622,484</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82" w:footer="1195" w:top="1080" w:bottom="1380" w:left="1060" w:right="156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(2).</w:t>
        <w:tab/>
      </w:r>
      <w:r>
        <w:rPr/>
        <w:t>账龄超过</w:t>
      </w:r>
      <w:r>
        <w:rPr>
          <w:spacing w:val="-63"/>
        </w:rPr>
        <w:t> </w:t>
      </w:r>
      <w:r>
        <w:rPr>
          <w:rFonts w:ascii="宋体" w:hAnsi="宋体" w:cs="宋体" w:eastAsia="宋体" w:hint="default"/>
        </w:rPr>
        <w:t>1</w:t>
      </w:r>
      <w:r>
        <w:rPr>
          <w:rFonts w:ascii="宋体" w:hAnsi="宋体" w:cs="宋体" w:eastAsia="宋体" w:hint="default"/>
          <w:spacing w:val="-61"/>
        </w:rPr>
        <w:t> </w:t>
      </w:r>
      <w:r>
        <w:rPr/>
        <w:t>年的重要应付账款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4310" w:space="1883"/>
            <w:col w:w="3097"/>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284"/>
        <w:gridCol w:w="2828"/>
        <w:gridCol w:w="2938"/>
      </w:tblGrid>
      <w:tr>
        <w:trPr>
          <w:trHeight w:val="322"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95"/>
              <w:jc w:val="right"/>
              <w:rPr>
                <w:rFonts w:ascii="宋体" w:hAnsi="宋体" w:cs="宋体" w:eastAsia="宋体" w:hint="default"/>
                <w:sz w:val="24"/>
                <w:szCs w:val="24"/>
              </w:rPr>
            </w:pPr>
            <w:r>
              <w:rPr>
                <w:rFonts w:ascii="宋体" w:hAnsi="宋体" w:cs="宋体" w:eastAsia="宋体" w:hint="default"/>
                <w:sz w:val="24"/>
                <w:szCs w:val="24"/>
              </w:rPr>
              <w:t>项目</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28"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未偿还或结转的原因</w:t>
            </w:r>
          </w:p>
        </w:tc>
      </w:tr>
      <w:tr>
        <w:trPr>
          <w:trHeight w:val="320"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4,316,451</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未到付款期</w:t>
            </w:r>
          </w:p>
        </w:tc>
      </w:tr>
      <w:tr>
        <w:trPr>
          <w:trHeight w:val="322"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4,153,138</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未到付款期</w:t>
            </w:r>
          </w:p>
        </w:tc>
      </w:tr>
      <w:tr>
        <w:trPr>
          <w:trHeight w:val="322"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2,856,410</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未到付款期</w:t>
            </w:r>
          </w:p>
        </w:tc>
      </w:tr>
      <w:tr>
        <w:trPr>
          <w:trHeight w:val="322"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2,127,366</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未到付款期</w:t>
            </w:r>
          </w:p>
        </w:tc>
      </w:tr>
      <w:tr>
        <w:trPr>
          <w:trHeight w:val="322"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2,064,936</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未到付款期</w:t>
            </w:r>
          </w:p>
        </w:tc>
      </w:tr>
      <w:tr>
        <w:trPr>
          <w:trHeight w:val="322"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95"/>
              <w:jc w:val="right"/>
              <w:rPr>
                <w:rFonts w:ascii="宋体" w:hAnsi="宋体" w:cs="宋体" w:eastAsia="宋体" w:hint="default"/>
                <w:sz w:val="24"/>
                <w:szCs w:val="24"/>
              </w:rPr>
            </w:pPr>
            <w:r>
              <w:rPr>
                <w:rFonts w:ascii="宋体" w:hAnsi="宋体" w:cs="宋体" w:eastAsia="宋体" w:hint="default"/>
                <w:sz w:val="24"/>
                <w:szCs w:val="24"/>
              </w:rPr>
              <w:t>合计</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15,518,301</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sz w:val="24"/>
              </w:rPr>
              <w:t>/</w:t>
            </w:r>
          </w:p>
        </w:tc>
      </w:tr>
    </w:tbl>
    <w:p>
      <w:pPr>
        <w:spacing w:line="240" w:lineRule="auto" w:before="0"/>
        <w:rPr>
          <w:rFonts w:ascii="宋体" w:hAnsi="宋体" w:cs="宋体" w:eastAsia="宋体" w:hint="default"/>
          <w:sz w:val="16"/>
          <w:szCs w:val="16"/>
        </w:rPr>
      </w:pPr>
    </w:p>
    <w:p>
      <w:pPr>
        <w:pStyle w:val="BodyText"/>
        <w:spacing w:line="312" w:lineRule="exact" w:before="26"/>
        <w:ind w:left="216" w:right="0"/>
        <w:jc w:val="left"/>
      </w:pPr>
      <w:r>
        <w:rPr/>
        <w:t>其他说明</w:t>
      </w:r>
    </w:p>
    <w:p>
      <w:pPr>
        <w:pStyle w:val="BodyText"/>
        <w:spacing w:line="312" w:lineRule="exact"/>
        <w:ind w:left="216" w:right="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36</w:t>
      </w:r>
      <w:r>
        <w:rPr/>
        <w:t>、</w:t>
      </w:r>
      <w:r>
        <w:rPr>
          <w:spacing w:val="-101"/>
        </w:rPr>
        <w:t> </w:t>
      </w:r>
      <w:r>
        <w:rPr/>
        <w:t>预收款项</w:t>
      </w:r>
      <w:r>
        <w:rPr>
          <w:rFonts w:ascii="宋体" w:hAnsi="宋体" w:cs="宋体" w:eastAsia="宋体" w:hint="default"/>
          <w:w w:val="99"/>
        </w:rPr>
        <w:t> </w:t>
      </w:r>
      <w:r>
        <w:rPr>
          <w:rFonts w:ascii="宋体" w:hAnsi="宋体" w:cs="宋体" w:eastAsia="宋体" w:hint="default"/>
          <w:b w:val="0"/>
          <w:bCs w:val="0"/>
        </w:rPr>
      </w:r>
    </w:p>
    <w:p>
      <w:pPr>
        <w:pStyle w:val="Heading2"/>
        <w:spacing w:line="240" w:lineRule="auto" w:before="58"/>
        <w:ind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2"/>
        </w:rPr>
        <w:t> </w:t>
      </w:r>
      <w:r>
        <w:rPr/>
        <w:t>预收账款项列示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630" w:space="3564"/>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900"/>
        <w:gridCol w:w="3077"/>
        <w:gridCol w:w="3073"/>
      </w:tblGrid>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03"/>
              <w:jc w:val="right"/>
              <w:rPr>
                <w:rFonts w:ascii="宋体" w:hAnsi="宋体" w:cs="宋体" w:eastAsia="宋体" w:hint="default"/>
                <w:sz w:val="24"/>
                <w:szCs w:val="24"/>
              </w:rPr>
            </w:pPr>
            <w:r>
              <w:rPr>
                <w:rFonts w:ascii="宋体" w:hAnsi="宋体" w:cs="宋体" w:eastAsia="宋体" w:hint="default"/>
                <w:sz w:val="24"/>
                <w:szCs w:val="24"/>
              </w:rPr>
              <w:t>项目</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947,986,478</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800,646,833</w:t>
            </w:r>
          </w:p>
        </w:tc>
      </w:tr>
      <w:tr>
        <w:trPr>
          <w:trHeight w:val="319"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 </w:t>
            </w:r>
            <w:r>
              <w:rPr>
                <w:rFonts w:ascii="宋体" w:hAnsi="宋体" w:cs="宋体" w:eastAsia="宋体" w:hint="default"/>
                <w:sz w:val="24"/>
                <w:szCs w:val="24"/>
              </w:rPr>
              <w:t>年</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125,428,241</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110,183,526</w:t>
            </w:r>
          </w:p>
        </w:tc>
      </w:tr>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 </w:t>
            </w:r>
            <w:r>
              <w:rPr>
                <w:rFonts w:ascii="宋体" w:hAnsi="宋体" w:cs="宋体" w:eastAsia="宋体" w:hint="default"/>
                <w:sz w:val="24"/>
                <w:szCs w:val="24"/>
              </w:rPr>
              <w:t>年</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59,906,473</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63,825,036</w:t>
            </w:r>
          </w:p>
        </w:tc>
      </w:tr>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年以上</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134,417,264</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105,027,703</w:t>
            </w:r>
          </w:p>
        </w:tc>
      </w:tr>
      <w:tr>
        <w:trPr>
          <w:trHeight w:val="286" w:hRule="exact"/>
        </w:trPr>
        <w:tc>
          <w:tcPr>
            <w:tcW w:w="2900"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c>
          <w:tcPr>
            <w:tcW w:w="307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03"/>
              <w:jc w:val="right"/>
              <w:rPr>
                <w:rFonts w:ascii="宋体" w:hAnsi="宋体" w:cs="宋体" w:eastAsia="宋体" w:hint="default"/>
                <w:sz w:val="24"/>
                <w:szCs w:val="24"/>
              </w:rPr>
            </w:pPr>
            <w:r>
              <w:rPr>
                <w:rFonts w:ascii="宋体" w:hAnsi="宋体" w:cs="宋体" w:eastAsia="宋体" w:hint="default"/>
                <w:sz w:val="24"/>
                <w:szCs w:val="24"/>
              </w:rPr>
              <w:t>合计</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1,267,738,456</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1,079,683,098</w:t>
            </w:r>
          </w:p>
        </w:tc>
      </w:tr>
    </w:tbl>
    <w:p>
      <w:pPr>
        <w:pStyle w:val="BodyText"/>
        <w:spacing w:line="273" w:lineRule="exact"/>
        <w:ind w:left="216" w:right="0"/>
        <w:jc w:val="left"/>
      </w:pPr>
      <w:r>
        <w:rPr>
          <w:spacing w:val="-3"/>
        </w:rPr>
        <w:t>预收款项为预收客户有关软件销售、维护服务及云服务的款项。该款项按照收入确认</w:t>
      </w:r>
    </w:p>
    <w:p>
      <w:pPr>
        <w:spacing w:line="283" w:lineRule="auto" w:before="0"/>
        <w:ind w:left="216" w:right="4970" w:firstLine="0"/>
        <w:jc w:val="left"/>
        <w:rPr>
          <w:rFonts w:ascii="宋体" w:hAnsi="宋体" w:cs="宋体" w:eastAsia="宋体" w:hint="default"/>
          <w:sz w:val="24"/>
          <w:szCs w:val="24"/>
        </w:rPr>
      </w:pPr>
      <w:r>
        <w:rPr>
          <w:rFonts w:ascii="宋体" w:hAnsi="宋体" w:cs="宋体" w:eastAsia="宋体" w:hint="default"/>
          <w:sz w:val="24"/>
          <w:szCs w:val="24"/>
        </w:rPr>
        <w:t>的会计政策应于以后年度确认收入。 </w:t>
      </w:r>
      <w:r>
        <w:rPr>
          <w:rFonts w:ascii="宋体" w:hAnsi="宋体" w:cs="宋体" w:eastAsia="宋体" w:hint="default"/>
          <w:b/>
          <w:bCs/>
          <w:sz w:val="24"/>
          <w:szCs w:val="24"/>
        </w:rPr>
        <w:t>(2).</w:t>
      </w:r>
      <w:r>
        <w:rPr>
          <w:rFonts w:ascii="宋体" w:hAnsi="宋体" w:cs="宋体" w:eastAsia="宋体" w:hint="default"/>
          <w:b/>
          <w:bCs/>
          <w:spacing w:val="-3"/>
          <w:sz w:val="24"/>
          <w:szCs w:val="24"/>
        </w:rPr>
        <w:t> </w:t>
      </w:r>
      <w:r>
        <w:rPr>
          <w:rFonts w:ascii="宋体" w:hAnsi="宋体" w:cs="宋体" w:eastAsia="宋体" w:hint="default"/>
          <w:b/>
          <w:bCs/>
          <w:sz w:val="24"/>
          <w:szCs w:val="24"/>
        </w:rPr>
        <w:t>账龄超过</w:t>
      </w:r>
      <w:r>
        <w:rPr>
          <w:rFonts w:ascii="宋体" w:hAnsi="宋体" w:cs="宋体" w:eastAsia="宋体" w:hint="default"/>
          <w:b/>
          <w:bCs/>
          <w:spacing w:val="-62"/>
          <w:sz w:val="24"/>
          <w:szCs w:val="24"/>
        </w:rPr>
        <w:t> </w:t>
      </w:r>
      <w:r>
        <w:rPr>
          <w:rFonts w:ascii="宋体" w:hAnsi="宋体" w:cs="宋体" w:eastAsia="宋体" w:hint="default"/>
          <w:b/>
          <w:bCs/>
          <w:sz w:val="24"/>
          <w:szCs w:val="24"/>
        </w:rPr>
        <w:t>1</w:t>
      </w:r>
      <w:r>
        <w:rPr>
          <w:rFonts w:ascii="宋体" w:hAnsi="宋体" w:cs="宋体" w:eastAsia="宋体" w:hint="default"/>
          <w:b/>
          <w:bCs/>
          <w:spacing w:val="-60"/>
          <w:sz w:val="24"/>
          <w:szCs w:val="24"/>
        </w:rPr>
        <w:t> </w:t>
      </w:r>
      <w:r>
        <w:rPr>
          <w:rFonts w:ascii="宋体" w:hAnsi="宋体" w:cs="宋体" w:eastAsia="宋体" w:hint="default"/>
          <w:b/>
          <w:bCs/>
          <w:sz w:val="24"/>
          <w:szCs w:val="24"/>
        </w:rPr>
        <w:t>年的重要预收款项</w:t>
      </w:r>
      <w:r>
        <w:rPr>
          <w:rFonts w:ascii="宋体" w:hAnsi="宋体" w:cs="宋体" w:eastAsia="宋体" w:hint="default"/>
          <w:b/>
          <w:bCs/>
          <w:w w:val="99"/>
          <w:sz w:val="24"/>
          <w:szCs w:val="24"/>
        </w:rPr>
        <w:t> </w:t>
      </w:r>
      <w:r>
        <w:rPr>
          <w:rFonts w:ascii="宋体" w:hAnsi="宋体" w:cs="宋体" w:eastAsia="宋体" w:hint="default"/>
          <w:sz w:val="24"/>
          <w:szCs w:val="24"/>
        </w:rPr>
      </w:r>
    </w:p>
    <w:p>
      <w:pPr>
        <w:pStyle w:val="BodyText"/>
        <w:spacing w:line="240" w:lineRule="auto" w:before="12"/>
        <w:ind w:left="216" w:right="0"/>
        <w:jc w:val="left"/>
      </w:pPr>
      <w:r>
        <w:rPr/>
        <w:t>√适用</w:t>
      </w:r>
      <w:r>
        <w:rPr>
          <w:spacing w:val="-1"/>
        </w:rPr>
        <w:t> </w:t>
      </w:r>
      <w:r>
        <w:rPr>
          <w:rFonts w:ascii="Times New Roman" w:hAnsi="Times New Roman" w:cs="Times New Roman" w:eastAsia="Times New Roman" w:hint="default"/>
        </w:rPr>
        <w:t>□</w:t>
      </w:r>
      <w:r>
        <w:rPr/>
        <w:t>不适用</w:t>
      </w:r>
    </w:p>
    <w:p>
      <w:pPr>
        <w:pStyle w:val="BodyText"/>
        <w:tabs>
          <w:tab w:pos="1199" w:val="left" w:leader="none"/>
        </w:tabs>
        <w:spacing w:line="294" w:lineRule="exact"/>
        <w:ind w:left="0" w:right="233"/>
        <w:jc w:val="right"/>
      </w:pPr>
      <w:r>
        <w:rPr/>
        <w:t>单位：元</w:t>
        <w:tab/>
        <w:t>币种：人民币</w:t>
      </w: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900"/>
        <w:gridCol w:w="3192"/>
        <w:gridCol w:w="2957"/>
      </w:tblGrid>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未偿还或结转的原因</w:t>
            </w:r>
          </w:p>
        </w:tc>
      </w:tr>
      <w:tr>
        <w:trPr>
          <w:trHeight w:val="319"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7,082,985</w:t>
            </w:r>
          </w:p>
        </w:tc>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软件服务未交付完成</w:t>
            </w:r>
          </w:p>
        </w:tc>
      </w:tr>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4,066,667</w:t>
            </w:r>
          </w:p>
        </w:tc>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软件服务未交付完成</w:t>
            </w:r>
          </w:p>
        </w:tc>
      </w:tr>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3,779,367</w:t>
            </w:r>
          </w:p>
        </w:tc>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软件服务未交付完成</w:t>
            </w:r>
          </w:p>
        </w:tc>
      </w:tr>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2,911,642</w:t>
            </w:r>
          </w:p>
        </w:tc>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软件服务未交付完成</w:t>
            </w:r>
          </w:p>
        </w:tc>
      </w:tr>
    </w:tbl>
    <w:p>
      <w:pPr>
        <w:spacing w:after="0" w:line="274" w:lineRule="exact"/>
        <w:jc w:val="center"/>
        <w:rPr>
          <w:rFonts w:ascii="宋体" w:hAnsi="宋体" w:cs="宋体" w:eastAsia="宋体" w:hint="default"/>
          <w:sz w:val="24"/>
          <w:szCs w:val="24"/>
        </w:rPr>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2900"/>
        <w:gridCol w:w="3192"/>
        <w:gridCol w:w="2957"/>
      </w:tblGrid>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1,843,936</w:t>
            </w:r>
          </w:p>
        </w:tc>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软件服务未交付完成</w:t>
            </w:r>
          </w:p>
        </w:tc>
      </w:tr>
      <w:tr>
        <w:trPr>
          <w:trHeight w:val="322"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19,684,597</w:t>
            </w:r>
          </w:p>
        </w:tc>
        <w:tc>
          <w:tcPr>
            <w:tcW w:w="29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sz w:val="24"/>
              </w:rPr>
              <w:t>/</w:t>
            </w:r>
          </w:p>
        </w:tc>
      </w:tr>
    </w:tbl>
    <w:p>
      <w:pPr>
        <w:spacing w:line="240" w:lineRule="auto" w:before="8"/>
        <w:rPr>
          <w:rFonts w:ascii="宋体" w:hAnsi="宋体" w:cs="宋体" w:eastAsia="宋体" w:hint="default"/>
          <w:sz w:val="20"/>
          <w:szCs w:val="20"/>
        </w:r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2"/>
        </w:rPr>
        <w:t> </w:t>
      </w:r>
      <w:r>
        <w:rPr/>
        <w:t>期末建造合同形成的已结算未完工项目情况</w:t>
      </w:r>
      <w:r>
        <w:rPr>
          <w:rFonts w:ascii="宋体" w:hAnsi="宋体" w:cs="宋体" w:eastAsia="宋体" w:hint="default"/>
          <w:w w:val="99"/>
        </w:rPr>
        <w:t> </w:t>
      </w:r>
      <w:r>
        <w:rPr>
          <w:rFonts w:ascii="宋体" w:hAnsi="宋体" w:cs="宋体" w:eastAsia="宋体" w:hint="default"/>
          <w:b w:val="0"/>
          <w:bCs w:val="0"/>
        </w:rPr>
      </w:r>
    </w:p>
    <w:p>
      <w:pPr>
        <w:pStyle w:val="BodyText"/>
        <w:spacing w:line="310" w:lineRule="exact" w:before="90"/>
        <w:ind w:left="216" w:right="7250"/>
        <w:jc w:val="left"/>
      </w:pPr>
      <w:r>
        <w:rPr/>
        <w:t>□适用 √不适用 其他说明</w:t>
      </w:r>
    </w:p>
    <w:p>
      <w:pPr>
        <w:pStyle w:val="BodyText"/>
        <w:spacing w:line="284" w:lineRule="exact"/>
        <w:ind w:left="216" w:right="0"/>
        <w:jc w:val="left"/>
      </w:pPr>
      <w:r>
        <w:rPr/>
        <w:t>□适用 √不适用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82" w:footer="1195" w:top="108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37</w:t>
      </w:r>
      <w:r>
        <w:rPr/>
        <w:t>、</w:t>
      </w:r>
      <w:r>
        <w:rPr>
          <w:spacing w:val="-103"/>
        </w:rPr>
        <w:t> </w:t>
      </w:r>
      <w:r>
        <w:rPr/>
        <w:t>应付职工薪酬</w:t>
      </w:r>
      <w:r>
        <w:rPr>
          <w:rFonts w:ascii="宋体" w:hAnsi="宋体" w:cs="宋体" w:eastAsia="宋体" w:hint="default"/>
          <w:w w:val="99"/>
        </w:rPr>
        <w:t> </w:t>
      </w:r>
      <w:r>
        <w:rPr>
          <w:rFonts w:ascii="宋体" w:hAnsi="宋体" w:cs="宋体" w:eastAsia="宋体" w:hint="default"/>
          <w:b w:val="0"/>
          <w:bCs w:val="0"/>
        </w:rPr>
      </w:r>
    </w:p>
    <w:p>
      <w:pPr>
        <w:pStyle w:val="Heading2"/>
        <w:tabs>
          <w:tab w:pos="1057" w:val="left" w:leader="none"/>
        </w:tabs>
        <w:spacing w:line="240" w:lineRule="auto" w:before="55"/>
        <w:ind w:right="0"/>
        <w:jc w:val="left"/>
        <w:rPr>
          <w:rFonts w:ascii="宋体" w:hAnsi="宋体" w:cs="宋体" w:eastAsia="宋体" w:hint="default"/>
          <w:b w:val="0"/>
          <w:bCs w:val="0"/>
        </w:rPr>
      </w:pPr>
      <w:r>
        <w:rPr>
          <w:rFonts w:ascii="宋体" w:hAnsi="宋体" w:cs="宋体" w:eastAsia="宋体" w:hint="default"/>
        </w:rPr>
        <w:t>(1).</w:t>
        <w:tab/>
      </w:r>
      <w:r>
        <w:rPr/>
        <w:t>应付职工薪酬列示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3106" w:space="3088"/>
            <w:col w:w="3096"/>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600"/>
        <w:gridCol w:w="1613"/>
        <w:gridCol w:w="1606"/>
        <w:gridCol w:w="1610"/>
        <w:gridCol w:w="1621"/>
      </w:tblGrid>
      <w:tr>
        <w:trPr>
          <w:trHeight w:val="322"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055"/>
              <w:jc w:val="right"/>
              <w:rPr>
                <w:rFonts w:ascii="宋体" w:hAnsi="宋体" w:cs="宋体" w:eastAsia="宋体" w:hint="default"/>
                <w:sz w:val="24"/>
                <w:szCs w:val="24"/>
              </w:rPr>
            </w:pPr>
            <w:r>
              <w:rPr>
                <w:rFonts w:ascii="宋体" w:hAnsi="宋体" w:cs="宋体" w:eastAsia="宋体" w:hint="default"/>
                <w:sz w:val="24"/>
                <w:szCs w:val="24"/>
              </w:rPr>
              <w:t>项目</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19"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16"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19"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23"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322"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44"/>
              <w:jc w:val="right"/>
              <w:rPr>
                <w:rFonts w:ascii="宋体" w:hAnsi="宋体" w:cs="宋体" w:eastAsia="宋体" w:hint="default"/>
                <w:sz w:val="24"/>
                <w:szCs w:val="24"/>
              </w:rPr>
            </w:pPr>
            <w:r>
              <w:rPr>
                <w:rFonts w:ascii="宋体" w:hAnsi="宋体" w:cs="宋体" w:eastAsia="宋体" w:hint="default"/>
                <w:sz w:val="24"/>
                <w:szCs w:val="24"/>
              </w:rPr>
              <w:t>一、短期薪酬</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3"/>
              <w:jc w:val="right"/>
              <w:rPr>
                <w:rFonts w:ascii="Times New Roman" w:hAnsi="Times New Roman" w:cs="Times New Roman" w:eastAsia="Times New Roman" w:hint="default"/>
                <w:sz w:val="24"/>
                <w:szCs w:val="24"/>
              </w:rPr>
            </w:pPr>
            <w:r>
              <w:rPr>
                <w:rFonts w:ascii="Times New Roman"/>
                <w:sz w:val="24"/>
              </w:rPr>
              <w:t>1,137,730,866</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4,124,783,336</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4,134,993,799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1,127,520,403</w:t>
            </w:r>
          </w:p>
        </w:tc>
      </w:tr>
      <w:tr>
        <w:trPr>
          <w:trHeight w:val="634"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宋体" w:hAnsi="宋体" w:cs="宋体" w:eastAsia="宋体" w:hint="default"/>
                <w:sz w:val="24"/>
                <w:szCs w:val="24"/>
              </w:rPr>
            </w:pPr>
            <w:r>
              <w:rPr>
                <w:rFonts w:ascii="宋体" w:hAnsi="宋体" w:cs="宋体" w:eastAsia="宋体" w:hint="default"/>
                <w:spacing w:val="-9"/>
                <w:sz w:val="24"/>
                <w:szCs w:val="24"/>
              </w:rPr>
              <w:t>二、离职后福利</w:t>
            </w:r>
            <w:r>
              <w:rPr>
                <w:rFonts w:ascii="Times New Roman" w:hAnsi="Times New Roman" w:cs="Times New Roman" w:eastAsia="Times New Roman" w:hint="default"/>
                <w:spacing w:val="-9"/>
                <w:sz w:val="24"/>
                <w:szCs w:val="24"/>
              </w:rPr>
              <w:t>-</w:t>
            </w:r>
            <w:r>
              <w:rPr>
                <w:rFonts w:ascii="宋体" w:hAnsi="宋体" w:cs="宋体" w:eastAsia="宋体" w:hint="default"/>
                <w:spacing w:val="-9"/>
                <w:sz w:val="24"/>
                <w:szCs w:val="24"/>
              </w:rPr>
              <w:t>设定提</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存计划</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3"/>
              <w:jc w:val="right"/>
              <w:rPr>
                <w:rFonts w:ascii="Times New Roman" w:hAnsi="Times New Roman" w:cs="Times New Roman" w:eastAsia="Times New Roman" w:hint="default"/>
                <w:sz w:val="24"/>
                <w:szCs w:val="24"/>
              </w:rPr>
            </w:pPr>
            <w:r>
              <w:rPr>
                <w:rFonts w:ascii="Times New Roman"/>
                <w:sz w:val="24"/>
              </w:rPr>
              <w:t>22,628,891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378,838,083</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370,105,943</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31,361,031</w:t>
            </w:r>
          </w:p>
        </w:tc>
      </w:tr>
      <w:tr>
        <w:trPr>
          <w:trHeight w:val="319"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44"/>
              <w:jc w:val="right"/>
              <w:rPr>
                <w:rFonts w:ascii="宋体" w:hAnsi="宋体" w:cs="宋体" w:eastAsia="宋体" w:hint="default"/>
                <w:sz w:val="24"/>
                <w:szCs w:val="24"/>
              </w:rPr>
            </w:pPr>
            <w:r>
              <w:rPr>
                <w:rFonts w:ascii="宋体" w:hAnsi="宋体" w:cs="宋体" w:eastAsia="宋体" w:hint="default"/>
                <w:sz w:val="24"/>
                <w:szCs w:val="24"/>
              </w:rPr>
              <w:t>三、辞退福利</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4"/>
                <w:szCs w:val="24"/>
              </w:rPr>
            </w:pPr>
            <w:r>
              <w:rPr>
                <w:rFonts w:ascii="Times New Roman"/>
                <w:sz w:val="24"/>
              </w:rPr>
              <w:t>42,812</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6,874,821</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6,815,452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102,181</w:t>
            </w:r>
          </w:p>
        </w:tc>
      </w:tr>
      <w:tr>
        <w:trPr>
          <w:trHeight w:val="634"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四、一年内到期的其他</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福利</w:t>
            </w:r>
          </w:p>
        </w:tc>
        <w:tc>
          <w:tcPr>
            <w:tcW w:w="1613" w:type="dxa"/>
            <w:tcBorders>
              <w:top w:val="single" w:sz="4" w:space="0" w:color="000000"/>
              <w:left w:val="single" w:sz="4" w:space="0" w:color="000000"/>
              <w:bottom w:val="single" w:sz="4" w:space="0" w:color="000000"/>
              <w:right w:val="single" w:sz="4" w:space="0" w:color="000000"/>
            </w:tcBorders>
          </w:tcPr>
          <w:p>
            <w:pPr/>
          </w:p>
        </w:tc>
        <w:tc>
          <w:tcPr>
            <w:tcW w:w="1606"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600"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606"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600"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606"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55"/>
              <w:jc w:val="right"/>
              <w:rPr>
                <w:rFonts w:ascii="宋体" w:hAnsi="宋体" w:cs="宋体" w:eastAsia="宋体" w:hint="default"/>
                <w:sz w:val="24"/>
                <w:szCs w:val="24"/>
              </w:rPr>
            </w:pPr>
            <w:r>
              <w:rPr>
                <w:rFonts w:ascii="宋体" w:hAnsi="宋体" w:cs="宋体" w:eastAsia="宋体" w:hint="default"/>
                <w:sz w:val="24"/>
                <w:szCs w:val="24"/>
              </w:rPr>
              <w:t>合计</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3"/>
              <w:jc w:val="right"/>
              <w:rPr>
                <w:rFonts w:ascii="Times New Roman" w:hAnsi="Times New Roman" w:cs="Times New Roman" w:eastAsia="Times New Roman" w:hint="default"/>
                <w:sz w:val="24"/>
                <w:szCs w:val="24"/>
              </w:rPr>
            </w:pPr>
            <w:r>
              <w:rPr>
                <w:rFonts w:ascii="Times New Roman"/>
                <w:sz w:val="24"/>
              </w:rPr>
              <w:t>1,160,402,569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4,510,496,240</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4,511,915,194</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1,158,983,615</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60" w:right="156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(2).</w:t>
        <w:tab/>
      </w:r>
      <w:r>
        <w:rPr/>
        <w:t>短期薪酬列示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120" w:bottom="1380" w:left="1060" w:right="1560"/>
          <w:cols w:num="2" w:equalWidth="0">
            <w:col w:w="2623" w:space="3744"/>
            <w:col w:w="2923"/>
          </w:cols>
        </w:sectPr>
      </w:pPr>
    </w:p>
    <w:tbl>
      <w:tblPr>
        <w:tblW w:w="0" w:type="auto"/>
        <w:jc w:val="left"/>
        <w:tblInd w:w="103" w:type="dxa"/>
        <w:tblLayout w:type="fixed"/>
        <w:tblCellMar>
          <w:top w:w="0" w:type="dxa"/>
          <w:left w:w="0" w:type="dxa"/>
          <w:bottom w:w="0" w:type="dxa"/>
          <w:right w:w="0" w:type="dxa"/>
        </w:tblCellMar>
        <w:tblLook w:val="01E0"/>
      </w:tblPr>
      <w:tblGrid>
        <w:gridCol w:w="2614"/>
        <w:gridCol w:w="1613"/>
        <w:gridCol w:w="1594"/>
        <w:gridCol w:w="1608"/>
        <w:gridCol w:w="1621"/>
      </w:tblGrid>
      <w:tr>
        <w:trPr>
          <w:trHeight w:val="32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
              <w:jc w:val="center"/>
              <w:rPr>
                <w:rFonts w:ascii="宋体" w:hAnsi="宋体" w:cs="宋体" w:eastAsia="宋体" w:hint="default"/>
                <w:sz w:val="24"/>
                <w:szCs w:val="24"/>
              </w:rPr>
            </w:pPr>
            <w:r>
              <w:rPr>
                <w:rFonts w:ascii="宋体" w:hAnsi="宋体" w:cs="宋体" w:eastAsia="宋体" w:hint="default"/>
                <w:sz w:val="24"/>
                <w:szCs w:val="24"/>
              </w:rPr>
              <w:t>项目</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19"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09"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19"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323"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634"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一、工资、奖金、津贴</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和补贴</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1,112,976,050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3,453,841,11</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2</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3,466,297,482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1,100,519,680</w:t>
            </w:r>
          </w:p>
        </w:tc>
      </w:tr>
      <w:tr>
        <w:trPr>
          <w:trHeight w:val="32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二、职工福利费</w:t>
            </w:r>
          </w:p>
        </w:tc>
        <w:tc>
          <w:tcPr>
            <w:tcW w:w="1613"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54,617,422</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54,617,422</w:t>
            </w:r>
          </w:p>
        </w:tc>
        <w:tc>
          <w:tcPr>
            <w:tcW w:w="1621"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三、社会保险费</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12,395,253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227,195,846</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223,671,700</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15,919,399</w:t>
            </w:r>
          </w:p>
        </w:tc>
      </w:tr>
      <w:tr>
        <w:trPr>
          <w:trHeight w:val="32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其中：医疗保险费</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10,938,603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207,616,246</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204,662,882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13,891,967</w:t>
            </w:r>
          </w:p>
        </w:tc>
      </w:tr>
      <w:tr>
        <w:trPr>
          <w:trHeight w:val="32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823" w:right="0"/>
              <w:jc w:val="left"/>
              <w:rPr>
                <w:rFonts w:ascii="宋体" w:hAnsi="宋体" w:cs="宋体" w:eastAsia="宋体" w:hint="default"/>
                <w:sz w:val="24"/>
                <w:szCs w:val="24"/>
              </w:rPr>
            </w:pPr>
            <w:r>
              <w:rPr>
                <w:rFonts w:ascii="宋体" w:hAnsi="宋体" w:cs="宋体" w:eastAsia="宋体" w:hint="default"/>
                <w:sz w:val="24"/>
                <w:szCs w:val="24"/>
              </w:rPr>
              <w:t>工伤保险费</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03"/>
              <w:jc w:val="right"/>
              <w:rPr>
                <w:rFonts w:ascii="Times New Roman" w:hAnsi="Times New Roman" w:cs="Times New Roman" w:eastAsia="Times New Roman" w:hint="default"/>
                <w:sz w:val="24"/>
                <w:szCs w:val="24"/>
              </w:rPr>
            </w:pPr>
            <w:r>
              <w:rPr>
                <w:rFonts w:ascii="Times New Roman"/>
                <w:sz w:val="24"/>
              </w:rPr>
              <w:t>346,399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05"/>
              <w:jc w:val="right"/>
              <w:rPr>
                <w:rFonts w:ascii="Times New Roman" w:hAnsi="Times New Roman" w:cs="Times New Roman" w:eastAsia="Times New Roman" w:hint="default"/>
                <w:sz w:val="24"/>
                <w:szCs w:val="24"/>
              </w:rPr>
            </w:pPr>
            <w:r>
              <w:rPr>
                <w:rFonts w:ascii="Times New Roman"/>
                <w:sz w:val="24"/>
              </w:rPr>
              <w:t>4,128,636</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01"/>
              <w:jc w:val="right"/>
              <w:rPr>
                <w:rFonts w:ascii="Times New Roman" w:hAnsi="Times New Roman" w:cs="Times New Roman" w:eastAsia="Times New Roman" w:hint="default"/>
                <w:sz w:val="24"/>
                <w:szCs w:val="24"/>
              </w:rPr>
            </w:pPr>
            <w:r>
              <w:rPr>
                <w:rFonts w:ascii="Times New Roman"/>
                <w:sz w:val="24"/>
              </w:rPr>
              <w:t>4,020,473</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01"/>
              <w:jc w:val="right"/>
              <w:rPr>
                <w:rFonts w:ascii="Times New Roman" w:hAnsi="Times New Roman" w:cs="Times New Roman" w:eastAsia="Times New Roman" w:hint="default"/>
                <w:sz w:val="24"/>
                <w:szCs w:val="24"/>
              </w:rPr>
            </w:pPr>
            <w:r>
              <w:rPr>
                <w:rFonts w:ascii="Times New Roman"/>
                <w:sz w:val="24"/>
              </w:rPr>
              <w:t>454,562</w:t>
            </w:r>
          </w:p>
        </w:tc>
      </w:tr>
      <w:tr>
        <w:trPr>
          <w:trHeight w:val="32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生育保险费</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1,110,251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15,450,964</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14,988,345</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1,572,870</w:t>
            </w:r>
          </w:p>
        </w:tc>
      </w:tr>
      <w:tr>
        <w:trPr>
          <w:trHeight w:val="286" w:hRule="exact"/>
        </w:trPr>
        <w:tc>
          <w:tcPr>
            <w:tcW w:w="261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61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四、住房公积金</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2,870,574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385,908,342</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384,425,653</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4,353,263</w:t>
            </w:r>
          </w:p>
        </w:tc>
      </w:tr>
      <w:tr>
        <w:trPr>
          <w:trHeight w:val="634"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五、工会经费和职工教</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育经费</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6,101,120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2,657,505</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2,909,446</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5,849,179</w:t>
            </w:r>
          </w:p>
        </w:tc>
      </w:tr>
      <w:tr>
        <w:trPr>
          <w:trHeight w:val="32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六、短期带薪缺勤</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3,387,869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563,109</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3,072,096</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878,882</w:t>
            </w:r>
          </w:p>
        </w:tc>
      </w:tr>
      <w:tr>
        <w:trPr>
          <w:trHeight w:val="319"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七、短期利润分享计划</w:t>
            </w:r>
          </w:p>
        </w:tc>
        <w:tc>
          <w:tcPr>
            <w:tcW w:w="1613"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261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2614"/>
        <w:gridCol w:w="1613"/>
        <w:gridCol w:w="1594"/>
        <w:gridCol w:w="1608"/>
        <w:gridCol w:w="1621"/>
      </w:tblGrid>
      <w:tr>
        <w:trPr>
          <w:trHeight w:val="286" w:hRule="exact"/>
        </w:trPr>
        <w:tc>
          <w:tcPr>
            <w:tcW w:w="2614"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宋体" w:hAnsi="宋体" w:cs="宋体" w:eastAsia="宋体" w:hint="default"/>
                <w:sz w:val="24"/>
                <w:szCs w:val="24"/>
              </w:rPr>
            </w:pPr>
            <w:r>
              <w:rPr>
                <w:rFonts w:ascii="宋体" w:hAnsi="宋体" w:cs="宋体" w:eastAsia="宋体" w:hint="default"/>
                <w:sz w:val="24"/>
                <w:szCs w:val="24"/>
              </w:rPr>
              <w:t>合计</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18" w:right="0"/>
              <w:jc w:val="left"/>
              <w:rPr>
                <w:rFonts w:ascii="Times New Roman" w:hAnsi="Times New Roman" w:cs="Times New Roman" w:eastAsia="Times New Roman" w:hint="default"/>
                <w:sz w:val="24"/>
                <w:szCs w:val="24"/>
              </w:rPr>
            </w:pPr>
            <w:r>
              <w:rPr>
                <w:rFonts w:ascii="Times New Roman"/>
                <w:sz w:val="24"/>
              </w:rPr>
              <w:t>1,137,730,866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4,124,783,33</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6</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15" w:right="0"/>
              <w:jc w:val="left"/>
              <w:rPr>
                <w:rFonts w:ascii="Times New Roman" w:hAnsi="Times New Roman" w:cs="Times New Roman" w:eastAsia="Times New Roman" w:hint="default"/>
                <w:sz w:val="24"/>
                <w:szCs w:val="24"/>
              </w:rPr>
            </w:pPr>
            <w:r>
              <w:rPr>
                <w:rFonts w:ascii="Times New Roman"/>
                <w:sz w:val="24"/>
              </w:rPr>
              <w:t>4,134,993,799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27" w:right="0"/>
              <w:jc w:val="left"/>
              <w:rPr>
                <w:rFonts w:ascii="Times New Roman" w:hAnsi="Times New Roman" w:cs="Times New Roman" w:eastAsia="Times New Roman" w:hint="default"/>
                <w:sz w:val="24"/>
                <w:szCs w:val="24"/>
              </w:rPr>
            </w:pPr>
            <w:r>
              <w:rPr>
                <w:rFonts w:ascii="Times New Roman"/>
                <w:sz w:val="24"/>
              </w:rPr>
              <w:t>1,127,520,403</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82" w:footer="1195" w:top="1080" w:bottom="1380" w:left="1060" w:right="156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(3).</w:t>
        <w:tab/>
      </w:r>
      <w:r>
        <w:rPr/>
        <w:t>设定提存计划列示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3106" w:space="3088"/>
            <w:col w:w="3096"/>
          </w:cols>
        </w:sectPr>
      </w:pPr>
    </w:p>
    <w:p>
      <w:pPr>
        <w:spacing w:line="240" w:lineRule="auto" w:before="12"/>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2588"/>
        <w:gridCol w:w="1623"/>
        <w:gridCol w:w="1608"/>
        <w:gridCol w:w="1639"/>
        <w:gridCol w:w="1592"/>
      </w:tblGrid>
      <w:tr>
        <w:trPr>
          <w:trHeight w:val="324"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162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22"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14"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31"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307"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326"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100"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、基本养老保险</w:t>
            </w:r>
          </w:p>
        </w:tc>
        <w:tc>
          <w:tcPr>
            <w:tcW w:w="1623" w:type="dxa"/>
            <w:tcBorders>
              <w:top w:val="single" w:sz="6" w:space="0" w:color="000000"/>
              <w:left w:val="single" w:sz="6"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21,665,610</w:t>
            </w:r>
          </w:p>
        </w:tc>
        <w:tc>
          <w:tcPr>
            <w:tcW w:w="1608"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363,312,428</w:t>
            </w:r>
          </w:p>
        </w:tc>
        <w:tc>
          <w:tcPr>
            <w:tcW w:w="1639"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354,886,082</w:t>
            </w:r>
          </w:p>
        </w:tc>
        <w:tc>
          <w:tcPr>
            <w:tcW w:w="1592" w:type="dxa"/>
            <w:tcBorders>
              <w:top w:val="single" w:sz="6"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30,091,956</w:t>
            </w:r>
          </w:p>
        </w:tc>
      </w:tr>
      <w:tr>
        <w:trPr>
          <w:trHeight w:val="326"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100"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、失业保险费</w:t>
            </w:r>
          </w:p>
        </w:tc>
        <w:tc>
          <w:tcPr>
            <w:tcW w:w="1623"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right="103"/>
              <w:jc w:val="right"/>
              <w:rPr>
                <w:rFonts w:ascii="Times New Roman" w:hAnsi="Times New Roman" w:cs="Times New Roman" w:eastAsia="Times New Roman" w:hint="default"/>
                <w:sz w:val="24"/>
                <w:szCs w:val="24"/>
              </w:rPr>
            </w:pPr>
            <w:r>
              <w:rPr>
                <w:rFonts w:ascii="Times New Roman"/>
                <w:sz w:val="24"/>
              </w:rPr>
              <w:t>963,281</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05"/>
              <w:jc w:val="right"/>
              <w:rPr>
                <w:rFonts w:ascii="Times New Roman" w:hAnsi="Times New Roman" w:cs="Times New Roman" w:eastAsia="Times New Roman" w:hint="default"/>
                <w:sz w:val="24"/>
                <w:szCs w:val="24"/>
              </w:rPr>
            </w:pPr>
            <w:r>
              <w:rPr>
                <w:rFonts w:ascii="Times New Roman"/>
                <w:sz w:val="24"/>
              </w:rPr>
              <w:t>15,525,655</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01"/>
              <w:jc w:val="right"/>
              <w:rPr>
                <w:rFonts w:ascii="Times New Roman" w:hAnsi="Times New Roman" w:cs="Times New Roman" w:eastAsia="Times New Roman" w:hint="default"/>
                <w:sz w:val="24"/>
                <w:szCs w:val="24"/>
              </w:rPr>
            </w:pPr>
            <w:r>
              <w:rPr>
                <w:rFonts w:ascii="Times New Roman"/>
                <w:sz w:val="24"/>
              </w:rPr>
              <w:t>15,219,861</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01"/>
              <w:jc w:val="right"/>
              <w:rPr>
                <w:rFonts w:ascii="Times New Roman" w:hAnsi="Times New Roman" w:cs="Times New Roman" w:eastAsia="Times New Roman" w:hint="default"/>
                <w:sz w:val="24"/>
                <w:szCs w:val="24"/>
              </w:rPr>
            </w:pPr>
            <w:r>
              <w:rPr>
                <w:rFonts w:ascii="Times New Roman"/>
                <w:sz w:val="24"/>
              </w:rPr>
              <w:t>1,269,075</w:t>
            </w:r>
          </w:p>
        </w:tc>
      </w:tr>
      <w:tr>
        <w:trPr>
          <w:trHeight w:val="326"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100"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、企业年金缴费</w:t>
            </w:r>
          </w:p>
        </w:tc>
        <w:tc>
          <w:tcPr>
            <w:tcW w:w="1623" w:type="dxa"/>
            <w:tcBorders>
              <w:top w:val="single" w:sz="4" w:space="0" w:color="000000"/>
              <w:left w:val="single" w:sz="6"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39" w:type="dxa"/>
            <w:tcBorders>
              <w:top w:val="single" w:sz="4" w:space="0" w:color="000000"/>
              <w:left w:val="single" w:sz="4" w:space="0" w:color="000000"/>
              <w:bottom w:val="single" w:sz="4" w:space="0" w:color="000000"/>
              <w:right w:val="single" w:sz="4" w:space="0" w:color="000000"/>
            </w:tcBorders>
          </w:tcPr>
          <w:p>
            <w:pPr/>
          </w:p>
        </w:tc>
        <w:tc>
          <w:tcPr>
            <w:tcW w:w="1592"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2588" w:type="dxa"/>
            <w:tcBorders>
              <w:top w:val="single" w:sz="6" w:space="0" w:color="000000"/>
              <w:left w:val="single" w:sz="6" w:space="0" w:color="000000"/>
              <w:bottom w:val="single" w:sz="6" w:space="0" w:color="000000"/>
              <w:right w:val="single" w:sz="6" w:space="0" w:color="000000"/>
            </w:tcBorders>
          </w:tcPr>
          <w:p>
            <w:pPr/>
          </w:p>
        </w:tc>
        <w:tc>
          <w:tcPr>
            <w:tcW w:w="1623" w:type="dxa"/>
            <w:tcBorders>
              <w:top w:val="single" w:sz="4" w:space="0" w:color="000000"/>
              <w:left w:val="single" w:sz="6"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39" w:type="dxa"/>
            <w:tcBorders>
              <w:top w:val="single" w:sz="4" w:space="0" w:color="000000"/>
              <w:left w:val="single" w:sz="4" w:space="0" w:color="000000"/>
              <w:bottom w:val="single" w:sz="4" w:space="0" w:color="000000"/>
              <w:right w:val="single" w:sz="4" w:space="0" w:color="000000"/>
            </w:tcBorders>
          </w:tcPr>
          <w:p>
            <w:pPr/>
          </w:p>
        </w:tc>
        <w:tc>
          <w:tcPr>
            <w:tcW w:w="1592" w:type="dxa"/>
            <w:tcBorders>
              <w:top w:val="single" w:sz="4" w:space="0" w:color="000000"/>
              <w:left w:val="single" w:sz="4" w:space="0" w:color="000000"/>
              <w:bottom w:val="single" w:sz="4" w:space="0" w:color="000000"/>
              <w:right w:val="single" w:sz="4" w:space="0" w:color="000000"/>
            </w:tcBorders>
          </w:tcPr>
          <w:p>
            <w:pPr/>
          </w:p>
        </w:tc>
      </w:tr>
      <w:tr>
        <w:trPr>
          <w:trHeight w:val="291" w:hRule="exact"/>
        </w:trPr>
        <w:tc>
          <w:tcPr>
            <w:tcW w:w="2588" w:type="dxa"/>
            <w:tcBorders>
              <w:top w:val="single" w:sz="6" w:space="0" w:color="000000"/>
              <w:left w:val="single" w:sz="6" w:space="0" w:color="000000"/>
              <w:bottom w:val="single" w:sz="6" w:space="0" w:color="000000"/>
              <w:right w:val="single" w:sz="6" w:space="0" w:color="000000"/>
            </w:tcBorders>
          </w:tcPr>
          <w:p>
            <w:pPr/>
          </w:p>
        </w:tc>
        <w:tc>
          <w:tcPr>
            <w:tcW w:w="1623" w:type="dxa"/>
            <w:tcBorders>
              <w:top w:val="single" w:sz="4" w:space="0" w:color="000000"/>
              <w:left w:val="single" w:sz="6" w:space="0" w:color="000000"/>
              <w:bottom w:val="single" w:sz="4" w:space="0" w:color="000000"/>
              <w:right w:val="single" w:sz="4" w:space="0" w:color="000000"/>
            </w:tcBorders>
          </w:tcPr>
          <w:p>
            <w:pPr/>
          </w:p>
        </w:tc>
        <w:tc>
          <w:tcPr>
            <w:tcW w:w="1608" w:type="dxa"/>
            <w:tcBorders>
              <w:top w:val="single" w:sz="4" w:space="0" w:color="000000"/>
              <w:left w:val="single" w:sz="4" w:space="0" w:color="000000"/>
              <w:bottom w:val="single" w:sz="4" w:space="0" w:color="000000"/>
              <w:right w:val="single" w:sz="4" w:space="0" w:color="000000"/>
            </w:tcBorders>
          </w:tcPr>
          <w:p>
            <w:pPr/>
          </w:p>
        </w:tc>
        <w:tc>
          <w:tcPr>
            <w:tcW w:w="1639" w:type="dxa"/>
            <w:tcBorders>
              <w:top w:val="single" w:sz="4" w:space="0" w:color="000000"/>
              <w:left w:val="single" w:sz="4" w:space="0" w:color="000000"/>
              <w:bottom w:val="single" w:sz="4" w:space="0" w:color="000000"/>
              <w:right w:val="single" w:sz="4" w:space="0" w:color="000000"/>
            </w:tcBorders>
          </w:tcPr>
          <w:p>
            <w:pPr/>
          </w:p>
        </w:tc>
        <w:tc>
          <w:tcPr>
            <w:tcW w:w="1592"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58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623" w:type="dxa"/>
            <w:tcBorders>
              <w:top w:val="single" w:sz="4" w:space="0" w:color="000000"/>
              <w:left w:val="single" w:sz="6"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22,628,891</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378,838,083</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370,105,943</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31,361,031</w:t>
            </w:r>
          </w:p>
        </w:tc>
      </w:tr>
    </w:tbl>
    <w:p>
      <w:pPr>
        <w:spacing w:line="240" w:lineRule="auto" w:before="0"/>
        <w:rPr>
          <w:rFonts w:ascii="宋体" w:hAnsi="宋体" w:cs="宋体" w:eastAsia="宋体" w:hint="default"/>
          <w:sz w:val="16"/>
          <w:szCs w:val="16"/>
        </w:rPr>
      </w:pPr>
    </w:p>
    <w:p>
      <w:pPr>
        <w:pStyle w:val="BodyText"/>
        <w:spacing w:line="313" w:lineRule="exact" w:before="26"/>
        <w:ind w:left="216" w:right="0"/>
        <w:jc w:val="left"/>
      </w:pPr>
      <w:r>
        <w:rPr/>
        <w:t>其他说明：</w:t>
      </w:r>
    </w:p>
    <w:p>
      <w:pPr>
        <w:pStyle w:val="BodyText"/>
        <w:spacing w:line="313" w:lineRule="exact"/>
        <w:ind w:left="216" w:right="0"/>
        <w:jc w:val="left"/>
      </w:pPr>
      <w:r>
        <w:rPr/>
        <w:t>□适用 √不适用</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spacing w:line="240" w:lineRule="auto" w:before="26"/>
        <w:ind w:right="-19"/>
        <w:jc w:val="left"/>
        <w:rPr>
          <w:rFonts w:ascii="宋体" w:hAnsi="宋体" w:cs="宋体" w:eastAsia="宋体" w:hint="default"/>
          <w:b w:val="0"/>
          <w:bCs w:val="0"/>
        </w:rPr>
      </w:pPr>
      <w:r>
        <w:rPr>
          <w:rFonts w:ascii="宋体" w:hAnsi="宋体" w:cs="宋体" w:eastAsia="宋体" w:hint="default"/>
        </w:rPr>
        <w:t>38</w:t>
      </w:r>
      <w:r>
        <w:rPr/>
        <w:t>、</w:t>
      </w:r>
      <w:r>
        <w:rPr>
          <w:spacing w:val="-101"/>
        </w:rPr>
        <w:t> </w:t>
      </w:r>
      <w:r>
        <w:rPr/>
        <w:t>应交税费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1922" w:space="4272"/>
            <w:col w:w="3096"/>
          </w:cols>
        </w:sectPr>
      </w:pPr>
    </w:p>
    <w:p>
      <w:pPr>
        <w:spacing w:line="240" w:lineRule="auto" w:before="10"/>
        <w:rPr>
          <w:rFonts w:ascii="宋体" w:hAnsi="宋体" w:cs="宋体" w:eastAsia="宋体" w:hint="default"/>
          <w:sz w:val="2"/>
          <w:szCs w:val="2"/>
        </w:rPr>
      </w:pPr>
    </w:p>
    <w:tbl>
      <w:tblPr>
        <w:tblW w:w="0" w:type="auto"/>
        <w:jc w:val="left"/>
        <w:tblInd w:w="180" w:type="dxa"/>
        <w:tblLayout w:type="fixed"/>
        <w:tblCellMar>
          <w:top w:w="0" w:type="dxa"/>
          <w:left w:w="0" w:type="dxa"/>
          <w:bottom w:w="0" w:type="dxa"/>
          <w:right w:w="0" w:type="dxa"/>
        </w:tblCellMar>
        <w:tblLook w:val="01E0"/>
      </w:tblPr>
      <w:tblGrid>
        <w:gridCol w:w="2982"/>
        <w:gridCol w:w="2955"/>
        <w:gridCol w:w="2960"/>
      </w:tblGrid>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298"/>
              <w:jc w:val="right"/>
              <w:rPr>
                <w:rFonts w:ascii="宋体" w:hAnsi="宋体" w:cs="宋体" w:eastAsia="宋体" w:hint="default"/>
                <w:sz w:val="24"/>
                <w:szCs w:val="24"/>
              </w:rPr>
            </w:pPr>
            <w:r>
              <w:rPr>
                <w:rFonts w:ascii="宋体" w:hAnsi="宋体" w:cs="宋体" w:eastAsia="宋体" w:hint="default"/>
                <w:sz w:val="24"/>
                <w:szCs w:val="24"/>
              </w:rPr>
              <w:t>项目</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5"/>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2"/>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增值税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Times New Roman" w:hAnsi="Times New Roman" w:cs="Times New Roman" w:eastAsia="Times New Roman" w:hint="default"/>
                <w:sz w:val="24"/>
                <w:szCs w:val="24"/>
              </w:rPr>
            </w:pPr>
            <w:r>
              <w:rPr>
                <w:rFonts w:ascii="Times New Roman"/>
                <w:sz w:val="24"/>
              </w:rPr>
              <w:t>132,356,715</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6"/>
              <w:jc w:val="right"/>
              <w:rPr>
                <w:rFonts w:ascii="Times New Roman" w:hAnsi="Times New Roman" w:cs="Times New Roman" w:eastAsia="Times New Roman" w:hint="default"/>
                <w:sz w:val="24"/>
                <w:szCs w:val="24"/>
              </w:rPr>
            </w:pPr>
            <w:r>
              <w:rPr>
                <w:rFonts w:ascii="Times New Roman"/>
                <w:sz w:val="24"/>
              </w:rPr>
              <w:t>166,476,643</w:t>
            </w: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消费税</w:t>
            </w:r>
          </w:p>
        </w:tc>
        <w:tc>
          <w:tcPr>
            <w:tcW w:w="2955" w:type="dxa"/>
            <w:tcBorders>
              <w:top w:val="single" w:sz="4" w:space="0" w:color="000000"/>
              <w:left w:val="single" w:sz="4" w:space="0" w:color="000000"/>
              <w:bottom w:val="single" w:sz="4" w:space="0" w:color="000000"/>
              <w:right w:val="single" w:sz="4" w:space="0" w:color="000000"/>
            </w:tcBorders>
          </w:tcPr>
          <w:p>
            <w:pPr/>
          </w:p>
        </w:tc>
        <w:tc>
          <w:tcPr>
            <w:tcW w:w="296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营业税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Times New Roman" w:hAnsi="Times New Roman" w:cs="Times New Roman" w:eastAsia="Times New Roman" w:hint="default"/>
                <w:sz w:val="24"/>
                <w:szCs w:val="24"/>
              </w:rPr>
            </w:pPr>
            <w:r>
              <w:rPr>
                <w:rFonts w:ascii="Times New Roman"/>
                <w:sz w:val="24"/>
              </w:rPr>
              <w:t>12,240,642</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6"/>
              <w:jc w:val="right"/>
              <w:rPr>
                <w:rFonts w:ascii="Times New Roman" w:hAnsi="Times New Roman" w:cs="Times New Roman" w:eastAsia="Times New Roman" w:hint="default"/>
                <w:sz w:val="24"/>
                <w:szCs w:val="24"/>
              </w:rPr>
            </w:pPr>
            <w:r>
              <w:rPr>
                <w:rFonts w:ascii="Times New Roman"/>
                <w:sz w:val="24"/>
              </w:rPr>
              <w:t>12,240,642</w:t>
            </w: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企业所得税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Times New Roman" w:hAnsi="Times New Roman" w:cs="Times New Roman" w:eastAsia="Times New Roman" w:hint="default"/>
                <w:sz w:val="24"/>
                <w:szCs w:val="24"/>
              </w:rPr>
            </w:pPr>
            <w:r>
              <w:rPr>
                <w:rFonts w:ascii="Times New Roman"/>
                <w:sz w:val="24"/>
              </w:rPr>
              <w:t>111,800,863</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6"/>
              <w:jc w:val="right"/>
              <w:rPr>
                <w:rFonts w:ascii="Times New Roman" w:hAnsi="Times New Roman" w:cs="Times New Roman" w:eastAsia="Times New Roman" w:hint="default"/>
                <w:sz w:val="24"/>
                <w:szCs w:val="24"/>
              </w:rPr>
            </w:pPr>
            <w:r>
              <w:rPr>
                <w:rFonts w:ascii="Times New Roman"/>
                <w:sz w:val="24"/>
              </w:rPr>
              <w:t>97,073,967</w:t>
            </w:r>
          </w:p>
        </w:tc>
      </w:tr>
      <w:tr>
        <w:trPr>
          <w:trHeight w:val="319"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个人所得税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9"/>
              <w:jc w:val="right"/>
              <w:rPr>
                <w:rFonts w:ascii="Times New Roman" w:hAnsi="Times New Roman" w:cs="Times New Roman" w:eastAsia="Times New Roman" w:hint="default"/>
                <w:sz w:val="24"/>
                <w:szCs w:val="24"/>
              </w:rPr>
            </w:pPr>
            <w:r>
              <w:rPr>
                <w:rFonts w:ascii="Times New Roman"/>
                <w:sz w:val="24"/>
              </w:rPr>
              <w:t>16,491,205</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6"/>
              <w:jc w:val="right"/>
              <w:rPr>
                <w:rFonts w:ascii="Times New Roman" w:hAnsi="Times New Roman" w:cs="Times New Roman" w:eastAsia="Times New Roman" w:hint="default"/>
                <w:sz w:val="24"/>
                <w:szCs w:val="24"/>
              </w:rPr>
            </w:pPr>
            <w:r>
              <w:rPr>
                <w:rFonts w:ascii="Times New Roman"/>
                <w:sz w:val="24"/>
              </w:rPr>
              <w:t>16,443,429</w:t>
            </w: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城市维护建设税</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99"/>
              <w:jc w:val="right"/>
              <w:rPr>
                <w:rFonts w:ascii="Times New Roman" w:hAnsi="Times New Roman" w:cs="Times New Roman" w:eastAsia="Times New Roman" w:hint="default"/>
                <w:sz w:val="24"/>
                <w:szCs w:val="24"/>
              </w:rPr>
            </w:pPr>
            <w:r>
              <w:rPr>
                <w:rFonts w:ascii="Times New Roman"/>
                <w:sz w:val="24"/>
              </w:rPr>
              <w:t>19,335,925</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6"/>
              <w:jc w:val="right"/>
              <w:rPr>
                <w:rFonts w:ascii="Times New Roman" w:hAnsi="Times New Roman" w:cs="Times New Roman" w:eastAsia="Times New Roman" w:hint="default"/>
                <w:sz w:val="24"/>
                <w:szCs w:val="24"/>
              </w:rPr>
            </w:pPr>
            <w:r>
              <w:rPr>
                <w:rFonts w:ascii="Times New Roman"/>
                <w:sz w:val="24"/>
              </w:rPr>
              <w:t>21,181,197</w:t>
            </w: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99"/>
              <w:jc w:val="right"/>
              <w:rPr>
                <w:rFonts w:ascii="Times New Roman" w:hAnsi="Times New Roman" w:cs="Times New Roman" w:eastAsia="Times New Roman" w:hint="default"/>
                <w:sz w:val="24"/>
                <w:szCs w:val="24"/>
              </w:rPr>
            </w:pPr>
            <w:r>
              <w:rPr>
                <w:rFonts w:ascii="Times New Roman"/>
                <w:sz w:val="24"/>
              </w:rPr>
              <w:t>7,672,753</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Times New Roman" w:hAnsi="Times New Roman" w:cs="Times New Roman" w:eastAsia="Times New Roman" w:hint="default"/>
                <w:sz w:val="24"/>
                <w:szCs w:val="24"/>
              </w:rPr>
            </w:pPr>
            <w:r>
              <w:rPr>
                <w:rFonts w:ascii="Times New Roman"/>
                <w:sz w:val="24"/>
              </w:rPr>
              <w:t>2,105,185</w:t>
            </w:r>
          </w:p>
        </w:tc>
      </w:tr>
      <w:tr>
        <w:trPr>
          <w:trHeight w:val="286" w:hRule="exact"/>
        </w:trPr>
        <w:tc>
          <w:tcPr>
            <w:tcW w:w="2982" w:type="dxa"/>
            <w:tcBorders>
              <w:top w:val="single" w:sz="4" w:space="0" w:color="000000"/>
              <w:left w:val="single" w:sz="4" w:space="0" w:color="000000"/>
              <w:bottom w:val="single" w:sz="4" w:space="0" w:color="000000"/>
              <w:right w:val="single" w:sz="4" w:space="0" w:color="000000"/>
            </w:tcBorders>
          </w:tcPr>
          <w:p>
            <w:pPr/>
          </w:p>
        </w:tc>
        <w:tc>
          <w:tcPr>
            <w:tcW w:w="2955" w:type="dxa"/>
            <w:tcBorders>
              <w:top w:val="single" w:sz="4" w:space="0" w:color="000000"/>
              <w:left w:val="single" w:sz="4" w:space="0" w:color="000000"/>
              <w:bottom w:val="single" w:sz="4" w:space="0" w:color="000000"/>
              <w:right w:val="single" w:sz="4" w:space="0" w:color="000000"/>
            </w:tcBorders>
          </w:tcPr>
          <w:p>
            <w:pPr/>
          </w:p>
        </w:tc>
        <w:tc>
          <w:tcPr>
            <w:tcW w:w="296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298"/>
              <w:jc w:val="right"/>
              <w:rPr>
                <w:rFonts w:ascii="宋体" w:hAnsi="宋体" w:cs="宋体" w:eastAsia="宋体" w:hint="default"/>
                <w:sz w:val="24"/>
                <w:szCs w:val="24"/>
              </w:rPr>
            </w:pPr>
            <w:r>
              <w:rPr>
                <w:rFonts w:ascii="宋体" w:hAnsi="宋体" w:cs="宋体" w:eastAsia="宋体" w:hint="default"/>
                <w:sz w:val="24"/>
                <w:szCs w:val="24"/>
              </w:rPr>
              <w:t>合计</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99"/>
              <w:jc w:val="right"/>
              <w:rPr>
                <w:rFonts w:ascii="Times New Roman" w:hAnsi="Times New Roman" w:cs="Times New Roman" w:eastAsia="Times New Roman" w:hint="default"/>
                <w:sz w:val="24"/>
                <w:szCs w:val="24"/>
              </w:rPr>
            </w:pPr>
            <w:r>
              <w:rPr>
                <w:rFonts w:ascii="Times New Roman"/>
                <w:sz w:val="24"/>
              </w:rPr>
              <w:t>299,898,103</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6"/>
              <w:jc w:val="right"/>
              <w:rPr>
                <w:rFonts w:ascii="Times New Roman" w:hAnsi="Times New Roman" w:cs="Times New Roman" w:eastAsia="Times New Roman" w:hint="default"/>
                <w:sz w:val="24"/>
                <w:szCs w:val="24"/>
              </w:rPr>
            </w:pPr>
            <w:r>
              <w:rPr>
                <w:rFonts w:ascii="Times New Roman"/>
                <w:sz w:val="24"/>
              </w:rPr>
              <w:t>315,521,063</w:t>
            </w:r>
          </w:p>
        </w:tc>
      </w:tr>
    </w:tbl>
    <w:p>
      <w:pPr>
        <w:pStyle w:val="BodyText"/>
        <w:spacing w:line="273" w:lineRule="exact"/>
        <w:ind w:left="216" w:right="0"/>
        <w:jc w:val="left"/>
      </w:pPr>
      <w:r>
        <w:rPr/>
        <w:t>其他说明：</w:t>
      </w:r>
    </w:p>
    <w:p>
      <w:pPr>
        <w:pStyle w:val="BodyText"/>
        <w:spacing w:line="313" w:lineRule="exact"/>
        <w:ind w:left="216" w:right="0"/>
        <w:jc w:val="left"/>
      </w:pPr>
      <w:r>
        <w:rPr/>
        <w:t>无。</w:t>
      </w:r>
    </w:p>
    <w:p>
      <w:pPr>
        <w:spacing w:line="240" w:lineRule="auto" w:before="8"/>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spacing w:line="283" w:lineRule="auto" w:before="26"/>
        <w:ind w:right="-17"/>
        <w:jc w:val="left"/>
        <w:rPr>
          <w:rFonts w:ascii="宋体" w:hAnsi="宋体" w:cs="宋体" w:eastAsia="宋体" w:hint="default"/>
          <w:b w:val="0"/>
          <w:bCs w:val="0"/>
        </w:rPr>
      </w:pPr>
      <w:r>
        <w:rPr>
          <w:rFonts w:ascii="宋体" w:hAnsi="宋体" w:cs="宋体" w:eastAsia="宋体" w:hint="default"/>
        </w:rPr>
        <w:t>39</w:t>
      </w:r>
      <w:r>
        <w:rPr/>
        <w:t>、</w:t>
      </w:r>
      <w:r>
        <w:rPr>
          <w:spacing w:val="-102"/>
        </w:rPr>
        <w:t> </w:t>
      </w:r>
      <w:r>
        <w:rPr/>
        <w:t>其他应付款</w:t>
      </w:r>
      <w:r>
        <w:rPr>
          <w:w w:val="99"/>
        </w:rPr>
        <w:t> </w:t>
      </w:r>
      <w:r>
        <w:rPr/>
        <w:t>项目列示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216" w:right="-15"/>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1926" w:space="4267"/>
            <w:col w:w="3097"/>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472"/>
        <w:gridCol w:w="4537"/>
        <w:gridCol w:w="2041"/>
      </w:tblGrid>
      <w:tr>
        <w:trPr>
          <w:trHeight w:val="322" w:hRule="exact"/>
        </w:trPr>
        <w:tc>
          <w:tcPr>
            <w:tcW w:w="24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35" w:right="0"/>
              <w:jc w:val="left"/>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47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应付利息</w:t>
            </w:r>
          </w:p>
        </w:tc>
        <w:tc>
          <w:tcPr>
            <w:tcW w:w="4537" w:type="dxa"/>
            <w:tcBorders>
              <w:top w:val="single" w:sz="4" w:space="0" w:color="000000"/>
              <w:left w:val="single" w:sz="4" w:space="0" w:color="000000"/>
              <w:bottom w:val="single" w:sz="4" w:space="0" w:color="000000"/>
              <w:right w:val="single" w:sz="4" w:space="0" w:color="000000"/>
            </w:tcBorders>
          </w:tcPr>
          <w:p>
            <w:pPr/>
          </w:p>
        </w:tc>
        <w:tc>
          <w:tcPr>
            <w:tcW w:w="20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应付股利</w:t>
            </w:r>
          </w:p>
        </w:tc>
        <w:tc>
          <w:tcPr>
            <w:tcW w:w="4537" w:type="dxa"/>
            <w:tcBorders>
              <w:top w:val="single" w:sz="4" w:space="0" w:color="000000"/>
              <w:left w:val="single" w:sz="4" w:space="0" w:color="000000"/>
              <w:bottom w:val="single" w:sz="4" w:space="0" w:color="000000"/>
              <w:right w:val="single" w:sz="4" w:space="0" w:color="000000"/>
            </w:tcBorders>
          </w:tcPr>
          <w:p>
            <w:pPr/>
          </w:p>
        </w:tc>
        <w:tc>
          <w:tcPr>
            <w:tcW w:w="20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其他应付款</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1,332,754,020</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840,741,172</w:t>
            </w:r>
          </w:p>
        </w:tc>
      </w:tr>
      <w:tr>
        <w:trPr>
          <w:trHeight w:val="322" w:hRule="exact"/>
        </w:trPr>
        <w:tc>
          <w:tcPr>
            <w:tcW w:w="24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1,332,754,020</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840,741,172</w:t>
            </w:r>
          </w:p>
        </w:tc>
      </w:tr>
    </w:tbl>
    <w:p>
      <w:pPr>
        <w:spacing w:after="0" w:line="268" w:lineRule="exact"/>
        <w:jc w:val="right"/>
        <w:rPr>
          <w:rFonts w:ascii="Times New Roman" w:hAnsi="Times New Roman" w:cs="Times New Roman" w:eastAsia="Times New Roman" w:hint="default"/>
          <w:sz w:val="24"/>
          <w:szCs w:val="24"/>
        </w:rPr>
        <w:sectPr>
          <w:type w:val="continuous"/>
          <w:pgSz w:w="11910" w:h="16840"/>
          <w:pgMar w:top="1120" w:bottom="1380" w:left="1060" w:right="1560"/>
        </w:sectPr>
      </w:pPr>
    </w:p>
    <w:p>
      <w:pPr>
        <w:spacing w:line="240" w:lineRule="auto" w:before="4"/>
        <w:rPr>
          <w:rFonts w:ascii="宋体" w:hAnsi="宋体" w:cs="宋体" w:eastAsia="宋体" w:hint="default"/>
          <w:sz w:val="22"/>
          <w:szCs w:val="22"/>
        </w:rPr>
      </w:pPr>
    </w:p>
    <w:p>
      <w:pPr>
        <w:pStyle w:val="BodyText"/>
        <w:spacing w:line="313" w:lineRule="exact" w:before="26"/>
        <w:ind w:left="216" w:right="0"/>
        <w:jc w:val="left"/>
      </w:pPr>
      <w:r>
        <w:rPr/>
        <w:t>其他说明：</w:t>
      </w:r>
    </w:p>
    <w:p>
      <w:pPr>
        <w:pStyle w:val="BodyText"/>
        <w:spacing w:line="313" w:lineRule="exact"/>
        <w:ind w:left="216" w:right="0"/>
        <w:jc w:val="left"/>
      </w:pPr>
      <w:r>
        <w:rPr/>
        <w:t>□适用 √不适用</w:t>
      </w:r>
    </w:p>
    <w:p>
      <w:pPr>
        <w:spacing w:line="240" w:lineRule="auto" w:before="4"/>
        <w:rPr>
          <w:rFonts w:ascii="宋体" w:hAnsi="宋体" w:cs="宋体" w:eastAsia="宋体" w:hint="default"/>
          <w:sz w:val="25"/>
          <w:szCs w:val="25"/>
        </w:rPr>
      </w:pPr>
    </w:p>
    <w:p>
      <w:pPr>
        <w:pStyle w:val="Heading2"/>
        <w:spacing w:line="240" w:lineRule="auto"/>
        <w:ind w:right="0"/>
        <w:jc w:val="left"/>
        <w:rPr>
          <w:rFonts w:ascii="宋体" w:hAnsi="宋体" w:cs="宋体" w:eastAsia="宋体" w:hint="default"/>
          <w:b w:val="0"/>
          <w:bCs w:val="0"/>
        </w:rPr>
      </w:pPr>
      <w:r>
        <w:rPr/>
        <w:t>应付利息</w:t>
      </w:r>
      <w:r>
        <w:rPr>
          <w:rFonts w:ascii="宋体" w:hAnsi="宋体" w:cs="宋体" w:eastAsia="宋体" w:hint="default"/>
          <w:w w:val="99"/>
        </w:rPr>
        <w:t> </w:t>
      </w:r>
      <w:r>
        <w:rPr>
          <w:rFonts w:ascii="宋体" w:hAnsi="宋体" w:cs="宋体" w:eastAsia="宋体" w:hint="default"/>
          <w:b w:val="0"/>
          <w:bCs w:val="0"/>
        </w:rPr>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rPr>
        <w:t>(1).</w:t>
        <w:tab/>
      </w:r>
      <w:r>
        <w:rPr/>
        <w:t>分类列示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2"/>
          <w:szCs w:val="22"/>
        </w:rPr>
      </w:pPr>
    </w:p>
    <w:p>
      <w:pPr>
        <w:pStyle w:val="Heading2"/>
        <w:spacing w:line="240" w:lineRule="auto"/>
        <w:ind w:right="0"/>
        <w:jc w:val="left"/>
        <w:rPr>
          <w:rFonts w:ascii="宋体" w:hAnsi="宋体" w:cs="宋体" w:eastAsia="宋体" w:hint="default"/>
          <w:b w:val="0"/>
          <w:bCs w:val="0"/>
        </w:rPr>
      </w:pPr>
      <w:r>
        <w:rPr/>
        <w:t>应付股利</w:t>
      </w:r>
      <w:r>
        <w:rPr>
          <w:rFonts w:ascii="宋体" w:hAnsi="宋体" w:cs="宋体" w:eastAsia="宋体" w:hint="default"/>
          <w:w w:val="99"/>
        </w:rPr>
        <w:t> </w:t>
      </w:r>
      <w:r>
        <w:rPr>
          <w:rFonts w:ascii="宋体" w:hAnsi="宋体" w:cs="宋体" w:eastAsia="宋体" w:hint="default"/>
          <w:b w:val="0"/>
          <w:bCs w:val="0"/>
        </w:rPr>
      </w:r>
    </w:p>
    <w:p>
      <w:pPr>
        <w:pStyle w:val="Heading2"/>
        <w:tabs>
          <w:tab w:pos="1057" w:val="left" w:leader="none"/>
        </w:tabs>
        <w:spacing w:line="240" w:lineRule="auto" w:before="58"/>
        <w:ind w:right="0"/>
        <w:jc w:val="left"/>
        <w:rPr>
          <w:rFonts w:ascii="宋体" w:hAnsi="宋体" w:cs="宋体" w:eastAsia="宋体" w:hint="default"/>
          <w:b w:val="0"/>
          <w:bCs w:val="0"/>
        </w:rPr>
      </w:pPr>
      <w:r>
        <w:rPr>
          <w:rFonts w:ascii="宋体" w:hAnsi="宋体" w:cs="宋体" w:eastAsia="宋体" w:hint="default"/>
        </w:rPr>
        <w:t>(2).</w:t>
        <w:tab/>
      </w:r>
      <w:r>
        <w:rPr/>
        <w:t>分类列示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82" w:footer="1195" w:top="1080" w:bottom="1380" w:left="1060" w:right="1560"/>
        </w:sectPr>
      </w:pPr>
    </w:p>
    <w:p>
      <w:pPr>
        <w:pStyle w:val="Heading2"/>
        <w:spacing w:line="240" w:lineRule="auto" w:before="26"/>
        <w:ind w:right="0"/>
        <w:jc w:val="left"/>
        <w:rPr>
          <w:rFonts w:ascii="宋体" w:hAnsi="宋体" w:cs="宋体" w:eastAsia="宋体" w:hint="default"/>
          <w:b w:val="0"/>
          <w:bCs w:val="0"/>
        </w:rPr>
      </w:pPr>
      <w:r>
        <w:rPr/>
        <w:t>其他应付款</w:t>
      </w:r>
      <w:r>
        <w:rPr>
          <w:rFonts w:ascii="宋体" w:hAnsi="宋体" w:cs="宋体" w:eastAsia="宋体" w:hint="default"/>
          <w:w w:val="99"/>
        </w:rPr>
        <w:t> </w:t>
      </w:r>
      <w:r>
        <w:rPr>
          <w:rFonts w:ascii="宋体" w:hAnsi="宋体" w:cs="宋体" w:eastAsia="宋体" w:hint="default"/>
          <w:b w:val="0"/>
          <w:bCs w:val="0"/>
        </w:rPr>
      </w:r>
    </w:p>
    <w:p>
      <w:pPr>
        <w:pStyle w:val="Heading2"/>
        <w:spacing w:line="240" w:lineRule="auto" w:before="58"/>
        <w:ind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1"/>
        </w:rPr>
        <w:t> </w:t>
      </w:r>
      <w:r>
        <w:rPr/>
        <w:t>按款项性质列示其他应付款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3835" w:space="2358"/>
            <w:col w:w="3097"/>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924"/>
        <w:gridCol w:w="3000"/>
        <w:gridCol w:w="3125"/>
      </w:tblGrid>
      <w:tr>
        <w:trPr>
          <w:trHeight w:val="322"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备付金款项</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1)</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651,151,829</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264,622,799</w:t>
            </w:r>
          </w:p>
        </w:tc>
      </w:tr>
      <w:tr>
        <w:trPr>
          <w:trHeight w:val="322"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应付软件园建设款</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80,484,604</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129,150,823</w:t>
            </w:r>
          </w:p>
        </w:tc>
      </w:tr>
      <w:tr>
        <w:trPr>
          <w:trHeight w:val="322"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押金</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147,447,118</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97,244,075</w:t>
            </w:r>
          </w:p>
        </w:tc>
      </w:tr>
      <w:tr>
        <w:trPr>
          <w:trHeight w:val="319"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应付土地开发建设费</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52,342,500</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52,342,500</w:t>
            </w:r>
          </w:p>
        </w:tc>
      </w:tr>
      <w:tr>
        <w:trPr>
          <w:trHeight w:val="322"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95"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库存股回购义务</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2)</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56,332,507</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51,339,691</w:t>
            </w:r>
          </w:p>
        </w:tc>
      </w:tr>
      <w:tr>
        <w:trPr>
          <w:trHeight w:val="322"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服务质量保障金</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116,910,375</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57,072,160</w:t>
            </w:r>
          </w:p>
        </w:tc>
      </w:tr>
      <w:tr>
        <w:trPr>
          <w:trHeight w:val="322"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股权转让款</w:t>
            </w:r>
          </w:p>
        </w:tc>
        <w:tc>
          <w:tcPr>
            <w:tcW w:w="3000" w:type="dxa"/>
            <w:tcBorders>
              <w:top w:val="single" w:sz="4" w:space="0" w:color="000000"/>
              <w:left w:val="single" w:sz="4" w:space="0" w:color="000000"/>
              <w:bottom w:val="single" w:sz="4" w:space="0" w:color="000000"/>
              <w:right w:val="single" w:sz="4" w:space="0" w:color="000000"/>
            </w:tcBorders>
          </w:tcPr>
          <w:p>
            <w:pP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30,200,000</w:t>
            </w:r>
          </w:p>
        </w:tc>
      </w:tr>
      <w:tr>
        <w:trPr>
          <w:trHeight w:val="322"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937"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228,085,087</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158,769,124</w:t>
            </w:r>
          </w:p>
        </w:tc>
      </w:tr>
      <w:tr>
        <w:trPr>
          <w:trHeight w:val="322"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1,332,754,020</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840,741,172</w:t>
            </w:r>
          </w:p>
        </w:tc>
      </w:tr>
    </w:tbl>
    <w:p>
      <w:pPr>
        <w:spacing w:line="240" w:lineRule="auto" w:before="0"/>
        <w:rPr>
          <w:rFonts w:ascii="宋体" w:hAnsi="宋体" w:cs="宋体" w:eastAsia="宋体" w:hint="default"/>
          <w:sz w:val="16"/>
          <w:szCs w:val="16"/>
        </w:rPr>
      </w:pPr>
    </w:p>
    <w:p>
      <w:pPr>
        <w:pStyle w:val="BodyText"/>
        <w:spacing w:line="230" w:lineRule="auto" w:before="37"/>
        <w:ind w:left="216" w:right="235"/>
        <w:jc w:val="both"/>
      </w:pPr>
      <w:r>
        <w:rPr/>
        <w:t>注 </w:t>
      </w:r>
      <w:r>
        <w:rPr>
          <w:rFonts w:ascii="Times New Roman" w:hAnsi="Times New Roman" w:cs="Times New Roman" w:eastAsia="Times New Roman" w:hint="default"/>
        </w:rPr>
        <w:t>1. </w:t>
      </w:r>
      <w:r>
        <w:rPr/>
        <w:t>备付金款项指本公司子公司畅捷支付因提供支付业务收取的备付金，该款项将 </w:t>
      </w:r>
      <w:r>
        <w:rPr>
          <w:spacing w:val="-2"/>
        </w:rPr>
        <w:t>于次日转至收款方的自有账户中，以及本公司子公司用友力合存放在第三方支付平台</w:t>
      </w:r>
      <w:r>
        <w:rPr>
          <w:spacing w:val="-94"/>
        </w:rPr>
        <w:t> </w:t>
      </w:r>
      <w:r>
        <w:rPr>
          <w:spacing w:val="-94"/>
        </w:rPr>
      </w:r>
      <w:r>
        <w:rPr/>
        <w:t>的通道资金。</w:t>
      </w:r>
    </w:p>
    <w:p>
      <w:pPr>
        <w:spacing w:line="240" w:lineRule="auto" w:before="0"/>
        <w:rPr>
          <w:rFonts w:ascii="宋体" w:hAnsi="宋体" w:cs="宋体" w:eastAsia="宋体" w:hint="default"/>
          <w:sz w:val="21"/>
          <w:szCs w:val="21"/>
        </w:rPr>
      </w:pPr>
    </w:p>
    <w:p>
      <w:pPr>
        <w:pStyle w:val="BodyText"/>
        <w:spacing w:line="240" w:lineRule="auto"/>
        <w:ind w:left="216" w:right="0"/>
        <w:jc w:val="both"/>
      </w:pPr>
      <w:r>
        <w:rPr/>
        <w:t>注 </w:t>
      </w:r>
      <w:r>
        <w:rPr>
          <w:rFonts w:ascii="Times New Roman" w:hAnsi="Times New Roman" w:cs="Times New Roman" w:eastAsia="Times New Roman" w:hint="default"/>
        </w:rPr>
        <w:t>2. </w:t>
      </w:r>
      <w:r>
        <w:rPr/>
        <w:t>该款项为本集团实施股权激励计划产生的库存股回购义务。</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spacing w:val="-2"/>
        </w:rPr>
        <w:t> </w:t>
      </w:r>
      <w:r>
        <w:rPr/>
        <w:t>账龄超过</w:t>
      </w:r>
      <w:r>
        <w:rPr>
          <w:spacing w:val="-62"/>
        </w:rPr>
        <w:t> </w:t>
      </w:r>
      <w:r>
        <w:rPr>
          <w:rFonts w:ascii="宋体" w:hAnsi="宋体" w:cs="宋体" w:eastAsia="宋体" w:hint="default"/>
        </w:rPr>
        <w:t>1</w:t>
      </w:r>
      <w:r>
        <w:rPr>
          <w:rFonts w:ascii="宋体" w:hAnsi="宋体" w:cs="宋体" w:eastAsia="宋体" w:hint="default"/>
          <w:spacing w:val="-60"/>
        </w:rPr>
        <w:t> </w:t>
      </w:r>
      <w:r>
        <w:rPr/>
        <w:t>年的重要其他应付款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4318" w:space="1876"/>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910"/>
        <w:gridCol w:w="3027"/>
        <w:gridCol w:w="3113"/>
      </w:tblGrid>
      <w:tr>
        <w:trPr>
          <w:trHeight w:val="322"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70" w:right="0"/>
              <w:jc w:val="left"/>
              <w:rPr>
                <w:rFonts w:ascii="宋体" w:hAnsi="宋体" w:cs="宋体" w:eastAsia="宋体" w:hint="default"/>
                <w:sz w:val="24"/>
                <w:szCs w:val="24"/>
              </w:rPr>
            </w:pPr>
            <w:r>
              <w:rPr>
                <w:rFonts w:ascii="宋体" w:hAnsi="宋体" w:cs="宋体" w:eastAsia="宋体" w:hint="default"/>
                <w:sz w:val="24"/>
                <w:szCs w:val="24"/>
              </w:rPr>
              <w:t>未偿还或结转的原因</w:t>
            </w:r>
          </w:p>
        </w:tc>
      </w:tr>
      <w:tr>
        <w:trPr>
          <w:trHeight w:val="319"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52,342,500</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未到合同约定的付款日</w:t>
            </w:r>
          </w:p>
        </w:tc>
      </w:tr>
      <w:tr>
        <w:trPr>
          <w:trHeight w:val="322"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3,000,000</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未到合同约定的付款日</w:t>
            </w:r>
          </w:p>
        </w:tc>
      </w:tr>
      <w:tr>
        <w:trPr>
          <w:trHeight w:val="322"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1,950,000</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未到合同约定的付款日</w:t>
            </w:r>
          </w:p>
        </w:tc>
      </w:tr>
    </w:tbl>
    <w:p>
      <w:pPr>
        <w:spacing w:after="0" w:line="274" w:lineRule="exact"/>
        <w:jc w:val="left"/>
        <w:rPr>
          <w:rFonts w:ascii="宋体" w:hAnsi="宋体" w:cs="宋体" w:eastAsia="宋体" w:hint="default"/>
          <w:sz w:val="24"/>
          <w:szCs w:val="24"/>
        </w:rPr>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2910"/>
        <w:gridCol w:w="3027"/>
        <w:gridCol w:w="3113"/>
      </w:tblGrid>
      <w:tr>
        <w:trPr>
          <w:trHeight w:val="322"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833" w:right="0"/>
              <w:jc w:val="left"/>
              <w:rPr>
                <w:rFonts w:ascii="Times New Roman" w:hAnsi="Times New Roman" w:cs="Times New Roman" w:eastAsia="Times New Roman" w:hint="default"/>
                <w:sz w:val="24"/>
                <w:szCs w:val="24"/>
              </w:rPr>
            </w:pPr>
            <w:r>
              <w:rPr>
                <w:rFonts w:ascii="Times New Roman"/>
                <w:sz w:val="24"/>
              </w:rPr>
              <w:t>57,292,500</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Times New Roman" w:hAnsi="Times New Roman" w:cs="Times New Roman" w:eastAsia="Times New Roman" w:hint="default"/>
                <w:sz w:val="24"/>
                <w:szCs w:val="24"/>
              </w:rPr>
            </w:pPr>
            <w:r>
              <w:rPr>
                <w:rFonts w:ascii="Times New Roman"/>
                <w:sz w:val="24"/>
              </w:rPr>
              <w:t>/</w:t>
            </w:r>
          </w:p>
        </w:tc>
      </w:tr>
    </w:tbl>
    <w:p>
      <w:pPr>
        <w:spacing w:line="240" w:lineRule="auto" w:before="0"/>
        <w:rPr>
          <w:rFonts w:ascii="宋体" w:hAnsi="宋体" w:cs="宋体" w:eastAsia="宋体" w:hint="default"/>
          <w:sz w:val="16"/>
          <w:szCs w:val="16"/>
        </w:rPr>
      </w:pPr>
    </w:p>
    <w:p>
      <w:pPr>
        <w:pStyle w:val="BodyText"/>
        <w:spacing w:line="313" w:lineRule="exact" w:before="26"/>
        <w:ind w:left="216" w:right="0"/>
        <w:jc w:val="left"/>
      </w:pPr>
      <w:r>
        <w:rPr/>
        <w:t>其他说明：</w:t>
      </w:r>
    </w:p>
    <w:p>
      <w:pPr>
        <w:pStyle w:val="BodyText"/>
        <w:spacing w:line="313" w:lineRule="exact"/>
        <w:ind w:left="216" w:right="0"/>
        <w:jc w:val="left"/>
      </w:pPr>
      <w:r>
        <w:rPr/>
        <w:t>□适用 √不适用</w:t>
      </w:r>
    </w:p>
    <w:p>
      <w:pPr>
        <w:spacing w:line="240" w:lineRule="auto" w:before="4"/>
        <w:rPr>
          <w:rFonts w:ascii="宋体" w:hAnsi="宋体" w:cs="宋体" w:eastAsia="宋体" w:hint="default"/>
          <w:sz w:val="25"/>
          <w:szCs w:val="25"/>
        </w:rPr>
      </w:pPr>
    </w:p>
    <w:p>
      <w:pPr>
        <w:pStyle w:val="Heading2"/>
        <w:spacing w:line="240" w:lineRule="auto"/>
        <w:ind w:right="0"/>
        <w:jc w:val="left"/>
        <w:rPr>
          <w:b w:val="0"/>
          <w:bCs w:val="0"/>
        </w:rPr>
      </w:pPr>
      <w:r>
        <w:rPr>
          <w:rFonts w:ascii="宋体" w:hAnsi="宋体" w:cs="宋体" w:eastAsia="宋体" w:hint="default"/>
        </w:rPr>
        <w:t>40</w:t>
      </w:r>
      <w:r>
        <w:rPr/>
        <w:t>、</w:t>
      </w:r>
      <w:r>
        <w:rPr>
          <w:spacing w:val="-104"/>
        </w:rPr>
        <w:t> </w:t>
      </w:r>
      <w:r>
        <w:rPr/>
        <w:t>持有待售负债</w:t>
      </w:r>
      <w:r>
        <w:rPr>
          <w:b w:val="0"/>
          <w:bCs w:val="0"/>
        </w:rPr>
      </w:r>
    </w:p>
    <w:p>
      <w:pPr>
        <w:pStyle w:val="BodyText"/>
        <w:spacing w:line="240" w:lineRule="auto" w:before="58"/>
        <w:ind w:left="216" w:right="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68"/>
          <w:pgSz w:w="11910" w:h="16840"/>
          <w:pgMar w:footer="1195" w:header="882" w:top="108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41</w:t>
      </w:r>
      <w:r>
        <w:rPr/>
        <w:t>、</w:t>
      </w:r>
      <w:r>
        <w:rPr>
          <w:spacing w:val="-102"/>
        </w:rPr>
        <w:t> </w:t>
      </w:r>
      <w:r>
        <w:rPr>
          <w:rFonts w:ascii="宋体" w:hAnsi="宋体" w:cs="宋体" w:eastAsia="宋体" w:hint="default"/>
        </w:rPr>
        <w:t>1</w:t>
      </w:r>
      <w:r>
        <w:rPr>
          <w:rFonts w:ascii="宋体" w:hAnsi="宋体" w:cs="宋体" w:eastAsia="宋体" w:hint="default"/>
          <w:spacing w:val="-63"/>
        </w:rPr>
        <w:t> </w:t>
      </w:r>
      <w:r>
        <w:rPr/>
        <w:t>年内到期的非流动负债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3432" w:space="2761"/>
            <w:col w:w="3097"/>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910"/>
        <w:gridCol w:w="3036"/>
        <w:gridCol w:w="3104"/>
      </w:tblGrid>
      <w:tr>
        <w:trPr>
          <w:trHeight w:val="322"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年内到期的长期借款</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90,000,000</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133,471,227</w:t>
            </w:r>
          </w:p>
        </w:tc>
      </w:tr>
      <w:tr>
        <w:trPr>
          <w:trHeight w:val="319"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年内到期的应付债券</w:t>
            </w:r>
          </w:p>
        </w:tc>
        <w:tc>
          <w:tcPr>
            <w:tcW w:w="3036" w:type="dxa"/>
            <w:tcBorders>
              <w:top w:val="single" w:sz="4" w:space="0" w:color="000000"/>
              <w:left w:val="single" w:sz="4" w:space="0" w:color="000000"/>
              <w:bottom w:val="single" w:sz="4" w:space="0" w:color="000000"/>
              <w:right w:val="single" w:sz="4" w:space="0" w:color="000000"/>
            </w:tcBorders>
          </w:tcPr>
          <w:p>
            <w:pPr/>
          </w:p>
        </w:tc>
        <w:tc>
          <w:tcPr>
            <w:tcW w:w="310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年内到期的长期应付款</w:t>
            </w:r>
          </w:p>
        </w:tc>
        <w:tc>
          <w:tcPr>
            <w:tcW w:w="3036" w:type="dxa"/>
            <w:tcBorders>
              <w:top w:val="single" w:sz="4" w:space="0" w:color="000000"/>
              <w:left w:val="single" w:sz="4" w:space="0" w:color="000000"/>
              <w:bottom w:val="single" w:sz="4" w:space="0" w:color="000000"/>
              <w:right w:val="single" w:sz="4" w:space="0" w:color="000000"/>
            </w:tcBorders>
          </w:tcPr>
          <w:p>
            <w:pPr/>
          </w:p>
        </w:tc>
        <w:tc>
          <w:tcPr>
            <w:tcW w:w="310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年内到期的租赁负债</w:t>
            </w:r>
          </w:p>
        </w:tc>
        <w:tc>
          <w:tcPr>
            <w:tcW w:w="3036" w:type="dxa"/>
            <w:tcBorders>
              <w:top w:val="single" w:sz="4" w:space="0" w:color="000000"/>
              <w:left w:val="single" w:sz="4" w:space="0" w:color="000000"/>
              <w:bottom w:val="single" w:sz="4" w:space="0" w:color="000000"/>
              <w:right w:val="single" w:sz="4" w:space="0" w:color="000000"/>
            </w:tcBorders>
          </w:tcPr>
          <w:p>
            <w:pPr/>
          </w:p>
        </w:tc>
        <w:tc>
          <w:tcPr>
            <w:tcW w:w="3104"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910" w:type="dxa"/>
            <w:tcBorders>
              <w:top w:val="single" w:sz="4" w:space="0" w:color="000000"/>
              <w:left w:val="single" w:sz="4" w:space="0" w:color="000000"/>
              <w:bottom w:val="single" w:sz="4" w:space="0" w:color="000000"/>
              <w:right w:val="single" w:sz="4" w:space="0" w:color="000000"/>
            </w:tcBorders>
          </w:tcPr>
          <w:p>
            <w:pPr/>
          </w:p>
        </w:tc>
        <w:tc>
          <w:tcPr>
            <w:tcW w:w="3036" w:type="dxa"/>
            <w:tcBorders>
              <w:top w:val="single" w:sz="4" w:space="0" w:color="000000"/>
              <w:left w:val="single" w:sz="4" w:space="0" w:color="000000"/>
              <w:bottom w:val="single" w:sz="4" w:space="0" w:color="000000"/>
              <w:right w:val="single" w:sz="4" w:space="0" w:color="000000"/>
            </w:tcBorders>
          </w:tcPr>
          <w:p>
            <w:pPr/>
          </w:p>
        </w:tc>
        <w:tc>
          <w:tcPr>
            <w:tcW w:w="3104"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910" w:type="dxa"/>
            <w:tcBorders>
              <w:top w:val="single" w:sz="4" w:space="0" w:color="000000"/>
              <w:left w:val="single" w:sz="4" w:space="0" w:color="000000"/>
              <w:bottom w:val="single" w:sz="4" w:space="0" w:color="000000"/>
              <w:right w:val="single" w:sz="4" w:space="0" w:color="000000"/>
            </w:tcBorders>
          </w:tcPr>
          <w:p>
            <w:pPr/>
          </w:p>
        </w:tc>
        <w:tc>
          <w:tcPr>
            <w:tcW w:w="3036" w:type="dxa"/>
            <w:tcBorders>
              <w:top w:val="single" w:sz="4" w:space="0" w:color="000000"/>
              <w:left w:val="single" w:sz="4" w:space="0" w:color="000000"/>
              <w:bottom w:val="single" w:sz="4" w:space="0" w:color="000000"/>
              <w:right w:val="single" w:sz="4" w:space="0" w:color="000000"/>
            </w:tcBorders>
          </w:tcPr>
          <w:p>
            <w:pPr/>
          </w:p>
        </w:tc>
        <w:tc>
          <w:tcPr>
            <w:tcW w:w="310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90,000,000</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133,471,227</w:t>
            </w:r>
          </w:p>
        </w:tc>
      </w:tr>
    </w:tbl>
    <w:p>
      <w:pPr>
        <w:spacing w:after="0" w:line="270" w:lineRule="exact"/>
        <w:jc w:val="right"/>
        <w:rPr>
          <w:rFonts w:ascii="Times New Roman" w:hAnsi="Times New Roman" w:cs="Times New Roman" w:eastAsia="Times New Roman" w:hint="default"/>
          <w:sz w:val="24"/>
          <w:szCs w:val="24"/>
        </w:rPr>
        <w:sectPr>
          <w:type w:val="continuous"/>
          <w:pgSz w:w="11910" w:h="16840"/>
          <w:pgMar w:top="1120" w:bottom="1380" w:left="1060" w:right="1560"/>
        </w:sectPr>
      </w:pPr>
    </w:p>
    <w:p>
      <w:pPr>
        <w:pStyle w:val="BodyText"/>
        <w:spacing w:line="240" w:lineRule="auto" w:before="19"/>
        <w:ind w:left="216" w:right="0"/>
        <w:jc w:val="left"/>
      </w:pPr>
      <w:r>
        <w:rPr/>
        <w:t>其他说明：</w:t>
      </w:r>
    </w:p>
    <w:p>
      <w:pPr>
        <w:spacing w:line="240" w:lineRule="auto" w:before="11"/>
        <w:rPr>
          <w:rFonts w:ascii="宋体" w:hAnsi="宋体" w:cs="宋体" w:eastAsia="宋体" w:hint="default"/>
          <w:sz w:val="32"/>
          <w:szCs w:val="32"/>
        </w:rPr>
      </w:pPr>
    </w:p>
    <w:p>
      <w:pPr>
        <w:spacing w:line="283" w:lineRule="auto" w:before="0"/>
        <w:ind w:left="216" w:right="0" w:firstLine="0"/>
        <w:jc w:val="left"/>
        <w:rPr>
          <w:rFonts w:ascii="宋体" w:hAnsi="宋体" w:cs="宋体" w:eastAsia="宋体" w:hint="default"/>
          <w:sz w:val="24"/>
          <w:szCs w:val="24"/>
        </w:rPr>
      </w:pPr>
      <w:r>
        <w:rPr>
          <w:rFonts w:ascii="宋体" w:hAnsi="宋体" w:cs="宋体" w:eastAsia="宋体" w:hint="default"/>
          <w:b/>
          <w:bCs/>
          <w:sz w:val="24"/>
          <w:szCs w:val="24"/>
        </w:rPr>
        <w:t>42</w:t>
      </w:r>
      <w:r>
        <w:rPr>
          <w:rFonts w:ascii="宋体" w:hAnsi="宋体" w:cs="宋体" w:eastAsia="宋体" w:hint="default"/>
          <w:b/>
          <w:bCs/>
          <w:sz w:val="24"/>
          <w:szCs w:val="24"/>
        </w:rPr>
        <w:t>、</w:t>
      </w:r>
      <w:r>
        <w:rPr>
          <w:rFonts w:ascii="宋体" w:hAnsi="宋体" w:cs="宋体" w:eastAsia="宋体" w:hint="default"/>
          <w:b/>
          <w:bCs/>
          <w:spacing w:val="-101"/>
          <w:sz w:val="24"/>
          <w:szCs w:val="24"/>
        </w:rPr>
        <w:t> </w:t>
      </w:r>
      <w:r>
        <w:rPr>
          <w:rFonts w:ascii="宋体" w:hAnsi="宋体" w:cs="宋体" w:eastAsia="宋体" w:hint="default"/>
          <w:b/>
          <w:bCs/>
          <w:sz w:val="24"/>
          <w:szCs w:val="24"/>
        </w:rPr>
        <w:t>其他流动负债</w:t>
      </w:r>
      <w:r>
        <w:rPr>
          <w:rFonts w:ascii="宋体" w:hAnsi="宋体" w:cs="宋体" w:eastAsia="宋体" w:hint="default"/>
          <w:b/>
          <w:bCs/>
          <w:w w:val="99"/>
          <w:sz w:val="24"/>
          <w:szCs w:val="24"/>
        </w:rPr>
        <w:t> </w:t>
      </w:r>
      <w:r>
        <w:rPr>
          <w:rFonts w:ascii="宋体" w:hAnsi="宋体" w:cs="宋体" w:eastAsia="宋体" w:hint="default"/>
          <w:sz w:val="24"/>
          <w:szCs w:val="24"/>
        </w:rPr>
        <w:t>其他流动负债情况</w:t>
      </w:r>
    </w:p>
    <w:p>
      <w:pPr>
        <w:pStyle w:val="BodyText"/>
        <w:tabs>
          <w:tab w:pos="1177" w:val="left" w:leader="none"/>
        </w:tabs>
        <w:spacing w:line="287" w:lineRule="exact"/>
        <w:ind w:left="216" w:right="0"/>
        <w:jc w:val="left"/>
      </w:pPr>
      <w:r>
        <w:rPr/>
        <w:t>√适用</w:t>
        <w:tab/>
      </w:r>
      <w:r>
        <w:rPr>
          <w:rFonts w:ascii="Times New Roman" w:hAnsi="Times New Roman" w:cs="Times New Roman" w:eastAsia="Times New Roman" w:hint="default"/>
        </w:rPr>
        <w:t>□</w:t>
      </w:r>
      <w:r>
        <w:rPr/>
        <w:t>不适用</w:t>
      </w:r>
    </w:p>
    <w:p>
      <w:pPr>
        <w:spacing w:line="240" w:lineRule="auto" w:before="12"/>
        <w:rPr>
          <w:rFonts w:ascii="宋体" w:hAnsi="宋体" w:cs="宋体" w:eastAsia="宋体" w:hint="default"/>
          <w:sz w:val="29"/>
          <w:szCs w:val="29"/>
        </w:rPr>
      </w:pPr>
      <w:r>
        <w:rPr/>
        <w:br w:type="column"/>
      </w:r>
      <w:r>
        <w:rPr>
          <w:rFonts w:ascii="宋体"/>
          <w:sz w:val="29"/>
        </w:rPr>
      </w:r>
    </w:p>
    <w:p>
      <w:pPr>
        <w:pStyle w:val="BodyText"/>
        <w:spacing w:line="240" w:lineRule="auto"/>
        <w:ind w:left="216" w:right="0"/>
        <w:jc w:val="left"/>
      </w:pPr>
      <w:r>
        <w:rPr/>
        <w:t>无</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32"/>
          <w:szCs w:val="32"/>
        </w:rPr>
      </w:pPr>
    </w:p>
    <w:p>
      <w:pPr>
        <w:pStyle w:val="BodyText"/>
        <w:tabs>
          <w:tab w:pos="3313" w:val="left" w:leader="none"/>
        </w:tabs>
        <w:spacing w:line="240" w:lineRule="auto"/>
        <w:ind w:left="2113" w:right="0"/>
        <w:jc w:val="left"/>
      </w:pPr>
      <w:r>
        <w:rPr/>
        <w:t>单位：元</w:t>
        <w:tab/>
        <w:t>币种：人民币</w:t>
      </w:r>
    </w:p>
    <w:p>
      <w:pPr>
        <w:spacing w:after="0" w:line="240" w:lineRule="auto"/>
        <w:jc w:val="left"/>
        <w:sectPr>
          <w:type w:val="continuous"/>
          <w:pgSz w:w="11910" w:h="16840"/>
          <w:pgMar w:top="1120" w:bottom="1380" w:left="1060" w:right="1560"/>
          <w:cols w:num="2" w:equalWidth="0">
            <w:col w:w="2287" w:space="2010"/>
            <w:col w:w="4993"/>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804"/>
        <w:gridCol w:w="3118"/>
        <w:gridCol w:w="3128"/>
      </w:tblGrid>
      <w:tr>
        <w:trPr>
          <w:trHeight w:val="319"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4"/>
              <w:jc w:val="center"/>
              <w:rPr>
                <w:rFonts w:ascii="宋体" w:hAnsi="宋体" w:cs="宋体" w:eastAsia="宋体" w:hint="default"/>
                <w:sz w:val="24"/>
                <w:szCs w:val="24"/>
              </w:rPr>
            </w:pPr>
            <w:r>
              <w:rPr>
                <w:rFonts w:ascii="宋体" w:hAnsi="宋体" w:cs="宋体" w:eastAsia="宋体" w:hint="default"/>
                <w:sz w:val="24"/>
                <w:szCs w:val="24"/>
              </w:rPr>
              <w:t>项目</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短期应付债券</w:t>
            </w:r>
          </w:p>
        </w:tc>
        <w:tc>
          <w:tcPr>
            <w:tcW w:w="3118" w:type="dxa"/>
            <w:tcBorders>
              <w:top w:val="single" w:sz="4" w:space="0" w:color="000000"/>
              <w:left w:val="single" w:sz="4" w:space="0" w:color="000000"/>
              <w:bottom w:val="single" w:sz="4" w:space="0" w:color="000000"/>
              <w:right w:val="single" w:sz="4" w:space="0" w:color="000000"/>
            </w:tcBorders>
          </w:tcPr>
          <w:p>
            <w:pPr/>
          </w:p>
        </w:tc>
        <w:tc>
          <w:tcPr>
            <w:tcW w:w="312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待转销项税</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97,833,372</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145,751,437</w:t>
            </w:r>
          </w:p>
        </w:tc>
      </w:tr>
      <w:tr>
        <w:trPr>
          <w:trHeight w:val="322"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审计费</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2,130,000</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2,000,000</w:t>
            </w:r>
          </w:p>
        </w:tc>
      </w:tr>
      <w:tr>
        <w:trPr>
          <w:trHeight w:val="322"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其他</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23,808,564</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34,560,664</w:t>
            </w:r>
          </w:p>
        </w:tc>
      </w:tr>
      <w:tr>
        <w:trPr>
          <w:trHeight w:val="322" w:hRule="exact"/>
        </w:trPr>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1"/>
              <w:jc w:val="right"/>
              <w:rPr>
                <w:rFonts w:ascii="宋体" w:hAnsi="宋体" w:cs="宋体" w:eastAsia="宋体" w:hint="default"/>
                <w:sz w:val="24"/>
                <w:szCs w:val="24"/>
              </w:rPr>
            </w:pPr>
            <w:r>
              <w:rPr>
                <w:rFonts w:ascii="宋体" w:hAnsi="宋体" w:cs="宋体" w:eastAsia="宋体" w:hint="default"/>
                <w:sz w:val="24"/>
                <w:szCs w:val="24"/>
              </w:rPr>
              <w:t>合计</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123,771,936</w:t>
            </w:r>
          </w:p>
        </w:tc>
        <w:tc>
          <w:tcPr>
            <w:tcW w:w="31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182,312,101</w:t>
            </w:r>
          </w:p>
        </w:tc>
      </w:tr>
    </w:tbl>
    <w:p>
      <w:pPr>
        <w:spacing w:line="240" w:lineRule="auto" w:before="0"/>
        <w:rPr>
          <w:rFonts w:ascii="宋体" w:hAnsi="宋体" w:cs="宋体" w:eastAsia="宋体" w:hint="default"/>
          <w:sz w:val="16"/>
          <w:szCs w:val="16"/>
        </w:rPr>
      </w:pPr>
    </w:p>
    <w:p>
      <w:pPr>
        <w:pStyle w:val="BodyText"/>
        <w:spacing w:line="313" w:lineRule="exact" w:before="26"/>
        <w:ind w:left="216" w:right="0"/>
        <w:jc w:val="left"/>
      </w:pPr>
      <w:r>
        <w:rPr/>
        <w:t>短期应付债券的增减变动：</w:t>
      </w:r>
    </w:p>
    <w:p>
      <w:pPr>
        <w:pStyle w:val="BodyText"/>
        <w:spacing w:line="283" w:lineRule="auto"/>
        <w:ind w:left="216" w:right="7250"/>
        <w:jc w:val="left"/>
      </w:pPr>
      <w:r>
        <w:rPr/>
        <w:t>□适用 √不适用 其他说明：</w:t>
      </w:r>
    </w:p>
    <w:p>
      <w:pPr>
        <w:pStyle w:val="BodyText"/>
        <w:spacing w:line="240" w:lineRule="auto" w:before="14"/>
        <w:ind w:left="216" w:right="0"/>
        <w:jc w:val="left"/>
      </w:pPr>
      <w:r>
        <w:rPr/>
        <w:t>□适用 √不适用</w:t>
      </w:r>
    </w:p>
    <w:p>
      <w:pPr>
        <w:spacing w:line="240" w:lineRule="auto" w:before="2"/>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type w:val="continuous"/>
          <w:pgSz w:w="11910" w:h="16840"/>
          <w:pgMar w:top="1120" w:bottom="1380" w:left="1060" w:right="1560"/>
        </w:sectPr>
      </w:pPr>
    </w:p>
    <w:p>
      <w:pPr>
        <w:pStyle w:val="Heading2"/>
        <w:spacing w:line="283" w:lineRule="auto" w:before="26"/>
        <w:ind w:right="0"/>
        <w:jc w:val="left"/>
        <w:rPr>
          <w:rFonts w:ascii="宋体" w:hAnsi="宋体" w:cs="宋体" w:eastAsia="宋体" w:hint="default"/>
          <w:b w:val="0"/>
          <w:bCs w:val="0"/>
        </w:rPr>
      </w:pPr>
      <w:r>
        <w:rPr>
          <w:rFonts w:ascii="宋体" w:hAnsi="宋体" w:cs="宋体" w:eastAsia="宋体" w:hint="default"/>
        </w:rPr>
        <w:t>43</w:t>
      </w:r>
      <w:r>
        <w:rPr/>
        <w:t>、 </w:t>
      </w:r>
      <w:r>
        <w:rPr>
          <w:spacing w:val="2"/>
        </w:rPr>
        <w:t> </w:t>
      </w:r>
      <w:r>
        <w:rPr/>
        <w:t>长期借款</w:t>
      </w:r>
      <w:r>
        <w:rPr>
          <w:rFonts w:ascii="宋体" w:hAnsi="宋体" w:cs="宋体" w:eastAsia="宋体" w:hint="default"/>
          <w:w w:val="99"/>
        </w:rPr>
        <w:t> </w:t>
      </w:r>
      <w:r>
        <w:rPr>
          <w:rFonts w:ascii="宋体" w:hAnsi="宋体" w:cs="宋体" w:eastAsia="宋体" w:hint="default"/>
          <w:w w:val="99"/>
        </w:rPr>
        <w:t> </w:t>
      </w:r>
      <w:r>
        <w:rPr>
          <w:rFonts w:ascii="宋体" w:hAnsi="宋体" w:cs="宋体" w:eastAsia="宋体" w:hint="default"/>
        </w:rPr>
        <w:t>(1).</w:t>
      </w:r>
      <w:r>
        <w:rPr>
          <w:rFonts w:ascii="宋体" w:hAnsi="宋体" w:cs="宋体" w:eastAsia="宋体" w:hint="default"/>
          <w:spacing w:val="-3"/>
        </w:rPr>
        <w:t> </w:t>
      </w:r>
      <w:r>
        <w:rPr/>
        <w:t>长期借款分类</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387" w:space="3806"/>
            <w:col w:w="3097"/>
          </w:cols>
        </w:sectPr>
      </w:pPr>
    </w:p>
    <w:p>
      <w:pPr>
        <w:spacing w:line="240" w:lineRule="auto" w:before="10"/>
        <w:rPr>
          <w:rFonts w:ascii="宋体" w:hAnsi="宋体" w:cs="宋体" w:eastAsia="宋体" w:hint="default"/>
          <w:sz w:val="2"/>
          <w:szCs w:val="2"/>
        </w:rPr>
      </w:pPr>
    </w:p>
    <w:tbl>
      <w:tblPr>
        <w:tblW w:w="0" w:type="auto"/>
        <w:jc w:val="left"/>
        <w:tblInd w:w="180" w:type="dxa"/>
        <w:tblLayout w:type="fixed"/>
        <w:tblCellMar>
          <w:top w:w="0" w:type="dxa"/>
          <w:left w:w="0" w:type="dxa"/>
          <w:bottom w:w="0" w:type="dxa"/>
          <w:right w:w="0" w:type="dxa"/>
        </w:tblCellMar>
        <w:tblLook w:val="01E0"/>
      </w:tblPr>
      <w:tblGrid>
        <w:gridCol w:w="3001"/>
        <w:gridCol w:w="2998"/>
        <w:gridCol w:w="2897"/>
      </w:tblGrid>
      <w:tr>
        <w:trPr>
          <w:trHeight w:val="322"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62" w:right="0"/>
              <w:jc w:val="left"/>
              <w:rPr>
                <w:rFonts w:ascii="宋体" w:hAnsi="宋体" w:cs="宋体" w:eastAsia="宋体" w:hint="default"/>
                <w:sz w:val="24"/>
                <w:szCs w:val="24"/>
              </w:rPr>
            </w:pPr>
            <w:r>
              <w:rPr>
                <w:rFonts w:ascii="宋体" w:hAnsi="宋体" w:cs="宋体" w:eastAsia="宋体" w:hint="default"/>
                <w:sz w:val="24"/>
                <w:szCs w:val="24"/>
              </w:rPr>
              <w:t>期初余额</w:t>
            </w:r>
          </w:p>
        </w:tc>
      </w:tr>
    </w:tbl>
    <w:p>
      <w:pPr>
        <w:spacing w:after="0" w:line="274" w:lineRule="exact"/>
        <w:jc w:val="left"/>
        <w:rPr>
          <w:rFonts w:ascii="宋体" w:hAnsi="宋体" w:cs="宋体" w:eastAsia="宋体" w:hint="default"/>
          <w:sz w:val="24"/>
          <w:szCs w:val="24"/>
        </w:rPr>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3001"/>
        <w:gridCol w:w="2998"/>
        <w:gridCol w:w="2897"/>
      </w:tblGrid>
      <w:tr>
        <w:trPr>
          <w:trHeight w:val="322"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质押借款</w:t>
            </w:r>
          </w:p>
        </w:tc>
        <w:tc>
          <w:tcPr>
            <w:tcW w:w="2998" w:type="dxa"/>
            <w:tcBorders>
              <w:top w:val="single" w:sz="4" w:space="0" w:color="000000"/>
              <w:left w:val="single" w:sz="4" w:space="0" w:color="000000"/>
              <w:bottom w:val="single" w:sz="4" w:space="0" w:color="000000"/>
              <w:right w:val="single" w:sz="4" w:space="0" w:color="000000"/>
            </w:tcBorders>
          </w:tcPr>
          <w:p>
            <w:pP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抵押借款</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02"/>
              <w:jc w:val="right"/>
              <w:rPr>
                <w:rFonts w:ascii="Times New Roman" w:hAnsi="Times New Roman" w:cs="Times New Roman" w:eastAsia="Times New Roman" w:hint="default"/>
                <w:sz w:val="24"/>
                <w:szCs w:val="24"/>
              </w:rPr>
            </w:pPr>
            <w:r>
              <w:rPr>
                <w:rFonts w:ascii="Times New Roman"/>
                <w:sz w:val="24"/>
              </w:rPr>
              <w:t>135,000,000</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6"/>
              <w:jc w:val="right"/>
              <w:rPr>
                <w:rFonts w:ascii="Times New Roman" w:hAnsi="Times New Roman" w:cs="Times New Roman" w:eastAsia="Times New Roman" w:hint="default"/>
                <w:sz w:val="24"/>
                <w:szCs w:val="24"/>
              </w:rPr>
            </w:pPr>
            <w:r>
              <w:rPr>
                <w:rFonts w:ascii="Times New Roman"/>
                <w:sz w:val="24"/>
              </w:rPr>
              <w:t>231,804,559</w:t>
            </w:r>
          </w:p>
        </w:tc>
      </w:tr>
      <w:tr>
        <w:trPr>
          <w:trHeight w:val="322"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保证借款</w:t>
            </w:r>
          </w:p>
        </w:tc>
        <w:tc>
          <w:tcPr>
            <w:tcW w:w="2998" w:type="dxa"/>
            <w:tcBorders>
              <w:top w:val="single" w:sz="4" w:space="0" w:color="000000"/>
              <w:left w:val="single" w:sz="4" w:space="0" w:color="000000"/>
              <w:bottom w:val="single" w:sz="4" w:space="0" w:color="000000"/>
              <w:right w:val="single" w:sz="4" w:space="0" w:color="000000"/>
            </w:tcBorders>
          </w:tcPr>
          <w:p>
            <w:pP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信用借款</w:t>
            </w:r>
          </w:p>
        </w:tc>
        <w:tc>
          <w:tcPr>
            <w:tcW w:w="2998" w:type="dxa"/>
            <w:tcBorders>
              <w:top w:val="single" w:sz="4" w:space="0" w:color="000000"/>
              <w:left w:val="single" w:sz="4" w:space="0" w:color="000000"/>
              <w:bottom w:val="single" w:sz="4" w:space="0" w:color="000000"/>
              <w:right w:val="single" w:sz="4" w:space="0" w:color="000000"/>
            </w:tcBorders>
          </w:tcPr>
          <w:p>
            <w:pP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6"/>
              <w:jc w:val="right"/>
              <w:rPr>
                <w:rFonts w:ascii="Times New Roman" w:hAnsi="Times New Roman" w:cs="Times New Roman" w:eastAsia="Times New Roman" w:hint="default"/>
                <w:sz w:val="24"/>
                <w:szCs w:val="24"/>
              </w:rPr>
            </w:pPr>
            <w:r>
              <w:rPr>
                <w:rFonts w:ascii="Times New Roman"/>
                <w:sz w:val="24"/>
              </w:rPr>
              <w:t>73,333,332</w:t>
            </w:r>
          </w:p>
        </w:tc>
      </w:tr>
      <w:tr>
        <w:trPr>
          <w:trHeight w:val="322"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减：一年内到期的长期借款</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2"/>
              <w:jc w:val="right"/>
              <w:rPr>
                <w:rFonts w:ascii="Times New Roman" w:hAnsi="Times New Roman" w:cs="Times New Roman" w:eastAsia="Times New Roman" w:hint="default"/>
                <w:sz w:val="24"/>
                <w:szCs w:val="24"/>
              </w:rPr>
            </w:pPr>
            <w:r>
              <w:rPr>
                <w:rFonts w:ascii="Times New Roman"/>
                <w:spacing w:val="-1"/>
                <w:sz w:val="24"/>
              </w:rPr>
              <w:t>-90,000,000</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6"/>
              <w:jc w:val="right"/>
              <w:rPr>
                <w:rFonts w:ascii="Times New Roman" w:hAnsi="Times New Roman" w:cs="Times New Roman" w:eastAsia="Times New Roman" w:hint="default"/>
                <w:sz w:val="24"/>
                <w:szCs w:val="24"/>
              </w:rPr>
            </w:pPr>
            <w:r>
              <w:rPr>
                <w:rFonts w:ascii="Times New Roman"/>
                <w:spacing w:val="-1"/>
                <w:sz w:val="24"/>
              </w:rPr>
              <w:t>-133,471,227</w:t>
            </w:r>
          </w:p>
        </w:tc>
      </w:tr>
      <w:tr>
        <w:trPr>
          <w:trHeight w:val="286" w:hRule="exact"/>
        </w:trPr>
        <w:tc>
          <w:tcPr>
            <w:tcW w:w="3001" w:type="dxa"/>
            <w:tcBorders>
              <w:top w:val="single" w:sz="4" w:space="0" w:color="000000"/>
              <w:left w:val="single" w:sz="4" w:space="0" w:color="000000"/>
              <w:bottom w:val="single" w:sz="4" w:space="0" w:color="000000"/>
              <w:right w:val="single" w:sz="4" w:space="0" w:color="000000"/>
            </w:tcBorders>
          </w:tcPr>
          <w:p>
            <w:pPr/>
          </w:p>
        </w:tc>
        <w:tc>
          <w:tcPr>
            <w:tcW w:w="2998" w:type="dxa"/>
            <w:tcBorders>
              <w:top w:val="single" w:sz="4" w:space="0" w:color="000000"/>
              <w:left w:val="single" w:sz="4" w:space="0" w:color="000000"/>
              <w:bottom w:val="single" w:sz="4" w:space="0" w:color="000000"/>
              <w:right w:val="single" w:sz="4" w:space="0" w:color="000000"/>
            </w:tcBorders>
          </w:tcPr>
          <w:p>
            <w:pP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02"/>
              <w:jc w:val="right"/>
              <w:rPr>
                <w:rFonts w:ascii="Times New Roman" w:hAnsi="Times New Roman" w:cs="Times New Roman" w:eastAsia="Times New Roman" w:hint="default"/>
                <w:sz w:val="24"/>
                <w:szCs w:val="24"/>
              </w:rPr>
            </w:pPr>
            <w:r>
              <w:rPr>
                <w:rFonts w:ascii="Times New Roman"/>
                <w:sz w:val="24"/>
              </w:rPr>
              <w:t>45,000,000</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6"/>
              <w:jc w:val="right"/>
              <w:rPr>
                <w:rFonts w:ascii="Times New Roman" w:hAnsi="Times New Roman" w:cs="Times New Roman" w:eastAsia="Times New Roman" w:hint="default"/>
                <w:sz w:val="24"/>
                <w:szCs w:val="24"/>
              </w:rPr>
            </w:pPr>
            <w:r>
              <w:rPr>
                <w:rFonts w:ascii="Times New Roman"/>
                <w:sz w:val="24"/>
              </w:rPr>
              <w:t>171,666,664</w:t>
            </w:r>
          </w:p>
        </w:tc>
      </w:tr>
    </w:tbl>
    <w:p>
      <w:pPr>
        <w:pStyle w:val="BodyText"/>
        <w:spacing w:line="283" w:lineRule="auto" w:before="19"/>
        <w:ind w:right="6190"/>
        <w:jc w:val="left"/>
      </w:pPr>
      <w:r>
        <w:rPr/>
        <w:t>长期借款分类的说明： 无。</w:t>
      </w:r>
    </w:p>
    <w:p>
      <w:pPr>
        <w:spacing w:line="240" w:lineRule="auto" w:before="8"/>
        <w:rPr>
          <w:rFonts w:ascii="宋体" w:hAnsi="宋体" w:cs="宋体" w:eastAsia="宋体" w:hint="default"/>
          <w:sz w:val="17"/>
          <w:szCs w:val="17"/>
        </w:rPr>
      </w:pPr>
    </w:p>
    <w:p>
      <w:pPr>
        <w:pStyle w:val="BodyText"/>
        <w:spacing w:line="313" w:lineRule="exact"/>
        <w:ind w:right="0"/>
        <w:jc w:val="left"/>
      </w:pPr>
      <w:r>
        <w:rPr/>
        <w:t>其他说明，包括利率区间：</w:t>
      </w:r>
    </w:p>
    <w:p>
      <w:pPr>
        <w:pStyle w:val="BodyText"/>
        <w:spacing w:line="313" w:lineRule="exact"/>
        <w:ind w:right="0"/>
        <w:jc w:val="left"/>
      </w:pPr>
      <w:r>
        <w:rPr/>
        <w:t>√适用 □不适用</w:t>
      </w:r>
    </w:p>
    <w:p>
      <w:pPr>
        <w:spacing w:line="240" w:lineRule="auto" w:before="1"/>
        <w:rPr>
          <w:rFonts w:ascii="宋体" w:hAnsi="宋体" w:cs="宋体" w:eastAsia="宋体" w:hint="default"/>
          <w:sz w:val="22"/>
          <w:szCs w:val="22"/>
        </w:rPr>
      </w:pPr>
    </w:p>
    <w:p>
      <w:pPr>
        <w:pStyle w:val="BodyText"/>
        <w:spacing w:line="225" w:lineRule="auto"/>
        <w:ind w:right="110"/>
        <w:jc w:val="left"/>
      </w:pPr>
      <w:r>
        <w:rPr/>
        <w:t>注</w:t>
      </w:r>
      <w:r>
        <w:rPr>
          <w:spacing w:val="-60"/>
        </w:rPr>
        <w:t> </w:t>
      </w:r>
      <w:r>
        <w:rPr>
          <w:rFonts w:ascii="Times New Roman" w:hAnsi="Times New Roman" w:cs="Times New Roman" w:eastAsia="Times New Roman" w:hint="default"/>
        </w:rPr>
        <w:t>1. </w:t>
      </w:r>
      <w:r>
        <w:rPr/>
        <w:t>于</w:t>
      </w:r>
      <w:r>
        <w:rPr>
          <w:spacing w:val="-61"/>
        </w:rPr>
        <w:t> </w:t>
      </w:r>
      <w:r>
        <w:rPr>
          <w:rFonts w:ascii="Times New Roman" w:hAnsi="Times New Roman" w:cs="Times New Roman" w:eastAsia="Times New Roman" w:hint="default"/>
        </w:rPr>
        <w:t>2018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4"/>
        </w:rPr>
        <w:t>日，本公司以账面价值人民币</w:t>
      </w:r>
      <w:r>
        <w:rPr>
          <w:spacing w:val="-60"/>
        </w:rPr>
        <w:t> </w:t>
      </w:r>
      <w:r>
        <w:rPr>
          <w:rFonts w:ascii="Times New Roman" w:hAnsi="Times New Roman" w:cs="Times New Roman" w:eastAsia="Times New Roman" w:hint="default"/>
        </w:rPr>
        <w:t>19,406,177 </w:t>
      </w:r>
      <w:r>
        <w:rPr/>
        <w:t>元的中关村永丰基 地</w:t>
      </w:r>
      <w:r>
        <w:rPr>
          <w:spacing w:val="-56"/>
        </w:rPr>
        <w:t> </w:t>
      </w:r>
      <w:r>
        <w:rPr>
          <w:rFonts w:ascii="Times New Roman" w:hAnsi="Times New Roman" w:cs="Times New Roman" w:eastAsia="Times New Roman" w:hint="default"/>
        </w:rPr>
        <w:t>III-14</w:t>
      </w:r>
      <w:r>
        <w:rPr>
          <w:rFonts w:ascii="Times New Roman" w:hAnsi="Times New Roman" w:cs="Times New Roman" w:eastAsia="Times New Roman" w:hint="default"/>
          <w:spacing w:val="1"/>
        </w:rPr>
        <w:t> </w:t>
      </w:r>
      <w:r>
        <w:rPr/>
        <w:t>及</w:t>
      </w:r>
      <w:r>
        <w:rPr>
          <w:spacing w:val="-54"/>
        </w:rPr>
        <w:t> </w:t>
      </w:r>
      <w:r>
        <w:rPr>
          <w:rFonts w:ascii="Times New Roman" w:hAnsi="Times New Roman" w:cs="Times New Roman" w:eastAsia="Times New Roman" w:hint="default"/>
        </w:rPr>
        <w:t>III-16</w:t>
      </w:r>
      <w:r>
        <w:rPr>
          <w:rFonts w:ascii="Times New Roman" w:hAnsi="Times New Roman" w:cs="Times New Roman" w:eastAsia="Times New Roman" w:hint="default"/>
          <w:spacing w:val="2"/>
        </w:rPr>
        <w:t> </w:t>
      </w:r>
      <w:r>
        <w:rPr/>
        <w:t>地块土地使用权及其账面价值为人民币</w:t>
      </w:r>
      <w:r>
        <w:rPr>
          <w:spacing w:val="-57"/>
        </w:rPr>
        <w:t> </w:t>
      </w:r>
      <w:r>
        <w:rPr>
          <w:rFonts w:ascii="Times New Roman" w:hAnsi="Times New Roman" w:cs="Times New Roman" w:eastAsia="Times New Roman" w:hint="default"/>
        </w:rPr>
        <w:t>142,014,359</w:t>
      </w:r>
      <w:r>
        <w:rPr>
          <w:rFonts w:ascii="Times New Roman" w:hAnsi="Times New Roman" w:cs="Times New Roman" w:eastAsia="Times New Roman" w:hint="default"/>
          <w:spacing w:val="5"/>
        </w:rPr>
        <w:t> </w:t>
      </w:r>
      <w:r>
        <w:rPr/>
        <w:t>元的地上房产、</w:t>
      </w:r>
      <w:r>
        <w:rPr>
          <w:spacing w:val="2"/>
        </w:rPr>
        <w:t> </w:t>
      </w:r>
      <w:r>
        <w:rPr/>
        <w:t>账面价值为人民币</w:t>
      </w:r>
      <w:r>
        <w:rPr>
          <w:spacing w:val="-62"/>
        </w:rPr>
        <w:t> </w:t>
      </w:r>
      <w:r>
        <w:rPr>
          <w:rFonts w:ascii="Times New Roman" w:hAnsi="Times New Roman" w:cs="Times New Roman" w:eastAsia="Times New Roman" w:hint="default"/>
        </w:rPr>
        <w:t>46,144,113</w:t>
      </w:r>
      <w:r>
        <w:rPr>
          <w:rFonts w:ascii="Times New Roman" w:hAnsi="Times New Roman" w:cs="Times New Roman" w:eastAsia="Times New Roman" w:hint="default"/>
          <w:spacing w:val="-2"/>
        </w:rPr>
        <w:t> </w:t>
      </w:r>
      <w:r>
        <w:rPr/>
        <w:t>元的中关村永丰基地</w:t>
      </w:r>
      <w:r>
        <w:rPr>
          <w:spacing w:val="-60"/>
        </w:rPr>
        <w:t> </w:t>
      </w:r>
      <w:r>
        <w:rPr>
          <w:rFonts w:ascii="Times New Roman" w:hAnsi="Times New Roman" w:cs="Times New Roman" w:eastAsia="Times New Roman" w:hint="default"/>
        </w:rPr>
        <w:t>III-10</w:t>
      </w:r>
      <w:r>
        <w:rPr>
          <w:rFonts w:ascii="Times New Roman" w:hAnsi="Times New Roman" w:cs="Times New Roman" w:eastAsia="Times New Roman" w:hint="default"/>
          <w:spacing w:val="-2"/>
        </w:rPr>
        <w:t> </w:t>
      </w:r>
      <w:r>
        <w:rPr/>
        <w:t>及</w:t>
      </w:r>
      <w:r>
        <w:rPr>
          <w:spacing w:val="-58"/>
        </w:rPr>
        <w:t> </w:t>
      </w:r>
      <w:r>
        <w:rPr>
          <w:rFonts w:ascii="Times New Roman" w:hAnsi="Times New Roman" w:cs="Times New Roman" w:eastAsia="Times New Roman" w:hint="default"/>
        </w:rPr>
        <w:t>III-12</w:t>
      </w:r>
      <w:r>
        <w:rPr>
          <w:rFonts w:ascii="Times New Roman" w:hAnsi="Times New Roman" w:cs="Times New Roman" w:eastAsia="Times New Roman" w:hint="default"/>
          <w:spacing w:val="-2"/>
        </w:rPr>
        <w:t> </w:t>
      </w:r>
      <w:r>
        <w:rPr/>
        <w:t>地块土地使用权及 其价值为人民币</w:t>
      </w:r>
      <w:r>
        <w:rPr>
          <w:spacing w:val="-60"/>
        </w:rPr>
        <w:t> </w:t>
      </w:r>
      <w:r>
        <w:rPr>
          <w:rFonts w:ascii="Times New Roman" w:hAnsi="Times New Roman" w:cs="Times New Roman" w:eastAsia="Times New Roman" w:hint="default"/>
        </w:rPr>
        <w:t>351,453,685 </w:t>
      </w:r>
      <w:r>
        <w:rPr/>
        <w:t>元元的房产为抵押，取得招商银行股份有限公司北京清</w:t>
      </w:r>
    </w:p>
    <w:p>
      <w:pPr>
        <w:pStyle w:val="BodyText"/>
        <w:spacing w:line="312" w:lineRule="exact" w:before="13"/>
        <w:ind w:right="225"/>
        <w:jc w:val="left"/>
      </w:pPr>
      <w:r>
        <w:rPr/>
        <w:t>华园支行借款人民币</w:t>
      </w:r>
      <w:r>
        <w:rPr>
          <w:spacing w:val="-60"/>
        </w:rPr>
        <w:t> </w:t>
      </w:r>
      <w:r>
        <w:rPr>
          <w:rFonts w:ascii="Times New Roman" w:hAnsi="Times New Roman" w:cs="Times New Roman" w:eastAsia="Times New Roman" w:hint="default"/>
        </w:rPr>
        <w:t>21,804,559 </w:t>
      </w:r>
      <w:r>
        <w:rPr>
          <w:spacing w:val="-28"/>
        </w:rPr>
        <w:t>元。与</w:t>
      </w:r>
      <w:r>
        <w:rPr>
          <w:spacing w:val="-60"/>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spacing w:val="-7"/>
        </w:rPr>
        <w:t>日，本公司已归还全部借款，</w:t>
      </w:r>
      <w:r>
        <w:rPr/>
        <w:t> 用于取得该借款的抵押物已全部解除抵押。</w:t>
      </w:r>
    </w:p>
    <w:p>
      <w:pPr>
        <w:spacing w:line="240" w:lineRule="auto" w:before="11"/>
        <w:rPr>
          <w:rFonts w:ascii="宋体" w:hAnsi="宋体" w:cs="宋体" w:eastAsia="宋体" w:hint="default"/>
          <w:sz w:val="19"/>
          <w:szCs w:val="19"/>
        </w:rPr>
      </w:pPr>
    </w:p>
    <w:p>
      <w:pPr>
        <w:pStyle w:val="BodyText"/>
        <w:spacing w:line="225" w:lineRule="auto"/>
        <w:ind w:right="220"/>
        <w:jc w:val="left"/>
      </w:pPr>
      <w:r>
        <w:rPr/>
        <w:t>于</w:t>
      </w:r>
      <w:r>
        <w:rPr>
          <w:spacing w:val="-5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spacing w:val="-6"/>
        </w:rPr>
        <w:t>日，本公司子公司用友</w:t>
      </w:r>
      <w:r>
        <w:rPr>
          <w:rFonts w:ascii="Times New Roman" w:hAnsi="Times New Roman" w:cs="Times New Roman" w:eastAsia="Times New Roman" w:hint="default"/>
          <w:spacing w:val="-6"/>
        </w:rPr>
        <w:t>(</w:t>
      </w:r>
      <w:r>
        <w:rPr>
          <w:spacing w:val="-6"/>
        </w:rPr>
        <w:t>南昌</w:t>
      </w:r>
      <w:r>
        <w:rPr>
          <w:rFonts w:ascii="Times New Roman" w:hAnsi="Times New Roman" w:cs="Times New Roman" w:eastAsia="Times New Roman" w:hint="default"/>
          <w:spacing w:val="-6"/>
        </w:rPr>
        <w:t>)</w:t>
      </w:r>
      <w:r>
        <w:rPr>
          <w:spacing w:val="-6"/>
        </w:rPr>
        <w:t>产业基地发展有限公司</w:t>
      </w:r>
      <w:r>
        <w:rPr>
          <w:rFonts w:ascii="Times New Roman" w:hAnsi="Times New Roman" w:cs="Times New Roman" w:eastAsia="Times New Roman" w:hint="default"/>
          <w:spacing w:val="-6"/>
        </w:rPr>
        <w:t>(</w:t>
      </w:r>
      <w:r>
        <w:rPr>
          <w:spacing w:val="-6"/>
        </w:rPr>
        <w:t>以下简称“用</w:t>
      </w:r>
      <w:r>
        <w:rPr/>
        <w:t> 友</w:t>
      </w:r>
      <w:r>
        <w:rPr>
          <w:rFonts w:ascii="Times New Roman" w:hAnsi="Times New Roman" w:cs="Times New Roman" w:eastAsia="Times New Roman" w:hint="default"/>
        </w:rPr>
        <w:t>(</w:t>
      </w:r>
      <w:r>
        <w:rPr/>
        <w:t>南昌</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以账面价值人民币</w:t>
      </w:r>
      <w:r>
        <w:rPr>
          <w:spacing w:val="-61"/>
        </w:rPr>
        <w:t> </w:t>
      </w:r>
      <w:r>
        <w:rPr>
          <w:rFonts w:ascii="Times New Roman" w:hAnsi="Times New Roman" w:cs="Times New Roman" w:eastAsia="Times New Roman" w:hint="default"/>
        </w:rPr>
        <w:t>523,454,206</w:t>
      </w:r>
      <w:r>
        <w:rPr>
          <w:rFonts w:ascii="Times New Roman" w:hAnsi="Times New Roman" w:cs="Times New Roman" w:eastAsia="Times New Roman" w:hint="default"/>
          <w:spacing w:val="-1"/>
        </w:rPr>
        <w:t> </w:t>
      </w:r>
      <w:r>
        <w:rPr/>
        <w:t>元的房产</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年：房产为人民币 </w:t>
      </w:r>
      <w:r>
        <w:rPr>
          <w:rFonts w:ascii="Times New Roman" w:hAnsi="Times New Roman" w:cs="Times New Roman" w:eastAsia="Times New Roman" w:hint="default"/>
        </w:rPr>
        <w:t>290,155,721 </w:t>
      </w:r>
      <w:r>
        <w:rPr>
          <w:spacing w:val="-7"/>
        </w:rPr>
        <w:t>元，在建工程为人民币</w:t>
      </w:r>
      <w:r>
        <w:rPr>
          <w:spacing w:val="-60"/>
        </w:rPr>
        <w:t> </w:t>
      </w:r>
      <w:r>
        <w:rPr>
          <w:rFonts w:ascii="Times New Roman" w:hAnsi="Times New Roman" w:cs="Times New Roman" w:eastAsia="Times New Roman" w:hint="default"/>
        </w:rPr>
        <w:t>231,516,575 </w:t>
      </w:r>
      <w:r>
        <w:rPr/>
        <w:t>元</w:t>
      </w:r>
      <w:r>
        <w:rPr>
          <w:rFonts w:ascii="Times New Roman" w:hAnsi="Times New Roman" w:cs="Times New Roman" w:eastAsia="Times New Roman" w:hint="default"/>
        </w:rPr>
        <w:t>)</w:t>
      </w:r>
      <w:r>
        <w:rPr/>
        <w:t>及账面价值为人民币</w:t>
      </w:r>
      <w:r>
        <w:rPr>
          <w:spacing w:val="-60"/>
        </w:rPr>
        <w:t> </w:t>
      </w:r>
      <w:r>
        <w:rPr>
          <w:rFonts w:ascii="Times New Roman" w:hAnsi="Times New Roman" w:cs="Times New Roman" w:eastAsia="Times New Roman" w:hint="default"/>
        </w:rPr>
        <w:t>30,414,228 </w:t>
      </w:r>
      <w:r>
        <w:rPr/>
        <w:t>元 的土地使用权</w:t>
      </w:r>
      <w:r>
        <w:rPr>
          <w:rFonts w:ascii="Times New Roman" w:hAnsi="Times New Roman" w:cs="Times New Roman" w:eastAsia="Times New Roman" w:hint="default"/>
        </w:rPr>
        <w:t>(2018</w:t>
      </w:r>
      <w:r>
        <w:rPr>
          <w:rFonts w:ascii="Times New Roman" w:hAnsi="Times New Roman" w:cs="Times New Roman" w:eastAsia="Times New Roman" w:hint="default"/>
          <w:spacing w:val="-6"/>
        </w:rPr>
        <w:t> </w:t>
      </w:r>
      <w:r>
        <w:rPr>
          <w:spacing w:val="-3"/>
        </w:rPr>
        <w:t>年：人民币</w:t>
      </w:r>
      <w:r>
        <w:rPr>
          <w:spacing w:val="-65"/>
        </w:rPr>
        <w:t> </w:t>
      </w:r>
      <w:r>
        <w:rPr>
          <w:rFonts w:ascii="Times New Roman" w:hAnsi="Times New Roman" w:cs="Times New Roman" w:eastAsia="Times New Roman" w:hint="default"/>
        </w:rPr>
        <w:t>31,166,745</w:t>
      </w:r>
      <w:r>
        <w:rPr>
          <w:rFonts w:ascii="Times New Roman" w:hAnsi="Times New Roman" w:cs="Times New Roman" w:eastAsia="Times New Roman" w:hint="default"/>
          <w:spacing w:val="-5"/>
        </w:rPr>
        <w:t> </w:t>
      </w:r>
      <w:r>
        <w:rPr/>
        <w:t>元</w:t>
      </w:r>
      <w:r>
        <w:rPr>
          <w:rFonts w:ascii="Times New Roman" w:hAnsi="Times New Roman" w:cs="Times New Roman" w:eastAsia="Times New Roman" w:hint="default"/>
        </w:rPr>
        <w:t>)</w:t>
      </w:r>
      <w:r>
        <w:rPr/>
        <w:t>为抵押物，取得北京银行南昌分行借款 人民币</w:t>
      </w:r>
      <w:r>
        <w:rPr>
          <w:spacing w:val="-60"/>
        </w:rPr>
        <w:t> </w:t>
      </w:r>
      <w:r>
        <w:rPr>
          <w:rFonts w:ascii="Times New Roman" w:hAnsi="Times New Roman" w:cs="Times New Roman" w:eastAsia="Times New Roman" w:hint="default"/>
        </w:rPr>
        <w:t>135,000,000 </w:t>
      </w:r>
      <w:r>
        <w:rPr/>
        <w:t>元</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年：长期借款余额为人民币</w:t>
      </w:r>
      <w:r>
        <w:rPr>
          <w:spacing w:val="-60"/>
        </w:rPr>
        <w:t> </w:t>
      </w:r>
      <w:r>
        <w:rPr>
          <w:rFonts w:ascii="Times New Roman" w:hAnsi="Times New Roman" w:cs="Times New Roman" w:eastAsia="Times New Roman" w:hint="default"/>
        </w:rPr>
        <w:t>210,000,000 </w:t>
      </w:r>
      <w:r>
        <w:rPr/>
        <w:t>元，本年归还人</w:t>
      </w:r>
    </w:p>
    <w:p>
      <w:pPr>
        <w:pStyle w:val="BodyText"/>
        <w:spacing w:line="315" w:lineRule="exact"/>
        <w:ind w:right="0"/>
        <w:jc w:val="left"/>
      </w:pPr>
      <w:r>
        <w:rPr/>
        <w:t>民币</w:t>
      </w:r>
      <w:r>
        <w:rPr>
          <w:spacing w:val="-61"/>
        </w:rPr>
        <w:t> </w:t>
      </w:r>
      <w:r>
        <w:rPr>
          <w:rFonts w:ascii="Times New Roman" w:hAnsi="Times New Roman" w:cs="Times New Roman" w:eastAsia="Times New Roman" w:hint="default"/>
        </w:rPr>
        <w:t>75,000,000</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w:t>
      </w:r>
      <w:r>
        <w:rPr/>
        <w:t>。本公司作为保证人为该笔贷款提供担保。</w:t>
      </w:r>
    </w:p>
    <w:p>
      <w:pPr>
        <w:spacing w:line="240" w:lineRule="auto" w:before="5"/>
        <w:rPr>
          <w:rFonts w:ascii="宋体" w:hAnsi="宋体" w:cs="宋体" w:eastAsia="宋体" w:hint="default"/>
          <w:sz w:val="19"/>
          <w:szCs w:val="19"/>
        </w:rPr>
      </w:pPr>
    </w:p>
    <w:p>
      <w:pPr>
        <w:pStyle w:val="BodyText"/>
        <w:tabs>
          <w:tab w:pos="977" w:val="left" w:leader="none"/>
        </w:tabs>
        <w:spacing w:line="322" w:lineRule="exact"/>
        <w:ind w:right="0"/>
        <w:jc w:val="left"/>
      </w:pPr>
      <w:r>
        <w:rPr/>
        <w:t>注</w:t>
      </w:r>
      <w:r>
        <w:rPr>
          <w:spacing w:val="-60"/>
        </w:rPr>
        <w:t> </w:t>
      </w:r>
      <w:r>
        <w:rPr>
          <w:rFonts w:ascii="Times New Roman" w:hAnsi="Times New Roman" w:cs="Times New Roman" w:eastAsia="Times New Roman" w:hint="default"/>
        </w:rPr>
        <w:t>2.</w:t>
        <w:tab/>
      </w:r>
      <w:r>
        <w:rPr/>
        <w:t>于</w:t>
      </w:r>
      <w:r>
        <w:rPr>
          <w:spacing w:val="-59"/>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4"/>
        </w:rPr>
        <w:t>日，本公司在工商银行借款人民币</w:t>
      </w:r>
      <w:r>
        <w:rPr>
          <w:spacing w:val="-59"/>
        </w:rPr>
        <w:t> </w:t>
      </w:r>
      <w:r>
        <w:rPr>
          <w:rFonts w:ascii="Times New Roman" w:hAnsi="Times New Roman" w:cs="Times New Roman" w:eastAsia="Times New Roman" w:hint="default"/>
        </w:rPr>
        <w:t>73,333,332</w:t>
      </w:r>
      <w:r>
        <w:rPr>
          <w:rFonts w:ascii="Times New Roman" w:hAnsi="Times New Roman" w:cs="Times New Roman" w:eastAsia="Times New Roman" w:hint="default"/>
          <w:spacing w:val="1"/>
        </w:rPr>
        <w:t> </w:t>
      </w:r>
      <w:r>
        <w:rPr/>
        <w:t>元用于支付</w:t>
      </w:r>
    </w:p>
    <w:p>
      <w:pPr>
        <w:pStyle w:val="BodyText"/>
        <w:spacing w:line="312" w:lineRule="exact"/>
        <w:ind w:right="0"/>
        <w:jc w:val="left"/>
        <w:rPr>
          <w:rFonts w:ascii="Times New Roman" w:hAnsi="Times New Roman" w:cs="Times New Roman" w:eastAsia="Times New Roman" w:hint="default"/>
        </w:rPr>
      </w:pPr>
      <w:r>
        <w:rPr/>
        <w:t>收购畅捷通持有的北京畅捷支付技术有限公司</w:t>
      </w:r>
      <w:r>
        <w:rPr>
          <w:spacing w:val="-60"/>
        </w:rPr>
        <w:t> </w:t>
      </w:r>
      <w:r>
        <w:rPr>
          <w:rFonts w:ascii="Times New Roman" w:hAnsi="Times New Roman" w:cs="Times New Roman" w:eastAsia="Times New Roman" w:hint="default"/>
        </w:rPr>
        <w:t>55.82%</w:t>
      </w:r>
      <w:r>
        <w:rPr/>
        <w:t>股权款项。该笔借款已于</w:t>
      </w:r>
      <w:r>
        <w:rPr>
          <w:spacing w:val="-61"/>
        </w:rPr>
        <w:t> </w:t>
      </w:r>
      <w:r>
        <w:rPr>
          <w:rFonts w:ascii="Times New Roman" w:hAnsi="Times New Roman" w:cs="Times New Roman" w:eastAsia="Times New Roman" w:hint="default"/>
        </w:rPr>
        <w:t>2019</w:t>
      </w:r>
    </w:p>
    <w:p>
      <w:pPr>
        <w:pStyle w:val="BodyText"/>
        <w:spacing w:line="322" w:lineRule="exact"/>
        <w:ind w:right="0"/>
        <w:jc w:val="left"/>
      </w:pPr>
      <w:r>
        <w:rPr/>
        <w:t>年</w:t>
      </w:r>
      <w:r>
        <w:rPr>
          <w:spacing w:val="-60"/>
        </w:rPr>
        <w:t> </w:t>
      </w:r>
      <w:r>
        <w:rPr>
          <w:rFonts w:ascii="Times New Roman" w:hAnsi="Times New Roman" w:cs="Times New Roman" w:eastAsia="Times New Roman" w:hint="default"/>
        </w:rPr>
        <w:t>12 </w:t>
      </w:r>
      <w:r>
        <w:rPr/>
        <w:t>月</w:t>
      </w:r>
      <w:r>
        <w:rPr>
          <w:spacing w:val="-61"/>
        </w:rPr>
        <w:t> </w:t>
      </w:r>
      <w:r>
        <w:rPr>
          <w:rFonts w:ascii="Times New Roman" w:hAnsi="Times New Roman" w:cs="Times New Roman" w:eastAsia="Times New Roman" w:hint="default"/>
        </w:rPr>
        <w:t>31 </w:t>
      </w:r>
      <w:r>
        <w:rPr/>
        <w:t>日前归还。</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21"/>
          <w:szCs w:val="21"/>
        </w:rPr>
      </w:pPr>
    </w:p>
    <w:p>
      <w:pPr>
        <w:pStyle w:val="Heading2"/>
        <w:tabs>
          <w:tab w:pos="977" w:val="left" w:leader="none"/>
        </w:tabs>
        <w:spacing w:line="283" w:lineRule="auto"/>
        <w:ind w:left="136" w:right="7142"/>
        <w:jc w:val="left"/>
        <w:rPr>
          <w:rFonts w:ascii="宋体" w:hAnsi="宋体" w:cs="宋体" w:eastAsia="宋体" w:hint="default"/>
          <w:b w:val="0"/>
          <w:bCs w:val="0"/>
        </w:rPr>
      </w:pPr>
      <w:r>
        <w:rPr>
          <w:rFonts w:ascii="宋体" w:hAnsi="宋体" w:cs="宋体" w:eastAsia="宋体" w:hint="default"/>
        </w:rPr>
        <w:t>44</w:t>
      </w:r>
      <w:r>
        <w:rPr/>
        <w:t>、</w:t>
      </w:r>
      <w:r>
        <w:rPr>
          <w:spacing w:val="-101"/>
        </w:rPr>
        <w:t> </w:t>
      </w:r>
      <w:r>
        <w:rPr/>
        <w:t>应付债券</w:t>
      </w:r>
      <w:r>
        <w:rPr>
          <w:rFonts w:ascii="宋体" w:hAnsi="宋体" w:cs="宋体" w:eastAsia="宋体" w:hint="default"/>
          <w:w w:val="99"/>
        </w:rPr>
        <w:t> </w:t>
      </w:r>
      <w:r>
        <w:rPr>
          <w:rFonts w:ascii="宋体" w:hAnsi="宋体" w:cs="宋体" w:eastAsia="宋体" w:hint="default"/>
        </w:rPr>
        <w:t>(1).</w:t>
        <w:tab/>
      </w:r>
      <w:r>
        <w:rPr/>
        <w:t>应付债券</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5"/>
        <w:ind w:right="0"/>
        <w:jc w:val="left"/>
      </w:pPr>
      <w:r>
        <w:rPr/>
        <w:t>□适用 √不适用</w:t>
      </w:r>
    </w:p>
    <w:p>
      <w:pPr>
        <w:pStyle w:val="Heading2"/>
        <w:tabs>
          <w:tab w:pos="977" w:val="left" w:leader="none"/>
        </w:tabs>
        <w:spacing w:line="310" w:lineRule="exact" w:before="90"/>
        <w:ind w:left="564" w:right="234" w:hanging="428"/>
        <w:jc w:val="left"/>
        <w:rPr>
          <w:rFonts w:ascii="宋体" w:hAnsi="宋体" w:cs="宋体" w:eastAsia="宋体" w:hint="default"/>
          <w:b w:val="0"/>
          <w:bCs w:val="0"/>
        </w:rPr>
      </w:pPr>
      <w:r>
        <w:rPr>
          <w:rFonts w:ascii="宋体" w:hAnsi="宋体" w:cs="宋体" w:eastAsia="宋体" w:hint="default"/>
          <w:spacing w:val="1"/>
          <w:w w:val="99"/>
        </w:rPr>
        <w:t>(2).</w:t>
        <w:tab/>
      </w:r>
      <w:r>
        <w:rPr>
          <w:spacing w:val="-6"/>
          <w:w w:val="99"/>
        </w:rPr>
        <w:t>应付债券的增减变动：（不包括划分为金融负债的优先股、永续债等其他金融</w:t>
      </w:r>
      <w:r>
        <w:rPr>
          <w:spacing w:val="-88"/>
          <w:w w:val="99"/>
        </w:rPr>
        <w:t> </w:t>
      </w:r>
      <w:r>
        <w:rPr>
          <w:spacing w:val="-88"/>
          <w:w w:val="99"/>
        </w:rPr>
      </w:r>
      <w:r>
        <w:rPr/>
        <w:t>工具）</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29"/>
        <w:ind w:right="0"/>
        <w:jc w:val="left"/>
      </w:pPr>
      <w:r>
        <w:rPr/>
        <w:t>□适用 √不适用</w:t>
      </w:r>
    </w:p>
    <w:p>
      <w:pPr>
        <w:pStyle w:val="Heading2"/>
        <w:tabs>
          <w:tab w:pos="977" w:val="left" w:leader="none"/>
        </w:tabs>
        <w:spacing w:line="240" w:lineRule="auto" w:before="58"/>
        <w:ind w:left="136" w:right="0"/>
        <w:jc w:val="left"/>
        <w:rPr>
          <w:rFonts w:ascii="宋体" w:hAnsi="宋体" w:cs="宋体" w:eastAsia="宋体" w:hint="default"/>
          <w:b w:val="0"/>
          <w:bCs w:val="0"/>
        </w:rPr>
      </w:pPr>
      <w:bookmarkStart w:name="OLE_LINK16" w:id="19"/>
      <w:bookmarkEnd w:id="19"/>
      <w:r>
        <w:rPr>
          <w:b w:val="0"/>
          <w:bCs w:val="0"/>
        </w:rPr>
      </w:r>
      <w:bookmarkStart w:name="OLE_LINK18" w:id="20"/>
      <w:bookmarkEnd w:id="20"/>
      <w:r>
        <w:rPr>
          <w:b w:val="0"/>
          <w:bCs w:val="0"/>
        </w:rPr>
      </w:r>
      <w:r>
        <w:rPr>
          <w:rFonts w:ascii="宋体" w:hAnsi="宋体" w:cs="宋体" w:eastAsia="宋体" w:hint="default"/>
        </w:rPr>
        <w:t>(3).</w:t>
        <w:tab/>
      </w:r>
      <w:r>
        <w:rPr/>
        <w:t>可转换公司债券的转股条件、转股时间说明</w:t>
      </w:r>
      <w:r>
        <w:rPr>
          <w:rFonts w:ascii="宋体" w:hAnsi="宋体" w:cs="宋体" w:eastAsia="宋体" w:hint="default"/>
          <w:w w:val="99"/>
        </w:rPr>
        <w:t> </w:t>
      </w:r>
      <w:r>
        <w:rPr>
          <w:rFonts w:ascii="宋体" w:hAnsi="宋体" w:cs="宋体" w:eastAsia="宋体" w:hint="default"/>
          <w:b w:val="0"/>
          <w:bCs w:val="0"/>
        </w:rPr>
      </w:r>
    </w:p>
    <w:p>
      <w:pPr>
        <w:pStyle w:val="BodyText"/>
        <w:tabs>
          <w:tab w:pos="1097" w:val="left" w:leader="none"/>
        </w:tabs>
        <w:spacing w:line="240" w:lineRule="auto" w:before="55"/>
        <w:ind w:right="0"/>
        <w:jc w:val="left"/>
      </w:pPr>
      <w:r>
        <w:rPr/>
        <w:t>□适用</w:t>
        <w:tab/>
        <w:t>√不适用</w:t>
      </w:r>
    </w:p>
    <w:p>
      <w:pPr>
        <w:spacing w:after="0" w:line="240" w:lineRule="auto"/>
        <w:jc w:val="left"/>
        <w:sectPr>
          <w:footerReference w:type="default" r:id="rId69"/>
          <w:pgSz w:w="11910" w:h="16840"/>
          <w:pgMar w:footer="1195" w:header="882" w:top="1080" w:bottom="1380" w:left="1140" w:right="1560"/>
          <w:pgNumType w:start="111"/>
        </w:sectPr>
      </w:pPr>
    </w:p>
    <w:p>
      <w:pPr>
        <w:spacing w:line="240" w:lineRule="auto" w:before="4"/>
        <w:rPr>
          <w:rFonts w:ascii="宋体" w:hAnsi="宋体" w:cs="宋体" w:eastAsia="宋体" w:hint="default"/>
          <w:sz w:val="22"/>
          <w:szCs w:val="22"/>
        </w:rPr>
      </w:pPr>
    </w:p>
    <w:p>
      <w:pPr>
        <w:tabs>
          <w:tab w:pos="977" w:val="left" w:leader="none"/>
        </w:tabs>
        <w:spacing w:line="285" w:lineRule="auto" w:before="26"/>
        <w:ind w:left="136" w:right="2947" w:firstLine="0"/>
        <w:jc w:val="left"/>
        <w:rPr>
          <w:rFonts w:ascii="宋体" w:hAnsi="宋体" w:cs="宋体" w:eastAsia="宋体" w:hint="default"/>
          <w:sz w:val="24"/>
          <w:szCs w:val="24"/>
        </w:rPr>
      </w:pPr>
      <w:r>
        <w:rPr>
          <w:rFonts w:ascii="宋体" w:hAnsi="宋体" w:cs="宋体" w:eastAsia="宋体" w:hint="default"/>
          <w:b/>
          <w:bCs/>
          <w:sz w:val="24"/>
          <w:szCs w:val="24"/>
        </w:rPr>
        <w:t>(4).</w:t>
        <w:tab/>
      </w:r>
      <w:r>
        <w:rPr>
          <w:rFonts w:ascii="宋体" w:hAnsi="宋体" w:cs="宋体" w:eastAsia="宋体" w:hint="default"/>
          <w:b/>
          <w:bCs/>
          <w:sz w:val="24"/>
          <w:szCs w:val="24"/>
        </w:rPr>
        <w:t>划分为金融负债的其他金融工具说明</w:t>
      </w:r>
      <w:r>
        <w:rPr>
          <w:rFonts w:ascii="宋体" w:hAnsi="宋体" w:cs="宋体" w:eastAsia="宋体" w:hint="default"/>
          <w:b/>
          <w:bCs/>
          <w:w w:val="99"/>
          <w:sz w:val="24"/>
          <w:szCs w:val="24"/>
        </w:rPr>
        <w:t> </w:t>
      </w:r>
      <w:r>
        <w:rPr>
          <w:rFonts w:ascii="宋体" w:hAnsi="宋体" w:cs="宋体" w:eastAsia="宋体" w:hint="default"/>
          <w:sz w:val="24"/>
          <w:szCs w:val="24"/>
        </w:rPr>
        <w:t>期末发行在外的优先股、永续债等其他金融工具基本情况</w:t>
      </w:r>
    </w:p>
    <w:p>
      <w:pPr>
        <w:pStyle w:val="BodyText"/>
        <w:spacing w:line="264" w:lineRule="exact"/>
        <w:ind w:right="0"/>
        <w:jc w:val="left"/>
      </w:pPr>
      <w:r>
        <w:rPr/>
        <w:t>□适用 √不适用</w:t>
      </w:r>
    </w:p>
    <w:p>
      <w:pPr>
        <w:spacing w:line="240" w:lineRule="auto" w:before="12"/>
        <w:rPr>
          <w:rFonts w:ascii="宋体" w:hAnsi="宋体" w:cs="宋体" w:eastAsia="宋体" w:hint="default"/>
          <w:sz w:val="20"/>
          <w:szCs w:val="20"/>
        </w:rPr>
      </w:pPr>
    </w:p>
    <w:p>
      <w:pPr>
        <w:pStyle w:val="BodyText"/>
        <w:spacing w:line="313" w:lineRule="exact"/>
        <w:ind w:right="0"/>
        <w:jc w:val="left"/>
      </w:pPr>
      <w:r>
        <w:rPr/>
        <w:t>期末发行在外的优先股、永续债等金融工具变动情况表</w:t>
      </w:r>
    </w:p>
    <w:p>
      <w:pPr>
        <w:pStyle w:val="BodyText"/>
        <w:spacing w:line="283" w:lineRule="auto"/>
        <w:ind w:right="4370"/>
        <w:jc w:val="left"/>
      </w:pPr>
      <w:r>
        <w:rPr/>
        <w:t>□适用 √不适用 其他金融工具划分为金融负债的依据说明：</w:t>
      </w:r>
    </w:p>
    <w:p>
      <w:pPr>
        <w:pStyle w:val="BodyText"/>
        <w:spacing w:line="240" w:lineRule="auto" w:before="14"/>
        <w:ind w:right="0"/>
        <w:jc w:val="left"/>
      </w:pPr>
      <w:r>
        <w:rPr/>
        <w:t>□适用 √不适用</w:t>
      </w:r>
    </w:p>
    <w:p>
      <w:pPr>
        <w:spacing w:line="240" w:lineRule="auto" w:before="1"/>
        <w:rPr>
          <w:rFonts w:ascii="宋体" w:hAnsi="宋体" w:cs="宋体" w:eastAsia="宋体" w:hint="default"/>
          <w:sz w:val="30"/>
          <w:szCs w:val="30"/>
        </w:rPr>
      </w:pPr>
    </w:p>
    <w:p>
      <w:pPr>
        <w:pStyle w:val="BodyText"/>
        <w:spacing w:line="240" w:lineRule="auto"/>
        <w:ind w:right="0"/>
        <w:jc w:val="left"/>
      </w:pPr>
      <w:r>
        <w:rPr/>
        <w:t>其他说明：</w:t>
      </w:r>
    </w:p>
    <w:p>
      <w:pPr>
        <w:pStyle w:val="BodyText"/>
        <w:spacing w:line="240" w:lineRule="auto" w:before="55"/>
        <w:ind w:right="0"/>
        <w:jc w:val="left"/>
      </w:pPr>
      <w:r>
        <w:rPr/>
        <w:t>□适用 √不适用</w:t>
      </w:r>
    </w:p>
    <w:p>
      <w:pPr>
        <w:spacing w:line="240" w:lineRule="auto" w:before="2"/>
        <w:rPr>
          <w:rFonts w:ascii="宋体" w:hAnsi="宋体" w:cs="宋体" w:eastAsia="宋体" w:hint="default"/>
          <w:sz w:val="30"/>
          <w:szCs w:val="30"/>
        </w:rPr>
      </w:pPr>
    </w:p>
    <w:p>
      <w:pPr>
        <w:pStyle w:val="Heading2"/>
        <w:spacing w:line="240" w:lineRule="auto"/>
        <w:ind w:left="136" w:right="0"/>
        <w:jc w:val="left"/>
        <w:rPr>
          <w:b w:val="0"/>
          <w:bCs w:val="0"/>
        </w:rPr>
      </w:pPr>
      <w:r>
        <w:rPr>
          <w:rFonts w:ascii="宋体" w:hAnsi="宋体" w:cs="宋体" w:eastAsia="宋体" w:hint="default"/>
        </w:rPr>
        <w:t>45</w:t>
      </w:r>
      <w:r>
        <w:rPr/>
        <w:t>、</w:t>
      </w:r>
      <w:r>
        <w:rPr>
          <w:spacing w:val="-101"/>
        </w:rPr>
        <w:t> </w:t>
      </w:r>
      <w:r>
        <w:rPr/>
        <w:t>租赁负债</w:t>
      </w:r>
      <w:r>
        <w:rPr>
          <w:b w:val="0"/>
          <w:bCs w:val="0"/>
        </w:rPr>
      </w:r>
    </w:p>
    <w:p>
      <w:pPr>
        <w:pStyle w:val="BodyText"/>
        <w:spacing w:line="240" w:lineRule="auto" w:before="58"/>
        <w:ind w:right="0"/>
        <w:jc w:val="left"/>
      </w:pPr>
      <w:r>
        <w:rPr/>
        <w:t>□适用 √不适用</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2"/>
          <w:szCs w:val="22"/>
        </w:rPr>
      </w:pPr>
    </w:p>
    <w:p>
      <w:pPr>
        <w:pStyle w:val="Heading2"/>
        <w:spacing w:line="283" w:lineRule="auto"/>
        <w:ind w:left="136" w:right="6542"/>
        <w:jc w:val="left"/>
        <w:rPr>
          <w:rFonts w:ascii="宋体" w:hAnsi="宋体" w:cs="宋体" w:eastAsia="宋体" w:hint="default"/>
          <w:b w:val="0"/>
          <w:bCs w:val="0"/>
        </w:rPr>
      </w:pPr>
      <w:r>
        <w:rPr>
          <w:rFonts w:ascii="宋体" w:hAnsi="宋体" w:cs="宋体" w:eastAsia="宋体" w:hint="default"/>
        </w:rPr>
        <w:t>46</w:t>
      </w:r>
      <w:r>
        <w:rPr/>
        <w:t>、</w:t>
      </w:r>
      <w:r>
        <w:rPr>
          <w:spacing w:val="-101"/>
        </w:rPr>
        <w:t> </w:t>
      </w:r>
      <w:r>
        <w:rPr/>
        <w:t>长期应付款</w:t>
      </w:r>
      <w:r>
        <w:rPr>
          <w:rFonts w:ascii="宋体" w:hAnsi="宋体" w:cs="宋体" w:eastAsia="宋体" w:hint="default"/>
          <w:w w:val="99"/>
        </w:rPr>
        <w:t> </w:t>
      </w:r>
      <w:r>
        <w:rPr/>
        <w:t>项目列示</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45"/>
        <w:ind w:right="7130"/>
        <w:jc w:val="left"/>
      </w:pPr>
      <w:r>
        <w:rPr/>
        <w:t>□适用 √不适用 其他说明：</w:t>
      </w:r>
    </w:p>
    <w:p>
      <w:pPr>
        <w:pStyle w:val="BodyText"/>
        <w:spacing w:line="281" w:lineRule="exact"/>
        <w:ind w:right="0"/>
        <w:jc w:val="left"/>
      </w:pPr>
      <w:r>
        <w:rPr/>
        <w:t>□适用 √不适用</w:t>
      </w:r>
    </w:p>
    <w:p>
      <w:pPr>
        <w:spacing w:line="240" w:lineRule="auto" w:before="7"/>
        <w:rPr>
          <w:rFonts w:ascii="宋体" w:hAnsi="宋体" w:cs="宋体" w:eastAsia="宋体" w:hint="default"/>
          <w:sz w:val="25"/>
          <w:szCs w:val="25"/>
        </w:rPr>
      </w:pPr>
    </w:p>
    <w:p>
      <w:pPr>
        <w:pStyle w:val="Heading2"/>
        <w:spacing w:line="240" w:lineRule="auto"/>
        <w:ind w:left="136" w:right="0"/>
        <w:jc w:val="left"/>
        <w:rPr>
          <w:rFonts w:ascii="宋体" w:hAnsi="宋体" w:cs="宋体" w:eastAsia="宋体" w:hint="default"/>
          <w:b w:val="0"/>
          <w:bCs w:val="0"/>
        </w:rPr>
      </w:pPr>
      <w:r>
        <w:rPr/>
        <w:t>长期应付款</w:t>
      </w:r>
      <w:r>
        <w:rPr>
          <w:rFonts w:ascii="宋体" w:hAnsi="宋体" w:cs="宋体" w:eastAsia="宋体" w:hint="default"/>
          <w:w w:val="99"/>
        </w:rPr>
        <w:t> </w:t>
      </w:r>
      <w:r>
        <w:rPr>
          <w:rFonts w:ascii="宋体" w:hAnsi="宋体" w:cs="宋体" w:eastAsia="宋体" w:hint="default"/>
          <w:b w:val="0"/>
          <w:bCs w:val="0"/>
        </w:rPr>
      </w:r>
    </w:p>
    <w:p>
      <w:pPr>
        <w:pStyle w:val="Heading2"/>
        <w:tabs>
          <w:tab w:pos="977" w:val="left" w:leader="none"/>
        </w:tabs>
        <w:spacing w:line="240" w:lineRule="auto" w:before="58"/>
        <w:ind w:left="136" w:right="0"/>
        <w:jc w:val="left"/>
        <w:rPr>
          <w:rFonts w:ascii="宋体" w:hAnsi="宋体" w:cs="宋体" w:eastAsia="宋体" w:hint="default"/>
          <w:b w:val="0"/>
          <w:bCs w:val="0"/>
        </w:rPr>
      </w:pPr>
      <w:r>
        <w:rPr>
          <w:rFonts w:ascii="宋体" w:hAnsi="宋体" w:cs="宋体" w:eastAsia="宋体" w:hint="default"/>
        </w:rPr>
        <w:t>(1).</w:t>
        <w:tab/>
      </w:r>
      <w:r>
        <w:rPr/>
        <w:t>按款项性质列示长期应付款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right="0"/>
        <w:jc w:val="left"/>
      </w:pPr>
      <w:r>
        <w:rPr/>
        <w:t>□适用 √不适用</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2"/>
          <w:szCs w:val="22"/>
        </w:rPr>
      </w:pPr>
    </w:p>
    <w:p>
      <w:pPr>
        <w:pStyle w:val="Heading2"/>
        <w:spacing w:line="240" w:lineRule="auto"/>
        <w:ind w:left="136" w:right="0"/>
        <w:jc w:val="left"/>
        <w:rPr>
          <w:rFonts w:ascii="宋体" w:hAnsi="宋体" w:cs="宋体" w:eastAsia="宋体" w:hint="default"/>
          <w:b w:val="0"/>
          <w:bCs w:val="0"/>
        </w:rPr>
      </w:pPr>
      <w:r>
        <w:rPr/>
        <w:t>专项应付款</w:t>
      </w:r>
      <w:r>
        <w:rPr>
          <w:rFonts w:ascii="宋体" w:hAnsi="宋体" w:cs="宋体" w:eastAsia="宋体" w:hint="default"/>
          <w:w w:val="99"/>
        </w:rPr>
        <w:t> </w:t>
      </w:r>
      <w:r>
        <w:rPr>
          <w:rFonts w:ascii="宋体" w:hAnsi="宋体" w:cs="宋体" w:eastAsia="宋体" w:hint="default"/>
          <w:b w:val="0"/>
          <w:bCs w:val="0"/>
        </w:rPr>
      </w:r>
    </w:p>
    <w:p>
      <w:pPr>
        <w:pStyle w:val="Heading2"/>
        <w:tabs>
          <w:tab w:pos="977" w:val="left" w:leader="none"/>
        </w:tabs>
        <w:spacing w:line="240" w:lineRule="auto" w:before="58"/>
        <w:ind w:left="136" w:right="0"/>
        <w:jc w:val="left"/>
        <w:rPr>
          <w:rFonts w:ascii="宋体" w:hAnsi="宋体" w:cs="宋体" w:eastAsia="宋体" w:hint="default"/>
          <w:b w:val="0"/>
          <w:bCs w:val="0"/>
        </w:rPr>
      </w:pPr>
      <w:r>
        <w:rPr>
          <w:rFonts w:ascii="宋体" w:hAnsi="宋体" w:cs="宋体" w:eastAsia="宋体" w:hint="default"/>
        </w:rPr>
        <w:t>(2).</w:t>
        <w:tab/>
      </w:r>
      <w:r>
        <w:rPr/>
        <w:t>按款项性质列示专项应付款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right="0"/>
        <w:jc w:val="left"/>
      </w:pPr>
      <w:r>
        <w:rPr/>
        <w:t>□适用 √不适用</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2"/>
          <w:szCs w:val="22"/>
        </w:rPr>
      </w:pPr>
    </w:p>
    <w:p>
      <w:pPr>
        <w:pStyle w:val="Heading2"/>
        <w:spacing w:line="240" w:lineRule="auto"/>
        <w:ind w:left="136" w:right="0"/>
        <w:jc w:val="left"/>
        <w:rPr>
          <w:b w:val="0"/>
          <w:bCs w:val="0"/>
        </w:rPr>
      </w:pPr>
      <w:r>
        <w:rPr>
          <w:rFonts w:ascii="宋体" w:hAnsi="宋体" w:cs="宋体" w:eastAsia="宋体" w:hint="default"/>
        </w:rPr>
        <w:t>47</w:t>
      </w:r>
      <w:r>
        <w:rPr/>
        <w:t>、</w:t>
      </w:r>
      <w:r>
        <w:rPr>
          <w:spacing w:val="-103"/>
        </w:rPr>
        <w:t> </w:t>
      </w:r>
      <w:r>
        <w:rPr/>
        <w:t>长期应付职工薪酬</w:t>
      </w:r>
      <w:r>
        <w:rPr>
          <w:b w:val="0"/>
          <w:bCs w:val="0"/>
        </w:rPr>
      </w:r>
    </w:p>
    <w:p>
      <w:pPr>
        <w:pStyle w:val="BodyText"/>
        <w:spacing w:line="240" w:lineRule="auto" w:before="58"/>
        <w:ind w:right="0"/>
        <w:jc w:val="left"/>
      </w:pPr>
      <w:r>
        <w:rPr/>
        <w:t>□适用 √不适用</w:t>
      </w:r>
    </w:p>
    <w:p>
      <w:pPr>
        <w:spacing w:line="240" w:lineRule="auto" w:before="4"/>
        <w:rPr>
          <w:rFonts w:ascii="宋体" w:hAnsi="宋体" w:cs="宋体" w:eastAsia="宋体" w:hint="default"/>
          <w:sz w:val="25"/>
          <w:szCs w:val="25"/>
        </w:rPr>
      </w:pPr>
    </w:p>
    <w:p>
      <w:pPr>
        <w:pStyle w:val="Heading2"/>
        <w:spacing w:line="240" w:lineRule="auto"/>
        <w:ind w:left="136" w:right="0"/>
        <w:jc w:val="left"/>
        <w:rPr>
          <w:rFonts w:ascii="宋体" w:hAnsi="宋体" w:cs="宋体" w:eastAsia="宋体" w:hint="default"/>
          <w:b w:val="0"/>
          <w:bCs w:val="0"/>
        </w:rPr>
      </w:pPr>
      <w:r>
        <w:rPr>
          <w:rFonts w:ascii="宋体" w:hAnsi="宋体" w:cs="宋体" w:eastAsia="宋体" w:hint="default"/>
        </w:rPr>
        <w:t>48</w:t>
      </w:r>
      <w:r>
        <w:rPr/>
        <w:t>、</w:t>
      </w:r>
      <w:r>
        <w:rPr>
          <w:spacing w:val="-101"/>
        </w:rPr>
        <w:t> </w:t>
      </w:r>
      <w:r>
        <w:rPr/>
        <w:t>预计负债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pPr>
      <w:r>
        <w:rPr/>
        <w:t>□适用 √不适用</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2"/>
          <w:szCs w:val="22"/>
        </w:rPr>
      </w:pPr>
    </w:p>
    <w:p>
      <w:pPr>
        <w:spacing w:line="283" w:lineRule="auto" w:before="0"/>
        <w:ind w:left="136" w:right="6542" w:firstLine="0"/>
        <w:jc w:val="left"/>
        <w:rPr>
          <w:rFonts w:ascii="宋体" w:hAnsi="宋体" w:cs="宋体" w:eastAsia="宋体" w:hint="default"/>
          <w:sz w:val="24"/>
          <w:szCs w:val="24"/>
        </w:rPr>
      </w:pPr>
      <w:r>
        <w:rPr>
          <w:rFonts w:ascii="宋体" w:hAnsi="宋体" w:cs="宋体" w:eastAsia="宋体" w:hint="default"/>
          <w:b/>
          <w:bCs/>
          <w:sz w:val="24"/>
          <w:szCs w:val="24"/>
        </w:rPr>
        <w:t>49</w:t>
      </w:r>
      <w:r>
        <w:rPr>
          <w:rFonts w:ascii="宋体" w:hAnsi="宋体" w:cs="宋体" w:eastAsia="宋体" w:hint="default"/>
          <w:b/>
          <w:bCs/>
          <w:sz w:val="24"/>
          <w:szCs w:val="24"/>
        </w:rPr>
        <w:t>、</w:t>
      </w:r>
      <w:r>
        <w:rPr>
          <w:rFonts w:ascii="宋体" w:hAnsi="宋体" w:cs="宋体" w:eastAsia="宋体" w:hint="default"/>
          <w:b/>
          <w:bCs/>
          <w:spacing w:val="-101"/>
          <w:sz w:val="24"/>
          <w:szCs w:val="24"/>
        </w:rPr>
        <w:t> </w:t>
      </w:r>
      <w:r>
        <w:rPr>
          <w:rFonts w:ascii="宋体" w:hAnsi="宋体" w:cs="宋体" w:eastAsia="宋体" w:hint="default"/>
          <w:b/>
          <w:bCs/>
          <w:sz w:val="24"/>
          <w:szCs w:val="24"/>
        </w:rPr>
        <w:t>递延收益</w:t>
      </w:r>
      <w:r>
        <w:rPr>
          <w:rFonts w:ascii="宋体" w:hAnsi="宋体" w:cs="宋体" w:eastAsia="宋体" w:hint="default"/>
          <w:b/>
          <w:bCs/>
          <w:w w:val="99"/>
          <w:sz w:val="24"/>
          <w:szCs w:val="24"/>
        </w:rPr>
        <w:t> </w:t>
      </w:r>
      <w:r>
        <w:rPr>
          <w:rFonts w:ascii="宋体" w:hAnsi="宋体" w:cs="宋体" w:eastAsia="宋体" w:hint="default"/>
          <w:sz w:val="24"/>
          <w:szCs w:val="24"/>
        </w:rPr>
        <w:t>递延收益情况</w:t>
      </w:r>
      <w:r>
        <w:rPr>
          <w:rFonts w:ascii="宋体" w:hAnsi="宋体" w:cs="宋体" w:eastAsia="宋体" w:hint="default"/>
          <w:sz w:val="24"/>
          <w:szCs w:val="24"/>
        </w:rPr>
        <w:t> </w:t>
      </w:r>
    </w:p>
    <w:p>
      <w:pPr>
        <w:spacing w:after="0" w:line="283" w:lineRule="auto"/>
        <w:jc w:val="left"/>
        <w:rPr>
          <w:rFonts w:ascii="宋体" w:hAnsi="宋体" w:cs="宋体" w:eastAsia="宋体" w:hint="default"/>
          <w:sz w:val="24"/>
          <w:szCs w:val="24"/>
        </w:rPr>
        <w:sectPr>
          <w:pgSz w:w="11910" w:h="16840"/>
          <w:pgMar w:header="882" w:footer="1195" w:top="1080" w:bottom="1380" w:left="1140" w:right="1680"/>
        </w:sectPr>
      </w:pPr>
    </w:p>
    <w:p>
      <w:pPr>
        <w:spacing w:line="240" w:lineRule="auto" w:before="4"/>
        <w:rPr>
          <w:rFonts w:ascii="宋体" w:hAnsi="宋体" w:cs="宋体" w:eastAsia="宋体" w:hint="default"/>
          <w:sz w:val="22"/>
          <w:szCs w:val="22"/>
        </w:rPr>
      </w:pPr>
    </w:p>
    <w:p>
      <w:pPr>
        <w:pStyle w:val="BodyText"/>
        <w:spacing w:line="313" w:lineRule="exact" w:before="26"/>
        <w:ind w:left="236" w:right="4250"/>
        <w:jc w:val="left"/>
        <w:rPr>
          <w:rFonts w:ascii="宋体" w:hAnsi="宋体" w:cs="宋体" w:eastAsia="宋体" w:hint="default"/>
        </w:rPr>
      </w:pPr>
      <w:r>
        <w:rPr/>
        <w:t>√适用</w:t>
      </w:r>
      <w:r>
        <w:rPr>
          <w:spacing w:val="119"/>
        </w:rPr>
        <w:t> </w:t>
      </w:r>
      <w:r>
        <w:rPr>
          <w:rFonts w:ascii="宋体" w:hAnsi="宋体" w:cs="宋体" w:eastAsia="宋体" w:hint="default"/>
          <w:spacing w:val="119"/>
        </w:rPr>
      </w:r>
      <w:r>
        <w:rPr/>
        <w:t>□不适用</w:t>
      </w:r>
      <w:r>
        <w:rPr>
          <w:rFonts w:ascii="宋体" w:hAnsi="宋体" w:cs="宋体" w:eastAsia="宋体" w:hint="default"/>
        </w:rPr>
        <w:t>  </w:t>
      </w:r>
    </w:p>
    <w:p>
      <w:pPr>
        <w:pStyle w:val="BodyText"/>
        <w:spacing w:line="313" w:lineRule="exact"/>
        <w:ind w:left="0" w:right="113"/>
        <w:jc w:val="right"/>
        <w:rPr>
          <w:rFonts w:ascii="宋体" w:hAnsi="宋体" w:cs="宋体" w:eastAsia="宋体" w:hint="default"/>
        </w:rPr>
      </w:pPr>
      <w:r>
        <w:rPr/>
        <w:t>单位：元  </w:t>
      </w:r>
      <w:r>
        <w:rPr>
          <w:rFonts w:ascii="宋体" w:hAnsi="宋体" w:cs="宋体" w:eastAsia="宋体" w:hint="default"/>
        </w:rPr>
      </w:r>
      <w:r>
        <w:rPr/>
        <w:t>币种：人民币</w:t>
      </w:r>
      <w:r>
        <w:rPr>
          <w:rFonts w:ascii="宋体" w:hAnsi="宋体" w:cs="宋体" w:eastAsia="宋体" w:hint="default"/>
        </w:rPr>
        <w:t> </w:t>
      </w: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529"/>
        <w:gridCol w:w="1469"/>
        <w:gridCol w:w="1483"/>
        <w:gridCol w:w="1469"/>
        <w:gridCol w:w="1514"/>
        <w:gridCol w:w="1597"/>
      </w:tblGrid>
      <w:tr>
        <w:trPr>
          <w:trHeight w:val="346" w:hRule="exact"/>
        </w:trPr>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right="518"/>
              <w:jc w:val="right"/>
              <w:rPr>
                <w:rFonts w:ascii="宋体" w:hAnsi="宋体" w:cs="宋体" w:eastAsia="宋体" w:hint="default"/>
                <w:sz w:val="24"/>
                <w:szCs w:val="24"/>
              </w:rPr>
            </w:pPr>
            <w:r>
              <w:rPr>
                <w:rFonts w:ascii="宋体" w:hAnsi="宋体" w:cs="宋体" w:eastAsia="宋体" w:hint="default"/>
                <w:sz w:val="24"/>
                <w:szCs w:val="24"/>
              </w:rPr>
              <w:t>项目</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249"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256"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249"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left="271"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86" w:lineRule="exact"/>
              <w:ind w:right="5"/>
              <w:jc w:val="center"/>
              <w:rPr>
                <w:rFonts w:ascii="宋体" w:hAnsi="宋体" w:cs="宋体" w:eastAsia="宋体" w:hint="default"/>
                <w:sz w:val="24"/>
                <w:szCs w:val="24"/>
              </w:rPr>
            </w:pPr>
            <w:r>
              <w:rPr>
                <w:rFonts w:ascii="宋体" w:hAnsi="宋体" w:cs="宋体" w:eastAsia="宋体" w:hint="default"/>
                <w:sz w:val="24"/>
                <w:szCs w:val="24"/>
              </w:rPr>
              <w:t>形成原因</w:t>
            </w:r>
          </w:p>
        </w:tc>
      </w:tr>
      <w:tr>
        <w:trPr>
          <w:trHeight w:val="322" w:hRule="exact"/>
        </w:trPr>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449"/>
              <w:jc w:val="right"/>
              <w:rPr>
                <w:rFonts w:ascii="宋体" w:hAnsi="宋体" w:cs="宋体" w:eastAsia="宋体" w:hint="default"/>
                <w:sz w:val="24"/>
                <w:szCs w:val="24"/>
              </w:rPr>
            </w:pPr>
            <w:r>
              <w:rPr>
                <w:rFonts w:ascii="宋体" w:hAnsi="宋体" w:cs="宋体" w:eastAsia="宋体" w:hint="default"/>
                <w:sz w:val="24"/>
                <w:szCs w:val="24"/>
              </w:rPr>
              <w:t>政府补助</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71" w:right="0"/>
              <w:jc w:val="left"/>
              <w:rPr>
                <w:rFonts w:ascii="Times New Roman" w:hAnsi="Times New Roman" w:cs="Times New Roman" w:eastAsia="Times New Roman" w:hint="default"/>
                <w:sz w:val="24"/>
                <w:szCs w:val="24"/>
              </w:rPr>
            </w:pPr>
            <w:r>
              <w:rPr>
                <w:rFonts w:ascii="Times New Roman"/>
                <w:sz w:val="24"/>
              </w:rPr>
              <w:t>55,426,928</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85" w:right="0"/>
              <w:jc w:val="left"/>
              <w:rPr>
                <w:rFonts w:ascii="Times New Roman" w:hAnsi="Times New Roman" w:cs="Times New Roman" w:eastAsia="Times New Roman" w:hint="default"/>
                <w:sz w:val="24"/>
                <w:szCs w:val="24"/>
              </w:rPr>
            </w:pPr>
            <w:r>
              <w:rPr>
                <w:rFonts w:ascii="Times New Roman"/>
                <w:sz w:val="24"/>
              </w:rPr>
              <w:t>37,650,650</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71" w:right="0"/>
              <w:jc w:val="left"/>
              <w:rPr>
                <w:rFonts w:ascii="Times New Roman" w:hAnsi="Times New Roman" w:cs="Times New Roman" w:eastAsia="Times New Roman" w:hint="default"/>
                <w:sz w:val="24"/>
                <w:szCs w:val="24"/>
              </w:rPr>
            </w:pPr>
            <w:r>
              <w:rPr>
                <w:rFonts w:ascii="Times New Roman"/>
                <w:sz w:val="24"/>
              </w:rPr>
              <w:t>24,505,416</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14" w:right="0"/>
              <w:jc w:val="left"/>
              <w:rPr>
                <w:rFonts w:ascii="Times New Roman" w:hAnsi="Times New Roman" w:cs="Times New Roman" w:eastAsia="Times New Roman" w:hint="default"/>
                <w:sz w:val="24"/>
                <w:szCs w:val="24"/>
              </w:rPr>
            </w:pPr>
            <w:r>
              <w:rPr>
                <w:rFonts w:ascii="Times New Roman"/>
                <w:sz w:val="24"/>
              </w:rPr>
              <w:t>68,572,162</w:t>
            </w: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529"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51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529"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83"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51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18"/>
              <w:jc w:val="right"/>
              <w:rPr>
                <w:rFonts w:ascii="宋体" w:hAnsi="宋体" w:cs="宋体" w:eastAsia="宋体" w:hint="default"/>
                <w:sz w:val="24"/>
                <w:szCs w:val="24"/>
              </w:rPr>
            </w:pPr>
            <w:r>
              <w:rPr>
                <w:rFonts w:ascii="宋体" w:hAnsi="宋体" w:cs="宋体" w:eastAsia="宋体" w:hint="default"/>
                <w:sz w:val="24"/>
                <w:szCs w:val="24"/>
              </w:rPr>
              <w:t>合计</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71" w:right="0"/>
              <w:jc w:val="left"/>
              <w:rPr>
                <w:rFonts w:ascii="Times New Roman" w:hAnsi="Times New Roman" w:cs="Times New Roman" w:eastAsia="Times New Roman" w:hint="default"/>
                <w:sz w:val="24"/>
                <w:szCs w:val="24"/>
              </w:rPr>
            </w:pPr>
            <w:r>
              <w:rPr>
                <w:rFonts w:ascii="Times New Roman"/>
                <w:sz w:val="24"/>
              </w:rPr>
              <w:t>55,426,928</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85" w:right="0"/>
              <w:jc w:val="left"/>
              <w:rPr>
                <w:rFonts w:ascii="Times New Roman" w:hAnsi="Times New Roman" w:cs="Times New Roman" w:eastAsia="Times New Roman" w:hint="default"/>
                <w:sz w:val="24"/>
                <w:szCs w:val="24"/>
              </w:rPr>
            </w:pPr>
            <w:r>
              <w:rPr>
                <w:rFonts w:ascii="Times New Roman"/>
                <w:sz w:val="24"/>
              </w:rPr>
              <w:t>37,650,650</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71" w:right="0"/>
              <w:jc w:val="left"/>
              <w:rPr>
                <w:rFonts w:ascii="Times New Roman" w:hAnsi="Times New Roman" w:cs="Times New Roman" w:eastAsia="Times New Roman" w:hint="default"/>
                <w:sz w:val="24"/>
                <w:szCs w:val="24"/>
              </w:rPr>
            </w:pPr>
            <w:r>
              <w:rPr>
                <w:rFonts w:ascii="Times New Roman"/>
                <w:sz w:val="24"/>
              </w:rPr>
              <w:t>24,505,416</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14" w:right="0"/>
              <w:jc w:val="left"/>
              <w:rPr>
                <w:rFonts w:ascii="Times New Roman" w:hAnsi="Times New Roman" w:cs="Times New Roman" w:eastAsia="Times New Roman" w:hint="default"/>
                <w:sz w:val="24"/>
                <w:szCs w:val="24"/>
              </w:rPr>
            </w:pPr>
            <w:r>
              <w:rPr>
                <w:rFonts w:ascii="Times New Roman"/>
                <w:sz w:val="24"/>
              </w:rPr>
              <w:t>68,572,162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5"/>
              <w:jc w:val="center"/>
              <w:rPr>
                <w:rFonts w:ascii="Times New Roman" w:hAnsi="Times New Roman" w:cs="Times New Roman" w:eastAsia="Times New Roman" w:hint="default"/>
                <w:sz w:val="24"/>
                <w:szCs w:val="24"/>
              </w:rPr>
            </w:pPr>
            <w:r>
              <w:rPr>
                <w:rFonts w:ascii="Times New Roman"/>
                <w:sz w:val="24"/>
              </w:rPr>
              <w:t>/</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82" w:footer="1195" w:top="1080" w:bottom="1380" w:left="1040" w:right="1560"/>
        </w:sectPr>
      </w:pPr>
    </w:p>
    <w:p>
      <w:pPr>
        <w:pStyle w:val="BodyText"/>
        <w:spacing w:line="240" w:lineRule="auto" w:before="26"/>
        <w:ind w:left="236" w:right="-20"/>
        <w:jc w:val="left"/>
      </w:pPr>
      <w:r>
        <w:rPr/>
        <w:t>涉及政府补助的项目：</w:t>
      </w:r>
    </w:p>
    <w:p>
      <w:pPr>
        <w:pStyle w:val="BodyText"/>
        <w:spacing w:line="240" w:lineRule="auto" w:before="58"/>
        <w:ind w:left="236" w:right="-2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1"/>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637" w:space="3556"/>
            <w:col w:w="3117"/>
          </w:cols>
        </w:sectPr>
      </w:pPr>
    </w:p>
    <w:p>
      <w:pPr>
        <w:spacing w:line="240" w:lineRule="auto" w:before="4"/>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1740"/>
        <w:gridCol w:w="1167"/>
        <w:gridCol w:w="1056"/>
        <w:gridCol w:w="982"/>
        <w:gridCol w:w="1188"/>
        <w:gridCol w:w="703"/>
        <w:gridCol w:w="1232"/>
        <w:gridCol w:w="994"/>
      </w:tblGrid>
      <w:tr>
        <w:trPr>
          <w:trHeight w:val="711"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04"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60" w:right="163"/>
              <w:jc w:val="left"/>
              <w:rPr>
                <w:rFonts w:ascii="宋体" w:hAnsi="宋体" w:cs="宋体" w:eastAsia="宋体" w:hint="default"/>
                <w:sz w:val="18"/>
                <w:szCs w:val="18"/>
              </w:rPr>
            </w:pPr>
            <w:r>
              <w:rPr>
                <w:rFonts w:ascii="宋体" w:hAnsi="宋体" w:cs="宋体" w:eastAsia="宋体" w:hint="default"/>
                <w:sz w:val="18"/>
                <w:szCs w:val="18"/>
              </w:rPr>
              <w:t>本期新增 补助金额</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本期计入</w:t>
            </w:r>
          </w:p>
          <w:p>
            <w:pPr>
              <w:pStyle w:val="TableParagraph"/>
              <w:spacing w:line="232" w:lineRule="exact" w:before="23"/>
              <w:ind w:left="213" w:right="127" w:hanging="92"/>
              <w:jc w:val="left"/>
              <w:rPr>
                <w:rFonts w:ascii="宋体" w:hAnsi="宋体" w:cs="宋体" w:eastAsia="宋体" w:hint="default"/>
                <w:sz w:val="18"/>
                <w:szCs w:val="18"/>
              </w:rPr>
            </w:pPr>
            <w:r>
              <w:rPr>
                <w:rFonts w:ascii="宋体" w:hAnsi="宋体" w:cs="宋体" w:eastAsia="宋体" w:hint="default"/>
                <w:sz w:val="18"/>
                <w:szCs w:val="18"/>
              </w:rPr>
              <w:t>营业外收 入金额</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36" w:right="0"/>
              <w:jc w:val="left"/>
              <w:rPr>
                <w:rFonts w:ascii="宋体" w:hAnsi="宋体" w:cs="宋体" w:eastAsia="宋体" w:hint="default"/>
                <w:sz w:val="18"/>
                <w:szCs w:val="18"/>
              </w:rPr>
            </w:pPr>
            <w:r>
              <w:rPr>
                <w:rFonts w:ascii="宋体" w:hAnsi="宋体" w:cs="宋体" w:eastAsia="宋体" w:hint="default"/>
                <w:sz w:val="18"/>
                <w:szCs w:val="18"/>
              </w:rPr>
              <w:t>本期计入其</w:t>
            </w:r>
          </w:p>
          <w:p>
            <w:pPr>
              <w:pStyle w:val="TableParagraph"/>
              <w:spacing w:line="234" w:lineRule="exact"/>
              <w:ind w:left="136" w:right="0"/>
              <w:jc w:val="left"/>
              <w:rPr>
                <w:rFonts w:ascii="宋体" w:hAnsi="宋体" w:cs="宋体" w:eastAsia="宋体" w:hint="default"/>
                <w:sz w:val="18"/>
                <w:szCs w:val="18"/>
              </w:rPr>
            </w:pPr>
            <w:r>
              <w:rPr>
                <w:rFonts w:ascii="宋体" w:hAnsi="宋体" w:cs="宋体" w:eastAsia="宋体" w:hint="default"/>
                <w:sz w:val="18"/>
                <w:szCs w:val="18"/>
              </w:rPr>
              <w:t>他收益金额</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65" w:right="167"/>
              <w:jc w:val="left"/>
              <w:rPr>
                <w:rFonts w:ascii="宋体" w:hAnsi="宋体" w:cs="宋体" w:eastAsia="宋体" w:hint="default"/>
                <w:sz w:val="18"/>
                <w:szCs w:val="18"/>
              </w:rPr>
            </w:pPr>
            <w:r>
              <w:rPr>
                <w:rFonts w:ascii="宋体" w:hAnsi="宋体" w:cs="宋体" w:eastAsia="宋体" w:hint="default"/>
                <w:sz w:val="18"/>
                <w:szCs w:val="18"/>
              </w:rPr>
              <w:t>其他 变动</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94" w:right="0" w:hanging="65"/>
              <w:jc w:val="left"/>
              <w:rPr>
                <w:rFonts w:ascii="宋体" w:hAnsi="宋体" w:cs="宋体" w:eastAsia="宋体" w:hint="default"/>
                <w:sz w:val="18"/>
                <w:szCs w:val="18"/>
              </w:rPr>
            </w:pPr>
            <w:r>
              <w:rPr>
                <w:rFonts w:ascii="宋体" w:hAnsi="宋体" w:cs="宋体" w:eastAsia="宋体" w:hint="default"/>
                <w:sz w:val="18"/>
                <w:szCs w:val="18"/>
              </w:rPr>
              <w:t>与资产相</w:t>
            </w:r>
          </w:p>
          <w:p>
            <w:pPr>
              <w:pStyle w:val="TableParagraph"/>
              <w:spacing w:line="232" w:lineRule="exact" w:before="23"/>
              <w:ind w:left="218" w:right="197" w:hanging="24"/>
              <w:jc w:val="left"/>
              <w:rPr>
                <w:rFonts w:ascii="宋体" w:hAnsi="宋体" w:cs="宋体" w:eastAsia="宋体" w:hint="default"/>
                <w:sz w:val="18"/>
                <w:szCs w:val="18"/>
              </w:rPr>
            </w:pPr>
            <w:r>
              <w:rPr>
                <w:rFonts w:ascii="宋体" w:hAnsi="宋体" w:cs="宋体" w:eastAsia="宋体" w:hint="default"/>
                <w:sz w:val="18"/>
                <w:szCs w:val="18"/>
              </w:rPr>
              <w:t>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 益相关</w:t>
            </w:r>
          </w:p>
        </w:tc>
      </w:tr>
      <w:tr>
        <w:trPr>
          <w:trHeight w:val="478"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8" w:right="0"/>
              <w:jc w:val="left"/>
              <w:rPr>
                <w:rFonts w:ascii="宋体" w:hAnsi="宋体" w:cs="宋体" w:eastAsia="宋体" w:hint="default"/>
                <w:sz w:val="18"/>
                <w:szCs w:val="18"/>
              </w:rPr>
            </w:pPr>
            <w:r>
              <w:rPr>
                <w:rFonts w:ascii="宋体" w:hAnsi="宋体" w:cs="宋体" w:eastAsia="宋体" w:hint="default"/>
                <w:sz w:val="18"/>
                <w:szCs w:val="18"/>
              </w:rPr>
              <w:t>用友精智工业互联</w:t>
            </w: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网平台试验测试</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8"/>
              <w:jc w:val="right"/>
              <w:rPr>
                <w:rFonts w:ascii="Times New Roman" w:hAnsi="Times New Roman" w:cs="Times New Roman" w:eastAsia="Times New Roman" w:hint="default"/>
                <w:sz w:val="18"/>
                <w:szCs w:val="18"/>
              </w:rPr>
            </w:pPr>
            <w:r>
              <w:rPr>
                <w:rFonts w:ascii="Times New Roman"/>
                <w:spacing w:val="-1"/>
                <w:sz w:val="18"/>
              </w:rPr>
              <w:t>25,000,000</w:t>
            </w:r>
          </w:p>
        </w:tc>
        <w:tc>
          <w:tcPr>
            <w:tcW w:w="105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8"/>
              <w:jc w:val="right"/>
              <w:rPr>
                <w:rFonts w:ascii="Times New Roman" w:hAnsi="Times New Roman" w:cs="Times New Roman" w:eastAsia="Times New Roman" w:hint="default"/>
                <w:sz w:val="18"/>
                <w:szCs w:val="18"/>
              </w:rPr>
            </w:pPr>
            <w:r>
              <w:rPr>
                <w:rFonts w:ascii="Times New Roman"/>
                <w:spacing w:val="-1"/>
                <w:sz w:val="18"/>
              </w:rPr>
              <w:t>25,000,000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
              <w:jc w:val="center"/>
              <w:rPr>
                <w:rFonts w:ascii="宋体" w:hAnsi="宋体" w:cs="宋体" w:eastAsia="宋体" w:hint="default"/>
                <w:sz w:val="18"/>
                <w:szCs w:val="18"/>
              </w:rPr>
            </w:pPr>
            <w:r>
              <w:rPr>
                <w:rFonts w:ascii="宋体" w:hAnsi="宋体" w:cs="宋体" w:eastAsia="宋体" w:hint="default"/>
                <w:sz w:val="18"/>
                <w:szCs w:val="18"/>
              </w:rPr>
              <w:t>与收益相</w:t>
            </w: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关</w:t>
            </w:r>
          </w:p>
        </w:tc>
      </w:tr>
      <w:tr>
        <w:trPr>
          <w:trHeight w:val="710"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8" w:right="0"/>
              <w:jc w:val="left"/>
              <w:rPr>
                <w:rFonts w:ascii="宋体" w:hAnsi="宋体" w:cs="宋体" w:eastAsia="宋体" w:hint="default"/>
                <w:sz w:val="18"/>
                <w:szCs w:val="18"/>
              </w:rPr>
            </w:pPr>
            <w:r>
              <w:rPr>
                <w:rFonts w:ascii="宋体" w:hAnsi="宋体" w:cs="宋体" w:eastAsia="宋体" w:hint="default"/>
                <w:sz w:val="18"/>
                <w:szCs w:val="18"/>
              </w:rPr>
              <w:t>企业云平台与云</w:t>
            </w:r>
          </w:p>
          <w:p>
            <w:pPr>
              <w:pStyle w:val="TableParagraph"/>
              <w:spacing w:line="236" w:lineRule="exact" w:before="20"/>
              <w:ind w:left="108" w:right="163"/>
              <w:jc w:val="left"/>
              <w:rPr>
                <w:rFonts w:ascii="宋体" w:hAnsi="宋体" w:cs="宋体" w:eastAsia="宋体" w:hint="default"/>
                <w:sz w:val="18"/>
                <w:szCs w:val="18"/>
              </w:rPr>
            </w:pPr>
            <w:r>
              <w:rPr>
                <w:rFonts w:ascii="Times New Roman" w:hAnsi="Times New Roman" w:cs="Times New Roman" w:eastAsia="Times New Roman" w:hint="default"/>
                <w:sz w:val="18"/>
                <w:szCs w:val="18"/>
              </w:rPr>
              <w:t>ERP</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系统研发及推 广应用</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12,000,000</w:t>
            </w:r>
          </w:p>
        </w:tc>
        <w:tc>
          <w:tcPr>
            <w:tcW w:w="105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12,000,000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398" w:right="132" w:hanging="269"/>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710"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8" w:right="0"/>
              <w:jc w:val="left"/>
              <w:rPr>
                <w:rFonts w:ascii="宋体" w:hAnsi="宋体" w:cs="宋体" w:eastAsia="宋体" w:hint="default"/>
                <w:sz w:val="18"/>
                <w:szCs w:val="18"/>
              </w:rPr>
            </w:pPr>
            <w:r>
              <w:rPr>
                <w:rFonts w:ascii="宋体" w:hAnsi="宋体" w:cs="宋体" w:eastAsia="宋体" w:hint="default"/>
                <w:sz w:val="18"/>
                <w:szCs w:val="18"/>
              </w:rPr>
              <w:t>支撑互联网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新模</w:t>
            </w:r>
          </w:p>
          <w:p>
            <w:pPr>
              <w:pStyle w:val="TableParagraph"/>
              <w:spacing w:line="236" w:lineRule="exact" w:before="13"/>
              <w:ind w:left="108" w:right="180"/>
              <w:jc w:val="left"/>
              <w:rPr>
                <w:rFonts w:ascii="宋体" w:hAnsi="宋体" w:cs="宋体" w:eastAsia="宋体" w:hint="default"/>
                <w:sz w:val="18"/>
                <w:szCs w:val="18"/>
              </w:rPr>
            </w:pPr>
            <w:r>
              <w:rPr>
                <w:rFonts w:ascii="宋体" w:hAnsi="宋体" w:cs="宋体" w:eastAsia="宋体" w:hint="default"/>
                <w:sz w:val="18"/>
                <w:szCs w:val="18"/>
              </w:rPr>
              <w:t>式的企业互联网开 放平台建设与运营</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4,000,000</w:t>
            </w:r>
          </w:p>
        </w:tc>
        <w:tc>
          <w:tcPr>
            <w:tcW w:w="105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4,000,000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398" w:right="132" w:hanging="269"/>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943"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8" w:right="0"/>
              <w:jc w:val="left"/>
              <w:rPr>
                <w:rFonts w:ascii="宋体" w:hAnsi="宋体" w:cs="宋体" w:eastAsia="宋体" w:hint="default"/>
                <w:sz w:val="18"/>
                <w:szCs w:val="18"/>
              </w:rPr>
            </w:pPr>
            <w:r>
              <w:rPr>
                <w:rFonts w:ascii="宋体" w:hAnsi="宋体" w:cs="宋体" w:eastAsia="宋体" w:hint="default"/>
                <w:sz w:val="18"/>
                <w:szCs w:val="18"/>
              </w:rPr>
              <w:t>基于云平台的大型</w:t>
            </w:r>
          </w:p>
          <w:p>
            <w:pPr>
              <w:pStyle w:val="TableParagraph"/>
              <w:spacing w:line="232" w:lineRule="auto" w:before="5"/>
              <w:ind w:left="108" w:right="180"/>
              <w:jc w:val="left"/>
              <w:rPr>
                <w:rFonts w:ascii="宋体" w:hAnsi="宋体" w:cs="宋体" w:eastAsia="宋体" w:hint="default"/>
                <w:sz w:val="18"/>
                <w:szCs w:val="18"/>
              </w:rPr>
            </w:pPr>
            <w:r>
              <w:rPr>
                <w:rFonts w:ascii="宋体" w:hAnsi="宋体" w:cs="宋体" w:eastAsia="宋体" w:hint="default"/>
                <w:sz w:val="18"/>
                <w:szCs w:val="18"/>
              </w:rPr>
              <w:t>企业资源管理系统 </w:t>
            </w:r>
            <w:r>
              <w:rPr>
                <w:rFonts w:ascii="Times New Roman" w:hAnsi="Times New Roman" w:cs="Times New Roman" w:eastAsia="Times New Roman" w:hint="default"/>
                <w:sz w:val="18"/>
                <w:szCs w:val="18"/>
              </w:rPr>
              <w:t>(ERP)</w:t>
            </w:r>
            <w:r>
              <w:rPr>
                <w:rFonts w:ascii="宋体" w:hAnsi="宋体" w:cs="宋体" w:eastAsia="宋体" w:hint="default"/>
                <w:sz w:val="18"/>
                <w:szCs w:val="18"/>
              </w:rPr>
              <w:t>解决方案应</w:t>
            </w:r>
            <w:r>
              <w:rPr>
                <w:rFonts w:ascii="宋体" w:hAnsi="宋体" w:cs="宋体" w:eastAsia="宋体" w:hint="default"/>
                <w:spacing w:val="-87"/>
                <w:sz w:val="18"/>
                <w:szCs w:val="18"/>
              </w:rPr>
              <w:t> </w:t>
            </w:r>
            <w:r>
              <w:rPr>
                <w:rFonts w:ascii="宋体" w:hAnsi="宋体" w:cs="宋体" w:eastAsia="宋体" w:hint="default"/>
                <w:sz w:val="18"/>
                <w:szCs w:val="18"/>
              </w:rPr>
              <w:t>用推广</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08"/>
              <w:jc w:val="right"/>
              <w:rPr>
                <w:rFonts w:ascii="Times New Roman" w:hAnsi="Times New Roman" w:cs="Times New Roman" w:eastAsia="Times New Roman" w:hint="default"/>
                <w:sz w:val="18"/>
                <w:szCs w:val="18"/>
              </w:rPr>
            </w:pPr>
            <w:r>
              <w:rPr>
                <w:rFonts w:ascii="Times New Roman"/>
                <w:spacing w:val="-1"/>
                <w:sz w:val="18"/>
              </w:rPr>
              <w:t>4,000,000</w:t>
            </w:r>
          </w:p>
        </w:tc>
        <w:tc>
          <w:tcPr>
            <w:tcW w:w="105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08"/>
              <w:jc w:val="right"/>
              <w:rPr>
                <w:rFonts w:ascii="Times New Roman" w:hAnsi="Times New Roman" w:cs="Times New Roman" w:eastAsia="Times New Roman" w:hint="default"/>
                <w:sz w:val="18"/>
                <w:szCs w:val="18"/>
              </w:rPr>
            </w:pPr>
            <w:r>
              <w:rPr>
                <w:rFonts w:ascii="Times New Roman"/>
                <w:spacing w:val="-1"/>
                <w:sz w:val="18"/>
              </w:rPr>
              <w:t>4,000,000</w:t>
            </w: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398" w:right="132" w:hanging="269"/>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478"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8" w:right="0"/>
              <w:jc w:val="left"/>
              <w:rPr>
                <w:rFonts w:ascii="宋体" w:hAnsi="宋体" w:cs="宋体" w:eastAsia="宋体" w:hint="default"/>
                <w:sz w:val="18"/>
                <w:szCs w:val="18"/>
              </w:rPr>
            </w:pPr>
            <w:r>
              <w:rPr>
                <w:rFonts w:ascii="宋体" w:hAnsi="宋体" w:cs="宋体" w:eastAsia="宋体" w:hint="default"/>
                <w:sz w:val="18"/>
                <w:szCs w:val="18"/>
              </w:rPr>
              <w:t>用友精智工业互联</w:t>
            </w: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网平台建设</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8"/>
              <w:jc w:val="right"/>
              <w:rPr>
                <w:rFonts w:ascii="Times New Roman" w:hAnsi="Times New Roman" w:cs="Times New Roman" w:eastAsia="Times New Roman" w:hint="default"/>
                <w:sz w:val="18"/>
                <w:szCs w:val="18"/>
              </w:rPr>
            </w:pPr>
            <w:r>
              <w:rPr>
                <w:rFonts w:ascii="Times New Roman"/>
                <w:spacing w:val="-1"/>
                <w:sz w:val="18"/>
              </w:rPr>
              <w:t>3,266,667</w:t>
            </w:r>
          </w:p>
        </w:tc>
        <w:tc>
          <w:tcPr>
            <w:tcW w:w="105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8"/>
              <w:jc w:val="right"/>
              <w:rPr>
                <w:rFonts w:ascii="Times New Roman" w:hAnsi="Times New Roman" w:cs="Times New Roman" w:eastAsia="Times New Roman" w:hint="default"/>
                <w:sz w:val="18"/>
                <w:szCs w:val="18"/>
              </w:rPr>
            </w:pPr>
            <w:r>
              <w:rPr>
                <w:rFonts w:ascii="Times New Roman"/>
                <w:spacing w:val="-1"/>
                <w:sz w:val="18"/>
              </w:rPr>
              <w:t>1,429,166</w:t>
            </w: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8"/>
              <w:jc w:val="right"/>
              <w:rPr>
                <w:rFonts w:ascii="Times New Roman" w:hAnsi="Times New Roman" w:cs="Times New Roman" w:eastAsia="Times New Roman" w:hint="default"/>
                <w:sz w:val="18"/>
                <w:szCs w:val="18"/>
              </w:rPr>
            </w:pPr>
            <w:r>
              <w:rPr>
                <w:rFonts w:ascii="Times New Roman"/>
                <w:spacing w:val="-1"/>
                <w:sz w:val="18"/>
              </w:rPr>
              <w:t>1,837,501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
              <w:jc w:val="center"/>
              <w:rPr>
                <w:rFonts w:ascii="宋体" w:hAnsi="宋体" w:cs="宋体" w:eastAsia="宋体" w:hint="default"/>
                <w:sz w:val="18"/>
                <w:szCs w:val="18"/>
              </w:rPr>
            </w:pPr>
            <w:r>
              <w:rPr>
                <w:rFonts w:ascii="宋体" w:hAnsi="宋体" w:cs="宋体" w:eastAsia="宋体" w:hint="default"/>
                <w:sz w:val="18"/>
                <w:szCs w:val="18"/>
              </w:rPr>
              <w:t>与收益相</w:t>
            </w: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关</w:t>
            </w:r>
          </w:p>
        </w:tc>
      </w:tr>
      <w:tr>
        <w:trPr>
          <w:trHeight w:val="710"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8" w:right="0"/>
              <w:jc w:val="left"/>
              <w:rPr>
                <w:rFonts w:ascii="宋体" w:hAnsi="宋体" w:cs="宋体" w:eastAsia="宋体" w:hint="default"/>
                <w:sz w:val="18"/>
                <w:szCs w:val="18"/>
              </w:rPr>
            </w:pPr>
            <w:r>
              <w:rPr>
                <w:rFonts w:ascii="宋体" w:hAnsi="宋体" w:cs="宋体" w:eastAsia="宋体" w:hint="default"/>
                <w:sz w:val="18"/>
                <w:szCs w:val="18"/>
              </w:rPr>
              <w:t>面向装备制造业的</w:t>
            </w:r>
          </w:p>
          <w:p>
            <w:pPr>
              <w:pStyle w:val="TableParagraph"/>
              <w:spacing w:line="240" w:lineRule="auto"/>
              <w:ind w:left="108" w:right="180"/>
              <w:jc w:val="left"/>
              <w:rPr>
                <w:rFonts w:ascii="宋体" w:hAnsi="宋体" w:cs="宋体" w:eastAsia="宋体" w:hint="default"/>
                <w:sz w:val="18"/>
                <w:szCs w:val="18"/>
              </w:rPr>
            </w:pPr>
            <w:r>
              <w:rPr>
                <w:rFonts w:ascii="宋体" w:hAnsi="宋体" w:cs="宋体" w:eastAsia="宋体" w:hint="default"/>
                <w:sz w:val="18"/>
                <w:szCs w:val="18"/>
              </w:rPr>
              <w:t>云平台建设及应用 标准与试验验证</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3,150,000</w:t>
            </w:r>
          </w:p>
        </w:tc>
        <w:tc>
          <w:tcPr>
            <w:tcW w:w="105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3,150,000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398" w:right="132" w:hanging="269"/>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478"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再生能源节能补助</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8"/>
              <w:jc w:val="right"/>
              <w:rPr>
                <w:rFonts w:ascii="Times New Roman" w:hAnsi="Times New Roman" w:cs="Times New Roman" w:eastAsia="Times New Roman" w:hint="default"/>
                <w:sz w:val="18"/>
                <w:szCs w:val="18"/>
              </w:rPr>
            </w:pPr>
            <w:r>
              <w:rPr>
                <w:rFonts w:ascii="Times New Roman"/>
                <w:spacing w:val="-1"/>
                <w:sz w:val="18"/>
              </w:rPr>
              <w:t>1,621,811</w:t>
            </w:r>
          </w:p>
        </w:tc>
        <w:tc>
          <w:tcPr>
            <w:tcW w:w="105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8"/>
              <w:jc w:val="right"/>
              <w:rPr>
                <w:rFonts w:ascii="Times New Roman" w:hAnsi="Times New Roman" w:cs="Times New Roman" w:eastAsia="Times New Roman" w:hint="default"/>
                <w:sz w:val="18"/>
                <w:szCs w:val="18"/>
              </w:rPr>
            </w:pPr>
            <w:r>
              <w:rPr>
                <w:rFonts w:ascii="Times New Roman"/>
                <w:spacing w:val="-1"/>
                <w:sz w:val="18"/>
              </w:rPr>
              <w:t>1,621,811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sz w:val="18"/>
                <w:szCs w:val="18"/>
              </w:rPr>
              <w:t>与收益相</w:t>
            </w:r>
          </w:p>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sz w:val="18"/>
                <w:szCs w:val="18"/>
              </w:rPr>
              <w:t>关</w:t>
            </w:r>
          </w:p>
        </w:tc>
      </w:tr>
      <w:tr>
        <w:trPr>
          <w:trHeight w:val="710"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8" w:right="0"/>
              <w:jc w:val="left"/>
              <w:rPr>
                <w:rFonts w:ascii="宋体" w:hAnsi="宋体" w:cs="宋体" w:eastAsia="宋体" w:hint="default"/>
                <w:sz w:val="18"/>
                <w:szCs w:val="18"/>
              </w:rPr>
            </w:pPr>
            <w:r>
              <w:rPr>
                <w:rFonts w:ascii="宋体" w:hAnsi="宋体" w:cs="宋体" w:eastAsia="宋体" w:hint="default"/>
                <w:sz w:val="18"/>
                <w:szCs w:val="18"/>
              </w:rPr>
              <w:t>用友精智工业互联</w:t>
            </w:r>
          </w:p>
          <w:p>
            <w:pPr>
              <w:pStyle w:val="TableParagraph"/>
              <w:spacing w:line="232" w:lineRule="exact" w:before="23"/>
              <w:ind w:left="108" w:right="180"/>
              <w:jc w:val="left"/>
              <w:rPr>
                <w:rFonts w:ascii="宋体" w:hAnsi="宋体" w:cs="宋体" w:eastAsia="宋体" w:hint="default"/>
                <w:sz w:val="18"/>
                <w:szCs w:val="18"/>
              </w:rPr>
            </w:pPr>
            <w:r>
              <w:rPr>
                <w:rFonts w:ascii="宋体" w:hAnsi="宋体" w:cs="宋体" w:eastAsia="宋体" w:hint="default"/>
                <w:sz w:val="18"/>
                <w:szCs w:val="18"/>
              </w:rPr>
              <w:t>网平台研发与产业 化推广项目</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10,000,000</w:t>
            </w: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10,000,000</w:t>
            </w: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98" w:right="132" w:hanging="269"/>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475"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年北京市高精</w:t>
            </w:r>
          </w:p>
          <w:p>
            <w:pPr>
              <w:pStyle w:val="TableParagraph"/>
              <w:spacing w:line="227" w:lineRule="exact"/>
              <w:ind w:left="108" w:right="0"/>
              <w:jc w:val="left"/>
              <w:rPr>
                <w:rFonts w:ascii="宋体" w:hAnsi="宋体" w:cs="宋体" w:eastAsia="宋体" w:hint="default"/>
                <w:sz w:val="18"/>
                <w:szCs w:val="18"/>
              </w:rPr>
            </w:pPr>
            <w:r>
              <w:rPr>
                <w:rFonts w:ascii="宋体" w:hAnsi="宋体" w:cs="宋体" w:eastAsia="宋体" w:hint="default"/>
                <w:sz w:val="18"/>
                <w:szCs w:val="18"/>
              </w:rPr>
              <w:t>尖产业发展专项</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8"/>
              <w:jc w:val="right"/>
              <w:rPr>
                <w:rFonts w:ascii="Times New Roman" w:hAnsi="Times New Roman" w:cs="Times New Roman" w:eastAsia="Times New Roman" w:hint="default"/>
                <w:sz w:val="18"/>
                <w:szCs w:val="18"/>
              </w:rPr>
            </w:pPr>
            <w:r>
              <w:rPr>
                <w:rFonts w:ascii="Times New Roman"/>
                <w:spacing w:val="-1"/>
                <w:sz w:val="18"/>
              </w:rPr>
              <w:t>8,770,000</w:t>
            </w: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8"/>
              <w:jc w:val="right"/>
              <w:rPr>
                <w:rFonts w:ascii="Times New Roman" w:hAnsi="Times New Roman" w:cs="Times New Roman" w:eastAsia="Times New Roman" w:hint="default"/>
                <w:sz w:val="18"/>
                <w:szCs w:val="18"/>
              </w:rPr>
            </w:pPr>
            <w:r>
              <w:rPr>
                <w:rFonts w:ascii="Times New Roman"/>
                <w:spacing w:val="-1"/>
                <w:sz w:val="18"/>
              </w:rPr>
              <w:t>8,770,000</w:t>
            </w: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sz w:val="18"/>
                <w:szCs w:val="18"/>
              </w:rPr>
              <w:t>与收益相</w:t>
            </w:r>
          </w:p>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sz w:val="18"/>
                <w:szCs w:val="18"/>
              </w:rPr>
              <w:t>关</w:t>
            </w:r>
          </w:p>
        </w:tc>
      </w:tr>
      <w:tr>
        <w:trPr>
          <w:trHeight w:val="710"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8" w:right="0"/>
              <w:jc w:val="left"/>
              <w:rPr>
                <w:rFonts w:ascii="宋体" w:hAnsi="宋体" w:cs="宋体" w:eastAsia="宋体" w:hint="default"/>
                <w:sz w:val="18"/>
                <w:szCs w:val="18"/>
              </w:rPr>
            </w:pPr>
            <w:r>
              <w:rPr>
                <w:rFonts w:ascii="宋体" w:hAnsi="宋体" w:cs="宋体" w:eastAsia="宋体" w:hint="default"/>
                <w:sz w:val="18"/>
                <w:szCs w:val="18"/>
              </w:rPr>
              <w:t>工业互联网标识解</w:t>
            </w:r>
          </w:p>
          <w:p>
            <w:pPr>
              <w:pStyle w:val="TableParagraph"/>
              <w:spacing w:line="232" w:lineRule="exact" w:before="24"/>
              <w:ind w:left="108" w:right="120"/>
              <w:jc w:val="left"/>
              <w:rPr>
                <w:rFonts w:ascii="Times New Roman" w:hAnsi="Times New Roman" w:cs="Times New Roman" w:eastAsia="Times New Roman" w:hint="default"/>
                <w:sz w:val="18"/>
                <w:szCs w:val="18"/>
              </w:rPr>
            </w:pPr>
            <w:r>
              <w:rPr>
                <w:rFonts w:ascii="宋体" w:hAnsi="宋体" w:cs="宋体" w:eastAsia="宋体" w:hint="default"/>
                <w:sz w:val="18"/>
                <w:szCs w:val="18"/>
              </w:rPr>
              <w:t>析二级节点</w:t>
            </w:r>
            <w:r>
              <w:rPr>
                <w:rFonts w:ascii="Times New Roman" w:hAnsi="Times New Roman" w:cs="Times New Roman" w:eastAsia="Times New Roman" w:hint="default"/>
                <w:sz w:val="18"/>
                <w:szCs w:val="18"/>
              </w:rPr>
              <w:t>(</w:t>
            </w:r>
            <w:r>
              <w:rPr>
                <w:rFonts w:ascii="宋体" w:hAnsi="宋体" w:cs="宋体" w:eastAsia="宋体" w:hint="default"/>
                <w:sz w:val="18"/>
                <w:szCs w:val="18"/>
              </w:rPr>
              <w:t>综合型 应用服务平台</w:t>
            </w:r>
            <w:r>
              <w:rPr>
                <w:rFonts w:ascii="Times New Roman" w:hAnsi="Times New Roman" w:cs="Times New Roman" w:eastAsia="Times New Roman" w:hint="default"/>
                <w:sz w:val="18"/>
                <w:szCs w:val="18"/>
              </w:rPr>
              <w:t>)</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9,212,500</w:t>
            </w: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9,212,500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398" w:right="132" w:hanging="269"/>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478"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8" w:right="0"/>
              <w:jc w:val="left"/>
              <w:rPr>
                <w:rFonts w:ascii="宋体" w:hAnsi="宋体" w:cs="宋体" w:eastAsia="宋体" w:hint="default"/>
                <w:sz w:val="18"/>
                <w:szCs w:val="18"/>
              </w:rPr>
            </w:pPr>
            <w:r>
              <w:rPr>
                <w:rFonts w:ascii="宋体" w:hAnsi="宋体" w:cs="宋体" w:eastAsia="宋体" w:hint="default"/>
                <w:sz w:val="18"/>
                <w:szCs w:val="18"/>
              </w:rPr>
              <w:t>可视化工业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APP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开</w:t>
            </w:r>
          </w:p>
          <w:p>
            <w:pPr>
              <w:pStyle w:val="TableParagraph"/>
              <w:spacing w:line="229" w:lineRule="exact"/>
              <w:ind w:left="108" w:right="0"/>
              <w:jc w:val="left"/>
              <w:rPr>
                <w:rFonts w:ascii="宋体" w:hAnsi="宋体" w:cs="宋体" w:eastAsia="宋体" w:hint="default"/>
                <w:sz w:val="18"/>
                <w:szCs w:val="18"/>
              </w:rPr>
            </w:pPr>
            <w:r>
              <w:rPr>
                <w:rFonts w:ascii="宋体" w:hAnsi="宋体" w:cs="宋体" w:eastAsia="宋体" w:hint="default"/>
                <w:sz w:val="18"/>
                <w:szCs w:val="18"/>
              </w:rPr>
              <w:t>发环境建设</w:t>
            </w:r>
          </w:p>
        </w:tc>
        <w:tc>
          <w:tcPr>
            <w:tcW w:w="1167"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8"/>
              <w:jc w:val="right"/>
              <w:rPr>
                <w:rFonts w:ascii="Times New Roman" w:hAnsi="Times New Roman" w:cs="Times New Roman" w:eastAsia="Times New Roman" w:hint="default"/>
                <w:sz w:val="18"/>
                <w:szCs w:val="18"/>
              </w:rPr>
            </w:pPr>
            <w:r>
              <w:rPr>
                <w:rFonts w:ascii="Times New Roman"/>
                <w:spacing w:val="-1"/>
                <w:sz w:val="18"/>
              </w:rPr>
              <w:t>9,371,250</w:t>
            </w: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8"/>
              <w:jc w:val="right"/>
              <w:rPr>
                <w:rFonts w:ascii="Times New Roman" w:hAnsi="Times New Roman" w:cs="Times New Roman" w:eastAsia="Times New Roman" w:hint="default"/>
                <w:sz w:val="18"/>
                <w:szCs w:val="18"/>
              </w:rPr>
            </w:pPr>
            <w:r>
              <w:rPr>
                <w:rFonts w:ascii="Times New Roman"/>
                <w:spacing w:val="-1"/>
                <w:sz w:val="18"/>
              </w:rPr>
              <w:t>9,371,250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2"/>
              <w:jc w:val="center"/>
              <w:rPr>
                <w:rFonts w:ascii="宋体" w:hAnsi="宋体" w:cs="宋体" w:eastAsia="宋体" w:hint="default"/>
                <w:sz w:val="18"/>
                <w:szCs w:val="18"/>
              </w:rPr>
            </w:pPr>
            <w:r>
              <w:rPr>
                <w:rFonts w:ascii="宋体" w:hAnsi="宋体" w:cs="宋体" w:eastAsia="宋体" w:hint="default"/>
                <w:sz w:val="18"/>
                <w:szCs w:val="18"/>
              </w:rPr>
              <w:t>与收益相</w:t>
            </w: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关</w:t>
            </w:r>
          </w:p>
        </w:tc>
      </w:tr>
      <w:tr>
        <w:trPr>
          <w:trHeight w:val="478"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8"/>
              <w:jc w:val="right"/>
              <w:rPr>
                <w:rFonts w:ascii="Times New Roman" w:hAnsi="Times New Roman" w:cs="Times New Roman" w:eastAsia="Times New Roman" w:hint="default"/>
                <w:sz w:val="18"/>
                <w:szCs w:val="18"/>
              </w:rPr>
            </w:pPr>
            <w:r>
              <w:rPr>
                <w:rFonts w:ascii="Times New Roman"/>
                <w:spacing w:val="-1"/>
                <w:sz w:val="18"/>
              </w:rPr>
              <w:t>2,388,450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7"/>
              <w:jc w:val="right"/>
              <w:rPr>
                <w:rFonts w:ascii="Times New Roman" w:hAnsi="Times New Roman" w:cs="Times New Roman" w:eastAsia="Times New Roman" w:hint="default"/>
                <w:sz w:val="18"/>
                <w:szCs w:val="18"/>
              </w:rPr>
            </w:pPr>
            <w:r>
              <w:rPr>
                <w:rFonts w:ascii="Times New Roman"/>
                <w:spacing w:val="-1"/>
                <w:sz w:val="18"/>
              </w:rPr>
              <w:t>296,900</w:t>
            </w: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7"/>
              <w:jc w:val="right"/>
              <w:rPr>
                <w:rFonts w:ascii="Times New Roman" w:hAnsi="Times New Roman" w:cs="Times New Roman" w:eastAsia="Times New Roman" w:hint="default"/>
                <w:sz w:val="18"/>
                <w:szCs w:val="18"/>
              </w:rPr>
            </w:pPr>
            <w:r>
              <w:rPr>
                <w:rFonts w:ascii="Times New Roman"/>
                <w:spacing w:val="-1"/>
                <w:sz w:val="18"/>
              </w:rPr>
              <w:t>306,250</w:t>
            </w: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8"/>
              <w:jc w:val="right"/>
              <w:rPr>
                <w:rFonts w:ascii="Times New Roman" w:hAnsi="Times New Roman" w:cs="Times New Roman" w:eastAsia="Times New Roman" w:hint="default"/>
                <w:sz w:val="18"/>
                <w:szCs w:val="18"/>
              </w:rPr>
            </w:pPr>
            <w:r>
              <w:rPr>
                <w:rFonts w:ascii="Times New Roman"/>
                <w:spacing w:val="-1"/>
                <w:sz w:val="18"/>
              </w:rPr>
              <w:t>2,379,100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sz w:val="18"/>
                <w:szCs w:val="18"/>
              </w:rPr>
              <w:t>与收益相</w:t>
            </w:r>
          </w:p>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sz w:val="18"/>
                <w:szCs w:val="18"/>
              </w:rPr>
              <w:t>关</w:t>
            </w:r>
          </w:p>
        </w:tc>
      </w:tr>
      <w:tr>
        <w:trPr>
          <w:trHeight w:val="242" w:hRule="exact"/>
        </w:trPr>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8"/>
              <w:jc w:val="right"/>
              <w:rPr>
                <w:rFonts w:ascii="Times New Roman" w:hAnsi="Times New Roman" w:cs="Times New Roman" w:eastAsia="Times New Roman" w:hint="default"/>
                <w:sz w:val="18"/>
                <w:szCs w:val="18"/>
              </w:rPr>
            </w:pPr>
            <w:r>
              <w:rPr>
                <w:rFonts w:ascii="Times New Roman"/>
                <w:spacing w:val="-1"/>
                <w:sz w:val="18"/>
              </w:rPr>
              <w:t>55,426,928</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8"/>
              <w:jc w:val="right"/>
              <w:rPr>
                <w:rFonts w:ascii="Times New Roman" w:hAnsi="Times New Roman" w:cs="Times New Roman" w:eastAsia="Times New Roman" w:hint="default"/>
                <w:sz w:val="18"/>
                <w:szCs w:val="18"/>
              </w:rPr>
            </w:pPr>
            <w:r>
              <w:rPr>
                <w:rFonts w:ascii="Times New Roman"/>
                <w:spacing w:val="-1"/>
                <w:sz w:val="18"/>
              </w:rPr>
              <w:t>37,650,650</w:t>
            </w:r>
          </w:p>
        </w:tc>
        <w:tc>
          <w:tcPr>
            <w:tcW w:w="982" w:type="dxa"/>
            <w:tcBorders>
              <w:top w:val="single" w:sz="4" w:space="0" w:color="000000"/>
              <w:left w:val="single" w:sz="4" w:space="0" w:color="000000"/>
              <w:bottom w:val="single" w:sz="4" w:space="0" w:color="000000"/>
              <w:right w:val="single" w:sz="4" w:space="0" w:color="000000"/>
            </w:tcBorders>
          </w:tcPr>
          <w:p>
            <w:pP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8"/>
              <w:jc w:val="right"/>
              <w:rPr>
                <w:rFonts w:ascii="Times New Roman" w:hAnsi="Times New Roman" w:cs="Times New Roman" w:eastAsia="Times New Roman" w:hint="default"/>
                <w:sz w:val="18"/>
                <w:szCs w:val="18"/>
              </w:rPr>
            </w:pPr>
            <w:r>
              <w:rPr>
                <w:rFonts w:ascii="Times New Roman"/>
                <w:spacing w:val="-1"/>
                <w:sz w:val="18"/>
              </w:rPr>
              <w:t>24,505,416</w:t>
            </w:r>
          </w:p>
        </w:tc>
        <w:tc>
          <w:tcPr>
            <w:tcW w:w="703"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8"/>
              <w:jc w:val="right"/>
              <w:rPr>
                <w:rFonts w:ascii="Times New Roman" w:hAnsi="Times New Roman" w:cs="Times New Roman" w:eastAsia="Times New Roman" w:hint="default"/>
                <w:sz w:val="18"/>
                <w:szCs w:val="18"/>
              </w:rPr>
            </w:pPr>
            <w:r>
              <w:rPr>
                <w:rFonts w:ascii="Times New Roman"/>
                <w:spacing w:val="-1"/>
                <w:sz w:val="18"/>
              </w:rPr>
              <w:t>68,572,162</w:t>
            </w:r>
          </w:p>
        </w:tc>
        <w:tc>
          <w:tcPr>
            <w:tcW w:w="99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8"/>
        <w:rPr>
          <w:rFonts w:ascii="宋体" w:hAnsi="宋体" w:cs="宋体" w:eastAsia="宋体" w:hint="default"/>
          <w:sz w:val="20"/>
          <w:szCs w:val="20"/>
        </w:rPr>
      </w:pPr>
    </w:p>
    <w:p>
      <w:pPr>
        <w:pStyle w:val="BodyText"/>
        <w:spacing w:line="283" w:lineRule="auto" w:before="26"/>
        <w:ind w:left="236" w:right="7730"/>
        <w:jc w:val="left"/>
      </w:pPr>
      <w:r>
        <w:rPr>
          <w:rFonts w:ascii="宋体" w:hAnsi="宋体" w:cs="宋体" w:eastAsia="宋体" w:hint="default"/>
        </w:rPr>
        <w:t> </w:t>
      </w:r>
      <w:bookmarkStart w:name="OLE_LINK84" w:id="21"/>
      <w:bookmarkEnd w:id="21"/>
      <w:r>
        <w:rPr>
          <w:rFonts w:ascii="宋体" w:hAnsi="宋体" w:cs="宋体" w:eastAsia="宋体" w:hint="default"/>
        </w:rPr>
      </w:r>
      <w:bookmarkStart w:name="OLE_LINK85" w:id="22"/>
      <w:bookmarkEnd w:id="22"/>
      <w:r>
        <w:rPr>
          <w:rFonts w:ascii="宋体" w:hAnsi="宋体" w:cs="宋体" w:eastAsia="宋体" w:hint="default"/>
        </w:rPr>
      </w:r>
      <w:r>
        <w:rPr/>
        <w:t>其他说明：</w:t>
      </w:r>
    </w:p>
    <w:p>
      <w:pPr>
        <w:pStyle w:val="BodyText"/>
        <w:spacing w:line="240" w:lineRule="auto" w:before="14"/>
        <w:ind w:left="236" w:right="4250"/>
        <w:jc w:val="left"/>
      </w:pPr>
      <w:r>
        <w:rPr/>
        <w:t>□适用 √不适用</w:t>
      </w:r>
    </w:p>
    <w:p>
      <w:pPr>
        <w:spacing w:after="0" w:line="240" w:lineRule="auto"/>
        <w:jc w:val="left"/>
        <w:sectPr>
          <w:type w:val="continuous"/>
          <w:pgSz w:w="11910" w:h="16840"/>
          <w:pgMar w:top="1120" w:bottom="1380" w:left="1040" w:right="1560"/>
        </w:sectPr>
      </w:pPr>
    </w:p>
    <w:p>
      <w:pPr>
        <w:spacing w:line="240" w:lineRule="auto" w:before="4"/>
        <w:rPr>
          <w:rFonts w:ascii="宋体" w:hAnsi="宋体" w:cs="宋体" w:eastAsia="宋体" w:hint="default"/>
          <w:sz w:val="22"/>
          <w:szCs w:val="22"/>
        </w:r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50</w:t>
      </w:r>
      <w:r>
        <w:rPr/>
        <w:t>、</w:t>
      </w:r>
      <w:r>
        <w:rPr>
          <w:spacing w:val="-102"/>
        </w:rPr>
        <w:t> </w:t>
      </w:r>
      <w:r>
        <w:rPr/>
        <w:t>其他非流动负债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82" w:footer="1195" w:top="1080" w:bottom="1380" w:left="1060" w:right="1560"/>
        </w:sectPr>
      </w:pPr>
    </w:p>
    <w:p>
      <w:pPr>
        <w:pStyle w:val="Heading2"/>
        <w:spacing w:line="240" w:lineRule="auto" w:before="26"/>
        <w:ind w:right="-19"/>
        <w:jc w:val="left"/>
        <w:rPr>
          <w:rFonts w:ascii="宋体" w:hAnsi="宋体" w:cs="宋体" w:eastAsia="宋体" w:hint="default"/>
          <w:b w:val="0"/>
          <w:bCs w:val="0"/>
        </w:rPr>
      </w:pPr>
      <w:r>
        <w:rPr>
          <w:rFonts w:ascii="宋体" w:hAnsi="宋体" w:cs="宋体" w:eastAsia="宋体" w:hint="default"/>
        </w:rPr>
        <w:t>51</w:t>
      </w:r>
      <w:r>
        <w:rPr/>
        <w:t>、</w:t>
      </w:r>
      <w:r>
        <w:rPr>
          <w:spacing w:val="-102"/>
        </w:rPr>
        <w:t> </w:t>
      </w:r>
      <w:r>
        <w:rPr/>
        <w:t>股本</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1922" w:space="4272"/>
            <w:col w:w="3096"/>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653"/>
        <w:gridCol w:w="1423"/>
        <w:gridCol w:w="1162"/>
        <w:gridCol w:w="466"/>
        <w:gridCol w:w="1267"/>
        <w:gridCol w:w="970"/>
        <w:gridCol w:w="1685"/>
        <w:gridCol w:w="1424"/>
      </w:tblGrid>
      <w:tr>
        <w:trPr>
          <w:trHeight w:val="283" w:hRule="exact"/>
        </w:trPr>
        <w:tc>
          <w:tcPr>
            <w:tcW w:w="653" w:type="dxa"/>
            <w:vMerge w:val="restart"/>
            <w:tcBorders>
              <w:top w:val="single" w:sz="4" w:space="0" w:color="000000"/>
              <w:left w:val="single" w:sz="4" w:space="0" w:color="000000"/>
              <w:right w:val="single" w:sz="4" w:space="0" w:color="000000"/>
            </w:tcBorders>
          </w:tcPr>
          <w:p>
            <w:pPr/>
          </w:p>
        </w:tc>
        <w:tc>
          <w:tcPr>
            <w:tcW w:w="1423"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5"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5550" w:type="dxa"/>
            <w:gridSpan w:val="5"/>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661"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Times New Roman" w:hAnsi="Times New Roman" w:cs="Times New Roman" w:eastAsia="Times New Roman" w:hint="default"/>
                <w:sz w:val="21"/>
                <w:szCs w:val="21"/>
              </w:rPr>
              <w:t>+</w:t>
            </w:r>
            <w:r>
              <w:rPr>
                <w:rFonts w:ascii="宋体" w:hAnsi="宋体" w:cs="宋体" w:eastAsia="宋体" w:hint="default"/>
                <w:sz w:val="21"/>
                <w:szCs w:val="21"/>
              </w:rPr>
              <w:t>、一）</w:t>
            </w:r>
          </w:p>
        </w:tc>
        <w:tc>
          <w:tcPr>
            <w:tcW w:w="142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6"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54" w:hRule="exact"/>
        </w:trPr>
        <w:tc>
          <w:tcPr>
            <w:tcW w:w="653" w:type="dxa"/>
            <w:vMerge/>
            <w:tcBorders>
              <w:left w:val="single" w:sz="4" w:space="0" w:color="000000"/>
              <w:bottom w:val="single" w:sz="4" w:space="0" w:color="000000"/>
              <w:right w:val="single" w:sz="4" w:space="0" w:color="000000"/>
            </w:tcBorders>
          </w:tcPr>
          <w:p>
            <w:pPr/>
          </w:p>
        </w:tc>
        <w:tc>
          <w:tcPr>
            <w:tcW w:w="1423" w:type="dxa"/>
            <w:vMerge/>
            <w:tcBorders>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64" w:right="0"/>
              <w:jc w:val="left"/>
              <w:rPr>
                <w:rFonts w:ascii="宋体" w:hAnsi="宋体" w:cs="宋体" w:eastAsia="宋体" w:hint="default"/>
                <w:sz w:val="21"/>
                <w:szCs w:val="21"/>
              </w:rPr>
            </w:pPr>
            <w:r>
              <w:rPr>
                <w:rFonts w:ascii="宋体" w:hAnsi="宋体" w:cs="宋体" w:eastAsia="宋体" w:hint="default"/>
                <w:sz w:val="21"/>
                <w:szCs w:val="21"/>
              </w:rPr>
              <w:t>发行</w:t>
            </w:r>
          </w:p>
          <w:p>
            <w:pPr>
              <w:pStyle w:val="TableParagraph"/>
              <w:spacing w:line="274" w:lineRule="exact"/>
              <w:ind w:left="364" w:right="0"/>
              <w:jc w:val="left"/>
              <w:rPr>
                <w:rFonts w:ascii="宋体" w:hAnsi="宋体" w:cs="宋体" w:eastAsia="宋体" w:hint="default"/>
                <w:sz w:val="21"/>
                <w:szCs w:val="21"/>
              </w:rPr>
            </w:pPr>
            <w:r>
              <w:rPr>
                <w:rFonts w:ascii="宋体" w:hAnsi="宋体" w:cs="宋体" w:eastAsia="宋体" w:hint="default"/>
                <w:sz w:val="21"/>
                <w:szCs w:val="21"/>
              </w:rPr>
              <w:t>新股</w:t>
            </w:r>
          </w:p>
        </w:tc>
        <w:tc>
          <w:tcPr>
            <w:tcW w:w="4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w w:val="100"/>
                <w:sz w:val="21"/>
                <w:szCs w:val="21"/>
              </w:rPr>
              <w:t>送</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w w:val="100"/>
                <w:sz w:val="21"/>
                <w:szCs w:val="21"/>
              </w:rPr>
              <w:t>股</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公积金</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转股</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424" w:type="dxa"/>
            <w:vMerge/>
            <w:tcBorders>
              <w:left w:val="single" w:sz="4" w:space="0" w:color="000000"/>
              <w:bottom w:val="single" w:sz="4" w:space="0" w:color="000000"/>
              <w:right w:val="single" w:sz="4" w:space="0" w:color="000000"/>
            </w:tcBorders>
          </w:tcPr>
          <w:p>
            <w:pPr/>
          </w:p>
        </w:tc>
      </w:tr>
      <w:tr>
        <w:trPr>
          <w:trHeight w:val="554" w:hRule="exact"/>
        </w:trPr>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10" w:right="0"/>
              <w:jc w:val="left"/>
              <w:rPr>
                <w:rFonts w:ascii="宋体" w:hAnsi="宋体" w:cs="宋体" w:eastAsia="宋体" w:hint="default"/>
                <w:sz w:val="21"/>
                <w:szCs w:val="21"/>
              </w:rPr>
            </w:pPr>
            <w:r>
              <w:rPr>
                <w:rFonts w:ascii="宋体" w:hAnsi="宋体" w:cs="宋体" w:eastAsia="宋体" w:hint="default"/>
                <w:sz w:val="21"/>
                <w:szCs w:val="21"/>
              </w:rPr>
              <w:t>股份</w:t>
            </w:r>
          </w:p>
          <w:p>
            <w:pPr>
              <w:pStyle w:val="TableParagraph"/>
              <w:spacing w:line="274" w:lineRule="exact"/>
              <w:ind w:left="110" w:right="0"/>
              <w:jc w:val="left"/>
              <w:rPr>
                <w:rFonts w:ascii="宋体" w:hAnsi="宋体" w:cs="宋体" w:eastAsia="宋体" w:hint="default"/>
                <w:sz w:val="21"/>
                <w:szCs w:val="21"/>
              </w:rPr>
            </w:pPr>
            <w:r>
              <w:rPr>
                <w:rFonts w:ascii="宋体" w:hAnsi="宋体" w:cs="宋体" w:eastAsia="宋体" w:hint="default"/>
                <w:sz w:val="21"/>
                <w:szCs w:val="21"/>
              </w:rPr>
              <w:t>总数</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103" w:right="0"/>
              <w:jc w:val="left"/>
              <w:rPr>
                <w:rFonts w:ascii="Times New Roman" w:hAnsi="Times New Roman" w:cs="Times New Roman" w:eastAsia="Times New Roman" w:hint="default"/>
                <w:sz w:val="21"/>
                <w:szCs w:val="21"/>
              </w:rPr>
            </w:pPr>
            <w:r>
              <w:rPr>
                <w:rFonts w:ascii="Times New Roman"/>
                <w:sz w:val="21"/>
              </w:rPr>
              <w:t>1,917,832,792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103" w:right="0"/>
              <w:jc w:val="left"/>
              <w:rPr>
                <w:rFonts w:ascii="Times New Roman" w:hAnsi="Times New Roman" w:cs="Times New Roman" w:eastAsia="Times New Roman" w:hint="default"/>
                <w:sz w:val="21"/>
                <w:szCs w:val="21"/>
              </w:rPr>
            </w:pPr>
            <w:r>
              <w:rPr>
                <w:rFonts w:ascii="Times New Roman"/>
                <w:sz w:val="21"/>
              </w:rPr>
              <w:t>17,763,659</w:t>
            </w:r>
          </w:p>
        </w:tc>
        <w:tc>
          <w:tcPr>
            <w:tcW w:w="466" w:type="dxa"/>
            <w:tcBorders>
              <w:top w:val="single" w:sz="4" w:space="0" w:color="000000"/>
              <w:left w:val="single" w:sz="4" w:space="0" w:color="000000"/>
              <w:bottom w:val="single" w:sz="4" w:space="0" w:color="000000"/>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103" w:right="0"/>
              <w:jc w:val="left"/>
              <w:rPr>
                <w:rFonts w:ascii="Times New Roman" w:hAnsi="Times New Roman" w:cs="Times New Roman" w:eastAsia="Times New Roman" w:hint="default"/>
                <w:sz w:val="21"/>
                <w:szCs w:val="21"/>
              </w:rPr>
            </w:pPr>
            <w:r>
              <w:rPr>
                <w:rFonts w:ascii="Times New Roman"/>
                <w:sz w:val="21"/>
              </w:rPr>
              <w:t>569,295,642</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0"/>
              <w:jc w:val="center"/>
              <w:rPr>
                <w:rFonts w:ascii="Times New Roman" w:hAnsi="Times New Roman" w:cs="Times New Roman" w:eastAsia="Times New Roman" w:hint="default"/>
                <w:sz w:val="21"/>
                <w:szCs w:val="21"/>
              </w:rPr>
            </w:pPr>
            <w:r>
              <w:rPr>
                <w:rFonts w:ascii="Times New Roman"/>
                <w:sz w:val="21"/>
              </w:rPr>
              <w:t>-993,929</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520" w:right="0"/>
              <w:jc w:val="left"/>
              <w:rPr>
                <w:rFonts w:ascii="Times New Roman" w:hAnsi="Times New Roman" w:cs="Times New Roman" w:eastAsia="Times New Roman" w:hint="default"/>
                <w:sz w:val="21"/>
                <w:szCs w:val="21"/>
              </w:rPr>
            </w:pPr>
            <w:r>
              <w:rPr>
                <w:rFonts w:ascii="Times New Roman"/>
                <w:sz w:val="21"/>
              </w:rPr>
              <w:t>586,065,372</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103" w:right="0"/>
              <w:jc w:val="left"/>
              <w:rPr>
                <w:rFonts w:ascii="Times New Roman" w:hAnsi="Times New Roman" w:cs="Times New Roman" w:eastAsia="Times New Roman" w:hint="default"/>
                <w:sz w:val="21"/>
                <w:szCs w:val="21"/>
              </w:rPr>
            </w:pPr>
            <w:r>
              <w:rPr>
                <w:rFonts w:ascii="Times New Roman"/>
                <w:sz w:val="21"/>
              </w:rPr>
              <w:t>2,503,898,164</w:t>
            </w:r>
          </w:p>
        </w:tc>
      </w:tr>
    </w:tbl>
    <w:p>
      <w:pPr>
        <w:pStyle w:val="BodyText"/>
        <w:spacing w:line="240" w:lineRule="auto" w:before="20"/>
        <w:ind w:left="216" w:right="0"/>
        <w:jc w:val="left"/>
      </w:pPr>
      <w:r>
        <w:rPr/>
        <w:t>其他说明：</w:t>
      </w:r>
    </w:p>
    <w:p>
      <w:pPr>
        <w:pStyle w:val="BodyText"/>
        <w:spacing w:line="312" w:lineRule="exact" w:before="88"/>
        <w:ind w:left="216" w:right="97"/>
        <w:jc w:val="left"/>
        <w:rPr>
          <w:rFonts w:ascii="Times New Roman" w:hAnsi="Times New Roman" w:cs="Times New Roman" w:eastAsia="Times New Roman" w:hint="default"/>
        </w:rPr>
      </w:pPr>
      <w:r>
        <w:rPr/>
        <w:t>注</w:t>
      </w:r>
      <w:r>
        <w:rPr>
          <w:spacing w:val="-60"/>
        </w:rPr>
        <w:t> </w:t>
      </w:r>
      <w:r>
        <w:rPr>
          <w:rFonts w:ascii="Times New Roman" w:hAnsi="Times New Roman" w:cs="Times New Roman" w:eastAsia="Times New Roman" w:hint="default"/>
        </w:rPr>
        <w:t>1</w:t>
      </w:r>
      <w:r>
        <w:rPr/>
        <w:t>．</w:t>
      </w:r>
      <w:r>
        <w:rPr>
          <w:spacing w:val="59"/>
        </w:rPr>
        <w:t> </w:t>
      </w:r>
      <w:r>
        <w:rPr/>
        <w:t>本公司</w:t>
      </w:r>
      <w:r>
        <w:rPr>
          <w:spacing w:val="-60"/>
        </w:rPr>
        <w:t> </w:t>
      </w:r>
      <w:r>
        <w:rPr>
          <w:rFonts w:ascii="Times New Roman" w:hAnsi="Times New Roman" w:cs="Times New Roman" w:eastAsia="Times New Roman" w:hint="default"/>
        </w:rPr>
        <w:t>2017 </w:t>
      </w:r>
      <w:r>
        <w:rPr/>
        <w:t>年股份支付计划第二解锁期以及</w:t>
      </w:r>
      <w:r>
        <w:rPr>
          <w:spacing w:val="-59"/>
        </w:rPr>
        <w:t> </w:t>
      </w:r>
      <w:r>
        <w:rPr>
          <w:rFonts w:ascii="Times New Roman" w:hAnsi="Times New Roman" w:cs="Times New Roman" w:eastAsia="Times New Roman" w:hint="default"/>
        </w:rPr>
        <w:t>2018 </w:t>
      </w:r>
      <w:r>
        <w:rPr/>
        <w:t>年股份支付计划第一解锁 </w:t>
      </w:r>
      <w:r>
        <w:rPr>
          <w:spacing w:val="-6"/>
        </w:rPr>
        <w:t>期达成解锁行权条件，合计解锁限制性股票</w:t>
      </w:r>
      <w:r>
        <w:rPr>
          <w:spacing w:val="-57"/>
        </w:rPr>
        <w:t> </w:t>
      </w:r>
      <w:r>
        <w:rPr>
          <w:rFonts w:ascii="Times New Roman" w:hAnsi="Times New Roman" w:cs="Times New Roman" w:eastAsia="Times New Roman" w:hint="default"/>
        </w:rPr>
        <w:t>9,130,508</w:t>
      </w:r>
      <w:r>
        <w:rPr>
          <w:rFonts w:ascii="Times New Roman" w:hAnsi="Times New Roman" w:cs="Times New Roman" w:eastAsia="Times New Roman" w:hint="default"/>
          <w:spacing w:val="2"/>
        </w:rPr>
        <w:t> </w:t>
      </w:r>
      <w:r>
        <w:rPr>
          <w:spacing w:val="-10"/>
        </w:rPr>
        <w:t>股，</w:t>
      </w:r>
      <w:r>
        <w:rPr>
          <w:rFonts w:ascii="Times New Roman" w:hAnsi="Times New Roman" w:cs="Times New Roman" w:eastAsia="Times New Roman" w:hint="default"/>
          <w:spacing w:val="-10"/>
        </w:rPr>
        <w:t>17,763,659</w:t>
      </w:r>
      <w:r>
        <w:rPr>
          <w:rFonts w:ascii="Times New Roman" w:hAnsi="Times New Roman" w:cs="Times New Roman" w:eastAsia="Times New Roman" w:hint="default"/>
          <w:spacing w:val="2"/>
        </w:rPr>
        <w:t> </w:t>
      </w:r>
      <w:r>
        <w:rPr/>
        <w:t>份股票期权行权， 无限售条件股份增加</w:t>
      </w:r>
      <w:r>
        <w:rPr>
          <w:spacing w:val="-60"/>
        </w:rPr>
        <w:t> </w:t>
      </w:r>
      <w:r>
        <w:rPr>
          <w:rFonts w:ascii="Times New Roman" w:hAnsi="Times New Roman" w:cs="Times New Roman" w:eastAsia="Times New Roman" w:hint="default"/>
        </w:rPr>
        <w:t>37,470,081 </w:t>
      </w:r>
      <w:r>
        <w:rPr>
          <w:spacing w:val="-5"/>
        </w:rPr>
        <w:t>股，有限售条件股份减少</w:t>
      </w:r>
      <w:r>
        <w:rPr>
          <w:spacing w:val="-60"/>
        </w:rPr>
        <w:t> </w:t>
      </w:r>
      <w:r>
        <w:rPr>
          <w:rFonts w:ascii="Times New Roman" w:hAnsi="Times New Roman" w:cs="Times New Roman" w:eastAsia="Times New Roman" w:hint="default"/>
        </w:rPr>
        <w:t>19,706,422 </w:t>
      </w:r>
      <w:r>
        <w:rPr>
          <w:spacing w:val="-11"/>
        </w:rPr>
        <w:t>股。本公司</w:t>
      </w:r>
      <w:r>
        <w:rPr>
          <w:spacing w:val="-60"/>
        </w:rPr>
        <w:t> </w:t>
      </w:r>
      <w:r>
        <w:rPr>
          <w:rFonts w:ascii="Times New Roman" w:hAnsi="Times New Roman" w:cs="Times New Roman" w:eastAsia="Times New Roman" w:hint="default"/>
        </w:rPr>
        <w:t>2019</w:t>
      </w:r>
    </w:p>
    <w:p>
      <w:pPr>
        <w:pStyle w:val="BodyText"/>
        <w:spacing w:line="289" w:lineRule="exact"/>
        <w:ind w:left="216" w:right="0"/>
        <w:jc w:val="left"/>
      </w:pPr>
      <w:r>
        <w:rPr/>
        <w:t>年股份支付计划授予股权激励对象限制性股票</w:t>
      </w:r>
      <w:r>
        <w:rPr>
          <w:spacing w:val="-59"/>
        </w:rPr>
        <w:t> </w:t>
      </w:r>
      <w:r>
        <w:rPr>
          <w:rFonts w:ascii="Times New Roman" w:hAnsi="Times New Roman" w:cs="Times New Roman" w:eastAsia="Times New Roman" w:hint="default"/>
        </w:rPr>
        <w:t>706,060 </w:t>
      </w:r>
      <w:r>
        <w:rPr/>
        <w:t>股，有限售条件股份增加</w:t>
      </w:r>
    </w:p>
    <w:p>
      <w:pPr>
        <w:pStyle w:val="BodyText"/>
        <w:spacing w:line="322" w:lineRule="exact"/>
        <w:ind w:left="216" w:right="0"/>
        <w:jc w:val="left"/>
      </w:pPr>
      <w:r>
        <w:rPr>
          <w:rFonts w:ascii="Times New Roman" w:hAnsi="Times New Roman" w:cs="Times New Roman" w:eastAsia="Times New Roman" w:hint="default"/>
        </w:rPr>
        <w:t>706,060 </w:t>
      </w:r>
      <w:r>
        <w:rPr/>
        <w:t>股，库存股减少</w:t>
      </w:r>
      <w:r>
        <w:rPr>
          <w:spacing w:val="-60"/>
        </w:rPr>
        <w:t> </w:t>
      </w:r>
      <w:r>
        <w:rPr>
          <w:rFonts w:ascii="Times New Roman" w:hAnsi="Times New Roman" w:cs="Times New Roman" w:eastAsia="Times New Roman" w:hint="default"/>
        </w:rPr>
        <w:t>706,060 </w:t>
      </w:r>
      <w:r>
        <w:rPr/>
        <w:t>股。</w:t>
      </w:r>
    </w:p>
    <w:p>
      <w:pPr>
        <w:spacing w:line="240" w:lineRule="auto" w:before="7"/>
        <w:rPr>
          <w:rFonts w:ascii="宋体" w:hAnsi="宋体" w:cs="宋体" w:eastAsia="宋体" w:hint="default"/>
          <w:sz w:val="19"/>
          <w:szCs w:val="19"/>
        </w:rPr>
      </w:pPr>
    </w:p>
    <w:p>
      <w:pPr>
        <w:pStyle w:val="BodyText"/>
        <w:spacing w:line="321" w:lineRule="exact"/>
        <w:ind w:left="216" w:right="0"/>
        <w:jc w:val="left"/>
      </w:pPr>
      <w:r>
        <w:rPr/>
        <w:t>注</w:t>
      </w:r>
      <w:r>
        <w:rPr>
          <w:spacing w:val="-62"/>
        </w:rPr>
        <w:t> </w:t>
      </w:r>
      <w:r>
        <w:rPr>
          <w:rFonts w:ascii="Times New Roman" w:hAnsi="Times New Roman" w:cs="Times New Roman" w:eastAsia="Times New Roman" w:hint="default"/>
          <w:spacing w:val="-3"/>
        </w:rPr>
        <w:t>2</w:t>
      </w:r>
      <w:r>
        <w:rPr>
          <w:spacing w:val="-3"/>
        </w:rPr>
        <w:t>．</w:t>
      </w:r>
      <w:r>
        <w:rPr>
          <w:rFonts w:ascii="Times New Roman" w:hAnsi="Times New Roman" w:cs="Times New Roman" w:eastAsia="Times New Roman" w:hint="default"/>
          <w:spacing w:val="-3"/>
        </w:rPr>
        <w:t>2019 </w:t>
      </w:r>
      <w:r>
        <w:rPr/>
        <w:t>年</w:t>
      </w:r>
      <w:r>
        <w:rPr>
          <w:spacing w:val="-62"/>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26 </w:t>
      </w:r>
      <w:r>
        <w:rPr>
          <w:spacing w:val="-3"/>
        </w:rPr>
        <w:t>日，本公司公告</w:t>
      </w:r>
      <w:r>
        <w:rPr>
          <w:spacing w:val="-62"/>
        </w:rPr>
        <w:t> </w:t>
      </w:r>
      <w:r>
        <w:rPr>
          <w:rFonts w:ascii="Times New Roman" w:hAnsi="Times New Roman" w:cs="Times New Roman" w:eastAsia="Times New Roman" w:hint="default"/>
        </w:rPr>
        <w:t>2018 </w:t>
      </w:r>
      <w:r>
        <w:rPr/>
        <w:t>年年度权益分派实施公告，以方案实施前</w:t>
      </w:r>
    </w:p>
    <w:p>
      <w:pPr>
        <w:pStyle w:val="BodyText"/>
        <w:spacing w:line="311" w:lineRule="exact"/>
        <w:ind w:left="216" w:right="0"/>
        <w:jc w:val="left"/>
      </w:pPr>
      <w:r>
        <w:rPr/>
        <w:t>的公司总股本 </w:t>
      </w:r>
      <w:r>
        <w:rPr>
          <w:rFonts w:ascii="Times New Roman" w:hAnsi="Times New Roman" w:cs="Times New Roman" w:eastAsia="Times New Roman" w:hint="default"/>
        </w:rPr>
        <w:t>1,897,652,142  </w:t>
      </w:r>
      <w:r>
        <w:rPr/>
        <w:t>股为基数，每股派发现金红利 </w:t>
      </w:r>
      <w:r>
        <w:rPr>
          <w:rFonts w:ascii="Times New Roman" w:hAnsi="Times New Roman" w:cs="Times New Roman" w:eastAsia="Times New Roman" w:hint="default"/>
        </w:rPr>
        <w:t>0.25</w:t>
      </w:r>
      <w:r>
        <w:rPr>
          <w:rFonts w:ascii="Times New Roman" w:hAnsi="Times New Roman" w:cs="Times New Roman" w:eastAsia="Times New Roman" w:hint="default"/>
          <w:spacing w:val="50"/>
        </w:rPr>
        <w:t> </w:t>
      </w:r>
      <w:r>
        <w:rPr/>
        <w:t>元（含税</w:t>
      </w:r>
      <w:r>
        <w:rPr>
          <w:rFonts w:ascii="Times New Roman" w:hAnsi="Times New Roman" w:cs="Times New Roman" w:eastAsia="Times New Roman" w:hint="default"/>
        </w:rPr>
        <w:t>)</w:t>
      </w:r>
      <w:r>
        <w:rPr/>
        <w:t>，以资本</w:t>
      </w:r>
    </w:p>
    <w:p>
      <w:pPr>
        <w:pStyle w:val="BodyText"/>
        <w:spacing w:line="312" w:lineRule="exact"/>
        <w:ind w:left="216" w:right="0"/>
        <w:jc w:val="left"/>
      </w:pPr>
      <w:r>
        <w:rPr/>
        <w:t>公积金向全体股东每股转增</w:t>
      </w:r>
      <w:r>
        <w:rPr>
          <w:spacing w:val="1"/>
        </w:rPr>
        <w:t> </w:t>
      </w:r>
      <w:r>
        <w:rPr>
          <w:rFonts w:ascii="Times New Roman" w:hAnsi="Times New Roman" w:cs="Times New Roman" w:eastAsia="Times New Roman" w:hint="default"/>
        </w:rPr>
        <w:t>0.3  </w:t>
      </w:r>
      <w:r>
        <w:rPr/>
        <w:t>股，共计派发现金红利</w:t>
      </w:r>
      <w:r>
        <w:rPr>
          <w:spacing w:val="-60"/>
        </w:rPr>
        <w:t> </w:t>
      </w:r>
      <w:r>
        <w:rPr>
          <w:rFonts w:ascii="Times New Roman" w:hAnsi="Times New Roman" w:cs="Times New Roman" w:eastAsia="Times New Roman" w:hint="default"/>
        </w:rPr>
        <w:t>474,413,036 </w:t>
      </w:r>
      <w:r>
        <w:rPr/>
        <w:t>元，转增</w:t>
      </w:r>
    </w:p>
    <w:p>
      <w:pPr>
        <w:pStyle w:val="BodyText"/>
        <w:spacing w:line="322" w:lineRule="exact"/>
        <w:ind w:left="216" w:right="0"/>
        <w:jc w:val="left"/>
      </w:pPr>
      <w:r>
        <w:rPr>
          <w:rFonts w:ascii="Times New Roman" w:hAnsi="Times New Roman" w:cs="Times New Roman" w:eastAsia="Times New Roman" w:hint="default"/>
        </w:rPr>
        <w:t>569,295,642</w:t>
      </w:r>
      <w:r>
        <w:rPr>
          <w:rFonts w:ascii="Times New Roman" w:hAnsi="Times New Roman" w:cs="Times New Roman" w:eastAsia="Times New Roman" w:hint="default"/>
          <w:spacing w:val="-1"/>
        </w:rPr>
        <w:t> </w:t>
      </w:r>
      <w:r>
        <w:rPr/>
        <w:t>股。</w:t>
      </w:r>
    </w:p>
    <w:p>
      <w:pPr>
        <w:spacing w:line="240" w:lineRule="auto" w:before="5"/>
        <w:rPr>
          <w:rFonts w:ascii="宋体" w:hAnsi="宋体" w:cs="宋体" w:eastAsia="宋体" w:hint="default"/>
          <w:sz w:val="19"/>
          <w:szCs w:val="19"/>
        </w:rPr>
      </w:pPr>
    </w:p>
    <w:p>
      <w:pPr>
        <w:pStyle w:val="BodyText"/>
        <w:spacing w:line="322" w:lineRule="exact"/>
        <w:ind w:left="216" w:right="0"/>
        <w:jc w:val="left"/>
        <w:rPr>
          <w:rFonts w:ascii="Times New Roman" w:hAnsi="Times New Roman" w:cs="Times New Roman" w:eastAsia="Times New Roman" w:hint="default"/>
        </w:rPr>
      </w:pPr>
      <w:r>
        <w:rPr/>
        <w:t>注</w:t>
      </w:r>
      <w:r>
        <w:rPr>
          <w:spacing w:val="-60"/>
        </w:rPr>
        <w:t> </w:t>
      </w:r>
      <w:r>
        <w:rPr>
          <w:rFonts w:ascii="Times New Roman" w:hAnsi="Times New Roman" w:cs="Times New Roman" w:eastAsia="Times New Roman" w:hint="default"/>
        </w:rPr>
        <w:t>3</w:t>
      </w:r>
      <w:r>
        <w:rPr/>
        <w:t>．本公司为实施</w:t>
      </w:r>
      <w:r>
        <w:rPr>
          <w:spacing w:val="-61"/>
        </w:rPr>
        <w:t> </w:t>
      </w:r>
      <w:r>
        <w:rPr>
          <w:rFonts w:ascii="Times New Roman" w:hAnsi="Times New Roman" w:cs="Times New Roman" w:eastAsia="Times New Roman" w:hint="default"/>
        </w:rPr>
        <w:t>2019 </w:t>
      </w:r>
      <w:r>
        <w:rPr/>
        <w:t>年股份支付计划，自二级市场回购</w:t>
      </w:r>
      <w:r>
        <w:rPr>
          <w:spacing w:val="-60"/>
        </w:rPr>
        <w:t> </w:t>
      </w:r>
      <w:r>
        <w:rPr>
          <w:rFonts w:ascii="Times New Roman" w:hAnsi="Times New Roman" w:cs="Times New Roman" w:eastAsia="Times New Roman" w:hint="default"/>
        </w:rPr>
        <w:t>A</w:t>
      </w:r>
      <w:r>
        <w:rPr>
          <w:rFonts w:ascii="Times New Roman" w:hAnsi="Times New Roman" w:cs="Times New Roman" w:eastAsia="Times New Roman" w:hint="default"/>
          <w:spacing w:val="-1"/>
        </w:rPr>
        <w:t> </w:t>
      </w:r>
      <w:r>
        <w:rPr/>
        <w:t>股普通股</w:t>
      </w:r>
      <w:r>
        <w:rPr>
          <w:spacing w:val="-60"/>
        </w:rPr>
        <w:t> </w:t>
      </w:r>
      <w:r>
        <w:rPr>
          <w:rFonts w:ascii="Times New Roman" w:hAnsi="Times New Roman" w:cs="Times New Roman" w:eastAsia="Times New Roman" w:hint="default"/>
        </w:rPr>
        <w:t>19,186,721</w:t>
      </w:r>
    </w:p>
    <w:p>
      <w:pPr>
        <w:pStyle w:val="BodyText"/>
        <w:spacing w:line="304" w:lineRule="exact"/>
        <w:ind w:left="216" w:right="0"/>
        <w:jc w:val="left"/>
      </w:pPr>
      <w:r>
        <w:rPr/>
        <w:t>股。</w:t>
      </w:r>
    </w:p>
    <w:p>
      <w:pPr>
        <w:spacing w:line="240" w:lineRule="auto" w:before="12"/>
        <w:rPr>
          <w:rFonts w:ascii="宋体" w:hAnsi="宋体" w:cs="宋体" w:eastAsia="宋体" w:hint="default"/>
          <w:sz w:val="20"/>
          <w:szCs w:val="20"/>
        </w:rPr>
      </w:pPr>
    </w:p>
    <w:p>
      <w:pPr>
        <w:pStyle w:val="BodyText"/>
        <w:tabs>
          <w:tab w:pos="937" w:val="left" w:leader="none"/>
        </w:tabs>
        <w:spacing w:line="321" w:lineRule="exact"/>
        <w:ind w:left="216" w:right="0"/>
        <w:jc w:val="left"/>
      </w:pPr>
      <w:r>
        <w:rPr/>
        <w:t>注</w:t>
      </w:r>
      <w:r>
        <w:rPr>
          <w:spacing w:val="-60"/>
        </w:rPr>
        <w:t> </w:t>
      </w:r>
      <w:r>
        <w:rPr>
          <w:rFonts w:ascii="Times New Roman" w:hAnsi="Times New Roman" w:cs="Times New Roman" w:eastAsia="Times New Roman" w:hint="default"/>
        </w:rPr>
        <w:t>4.</w:t>
        <w:tab/>
      </w:r>
      <w:r>
        <w:rPr/>
        <w:t>本公司注销已授予但无法解锁的限制性股票</w:t>
      </w:r>
      <w:r>
        <w:rPr>
          <w:spacing w:val="-60"/>
        </w:rPr>
        <w:t> </w:t>
      </w:r>
      <w:r>
        <w:rPr>
          <w:rFonts w:ascii="Times New Roman" w:hAnsi="Times New Roman" w:cs="Times New Roman" w:eastAsia="Times New Roman" w:hint="default"/>
        </w:rPr>
        <w:t>643,000 </w:t>
      </w:r>
      <w:r>
        <w:rPr/>
        <w:t>股，以及已回购未授予的</w:t>
      </w:r>
    </w:p>
    <w:p>
      <w:pPr>
        <w:pStyle w:val="BodyText"/>
        <w:spacing w:line="311" w:lineRule="exact"/>
        <w:ind w:left="216" w:right="0"/>
        <w:jc w:val="left"/>
      </w:pPr>
      <w:r>
        <w:rPr/>
        <w:t>限制性股票</w:t>
      </w:r>
      <w:r>
        <w:rPr>
          <w:spacing w:val="-59"/>
        </w:rPr>
        <w:t> </w:t>
      </w:r>
      <w:r>
        <w:rPr>
          <w:rFonts w:ascii="Times New Roman" w:hAnsi="Times New Roman" w:cs="Times New Roman" w:eastAsia="Times New Roman" w:hint="default"/>
        </w:rPr>
        <w:t>350,929</w:t>
      </w:r>
      <w:r>
        <w:rPr>
          <w:rFonts w:ascii="Times New Roman" w:hAnsi="Times New Roman" w:cs="Times New Roman" w:eastAsia="Times New Roman" w:hint="default"/>
          <w:spacing w:val="1"/>
        </w:rPr>
        <w:t> </w:t>
      </w:r>
      <w:r>
        <w:rPr>
          <w:spacing w:val="-6"/>
        </w:rPr>
        <w:t>股。经上述股本变动后，截至</w:t>
      </w:r>
      <w:r>
        <w:rPr>
          <w:spacing w:val="-5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5"/>
        </w:rPr>
        <w:t>日，本公司共发行</w:t>
      </w:r>
    </w:p>
    <w:p>
      <w:pPr>
        <w:pStyle w:val="BodyText"/>
        <w:spacing w:line="322" w:lineRule="exact"/>
        <w:ind w:left="216" w:right="0"/>
        <w:jc w:val="left"/>
      </w:pPr>
      <w:r>
        <w:rPr/>
        <w:t>股份</w:t>
      </w:r>
      <w:r>
        <w:rPr>
          <w:spacing w:val="-60"/>
        </w:rPr>
        <w:t> </w:t>
      </w:r>
      <w:r>
        <w:rPr>
          <w:rFonts w:ascii="Times New Roman" w:hAnsi="Times New Roman" w:cs="Times New Roman" w:eastAsia="Times New Roman" w:hint="default"/>
        </w:rPr>
        <w:t>2,503,898,164</w:t>
      </w:r>
      <w:r>
        <w:rPr>
          <w:rFonts w:ascii="Times New Roman" w:hAnsi="Times New Roman" w:cs="Times New Roman" w:eastAsia="Times New Roman" w:hint="default"/>
          <w:spacing w:val="-1"/>
        </w:rPr>
        <w:t> </w:t>
      </w:r>
      <w:r>
        <w:rPr/>
        <w:t>股，每股价值人民币</w:t>
      </w:r>
      <w:r>
        <w:rPr>
          <w:spacing w:val="-60"/>
        </w:rPr>
        <w:t> </w:t>
      </w:r>
      <w:r>
        <w:rPr>
          <w:rFonts w:ascii="Times New Roman" w:hAnsi="Times New Roman" w:cs="Times New Roman" w:eastAsia="Times New Roman" w:hint="default"/>
        </w:rPr>
        <w:t>1 </w:t>
      </w:r>
      <w:r>
        <w:rPr/>
        <w:t>元。</w:t>
      </w:r>
    </w:p>
    <w:p>
      <w:pPr>
        <w:spacing w:line="240" w:lineRule="auto" w:before="2"/>
        <w:rPr>
          <w:rFonts w:ascii="宋体" w:hAnsi="宋体" w:cs="宋体" w:eastAsia="宋体" w:hint="default"/>
          <w:sz w:val="24"/>
          <w:szCs w:val="24"/>
        </w:rPr>
      </w:pPr>
    </w:p>
    <w:p>
      <w:pPr>
        <w:pStyle w:val="Heading2"/>
        <w:spacing w:line="240" w:lineRule="auto"/>
        <w:ind w:right="0"/>
        <w:jc w:val="left"/>
        <w:rPr>
          <w:rFonts w:ascii="宋体" w:hAnsi="宋体" w:cs="宋体" w:eastAsia="宋体" w:hint="default"/>
          <w:b w:val="0"/>
          <w:bCs w:val="0"/>
        </w:rPr>
      </w:pPr>
      <w:r>
        <w:rPr>
          <w:rFonts w:ascii="宋体" w:hAnsi="宋体" w:cs="宋体" w:eastAsia="宋体" w:hint="default"/>
        </w:rPr>
        <w:t>52</w:t>
      </w:r>
      <w:r>
        <w:rPr/>
        <w:t>、</w:t>
      </w:r>
      <w:r>
        <w:rPr>
          <w:spacing w:val="-103"/>
        </w:rPr>
        <w:t> </w:t>
      </w:r>
      <w:r>
        <w:rPr/>
        <w:t>其他权益工具</w:t>
      </w:r>
      <w:r>
        <w:rPr>
          <w:rFonts w:ascii="宋体" w:hAnsi="宋体" w:cs="宋体" w:eastAsia="宋体" w:hint="default"/>
          <w:w w:val="99"/>
        </w:rPr>
        <w:t> </w:t>
      </w:r>
      <w:r>
        <w:rPr>
          <w:rFonts w:ascii="宋体" w:hAnsi="宋体" w:cs="宋体" w:eastAsia="宋体" w:hint="default"/>
          <w:b w:val="0"/>
          <w:bCs w:val="0"/>
        </w:rPr>
      </w:r>
    </w:p>
    <w:p>
      <w:pPr>
        <w:pStyle w:val="Heading2"/>
        <w:tabs>
          <w:tab w:pos="1057" w:val="left" w:leader="none"/>
        </w:tabs>
        <w:spacing w:line="240" w:lineRule="auto" w:before="55"/>
        <w:ind w:right="0"/>
        <w:jc w:val="left"/>
        <w:rPr>
          <w:rFonts w:ascii="宋体" w:hAnsi="宋体" w:cs="宋体" w:eastAsia="宋体" w:hint="default"/>
          <w:b w:val="0"/>
          <w:bCs w:val="0"/>
        </w:rPr>
      </w:pPr>
      <w:r>
        <w:rPr>
          <w:rFonts w:ascii="宋体" w:hAnsi="宋体" w:cs="宋体" w:eastAsia="宋体" w:hint="default"/>
        </w:rPr>
        <w:t>(1).</w:t>
        <w:tab/>
      </w:r>
      <w:r>
        <w:rPr/>
        <w:t>期末发行在外的优先股、永续债等其他金融工具基本情况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7"/>
        <w:rPr>
          <w:rFonts w:ascii="宋体" w:hAnsi="宋体" w:cs="宋体" w:eastAsia="宋体" w:hint="default"/>
          <w:sz w:val="25"/>
          <w:szCs w:val="25"/>
        </w:rPr>
      </w:pPr>
    </w:p>
    <w:p>
      <w:pPr>
        <w:pStyle w:val="Heading2"/>
        <w:tabs>
          <w:tab w:pos="1057" w:val="left" w:leader="none"/>
        </w:tabs>
        <w:spacing w:line="240" w:lineRule="auto"/>
        <w:ind w:right="0"/>
        <w:jc w:val="left"/>
        <w:rPr>
          <w:rFonts w:ascii="宋体" w:hAnsi="宋体" w:cs="宋体" w:eastAsia="宋体" w:hint="default"/>
          <w:b w:val="0"/>
          <w:bCs w:val="0"/>
        </w:rPr>
      </w:pPr>
      <w:r>
        <w:rPr>
          <w:rFonts w:ascii="宋体" w:hAnsi="宋体" w:cs="宋体" w:eastAsia="宋体" w:hint="default"/>
        </w:rPr>
        <w:t>(2).</w:t>
        <w:tab/>
      </w:r>
      <w:r>
        <w:rPr/>
        <w:t>期末发行在外的优先股、永续债等金融工具变动情况表</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86"/>
        <w:ind w:left="216" w:right="890"/>
        <w:jc w:val="left"/>
      </w:pPr>
      <w:r>
        <w:rPr/>
        <w:t>□适用 √不适用 其他权益工具本期增减变动情况、变动原因说明，以及相关会计处理的依据：</w:t>
      </w:r>
    </w:p>
    <w:p>
      <w:pPr>
        <w:pStyle w:val="BodyText"/>
        <w:spacing w:line="283" w:lineRule="exact"/>
        <w:ind w:left="216" w:right="0"/>
        <w:jc w:val="left"/>
      </w:pPr>
      <w:r>
        <w:rPr/>
        <w:t>□适用 √不适用</w:t>
      </w:r>
    </w:p>
    <w:p>
      <w:pPr>
        <w:spacing w:line="240" w:lineRule="auto" w:before="12"/>
        <w:rPr>
          <w:rFonts w:ascii="宋体" w:hAnsi="宋体" w:cs="宋体" w:eastAsia="宋体" w:hint="default"/>
          <w:sz w:val="20"/>
          <w:szCs w:val="20"/>
        </w:rPr>
      </w:pPr>
    </w:p>
    <w:p>
      <w:pPr>
        <w:pStyle w:val="BodyText"/>
        <w:spacing w:line="321" w:lineRule="exact"/>
        <w:ind w:left="216" w:right="0"/>
        <w:jc w:val="left"/>
        <w:rPr>
          <w:rFonts w:ascii="Times New Roman" w:hAnsi="Times New Roman" w:cs="Times New Roman" w:eastAsia="Times New Roman" w:hint="default"/>
        </w:rPr>
      </w:pPr>
      <w:r>
        <w:rPr/>
        <w:t>其他说明</w:t>
      </w:r>
      <w:r>
        <w:rPr>
          <w:rFonts w:ascii="Times New Roman" w:hAnsi="Times New Roman" w:cs="Times New Roman" w:eastAsia="Times New Roman" w:hint="default"/>
        </w:rPr>
        <w:t>:</w:t>
      </w:r>
    </w:p>
    <w:p>
      <w:pPr>
        <w:pStyle w:val="BodyText"/>
        <w:spacing w:line="303" w:lineRule="exact"/>
        <w:ind w:left="216" w:right="0"/>
        <w:jc w:val="left"/>
      </w:pPr>
      <w:r>
        <w:rPr/>
        <w:t>□适用 √不适用</w:t>
      </w:r>
    </w:p>
    <w:p>
      <w:pPr>
        <w:spacing w:after="0" w:line="303" w:lineRule="exact"/>
        <w:jc w:val="left"/>
        <w:sectPr>
          <w:type w:val="continuous"/>
          <w:pgSz w:w="11910" w:h="16840"/>
          <w:pgMar w:top="1120" w:bottom="1380" w:left="1060" w:right="1560"/>
        </w:sectPr>
      </w:pPr>
    </w:p>
    <w:p>
      <w:pPr>
        <w:spacing w:line="240" w:lineRule="auto" w:before="4"/>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1040" w:right="1560"/>
        </w:sectPr>
      </w:pPr>
    </w:p>
    <w:p>
      <w:pPr>
        <w:pStyle w:val="Heading2"/>
        <w:spacing w:line="240" w:lineRule="auto" w:before="26"/>
        <w:ind w:left="236" w:right="-19"/>
        <w:jc w:val="left"/>
        <w:rPr>
          <w:rFonts w:ascii="宋体" w:hAnsi="宋体" w:cs="宋体" w:eastAsia="宋体" w:hint="default"/>
          <w:b w:val="0"/>
          <w:bCs w:val="0"/>
        </w:rPr>
      </w:pPr>
      <w:r>
        <w:rPr>
          <w:rFonts w:ascii="宋体" w:hAnsi="宋体" w:cs="宋体" w:eastAsia="宋体" w:hint="default"/>
        </w:rPr>
        <w:t>53</w:t>
      </w:r>
      <w:r>
        <w:rPr/>
        <w:t>、</w:t>
      </w:r>
      <w:r>
        <w:rPr>
          <w:spacing w:val="-101"/>
        </w:rPr>
        <w:t> </w:t>
      </w:r>
      <w:r>
        <w:rPr/>
        <w:t>资本公积</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1942" w:space="4252"/>
            <w:col w:w="3116"/>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2033"/>
        <w:gridCol w:w="1748"/>
        <w:gridCol w:w="1745"/>
        <w:gridCol w:w="1697"/>
        <w:gridCol w:w="1839"/>
      </w:tblGrid>
      <w:tr>
        <w:trPr>
          <w:trHeight w:val="322" w:hRule="exact"/>
        </w:trPr>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项目</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86"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86"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62"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31"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631" w:hRule="exact"/>
        </w:trPr>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8" w:right="0"/>
              <w:jc w:val="left"/>
              <w:rPr>
                <w:rFonts w:ascii="宋体" w:hAnsi="宋体" w:cs="宋体" w:eastAsia="宋体" w:hint="default"/>
                <w:sz w:val="24"/>
                <w:szCs w:val="24"/>
              </w:rPr>
            </w:pPr>
            <w:r>
              <w:rPr>
                <w:rFonts w:ascii="宋体" w:hAnsi="宋体" w:cs="宋体" w:eastAsia="宋体" w:hint="default"/>
                <w:sz w:val="24"/>
                <w:szCs w:val="24"/>
              </w:rPr>
              <w:t>资本溢</w:t>
            </w:r>
            <w:r>
              <w:rPr>
                <w:rFonts w:ascii="宋体" w:hAnsi="宋体" w:cs="宋体" w:eastAsia="宋体" w:hint="default"/>
                <w:spacing w:val="-116"/>
                <w:sz w:val="24"/>
                <w:szCs w:val="24"/>
              </w:rPr>
              <w:t>价</w:t>
            </w:r>
            <w:r>
              <w:rPr>
                <w:rFonts w:ascii="宋体" w:hAnsi="宋体" w:cs="宋体" w:eastAsia="宋体" w:hint="default"/>
                <w:sz w:val="24"/>
                <w:szCs w:val="24"/>
              </w:rPr>
              <w:t>（股本溢</w:t>
            </w:r>
          </w:p>
          <w:p>
            <w:pPr>
              <w:pStyle w:val="TableParagraph"/>
              <w:spacing w:line="313" w:lineRule="exact"/>
              <w:ind w:left="108" w:right="0"/>
              <w:jc w:val="left"/>
              <w:rPr>
                <w:rFonts w:ascii="宋体" w:hAnsi="宋体" w:cs="宋体" w:eastAsia="宋体" w:hint="default"/>
                <w:sz w:val="24"/>
                <w:szCs w:val="24"/>
              </w:rPr>
            </w:pPr>
            <w:r>
              <w:rPr>
                <w:rFonts w:ascii="宋体" w:hAnsi="宋体" w:cs="宋体" w:eastAsia="宋体" w:hint="default"/>
                <w:sz w:val="24"/>
                <w:szCs w:val="24"/>
              </w:rPr>
              <w:t>价）</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10"/>
              <w:jc w:val="right"/>
              <w:rPr>
                <w:rFonts w:ascii="Times New Roman" w:hAnsi="Times New Roman" w:cs="Times New Roman" w:eastAsia="Times New Roman" w:hint="default"/>
                <w:sz w:val="24"/>
                <w:szCs w:val="24"/>
              </w:rPr>
            </w:pPr>
            <w:r>
              <w:rPr>
                <w:rFonts w:ascii="Times New Roman"/>
                <w:sz w:val="24"/>
              </w:rPr>
              <w:t>1,780,523,167</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427" w:right="0"/>
              <w:jc w:val="left"/>
              <w:rPr>
                <w:rFonts w:ascii="Times New Roman" w:hAnsi="Times New Roman" w:cs="Times New Roman" w:eastAsia="Times New Roman" w:hint="default"/>
                <w:sz w:val="24"/>
                <w:szCs w:val="24"/>
              </w:rPr>
            </w:pPr>
            <w:r>
              <w:rPr>
                <w:rFonts w:ascii="Times New Roman"/>
                <w:sz w:val="24"/>
              </w:rPr>
              <w:t>282,611,233</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7"/>
              <w:jc w:val="right"/>
              <w:rPr>
                <w:rFonts w:ascii="Times New Roman" w:hAnsi="Times New Roman" w:cs="Times New Roman" w:eastAsia="Times New Roman" w:hint="default"/>
                <w:sz w:val="24"/>
                <w:szCs w:val="24"/>
              </w:rPr>
            </w:pPr>
            <w:r>
              <w:rPr>
                <w:rFonts w:ascii="Times New Roman"/>
                <w:sz w:val="24"/>
              </w:rPr>
              <w:t>587,757,028</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10"/>
              <w:jc w:val="right"/>
              <w:rPr>
                <w:rFonts w:ascii="Times New Roman" w:hAnsi="Times New Roman" w:cs="Times New Roman" w:eastAsia="Times New Roman" w:hint="default"/>
                <w:sz w:val="24"/>
                <w:szCs w:val="24"/>
              </w:rPr>
            </w:pPr>
            <w:r>
              <w:rPr>
                <w:rFonts w:ascii="Times New Roman"/>
                <w:sz w:val="24"/>
              </w:rPr>
              <w:t>1,475,377,372</w:t>
            </w:r>
          </w:p>
        </w:tc>
      </w:tr>
      <w:tr>
        <w:trPr>
          <w:trHeight w:val="322" w:hRule="exact"/>
        </w:trPr>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其他资本公积</w:t>
            </w:r>
          </w:p>
        </w:tc>
        <w:tc>
          <w:tcPr>
            <w:tcW w:w="1748" w:type="dxa"/>
            <w:tcBorders>
              <w:top w:val="single" w:sz="4" w:space="0" w:color="000000"/>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
        </w:tc>
        <w:tc>
          <w:tcPr>
            <w:tcW w:w="1697" w:type="dxa"/>
            <w:tcBorders>
              <w:top w:val="single" w:sz="4" w:space="0" w:color="000000"/>
              <w:left w:val="single" w:sz="4" w:space="0" w:color="000000"/>
              <w:bottom w:val="single" w:sz="4" w:space="0" w:color="000000"/>
              <w:right w:val="single" w:sz="4" w:space="0" w:color="000000"/>
            </w:tcBorders>
          </w:tcPr>
          <w:p>
            <w:pPr/>
          </w:p>
        </w:tc>
        <w:tc>
          <w:tcPr>
            <w:tcW w:w="1839" w:type="dxa"/>
            <w:tcBorders>
              <w:top w:val="single" w:sz="4" w:space="0" w:color="000000"/>
              <w:left w:val="single" w:sz="4" w:space="0" w:color="000000"/>
              <w:bottom w:val="single" w:sz="4" w:space="0" w:color="000000"/>
              <w:right w:val="single" w:sz="4" w:space="0" w:color="000000"/>
            </w:tcBorders>
          </w:tcPr>
          <w:p>
            <w:pPr/>
          </w:p>
        </w:tc>
      </w:tr>
      <w:tr>
        <w:trPr>
          <w:trHeight w:val="598" w:hRule="exact"/>
        </w:trPr>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宋体" w:hAnsi="宋体" w:cs="宋体" w:eastAsia="宋体" w:hint="default"/>
                <w:sz w:val="24"/>
                <w:szCs w:val="24"/>
              </w:rPr>
              <w:t>股权激励成本</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p>
          <w:p>
            <w:pPr>
              <w:pStyle w:val="TableParagraph"/>
              <w:spacing w:line="240" w:lineRule="auto" w:before="12"/>
              <w:ind w:left="108" w:right="0"/>
              <w:jc w:val="left"/>
              <w:rPr>
                <w:rFonts w:ascii="Times New Roman" w:hAnsi="Times New Roman" w:cs="Times New Roman" w:eastAsia="Times New Roman" w:hint="default"/>
                <w:sz w:val="24"/>
                <w:szCs w:val="24"/>
              </w:rPr>
            </w:pPr>
            <w:r>
              <w:rPr>
                <w:rFonts w:ascii="Times New Roman"/>
                <w:sz w:val="24"/>
              </w:rPr>
              <w:t>2)</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10"/>
              <w:jc w:val="right"/>
              <w:rPr>
                <w:rFonts w:ascii="Times New Roman" w:hAnsi="Times New Roman" w:cs="Times New Roman" w:eastAsia="Times New Roman" w:hint="default"/>
                <w:sz w:val="24"/>
                <w:szCs w:val="24"/>
              </w:rPr>
            </w:pPr>
            <w:r>
              <w:rPr>
                <w:rFonts w:ascii="Times New Roman"/>
                <w:sz w:val="24"/>
              </w:rPr>
              <w:t>544,261,377</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27" w:right="0"/>
              <w:jc w:val="left"/>
              <w:rPr>
                <w:rFonts w:ascii="Times New Roman" w:hAnsi="Times New Roman" w:cs="Times New Roman" w:eastAsia="Times New Roman" w:hint="default"/>
                <w:sz w:val="24"/>
                <w:szCs w:val="24"/>
              </w:rPr>
            </w:pPr>
            <w:r>
              <w:rPr>
                <w:rFonts w:ascii="Times New Roman"/>
                <w:sz w:val="24"/>
              </w:rPr>
              <w:t>134,632,444</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7"/>
              <w:jc w:val="right"/>
              <w:rPr>
                <w:rFonts w:ascii="Times New Roman" w:hAnsi="Times New Roman" w:cs="Times New Roman" w:eastAsia="Times New Roman" w:hint="default"/>
                <w:sz w:val="24"/>
                <w:szCs w:val="24"/>
              </w:rPr>
            </w:pPr>
            <w:r>
              <w:rPr>
                <w:rFonts w:ascii="Times New Roman"/>
                <w:sz w:val="24"/>
              </w:rPr>
              <w:t>133,417,209</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10"/>
              <w:jc w:val="right"/>
              <w:rPr>
                <w:rFonts w:ascii="Times New Roman" w:hAnsi="Times New Roman" w:cs="Times New Roman" w:eastAsia="Times New Roman" w:hint="default"/>
                <w:sz w:val="24"/>
                <w:szCs w:val="24"/>
              </w:rPr>
            </w:pPr>
            <w:r>
              <w:rPr>
                <w:rFonts w:ascii="Times New Roman"/>
                <w:sz w:val="24"/>
              </w:rPr>
              <w:t>545,476,612</w:t>
            </w:r>
          </w:p>
        </w:tc>
      </w:tr>
      <w:tr>
        <w:trPr>
          <w:trHeight w:val="634" w:hRule="exact"/>
        </w:trPr>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8" w:right="0"/>
              <w:jc w:val="left"/>
              <w:rPr>
                <w:rFonts w:ascii="宋体" w:hAnsi="宋体" w:cs="宋体" w:eastAsia="宋体" w:hint="default"/>
                <w:sz w:val="24"/>
                <w:szCs w:val="24"/>
              </w:rPr>
            </w:pPr>
            <w:r>
              <w:rPr>
                <w:rFonts w:ascii="宋体" w:hAnsi="宋体" w:cs="宋体" w:eastAsia="宋体" w:hint="default"/>
                <w:sz w:val="24"/>
                <w:szCs w:val="24"/>
              </w:rPr>
              <w:t>新股申购冻结资</w:t>
            </w:r>
          </w:p>
          <w:p>
            <w:pPr>
              <w:pStyle w:val="TableParagraph"/>
              <w:spacing w:line="313" w:lineRule="exact"/>
              <w:ind w:left="108" w:right="0"/>
              <w:jc w:val="left"/>
              <w:rPr>
                <w:rFonts w:ascii="宋体" w:hAnsi="宋体" w:cs="宋体" w:eastAsia="宋体" w:hint="default"/>
                <w:sz w:val="24"/>
                <w:szCs w:val="24"/>
              </w:rPr>
            </w:pPr>
            <w:r>
              <w:rPr>
                <w:rFonts w:ascii="宋体" w:hAnsi="宋体" w:cs="宋体" w:eastAsia="宋体" w:hint="default"/>
                <w:sz w:val="24"/>
                <w:szCs w:val="24"/>
              </w:rPr>
              <w:t>金利息</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10"/>
              <w:jc w:val="right"/>
              <w:rPr>
                <w:rFonts w:ascii="Times New Roman" w:hAnsi="Times New Roman" w:cs="Times New Roman" w:eastAsia="Times New Roman" w:hint="default"/>
                <w:sz w:val="24"/>
                <w:szCs w:val="24"/>
              </w:rPr>
            </w:pPr>
            <w:r>
              <w:rPr>
                <w:rFonts w:ascii="Times New Roman"/>
                <w:sz w:val="24"/>
              </w:rPr>
              <w:t>20,148,153</w:t>
            </w:r>
          </w:p>
        </w:tc>
        <w:tc>
          <w:tcPr>
            <w:tcW w:w="1745" w:type="dxa"/>
            <w:tcBorders>
              <w:top w:val="single" w:sz="4" w:space="0" w:color="000000"/>
              <w:left w:val="single" w:sz="4" w:space="0" w:color="000000"/>
              <w:bottom w:val="single" w:sz="4" w:space="0" w:color="000000"/>
              <w:right w:val="single" w:sz="4" w:space="0" w:color="000000"/>
            </w:tcBorders>
          </w:tcPr>
          <w:p>
            <w:pPr/>
          </w:p>
        </w:tc>
        <w:tc>
          <w:tcPr>
            <w:tcW w:w="1697" w:type="dxa"/>
            <w:tcBorders>
              <w:top w:val="single" w:sz="4" w:space="0" w:color="000000"/>
              <w:left w:val="single" w:sz="4" w:space="0" w:color="000000"/>
              <w:bottom w:val="single" w:sz="4" w:space="0" w:color="000000"/>
              <w:right w:val="single" w:sz="4" w:space="0" w:color="000000"/>
            </w:tcBorders>
          </w:tcPr>
          <w:p>
            <w:pP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10"/>
              <w:jc w:val="right"/>
              <w:rPr>
                <w:rFonts w:ascii="Times New Roman" w:hAnsi="Times New Roman" w:cs="Times New Roman" w:eastAsia="Times New Roman" w:hint="default"/>
                <w:sz w:val="24"/>
                <w:szCs w:val="24"/>
              </w:rPr>
            </w:pPr>
            <w:r>
              <w:rPr>
                <w:rFonts w:ascii="Times New Roman"/>
                <w:sz w:val="24"/>
              </w:rPr>
              <w:t>20,148,153</w:t>
            </w:r>
          </w:p>
        </w:tc>
      </w:tr>
      <w:tr>
        <w:trPr>
          <w:trHeight w:val="322" w:hRule="exact"/>
        </w:trPr>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关联交易差价</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0"/>
              <w:jc w:val="right"/>
              <w:rPr>
                <w:rFonts w:ascii="Times New Roman" w:hAnsi="Times New Roman" w:cs="Times New Roman" w:eastAsia="Times New Roman" w:hint="default"/>
                <w:sz w:val="24"/>
                <w:szCs w:val="24"/>
              </w:rPr>
            </w:pPr>
            <w:r>
              <w:rPr>
                <w:rFonts w:ascii="Times New Roman"/>
                <w:sz w:val="24"/>
              </w:rPr>
              <w:t>17,969,348</w:t>
            </w:r>
          </w:p>
        </w:tc>
        <w:tc>
          <w:tcPr>
            <w:tcW w:w="1745" w:type="dxa"/>
            <w:tcBorders>
              <w:top w:val="single" w:sz="4" w:space="0" w:color="000000"/>
              <w:left w:val="single" w:sz="4" w:space="0" w:color="000000"/>
              <w:bottom w:val="single" w:sz="4" w:space="0" w:color="000000"/>
              <w:right w:val="single" w:sz="4" w:space="0" w:color="000000"/>
            </w:tcBorders>
          </w:tcPr>
          <w:p>
            <w:pPr/>
          </w:p>
        </w:tc>
        <w:tc>
          <w:tcPr>
            <w:tcW w:w="1697" w:type="dxa"/>
            <w:tcBorders>
              <w:top w:val="single" w:sz="4" w:space="0" w:color="000000"/>
              <w:left w:val="single" w:sz="4" w:space="0" w:color="000000"/>
              <w:bottom w:val="single" w:sz="4" w:space="0" w:color="000000"/>
              <w:right w:val="single" w:sz="4" w:space="0" w:color="000000"/>
            </w:tcBorders>
          </w:tcPr>
          <w:p>
            <w:pP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0"/>
              <w:jc w:val="right"/>
              <w:rPr>
                <w:rFonts w:ascii="Times New Roman" w:hAnsi="Times New Roman" w:cs="Times New Roman" w:eastAsia="Times New Roman" w:hint="default"/>
                <w:sz w:val="24"/>
                <w:szCs w:val="24"/>
              </w:rPr>
            </w:pPr>
            <w:r>
              <w:rPr>
                <w:rFonts w:ascii="Times New Roman"/>
                <w:sz w:val="24"/>
              </w:rPr>
              <w:t>17,969,348</w:t>
            </w:r>
          </w:p>
        </w:tc>
      </w:tr>
      <w:tr>
        <w:trPr>
          <w:trHeight w:val="631" w:hRule="exact"/>
        </w:trPr>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
              <w:jc w:val="center"/>
              <w:rPr>
                <w:rFonts w:ascii="宋体" w:hAnsi="宋体" w:cs="宋体" w:eastAsia="宋体" w:hint="default"/>
                <w:sz w:val="24"/>
                <w:szCs w:val="24"/>
              </w:rPr>
            </w:pPr>
            <w:r>
              <w:rPr>
                <w:rFonts w:ascii="宋体" w:hAnsi="宋体" w:cs="宋体" w:eastAsia="宋体" w:hint="default"/>
                <w:sz w:val="24"/>
                <w:szCs w:val="24"/>
              </w:rPr>
              <w:t>少数股东股权变</w:t>
            </w:r>
          </w:p>
          <w:p>
            <w:pPr>
              <w:pStyle w:val="TableParagraph"/>
              <w:spacing w:line="330" w:lineRule="exact"/>
              <w:ind w:right="1"/>
              <w:jc w:val="center"/>
              <w:rPr>
                <w:rFonts w:ascii="Times New Roman" w:hAnsi="Times New Roman" w:cs="Times New Roman" w:eastAsia="Times New Roman" w:hint="default"/>
                <w:sz w:val="24"/>
                <w:szCs w:val="24"/>
              </w:rPr>
            </w:pPr>
            <w:r>
              <w:rPr>
                <w:rFonts w:ascii="宋体" w:hAnsi="宋体" w:cs="宋体" w:eastAsia="宋体" w:hint="default"/>
                <w:sz w:val="24"/>
                <w:szCs w:val="24"/>
              </w:rPr>
              <w:t>动</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3)</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10"/>
              <w:jc w:val="right"/>
              <w:rPr>
                <w:rFonts w:ascii="Times New Roman" w:hAnsi="Times New Roman" w:cs="Times New Roman" w:eastAsia="Times New Roman" w:hint="default"/>
                <w:sz w:val="24"/>
                <w:szCs w:val="24"/>
              </w:rPr>
            </w:pPr>
            <w:r>
              <w:rPr>
                <w:rFonts w:ascii="Times New Roman"/>
                <w:spacing w:val="-1"/>
                <w:sz w:val="24"/>
              </w:rPr>
              <w:t>-156,978,355</w:t>
            </w:r>
          </w:p>
        </w:tc>
        <w:tc>
          <w:tcPr>
            <w:tcW w:w="1745" w:type="dxa"/>
            <w:tcBorders>
              <w:top w:val="single" w:sz="4" w:space="0" w:color="000000"/>
              <w:left w:val="single" w:sz="4" w:space="0" w:color="000000"/>
              <w:bottom w:val="single" w:sz="4" w:space="0" w:color="000000"/>
              <w:right w:val="single" w:sz="4" w:space="0" w:color="000000"/>
            </w:tcBorders>
          </w:tcPr>
          <w:p>
            <w:pP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7"/>
              <w:jc w:val="right"/>
              <w:rPr>
                <w:rFonts w:ascii="Times New Roman" w:hAnsi="Times New Roman" w:cs="Times New Roman" w:eastAsia="Times New Roman" w:hint="default"/>
                <w:sz w:val="24"/>
                <w:szCs w:val="24"/>
              </w:rPr>
            </w:pPr>
            <w:r>
              <w:rPr>
                <w:rFonts w:ascii="Times New Roman"/>
                <w:sz w:val="24"/>
              </w:rPr>
              <w:t>54,716,435</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10"/>
              <w:jc w:val="right"/>
              <w:rPr>
                <w:rFonts w:ascii="Times New Roman" w:hAnsi="Times New Roman" w:cs="Times New Roman" w:eastAsia="Times New Roman" w:hint="default"/>
                <w:sz w:val="24"/>
                <w:szCs w:val="24"/>
              </w:rPr>
            </w:pPr>
            <w:r>
              <w:rPr>
                <w:rFonts w:ascii="Times New Roman"/>
                <w:spacing w:val="-1"/>
                <w:sz w:val="24"/>
              </w:rPr>
              <w:t>-211,694,790</w:t>
            </w:r>
          </w:p>
        </w:tc>
      </w:tr>
      <w:tr>
        <w:trPr>
          <w:trHeight w:val="322" w:hRule="exact"/>
        </w:trPr>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其他</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0"/>
              <w:jc w:val="right"/>
              <w:rPr>
                <w:rFonts w:ascii="Times New Roman" w:hAnsi="Times New Roman" w:cs="Times New Roman" w:eastAsia="Times New Roman" w:hint="default"/>
                <w:sz w:val="24"/>
                <w:szCs w:val="24"/>
              </w:rPr>
            </w:pPr>
            <w:r>
              <w:rPr>
                <w:rFonts w:ascii="Times New Roman"/>
                <w:spacing w:val="-1"/>
                <w:sz w:val="24"/>
              </w:rPr>
              <w:t>-85,164,900</w:t>
            </w:r>
          </w:p>
        </w:tc>
        <w:tc>
          <w:tcPr>
            <w:tcW w:w="1745" w:type="dxa"/>
            <w:tcBorders>
              <w:top w:val="single" w:sz="4" w:space="0" w:color="000000"/>
              <w:left w:val="single" w:sz="4" w:space="0" w:color="000000"/>
              <w:bottom w:val="single" w:sz="4" w:space="0" w:color="000000"/>
              <w:right w:val="single" w:sz="4" w:space="0" w:color="000000"/>
            </w:tcBorders>
          </w:tcPr>
          <w:p>
            <w:pPr/>
          </w:p>
        </w:tc>
        <w:tc>
          <w:tcPr>
            <w:tcW w:w="1697" w:type="dxa"/>
            <w:tcBorders>
              <w:top w:val="single" w:sz="4" w:space="0" w:color="000000"/>
              <w:left w:val="single" w:sz="4" w:space="0" w:color="000000"/>
              <w:bottom w:val="single" w:sz="4" w:space="0" w:color="000000"/>
              <w:right w:val="single" w:sz="4" w:space="0" w:color="000000"/>
            </w:tcBorders>
          </w:tcPr>
          <w:p>
            <w:pP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0"/>
              <w:jc w:val="right"/>
              <w:rPr>
                <w:rFonts w:ascii="Times New Roman" w:hAnsi="Times New Roman" w:cs="Times New Roman" w:eastAsia="Times New Roman" w:hint="default"/>
                <w:sz w:val="24"/>
                <w:szCs w:val="24"/>
              </w:rPr>
            </w:pPr>
            <w:r>
              <w:rPr>
                <w:rFonts w:ascii="Times New Roman"/>
                <w:spacing w:val="-1"/>
                <w:sz w:val="24"/>
              </w:rPr>
              <w:t>-85,164,900</w:t>
            </w:r>
          </w:p>
        </w:tc>
      </w:tr>
      <w:tr>
        <w:trPr>
          <w:trHeight w:val="322" w:hRule="exact"/>
        </w:trPr>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合计</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0"/>
              <w:jc w:val="right"/>
              <w:rPr>
                <w:rFonts w:ascii="Times New Roman" w:hAnsi="Times New Roman" w:cs="Times New Roman" w:eastAsia="Times New Roman" w:hint="default"/>
                <w:sz w:val="24"/>
                <w:szCs w:val="24"/>
              </w:rPr>
            </w:pPr>
            <w:r>
              <w:rPr>
                <w:rFonts w:ascii="Times New Roman"/>
                <w:sz w:val="24"/>
              </w:rPr>
              <w:t>2,120,758,790</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27" w:right="0"/>
              <w:jc w:val="left"/>
              <w:rPr>
                <w:rFonts w:ascii="Times New Roman" w:hAnsi="Times New Roman" w:cs="Times New Roman" w:eastAsia="Times New Roman" w:hint="default"/>
                <w:sz w:val="24"/>
                <w:szCs w:val="24"/>
              </w:rPr>
            </w:pPr>
            <w:r>
              <w:rPr>
                <w:rFonts w:ascii="Times New Roman"/>
                <w:sz w:val="24"/>
              </w:rPr>
              <w:t>417,243,677</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7"/>
              <w:jc w:val="right"/>
              <w:rPr>
                <w:rFonts w:ascii="Times New Roman" w:hAnsi="Times New Roman" w:cs="Times New Roman" w:eastAsia="Times New Roman" w:hint="default"/>
                <w:sz w:val="24"/>
                <w:szCs w:val="24"/>
              </w:rPr>
            </w:pPr>
            <w:r>
              <w:rPr>
                <w:rFonts w:ascii="Times New Roman"/>
                <w:sz w:val="24"/>
              </w:rPr>
              <w:t>775,890,672</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0"/>
              <w:jc w:val="right"/>
              <w:rPr>
                <w:rFonts w:ascii="Times New Roman" w:hAnsi="Times New Roman" w:cs="Times New Roman" w:eastAsia="Times New Roman" w:hint="default"/>
                <w:sz w:val="24"/>
                <w:szCs w:val="24"/>
              </w:rPr>
            </w:pPr>
            <w:r>
              <w:rPr>
                <w:rFonts w:ascii="Times New Roman"/>
                <w:sz w:val="24"/>
              </w:rPr>
              <w:t>1,762,111,795</w:t>
            </w:r>
          </w:p>
        </w:tc>
      </w:tr>
    </w:tbl>
    <w:p>
      <w:pPr>
        <w:pStyle w:val="BodyText"/>
        <w:spacing w:line="273" w:lineRule="exact"/>
        <w:ind w:left="236" w:right="0"/>
        <w:jc w:val="both"/>
      </w:pPr>
      <w:r>
        <w:rPr/>
        <w:t>其他说明，包括本期增减变动情况、变动原因说明：</w:t>
      </w:r>
    </w:p>
    <w:p>
      <w:pPr>
        <w:pStyle w:val="BodyText"/>
        <w:spacing w:line="310" w:lineRule="exact" w:before="31"/>
        <w:ind w:left="236" w:right="218"/>
        <w:jc w:val="left"/>
      </w:pPr>
      <w:r>
        <w:rPr/>
        <w:t>注</w:t>
      </w:r>
      <w:r>
        <w:rPr>
          <w:spacing w:val="-60"/>
        </w:rPr>
        <w:t> </w:t>
      </w:r>
      <w:r>
        <w:rPr>
          <w:rFonts w:ascii="Times New Roman" w:hAnsi="Times New Roman" w:cs="Times New Roman" w:eastAsia="Times New Roman" w:hint="default"/>
        </w:rPr>
        <w:t>1</w:t>
      </w:r>
      <w:r>
        <w:rPr/>
        <w:t>．</w:t>
      </w:r>
      <w:r>
        <w:rPr>
          <w:spacing w:val="59"/>
        </w:rPr>
        <w:t> </w:t>
      </w:r>
      <w:r>
        <w:rPr/>
        <w:t>本年股本溢价增加由于本公司</w:t>
      </w:r>
      <w:r>
        <w:rPr>
          <w:spacing w:val="-60"/>
        </w:rPr>
        <w:t> </w:t>
      </w:r>
      <w:r>
        <w:rPr>
          <w:rFonts w:ascii="Times New Roman" w:hAnsi="Times New Roman" w:cs="Times New Roman" w:eastAsia="Times New Roman" w:hint="default"/>
        </w:rPr>
        <w:t>2017 </w:t>
      </w:r>
      <w:r>
        <w:rPr/>
        <w:t>年股份支付计划第二期股票期权、</w:t>
      </w:r>
      <w:r>
        <w:rPr>
          <w:rFonts w:ascii="Times New Roman" w:hAnsi="Times New Roman" w:cs="Times New Roman" w:eastAsia="Times New Roman" w:hint="default"/>
        </w:rPr>
        <w:t>2018 </w:t>
      </w:r>
      <w:r>
        <w:rPr/>
        <w:t>年股份支付计划第一期股票期权符合行权条件，本公司新发行</w:t>
      </w:r>
      <w:r>
        <w:rPr>
          <w:spacing w:val="-84"/>
        </w:rPr>
        <w:t> </w:t>
      </w:r>
      <w:r>
        <w:rPr>
          <w:rFonts w:ascii="Times New Roman" w:hAnsi="Times New Roman" w:cs="Times New Roman" w:eastAsia="Times New Roman" w:hint="default"/>
        </w:rPr>
        <w:t>17,763,659</w:t>
      </w:r>
      <w:r>
        <w:rPr>
          <w:rFonts w:ascii="Times New Roman" w:hAnsi="Times New Roman" w:cs="Times New Roman" w:eastAsia="Times New Roman" w:hint="default"/>
          <w:spacing w:val="-24"/>
        </w:rPr>
        <w:t> </w:t>
      </w:r>
      <w:r>
        <w:rPr/>
        <w:t>股股票用于</w:t>
      </w:r>
    </w:p>
    <w:p>
      <w:pPr>
        <w:pStyle w:val="BodyText"/>
        <w:spacing w:line="292" w:lineRule="exact"/>
        <w:ind w:left="236" w:right="0"/>
        <w:jc w:val="both"/>
      </w:pPr>
      <w:r>
        <w:rPr>
          <w:spacing w:val="-4"/>
        </w:rPr>
        <w:t>股票期权行权，股本溢价增加人民币</w:t>
      </w:r>
      <w:r>
        <w:rPr>
          <w:spacing w:val="-57"/>
        </w:rPr>
        <w:t> </w:t>
      </w:r>
      <w:r>
        <w:rPr>
          <w:rFonts w:ascii="Times New Roman" w:hAnsi="Times New Roman" w:cs="Times New Roman" w:eastAsia="Times New Roman" w:hint="default"/>
        </w:rPr>
        <w:t>149,194,024</w:t>
      </w:r>
      <w:r>
        <w:rPr>
          <w:rFonts w:ascii="Times New Roman" w:hAnsi="Times New Roman" w:cs="Times New Roman" w:eastAsia="Times New Roman" w:hint="default"/>
          <w:spacing w:val="2"/>
        </w:rPr>
        <w:t> </w:t>
      </w:r>
      <w:r>
        <w:rPr>
          <w:spacing w:val="-9"/>
        </w:rPr>
        <w:t>元；</w:t>
      </w:r>
      <w:r>
        <w:rPr>
          <w:rFonts w:ascii="Times New Roman" w:hAnsi="Times New Roman" w:cs="Times New Roman" w:eastAsia="Times New Roman" w:hint="default"/>
          <w:spacing w:val="-9"/>
        </w:rPr>
        <w:t>2017</w:t>
      </w:r>
      <w:r>
        <w:rPr>
          <w:rFonts w:ascii="Times New Roman" w:hAnsi="Times New Roman" w:cs="Times New Roman" w:eastAsia="Times New Roman" w:hint="default"/>
          <w:spacing w:val="2"/>
        </w:rPr>
        <w:t> </w:t>
      </w:r>
      <w:r>
        <w:rPr/>
        <w:t>年以及</w:t>
      </w:r>
      <w:r>
        <w:rPr>
          <w:spacing w:val="-5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年股份支付计</w:t>
      </w:r>
    </w:p>
    <w:p>
      <w:pPr>
        <w:pStyle w:val="BodyText"/>
        <w:spacing w:line="311" w:lineRule="exact"/>
        <w:ind w:left="236" w:right="0"/>
        <w:jc w:val="both"/>
      </w:pPr>
      <w:r>
        <w:rPr/>
        <w:t>划授予的限制性股票、期权解锁、行权导致股本溢价增加人民币</w:t>
      </w:r>
      <w:r>
        <w:rPr>
          <w:spacing w:val="-59"/>
        </w:rPr>
        <w:t> </w:t>
      </w:r>
      <w:r>
        <w:rPr>
          <w:rFonts w:ascii="Times New Roman" w:hAnsi="Times New Roman" w:cs="Times New Roman" w:eastAsia="Times New Roman" w:hint="default"/>
        </w:rPr>
        <w:t>133,417,209 </w:t>
      </w:r>
      <w:r>
        <w:rPr/>
        <w:t>元。本</w:t>
      </w:r>
    </w:p>
    <w:p>
      <w:pPr>
        <w:pStyle w:val="BodyText"/>
        <w:spacing w:line="311" w:lineRule="exact"/>
        <w:ind w:left="236" w:right="0"/>
        <w:jc w:val="both"/>
      </w:pPr>
      <w:r>
        <w:rPr/>
        <w:t>年股本溢价减少主要由于资本公积转增股本人民币</w:t>
      </w:r>
      <w:r>
        <w:rPr>
          <w:spacing w:val="-59"/>
        </w:rPr>
        <w:t> </w:t>
      </w:r>
      <w:r>
        <w:rPr>
          <w:rFonts w:ascii="Times New Roman" w:hAnsi="Times New Roman" w:cs="Times New Roman" w:eastAsia="Times New Roman" w:hint="default"/>
        </w:rPr>
        <w:t>569,295,642 </w:t>
      </w:r>
      <w:r>
        <w:rPr/>
        <w:t>元，本公司使用库存</w:t>
      </w:r>
    </w:p>
    <w:p>
      <w:pPr>
        <w:pStyle w:val="BodyText"/>
        <w:spacing w:line="312" w:lineRule="exact"/>
        <w:ind w:left="236" w:right="0"/>
        <w:jc w:val="both"/>
      </w:pPr>
      <w:r>
        <w:rPr/>
        <w:t>股授予员工限制性股票股本溢价减少人民币</w:t>
      </w:r>
      <w:r>
        <w:rPr>
          <w:spacing w:val="-59"/>
        </w:rPr>
        <w:t> </w:t>
      </w:r>
      <w:r>
        <w:rPr>
          <w:rFonts w:ascii="Times New Roman" w:hAnsi="Times New Roman" w:cs="Times New Roman" w:eastAsia="Times New Roman" w:hint="default"/>
        </w:rPr>
        <w:t>12,947,731 </w:t>
      </w:r>
      <w:r>
        <w:rPr/>
        <w:t>元，以及</w:t>
      </w:r>
      <w:r>
        <w:rPr>
          <w:spacing w:val="-60"/>
        </w:rPr>
        <w:t> </w:t>
      </w:r>
      <w:r>
        <w:rPr>
          <w:rFonts w:ascii="Times New Roman" w:hAnsi="Times New Roman" w:cs="Times New Roman" w:eastAsia="Times New Roman" w:hint="default"/>
        </w:rPr>
        <w:t>2019 </w:t>
      </w:r>
      <w:r>
        <w:rPr/>
        <w:t>年注销库存股</w:t>
      </w:r>
    </w:p>
    <w:p>
      <w:pPr>
        <w:pStyle w:val="BodyText"/>
        <w:spacing w:line="322" w:lineRule="exact"/>
        <w:ind w:left="236" w:right="0"/>
        <w:jc w:val="both"/>
      </w:pPr>
      <w:r>
        <w:rPr/>
        <w:t>导致股本溢价减少人民币</w:t>
      </w:r>
      <w:r>
        <w:rPr>
          <w:spacing w:val="-59"/>
        </w:rPr>
        <w:t> </w:t>
      </w:r>
      <w:r>
        <w:rPr>
          <w:rFonts w:ascii="Times New Roman" w:hAnsi="Times New Roman" w:cs="Times New Roman" w:eastAsia="Times New Roman" w:hint="default"/>
        </w:rPr>
        <w:t>5,513,655 </w:t>
      </w:r>
      <w:r>
        <w:rPr/>
        <w:t>元。</w:t>
      </w:r>
    </w:p>
    <w:p>
      <w:pPr>
        <w:spacing w:line="240" w:lineRule="auto" w:before="10"/>
        <w:rPr>
          <w:rFonts w:ascii="宋体" w:hAnsi="宋体" w:cs="宋体" w:eastAsia="宋体" w:hint="default"/>
          <w:sz w:val="19"/>
          <w:szCs w:val="19"/>
        </w:rPr>
      </w:pPr>
    </w:p>
    <w:p>
      <w:pPr>
        <w:pStyle w:val="BodyText"/>
        <w:spacing w:line="235" w:lineRule="auto"/>
        <w:ind w:left="236" w:right="234"/>
        <w:jc w:val="both"/>
      </w:pPr>
      <w:r>
        <w:rPr/>
        <w:t>注 </w:t>
      </w:r>
      <w:r>
        <w:rPr>
          <w:rFonts w:ascii="Times New Roman" w:hAnsi="Times New Roman" w:cs="Times New Roman" w:eastAsia="Times New Roman" w:hint="default"/>
        </w:rPr>
        <w:t>2</w:t>
      </w:r>
      <w:r>
        <w:rPr/>
        <w:t>．</w:t>
      </w:r>
      <w:r>
        <w:rPr>
          <w:spacing w:val="-1"/>
        </w:rPr>
        <w:t> </w:t>
      </w:r>
      <w:r>
        <w:rPr/>
        <w:t>本年股权激励成本增加主要由本公司及畅捷通的股份支付计划形成，参见附</w:t>
      </w:r>
      <w:r>
        <w:rPr/>
        <w:t> </w:t>
      </w:r>
      <w:r>
        <w:rPr>
          <w:spacing w:val="-2"/>
        </w:rPr>
        <w:t>注十一。除此之外本年用友政务、用友汽车、用友金融、用友广信、北京薪福社对各</w:t>
      </w:r>
      <w:r>
        <w:rPr>
          <w:spacing w:val="-96"/>
        </w:rPr>
        <w:t> </w:t>
      </w:r>
      <w:r>
        <w:rPr>
          <w:spacing w:val="-96"/>
        </w:rPr>
      </w:r>
      <w:r>
        <w:rPr>
          <w:spacing w:val="-2"/>
        </w:rPr>
        <w:t>自进行的股权激励确认了相应的股权激励成本。本年股权激励成本减少主要由于第一</w:t>
      </w:r>
      <w:r>
        <w:rPr>
          <w:spacing w:val="-94"/>
        </w:rPr>
        <w:t> </w:t>
      </w:r>
      <w:r>
        <w:rPr>
          <w:spacing w:val="-94"/>
        </w:rPr>
      </w:r>
      <w:r>
        <w:rPr>
          <w:spacing w:val="-2"/>
        </w:rPr>
        <w:t>期限制性股票解锁、第一期股票期权达成行权条件时，股权激励成本转入股本溢价人</w:t>
      </w:r>
      <w:r>
        <w:rPr>
          <w:spacing w:val="-93"/>
        </w:rPr>
        <w:t> </w:t>
      </w:r>
      <w:r>
        <w:rPr>
          <w:spacing w:val="-93"/>
        </w:rPr>
      </w:r>
      <w:r>
        <w:rPr/>
        <w:t>民币</w:t>
      </w:r>
      <w:r>
        <w:rPr>
          <w:spacing w:val="-60"/>
        </w:rPr>
        <w:t> </w:t>
      </w:r>
      <w:r>
        <w:rPr>
          <w:rFonts w:ascii="Times New Roman" w:hAnsi="Times New Roman" w:cs="Times New Roman" w:eastAsia="Times New Roman" w:hint="default"/>
        </w:rPr>
        <w:t>133,417,209</w:t>
      </w:r>
      <w:r>
        <w:rPr>
          <w:rFonts w:ascii="Times New Roman" w:hAnsi="Times New Roman" w:cs="Times New Roman" w:eastAsia="Times New Roman" w:hint="default"/>
          <w:spacing w:val="-1"/>
        </w:rPr>
        <w:t> </w:t>
      </w:r>
      <w:r>
        <w:rPr/>
        <w:t>元。</w:t>
      </w:r>
    </w:p>
    <w:p>
      <w:pPr>
        <w:spacing w:line="240" w:lineRule="auto" w:before="13"/>
        <w:rPr>
          <w:rFonts w:ascii="宋体" w:hAnsi="宋体" w:cs="宋体" w:eastAsia="宋体" w:hint="default"/>
          <w:sz w:val="21"/>
          <w:szCs w:val="21"/>
        </w:rPr>
      </w:pPr>
    </w:p>
    <w:p>
      <w:pPr>
        <w:pStyle w:val="BodyText"/>
        <w:spacing w:line="312" w:lineRule="exact"/>
        <w:ind w:left="236" w:right="0"/>
        <w:jc w:val="left"/>
      </w:pPr>
      <w:r>
        <w:rPr/>
        <w:t>注</w:t>
      </w:r>
      <w:r>
        <w:rPr>
          <w:spacing w:val="-34"/>
        </w:rPr>
        <w:t> </w:t>
      </w:r>
      <w:r>
        <w:rPr>
          <w:rFonts w:ascii="Times New Roman" w:hAnsi="Times New Roman" w:cs="Times New Roman" w:eastAsia="Times New Roman" w:hint="default"/>
        </w:rPr>
        <w:t>3</w:t>
      </w:r>
      <w:r>
        <w:rPr/>
        <w:t>．</w:t>
      </w:r>
      <w:r>
        <w:rPr>
          <w:spacing w:val="-34"/>
        </w:rPr>
        <w:t> </w:t>
      </w:r>
      <w:r>
        <w:rPr/>
        <w:t>本年少数股权变动引起的资本公积变动主要是由于本公司之子公司新道科技、</w:t>
      </w:r>
      <w:r>
        <w:rPr>
          <w:spacing w:val="-112"/>
        </w:rPr>
        <w:t> </w:t>
      </w:r>
      <w:r>
        <w:rPr>
          <w:spacing w:val="-112"/>
        </w:rPr>
      </w:r>
      <w:r>
        <w:rPr/>
        <w:t>用友汽车、用友能源少数股东增减资所致。</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120" w:bottom="1380" w:left="1040" w:right="1560"/>
        </w:sectPr>
      </w:pPr>
    </w:p>
    <w:p>
      <w:pPr>
        <w:pStyle w:val="Heading2"/>
        <w:spacing w:line="240" w:lineRule="auto" w:before="26"/>
        <w:ind w:left="236" w:right="-19"/>
        <w:jc w:val="left"/>
        <w:rPr>
          <w:rFonts w:ascii="宋体" w:hAnsi="宋体" w:cs="宋体" w:eastAsia="宋体" w:hint="default"/>
          <w:b w:val="0"/>
          <w:bCs w:val="0"/>
        </w:rPr>
      </w:pPr>
      <w:r>
        <w:rPr>
          <w:rFonts w:ascii="宋体" w:hAnsi="宋体" w:cs="宋体" w:eastAsia="宋体" w:hint="default"/>
        </w:rPr>
        <w:t>54</w:t>
      </w:r>
      <w:r>
        <w:rPr/>
        <w:t>、</w:t>
      </w:r>
      <w:r>
        <w:rPr>
          <w:spacing w:val="-102"/>
        </w:rPr>
        <w:t> </w:t>
      </w:r>
      <w:r>
        <w:rPr/>
        <w:t>库存股</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spacing w:line="240" w:lineRule="auto"/>
        <w:ind w:left="236" w:right="0"/>
        <w:jc w:val="left"/>
        <w:rPr>
          <w:rFonts w:ascii="宋体" w:hAnsi="宋体" w:cs="宋体" w:eastAsia="宋体" w:hint="default"/>
        </w:rPr>
      </w:pPr>
      <w:r>
        <w:rPr/>
        <w:t>单位：元  </w:t>
      </w:r>
      <w:r>
        <w:rPr>
          <w:rFonts w:ascii="宋体" w:hAnsi="宋体" w:cs="宋体" w:eastAsia="宋体" w:hint="default"/>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120" w:bottom="1380" w:left="1040" w:right="1560"/>
          <w:cols w:num="2" w:equalWidth="0">
            <w:col w:w="1942" w:space="4252"/>
            <w:col w:w="3116"/>
          </w:cols>
        </w:sectPr>
      </w:pP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712"/>
        <w:gridCol w:w="1810"/>
        <w:gridCol w:w="1836"/>
        <w:gridCol w:w="1850"/>
        <w:gridCol w:w="1853"/>
      </w:tblGrid>
      <w:tr>
        <w:trPr>
          <w:trHeight w:val="322" w:hRule="exact"/>
        </w:trPr>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09"/>
              <w:jc w:val="right"/>
              <w:rPr>
                <w:rFonts w:ascii="宋体" w:hAnsi="宋体" w:cs="宋体" w:eastAsia="宋体" w:hint="default"/>
                <w:sz w:val="24"/>
                <w:szCs w:val="24"/>
              </w:rPr>
            </w:pPr>
            <w:r>
              <w:rPr>
                <w:rFonts w:ascii="宋体" w:hAnsi="宋体" w:cs="宋体" w:eastAsia="宋体" w:hint="default"/>
                <w:sz w:val="24"/>
                <w:szCs w:val="24"/>
              </w:rPr>
              <w:t>项目</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17"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29"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39"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41"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322" w:hRule="exact"/>
        </w:trPr>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库存股</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55,787,910</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515" w:right="0"/>
              <w:jc w:val="left"/>
              <w:rPr>
                <w:rFonts w:ascii="Times New Roman" w:hAnsi="Times New Roman" w:cs="Times New Roman" w:eastAsia="Times New Roman" w:hint="default"/>
                <w:sz w:val="24"/>
                <w:szCs w:val="24"/>
              </w:rPr>
            </w:pPr>
            <w:r>
              <w:rPr>
                <w:rFonts w:ascii="Times New Roman"/>
                <w:sz w:val="24"/>
              </w:rPr>
              <w:t>473,391,044</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46,482,612</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482,696,342</w:t>
            </w:r>
          </w:p>
        </w:tc>
      </w:tr>
      <w:tr>
        <w:trPr>
          <w:trHeight w:val="286" w:hRule="exact"/>
        </w:trPr>
        <w:tc>
          <w:tcPr>
            <w:tcW w:w="1712" w:type="dxa"/>
            <w:tcBorders>
              <w:top w:val="single" w:sz="4" w:space="0" w:color="000000"/>
              <w:left w:val="single" w:sz="4" w:space="0" w:color="000000"/>
              <w:bottom w:val="single" w:sz="4" w:space="0" w:color="000000"/>
              <w:right w:val="single" w:sz="4" w:space="0" w:color="000000"/>
            </w:tcBorders>
          </w:tcPr>
          <w:p>
            <w:pPr/>
          </w:p>
        </w:tc>
        <w:tc>
          <w:tcPr>
            <w:tcW w:w="181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850" w:type="dxa"/>
            <w:tcBorders>
              <w:top w:val="single" w:sz="4" w:space="0" w:color="000000"/>
              <w:left w:val="single" w:sz="4" w:space="0" w:color="000000"/>
              <w:bottom w:val="single" w:sz="4" w:space="0" w:color="000000"/>
              <w:right w:val="single" w:sz="4" w:space="0" w:color="000000"/>
            </w:tcBorders>
          </w:tcPr>
          <w:p>
            <w:pPr/>
          </w:p>
        </w:tc>
        <w:tc>
          <w:tcPr>
            <w:tcW w:w="185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09"/>
              <w:jc w:val="right"/>
              <w:rPr>
                <w:rFonts w:ascii="宋体" w:hAnsi="宋体" w:cs="宋体" w:eastAsia="宋体" w:hint="default"/>
                <w:sz w:val="24"/>
                <w:szCs w:val="24"/>
              </w:rPr>
            </w:pPr>
            <w:r>
              <w:rPr>
                <w:rFonts w:ascii="宋体" w:hAnsi="宋体" w:cs="宋体" w:eastAsia="宋体" w:hint="default"/>
                <w:sz w:val="24"/>
                <w:szCs w:val="24"/>
              </w:rPr>
              <w:t>合计</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55,787,910</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09" w:right="0"/>
              <w:jc w:val="left"/>
              <w:rPr>
                <w:rFonts w:ascii="Times New Roman" w:hAnsi="Times New Roman" w:cs="Times New Roman" w:eastAsia="Times New Roman" w:hint="default"/>
                <w:sz w:val="24"/>
                <w:szCs w:val="24"/>
              </w:rPr>
            </w:pPr>
            <w:r>
              <w:rPr>
                <w:rFonts w:ascii="Times New Roman"/>
                <w:sz w:val="24"/>
              </w:rPr>
              <w:t>473,391,044</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46,482,612</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482,696,342</w:t>
            </w:r>
          </w:p>
        </w:tc>
      </w:tr>
    </w:tbl>
    <w:p>
      <w:pPr>
        <w:pStyle w:val="BodyText"/>
        <w:spacing w:line="274" w:lineRule="exact"/>
        <w:ind w:left="236" w:right="0"/>
        <w:jc w:val="left"/>
      </w:pPr>
      <w:r>
        <w:rPr/>
        <w:t>其他说明，包括本期增减变动情况、变动原因说明：</w:t>
      </w:r>
    </w:p>
    <w:p>
      <w:pPr>
        <w:spacing w:after="0" w:line="274" w:lineRule="exact"/>
        <w:jc w:val="left"/>
        <w:sectPr>
          <w:type w:val="continuous"/>
          <w:pgSz w:w="11910" w:h="16840"/>
          <w:pgMar w:top="1120" w:bottom="1380" w:left="1040" w:right="1560"/>
        </w:sectPr>
      </w:pPr>
    </w:p>
    <w:p>
      <w:pPr>
        <w:spacing w:line="240" w:lineRule="auto" w:before="4"/>
        <w:rPr>
          <w:rFonts w:ascii="宋体" w:hAnsi="宋体" w:cs="宋体" w:eastAsia="宋体" w:hint="default"/>
          <w:sz w:val="22"/>
          <w:szCs w:val="22"/>
        </w:rPr>
      </w:pPr>
    </w:p>
    <w:p>
      <w:pPr>
        <w:pStyle w:val="BodyText"/>
        <w:spacing w:line="322" w:lineRule="exact" w:before="26"/>
        <w:ind w:left="656" w:right="0"/>
        <w:jc w:val="left"/>
      </w:pPr>
      <w:r>
        <w:rPr/>
        <w:t>注</w:t>
      </w:r>
      <w:r>
        <w:rPr>
          <w:spacing w:val="-60"/>
        </w:rPr>
        <w:t> </w:t>
      </w:r>
      <w:r>
        <w:rPr>
          <w:rFonts w:ascii="Times New Roman" w:hAnsi="Times New Roman" w:cs="Times New Roman" w:eastAsia="Times New Roman" w:hint="default"/>
        </w:rPr>
        <w:t>1.  </w:t>
      </w:r>
      <w:r>
        <w:rPr/>
        <w:t>：库存股增加主要是由于本公司本年从市场回购普通股</w:t>
      </w:r>
      <w:r>
        <w:rPr>
          <w:spacing w:val="-60"/>
        </w:rPr>
        <w:t> </w:t>
      </w:r>
      <w:r>
        <w:rPr>
          <w:rFonts w:ascii="Times New Roman" w:hAnsi="Times New Roman" w:cs="Times New Roman" w:eastAsia="Times New Roman" w:hint="default"/>
        </w:rPr>
        <w:t>19,186,721 </w:t>
      </w:r>
      <w:r>
        <w:rPr/>
        <w:t>股用于本公</w:t>
      </w:r>
    </w:p>
    <w:p>
      <w:pPr>
        <w:pStyle w:val="BodyText"/>
        <w:spacing w:line="230" w:lineRule="auto" w:before="1"/>
        <w:ind w:left="656" w:right="0"/>
        <w:jc w:val="left"/>
      </w:pPr>
      <w:r>
        <w:rPr/>
        <w:t>司后期员工股权激励，合计回购股份总金额人民币</w:t>
      </w:r>
      <w:r>
        <w:rPr>
          <w:spacing w:val="-59"/>
        </w:rPr>
        <w:t> </w:t>
      </w:r>
      <w:r>
        <w:rPr>
          <w:rFonts w:ascii="Times New Roman" w:hAnsi="Times New Roman" w:cs="Times New Roman" w:eastAsia="Times New Roman" w:hint="default"/>
        </w:rPr>
        <w:t>469,077,017 </w:t>
      </w:r>
      <w:r>
        <w:rPr/>
        <w:t>元。本公司本年发行 了新的限制性股票激励计划，该计划约定当限制性股票无法解锁时，由本公司回购，</w:t>
      </w:r>
      <w:r>
        <w:rPr>
          <w:spacing w:val="-63"/>
        </w:rPr>
        <w:t> </w:t>
      </w:r>
      <w:r>
        <w:rPr>
          <w:spacing w:val="-63"/>
        </w:rPr>
      </w:r>
      <w:r>
        <w:rPr/>
        <w:t>因此本公司确认</w:t>
      </w:r>
      <w:r>
        <w:rPr>
          <w:spacing w:val="-60"/>
        </w:rPr>
        <w:t> </w:t>
      </w:r>
      <w:r>
        <w:rPr>
          <w:rFonts w:ascii="Times New Roman" w:hAnsi="Times New Roman" w:cs="Times New Roman" w:eastAsia="Times New Roman" w:hint="default"/>
        </w:rPr>
        <w:t>2019 </w:t>
      </w:r>
      <w:r>
        <w:rPr/>
        <w:t>年授予股权激励对象的限制性股票</w:t>
      </w:r>
      <w:r>
        <w:rPr>
          <w:spacing w:val="-59"/>
        </w:rPr>
        <w:t> </w:t>
      </w:r>
      <w:r>
        <w:rPr>
          <w:rFonts w:ascii="Times New Roman" w:hAnsi="Times New Roman" w:cs="Times New Roman" w:eastAsia="Times New Roman" w:hint="default"/>
        </w:rPr>
        <w:t>706,060 </w:t>
      </w:r>
      <w:r>
        <w:rPr/>
        <w:t>股回购义务人民币</w:t>
      </w:r>
    </w:p>
    <w:p>
      <w:pPr>
        <w:pStyle w:val="BodyText"/>
        <w:spacing w:line="314" w:lineRule="exact"/>
        <w:ind w:left="656" w:right="0"/>
        <w:jc w:val="left"/>
      </w:pPr>
      <w:r>
        <w:rPr>
          <w:rFonts w:ascii="Times New Roman" w:hAnsi="Times New Roman" w:cs="Times New Roman" w:eastAsia="Times New Roman" w:hint="default"/>
        </w:rPr>
        <w:t>4,314,027 </w:t>
      </w:r>
      <w:r>
        <w:rPr/>
        <w:t>元。</w:t>
      </w:r>
    </w:p>
    <w:p>
      <w:pPr>
        <w:spacing w:line="240" w:lineRule="auto" w:before="9"/>
        <w:rPr>
          <w:rFonts w:ascii="宋体" w:hAnsi="宋体" w:cs="宋体" w:eastAsia="宋体" w:hint="default"/>
          <w:sz w:val="21"/>
          <w:szCs w:val="21"/>
        </w:rPr>
      </w:pPr>
    </w:p>
    <w:p>
      <w:pPr>
        <w:pStyle w:val="BodyText"/>
        <w:spacing w:line="312" w:lineRule="exact"/>
        <w:ind w:left="656" w:right="333"/>
        <w:jc w:val="both"/>
      </w:pPr>
      <w:r>
        <w:rPr/>
        <w:t>注</w:t>
      </w:r>
      <w:r>
        <w:rPr>
          <w:spacing w:val="-60"/>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spacing w:val="-8"/>
        </w:rPr>
        <w:t>：库存股减少主要是由于本公司</w:t>
      </w:r>
      <w:r>
        <w:rPr>
          <w:spacing w:val="-60"/>
        </w:rPr>
        <w:t> </w:t>
      </w:r>
      <w:r>
        <w:rPr>
          <w:rFonts w:ascii="Times New Roman" w:hAnsi="Times New Roman" w:cs="Times New Roman" w:eastAsia="Times New Roman" w:hint="default"/>
        </w:rPr>
        <w:t>2017 </w:t>
      </w:r>
      <w:r>
        <w:rPr/>
        <w:t>年第二期限制性股票股份支付计划及</w:t>
      </w:r>
      <w:r>
        <w:rPr>
          <w:spacing w:val="-59"/>
        </w:rPr>
        <w:t> </w:t>
      </w:r>
      <w:r>
        <w:rPr>
          <w:rFonts w:ascii="Times New Roman" w:hAnsi="Times New Roman" w:cs="Times New Roman" w:eastAsia="Times New Roman" w:hint="default"/>
        </w:rPr>
        <w:t>2018 </w:t>
      </w:r>
      <w:r>
        <w:rPr>
          <w:spacing w:val="-2"/>
        </w:rPr>
        <w:t>年第一期限制性股票股份支付计划满足解锁条件，完成解锁，减少库存股回购义务人</w:t>
      </w:r>
      <w:r>
        <w:rPr>
          <w:spacing w:val="-94"/>
        </w:rPr>
        <w:t> </w:t>
      </w:r>
      <w:r>
        <w:rPr>
          <w:spacing w:val="-94"/>
        </w:rPr>
      </w:r>
      <w:r>
        <w:rPr/>
        <w:t>民币</w:t>
      </w:r>
      <w:r>
        <w:rPr>
          <w:spacing w:val="-60"/>
        </w:rPr>
        <w:t> </w:t>
      </w:r>
      <w:r>
        <w:rPr>
          <w:rFonts w:ascii="Times New Roman" w:hAnsi="Times New Roman" w:cs="Times New Roman" w:eastAsia="Times New Roman" w:hint="default"/>
        </w:rPr>
        <w:t>22,713,271</w:t>
      </w:r>
      <w:r>
        <w:rPr>
          <w:rFonts w:ascii="Times New Roman" w:hAnsi="Times New Roman" w:cs="Times New Roman" w:eastAsia="Times New Roman" w:hint="default"/>
          <w:spacing w:val="-1"/>
        </w:rPr>
        <w:t> </w:t>
      </w:r>
      <w:r>
        <w:rPr/>
        <w:t>元。注销以前年度股份支付计划未授予和未解锁的库存股人民币</w:t>
      </w:r>
    </w:p>
    <w:p>
      <w:pPr>
        <w:pStyle w:val="BodyText"/>
        <w:spacing w:line="299" w:lineRule="exact"/>
        <w:ind w:left="656" w:right="0"/>
        <w:jc w:val="left"/>
      </w:pPr>
      <w:r>
        <w:rPr>
          <w:rFonts w:ascii="Times New Roman" w:hAnsi="Times New Roman" w:cs="Times New Roman" w:eastAsia="Times New Roman" w:hint="default"/>
        </w:rPr>
        <w:t>6,507,584 </w:t>
      </w:r>
      <w:r>
        <w:rPr/>
        <w:t>元。以及授予限制性股票</w:t>
      </w:r>
      <w:r>
        <w:rPr>
          <w:spacing w:val="-60"/>
        </w:rPr>
        <w:t> </w:t>
      </w:r>
      <w:r>
        <w:rPr>
          <w:rFonts w:ascii="Times New Roman" w:hAnsi="Times New Roman" w:cs="Times New Roman" w:eastAsia="Times New Roman" w:hint="default"/>
        </w:rPr>
        <w:t>706,060 </w:t>
      </w:r>
      <w:r>
        <w:rPr/>
        <w:t>股，减少库存股人民币</w:t>
      </w:r>
      <w:r>
        <w:rPr>
          <w:spacing w:val="-60"/>
        </w:rPr>
        <w:t> </w:t>
      </w:r>
      <w:r>
        <w:rPr>
          <w:rFonts w:ascii="Times New Roman" w:hAnsi="Times New Roman" w:cs="Times New Roman" w:eastAsia="Times New Roman" w:hint="default"/>
        </w:rPr>
        <w:t>17,261,757 </w:t>
      </w:r>
      <w:r>
        <w:rPr/>
        <w:t>元。</w:t>
      </w:r>
    </w:p>
    <w:p>
      <w:pPr>
        <w:spacing w:line="240" w:lineRule="auto" w:before="2"/>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620" w:right="1460"/>
        </w:sectPr>
      </w:pPr>
    </w:p>
    <w:p>
      <w:pPr>
        <w:pStyle w:val="Heading2"/>
        <w:spacing w:line="240" w:lineRule="auto" w:before="26"/>
        <w:ind w:left="656" w:right="0"/>
        <w:jc w:val="left"/>
        <w:rPr>
          <w:rFonts w:ascii="宋体" w:hAnsi="宋体" w:cs="宋体" w:eastAsia="宋体" w:hint="default"/>
          <w:b w:val="0"/>
          <w:bCs w:val="0"/>
        </w:rPr>
      </w:pPr>
      <w:r>
        <w:rPr>
          <w:rFonts w:ascii="宋体" w:hAnsi="宋体" w:cs="宋体" w:eastAsia="宋体" w:hint="default"/>
        </w:rPr>
        <w:t>55</w:t>
      </w:r>
      <w:r>
        <w:rPr/>
        <w:t>、</w:t>
      </w:r>
      <w:r>
        <w:rPr>
          <w:spacing w:val="-103"/>
        </w:rPr>
        <w:t> </w:t>
      </w:r>
      <w:r>
        <w:rPr/>
        <w:t>其他综合收益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65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4"/>
        <w:rPr>
          <w:rFonts w:ascii="宋体" w:hAnsi="宋体" w:cs="宋体" w:eastAsia="宋体" w:hint="default"/>
          <w:sz w:val="30"/>
          <w:szCs w:val="30"/>
        </w:rPr>
      </w:pPr>
    </w:p>
    <w:p>
      <w:pPr>
        <w:pStyle w:val="BodyText"/>
        <w:tabs>
          <w:tab w:pos="1856" w:val="left" w:leader="none"/>
        </w:tabs>
        <w:spacing w:line="240" w:lineRule="auto"/>
        <w:ind w:left="656" w:right="0"/>
        <w:jc w:val="left"/>
      </w:pPr>
      <w:r>
        <w:rPr/>
        <w:t>单位：元</w:t>
        <w:tab/>
        <w:t>币种：人民币</w:t>
      </w:r>
    </w:p>
    <w:p>
      <w:pPr>
        <w:spacing w:after="0" w:line="240" w:lineRule="auto"/>
        <w:jc w:val="left"/>
        <w:sectPr>
          <w:type w:val="continuous"/>
          <w:pgSz w:w="11910" w:h="16840"/>
          <w:pgMar w:top="1120" w:bottom="1380" w:left="620" w:right="1460"/>
          <w:cols w:num="2" w:equalWidth="0">
            <w:col w:w="2727" w:space="3467"/>
            <w:col w:w="3636"/>
          </w:cols>
        </w:sectPr>
      </w:pPr>
    </w:p>
    <w:p>
      <w:pPr>
        <w:spacing w:line="240" w:lineRule="auto" w:before="10"/>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1335"/>
        <w:gridCol w:w="1205"/>
        <w:gridCol w:w="1208"/>
        <w:gridCol w:w="900"/>
        <w:gridCol w:w="905"/>
        <w:gridCol w:w="615"/>
        <w:gridCol w:w="1205"/>
        <w:gridCol w:w="1023"/>
        <w:gridCol w:w="1205"/>
      </w:tblGrid>
      <w:tr>
        <w:trPr>
          <w:trHeight w:val="245" w:hRule="exact"/>
        </w:trPr>
        <w:tc>
          <w:tcPr>
            <w:tcW w:w="133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项目</w:t>
            </w:r>
          </w:p>
        </w:tc>
        <w:tc>
          <w:tcPr>
            <w:tcW w:w="120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15" w:right="419"/>
              <w:jc w:val="center"/>
              <w:rPr>
                <w:rFonts w:ascii="宋体" w:hAnsi="宋体" w:cs="宋体" w:eastAsia="宋体" w:hint="default"/>
                <w:sz w:val="18"/>
                <w:szCs w:val="18"/>
              </w:rPr>
            </w:pPr>
            <w:r>
              <w:rPr>
                <w:rFonts w:ascii="宋体" w:hAnsi="宋体" w:cs="宋体" w:eastAsia="宋体" w:hint="default"/>
                <w:sz w:val="18"/>
                <w:szCs w:val="18"/>
              </w:rPr>
              <w:t>期初 余额</w:t>
            </w:r>
          </w:p>
        </w:tc>
        <w:tc>
          <w:tcPr>
            <w:tcW w:w="5855" w:type="dxa"/>
            <w:gridSpan w:val="6"/>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本期发生金额</w:t>
            </w:r>
          </w:p>
        </w:tc>
        <w:tc>
          <w:tcPr>
            <w:tcW w:w="120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17" w:right="415"/>
              <w:jc w:val="center"/>
              <w:rPr>
                <w:rFonts w:ascii="宋体" w:hAnsi="宋体" w:cs="宋体" w:eastAsia="宋体" w:hint="default"/>
                <w:sz w:val="18"/>
                <w:szCs w:val="18"/>
              </w:rPr>
            </w:pPr>
            <w:r>
              <w:rPr>
                <w:rFonts w:ascii="宋体" w:hAnsi="宋体" w:cs="宋体" w:eastAsia="宋体" w:hint="default"/>
                <w:sz w:val="18"/>
                <w:szCs w:val="18"/>
              </w:rPr>
              <w:t>期末 余额</w:t>
            </w:r>
          </w:p>
        </w:tc>
      </w:tr>
      <w:tr>
        <w:trPr>
          <w:trHeight w:val="1644" w:hRule="exact"/>
        </w:trPr>
        <w:tc>
          <w:tcPr>
            <w:tcW w:w="1335" w:type="dxa"/>
            <w:vMerge/>
            <w:tcBorders>
              <w:left w:val="single" w:sz="4" w:space="0" w:color="000000"/>
              <w:bottom w:val="single" w:sz="4" w:space="0" w:color="000000"/>
              <w:right w:val="single" w:sz="4" w:space="0" w:color="000000"/>
            </w:tcBorders>
          </w:tcPr>
          <w:p>
            <w:pPr/>
          </w:p>
        </w:tc>
        <w:tc>
          <w:tcPr>
            <w:tcW w:w="1205" w:type="dxa"/>
            <w:vMerge/>
            <w:tcBorders>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6"/>
                <w:szCs w:val="26"/>
              </w:rPr>
            </w:pPr>
          </w:p>
          <w:p>
            <w:pPr>
              <w:pStyle w:val="TableParagraph"/>
              <w:spacing w:line="232" w:lineRule="exact"/>
              <w:ind w:left="237" w:right="147" w:hanging="89"/>
              <w:jc w:val="left"/>
              <w:rPr>
                <w:rFonts w:ascii="宋体" w:hAnsi="宋体" w:cs="宋体" w:eastAsia="宋体" w:hint="default"/>
                <w:sz w:val="18"/>
                <w:szCs w:val="18"/>
              </w:rPr>
            </w:pPr>
            <w:r>
              <w:rPr>
                <w:rFonts w:ascii="宋体" w:hAnsi="宋体" w:cs="宋体" w:eastAsia="宋体" w:hint="default"/>
                <w:sz w:val="18"/>
                <w:szCs w:val="18"/>
              </w:rPr>
              <w:t>本期所得税 前发生额</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7"/>
              <w:ind w:left="103" w:right="101"/>
              <w:jc w:val="center"/>
              <w:rPr>
                <w:rFonts w:ascii="宋体" w:hAnsi="宋体" w:cs="宋体" w:eastAsia="宋体" w:hint="default"/>
                <w:sz w:val="18"/>
                <w:szCs w:val="18"/>
              </w:rPr>
            </w:pPr>
            <w:r>
              <w:rPr>
                <w:rFonts w:ascii="宋体" w:hAnsi="宋体" w:cs="宋体" w:eastAsia="宋体" w:hint="default"/>
                <w:spacing w:val="-9"/>
                <w:sz w:val="18"/>
                <w:szCs w:val="18"/>
              </w:rPr>
              <w:t>减：前期</w:t>
            </w:r>
            <w:r>
              <w:rPr>
                <w:rFonts w:ascii="宋体" w:hAnsi="宋体" w:cs="宋体" w:eastAsia="宋体" w:hint="default"/>
                <w:sz w:val="18"/>
                <w:szCs w:val="18"/>
              </w:rPr>
              <w:t> 计入其 他综合 收益当 期转入 损益</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pacing w:val="-8"/>
                <w:sz w:val="18"/>
                <w:szCs w:val="18"/>
              </w:rPr>
              <w:t>减：前期</w:t>
            </w:r>
          </w:p>
          <w:p>
            <w:pPr>
              <w:pStyle w:val="TableParagraph"/>
              <w:spacing w:line="237" w:lineRule="auto"/>
              <w:ind w:left="177" w:right="175"/>
              <w:jc w:val="center"/>
              <w:rPr>
                <w:rFonts w:ascii="宋体" w:hAnsi="宋体" w:cs="宋体" w:eastAsia="宋体" w:hint="default"/>
                <w:sz w:val="18"/>
                <w:szCs w:val="18"/>
              </w:rPr>
            </w:pPr>
            <w:r>
              <w:rPr>
                <w:rFonts w:ascii="宋体" w:hAnsi="宋体" w:cs="宋体" w:eastAsia="宋体" w:hint="default"/>
                <w:sz w:val="18"/>
                <w:szCs w:val="18"/>
              </w:rPr>
              <w:t>计入其 他综合 收益当 期转入 留存收 益</w:t>
            </w:r>
          </w:p>
        </w:tc>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122" w:right="120"/>
              <w:jc w:val="both"/>
              <w:rPr>
                <w:rFonts w:ascii="宋体" w:hAnsi="宋体" w:cs="宋体" w:eastAsia="宋体" w:hint="default"/>
                <w:sz w:val="18"/>
                <w:szCs w:val="18"/>
              </w:rPr>
            </w:pPr>
            <w:r>
              <w:rPr>
                <w:rFonts w:ascii="宋体" w:hAnsi="宋体" w:cs="宋体" w:eastAsia="宋体" w:hint="default"/>
                <w:sz w:val="18"/>
                <w:szCs w:val="18"/>
              </w:rPr>
              <w:t>减： 所得 税费 用</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6"/>
                <w:szCs w:val="26"/>
              </w:rPr>
            </w:pPr>
          </w:p>
          <w:p>
            <w:pPr>
              <w:pStyle w:val="TableParagraph"/>
              <w:spacing w:line="232" w:lineRule="exact"/>
              <w:ind w:left="323" w:right="149" w:hanging="180"/>
              <w:jc w:val="left"/>
              <w:rPr>
                <w:rFonts w:ascii="宋体" w:hAnsi="宋体" w:cs="宋体" w:eastAsia="宋体" w:hint="default"/>
                <w:sz w:val="18"/>
                <w:szCs w:val="18"/>
              </w:rPr>
            </w:pPr>
            <w:r>
              <w:rPr>
                <w:rFonts w:ascii="宋体" w:hAnsi="宋体" w:cs="宋体" w:eastAsia="宋体" w:hint="default"/>
                <w:sz w:val="18"/>
                <w:szCs w:val="18"/>
              </w:rPr>
              <w:t>税后归属于 母公司</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37" w:lineRule="auto"/>
              <w:ind w:left="144" w:right="147"/>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1205" w:type="dxa"/>
            <w:vMerge/>
            <w:tcBorders>
              <w:left w:val="single" w:sz="4" w:space="0" w:color="000000"/>
              <w:bottom w:val="single" w:sz="4" w:space="0" w:color="000000"/>
              <w:right w:val="single" w:sz="4" w:space="0" w:color="000000"/>
            </w:tcBorders>
          </w:tcPr>
          <w:p>
            <w:pPr/>
          </w:p>
        </w:tc>
      </w:tr>
      <w:tr>
        <w:trPr>
          <w:trHeight w:val="710"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一、不能重分</w:t>
            </w:r>
          </w:p>
          <w:p>
            <w:pPr>
              <w:pStyle w:val="TableParagraph"/>
              <w:spacing w:line="232" w:lineRule="exact" w:before="23"/>
              <w:ind w:left="103" w:right="141"/>
              <w:jc w:val="left"/>
              <w:rPr>
                <w:rFonts w:ascii="宋体" w:hAnsi="宋体" w:cs="宋体" w:eastAsia="宋体" w:hint="default"/>
                <w:sz w:val="18"/>
                <w:szCs w:val="18"/>
              </w:rPr>
            </w:pPr>
            <w:r>
              <w:rPr>
                <w:rFonts w:ascii="宋体" w:hAnsi="宋体" w:cs="宋体" w:eastAsia="宋体" w:hint="default"/>
                <w:sz w:val="18"/>
                <w:szCs w:val="18"/>
              </w:rPr>
              <w:t>类进损益的其 他综合收益</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其中：重新计</w:t>
            </w:r>
          </w:p>
          <w:p>
            <w:pPr>
              <w:pStyle w:val="TableParagraph"/>
              <w:spacing w:line="232" w:lineRule="exact" w:before="23"/>
              <w:ind w:left="103" w:right="141"/>
              <w:jc w:val="left"/>
              <w:rPr>
                <w:rFonts w:ascii="宋体" w:hAnsi="宋体" w:cs="宋体" w:eastAsia="宋体" w:hint="default"/>
                <w:sz w:val="18"/>
                <w:szCs w:val="18"/>
              </w:rPr>
            </w:pPr>
            <w:r>
              <w:rPr>
                <w:rFonts w:ascii="宋体" w:hAnsi="宋体" w:cs="宋体" w:eastAsia="宋体" w:hint="default"/>
                <w:sz w:val="18"/>
                <w:szCs w:val="18"/>
              </w:rPr>
              <w:t>量设定受益计 划变动额</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firstLine="182"/>
              <w:jc w:val="left"/>
              <w:rPr>
                <w:rFonts w:ascii="宋体" w:hAnsi="宋体" w:cs="宋体" w:eastAsia="宋体" w:hint="default"/>
                <w:sz w:val="18"/>
                <w:szCs w:val="18"/>
              </w:rPr>
            </w:pPr>
            <w:r>
              <w:rPr>
                <w:rFonts w:ascii="宋体" w:hAnsi="宋体" w:cs="宋体" w:eastAsia="宋体" w:hint="default"/>
                <w:sz w:val="18"/>
                <w:szCs w:val="18"/>
              </w:rPr>
              <w:t>权益法下不</w:t>
            </w:r>
          </w:p>
          <w:p>
            <w:pPr>
              <w:pStyle w:val="TableParagraph"/>
              <w:spacing w:line="232" w:lineRule="exact" w:before="23"/>
              <w:ind w:left="103" w:right="141"/>
              <w:jc w:val="left"/>
              <w:rPr>
                <w:rFonts w:ascii="宋体" w:hAnsi="宋体" w:cs="宋体" w:eastAsia="宋体" w:hint="default"/>
                <w:sz w:val="18"/>
                <w:szCs w:val="18"/>
              </w:rPr>
            </w:pPr>
            <w:r>
              <w:rPr>
                <w:rFonts w:ascii="宋体" w:hAnsi="宋体" w:cs="宋体" w:eastAsia="宋体" w:hint="default"/>
                <w:sz w:val="18"/>
                <w:szCs w:val="18"/>
              </w:rPr>
              <w:t>能转损益的其 他综合收益</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firstLine="180"/>
              <w:jc w:val="left"/>
              <w:rPr>
                <w:rFonts w:ascii="宋体" w:hAnsi="宋体" w:cs="宋体" w:eastAsia="宋体" w:hint="default"/>
                <w:sz w:val="18"/>
                <w:szCs w:val="18"/>
              </w:rPr>
            </w:pPr>
            <w:r>
              <w:rPr>
                <w:rFonts w:ascii="宋体" w:hAnsi="宋体" w:cs="宋体" w:eastAsia="宋体" w:hint="default"/>
                <w:sz w:val="18"/>
                <w:szCs w:val="18"/>
              </w:rPr>
              <w:t>其他权益工</w:t>
            </w:r>
          </w:p>
          <w:p>
            <w:pPr>
              <w:pStyle w:val="TableParagraph"/>
              <w:spacing w:line="232" w:lineRule="exact" w:before="23"/>
              <w:ind w:left="103" w:right="141"/>
              <w:jc w:val="left"/>
              <w:rPr>
                <w:rFonts w:ascii="宋体" w:hAnsi="宋体" w:cs="宋体" w:eastAsia="宋体" w:hint="default"/>
                <w:sz w:val="18"/>
                <w:szCs w:val="18"/>
              </w:rPr>
            </w:pPr>
            <w:r>
              <w:rPr>
                <w:rFonts w:ascii="宋体" w:hAnsi="宋体" w:cs="宋体" w:eastAsia="宋体" w:hint="default"/>
                <w:sz w:val="18"/>
                <w:szCs w:val="18"/>
              </w:rPr>
              <w:t>具投资公允价 值变动</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firstLine="180"/>
              <w:jc w:val="left"/>
              <w:rPr>
                <w:rFonts w:ascii="宋体" w:hAnsi="宋体" w:cs="宋体" w:eastAsia="宋体" w:hint="default"/>
                <w:sz w:val="18"/>
                <w:szCs w:val="18"/>
              </w:rPr>
            </w:pPr>
            <w:r>
              <w:rPr>
                <w:rFonts w:ascii="宋体" w:hAnsi="宋体" w:cs="宋体" w:eastAsia="宋体" w:hint="default"/>
                <w:sz w:val="18"/>
                <w:szCs w:val="18"/>
              </w:rPr>
              <w:t>企业自身信</w:t>
            </w:r>
          </w:p>
          <w:p>
            <w:pPr>
              <w:pStyle w:val="TableParagraph"/>
              <w:spacing w:line="232" w:lineRule="exact" w:before="23"/>
              <w:ind w:left="103" w:right="141"/>
              <w:jc w:val="left"/>
              <w:rPr>
                <w:rFonts w:ascii="宋体" w:hAnsi="宋体" w:cs="宋体" w:eastAsia="宋体" w:hint="default"/>
                <w:sz w:val="18"/>
                <w:szCs w:val="18"/>
              </w:rPr>
            </w:pPr>
            <w:r>
              <w:rPr>
                <w:rFonts w:ascii="宋体" w:hAnsi="宋体" w:cs="宋体" w:eastAsia="宋体" w:hint="default"/>
                <w:sz w:val="18"/>
                <w:szCs w:val="18"/>
              </w:rPr>
              <w:t>用风险公允价 值变动</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216" w:hRule="exact"/>
        </w:trPr>
        <w:tc>
          <w:tcPr>
            <w:tcW w:w="133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216" w:hRule="exact"/>
        </w:trPr>
        <w:tc>
          <w:tcPr>
            <w:tcW w:w="133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二、将重分类</w:t>
            </w:r>
          </w:p>
          <w:p>
            <w:pPr>
              <w:pStyle w:val="TableParagraph"/>
              <w:spacing w:line="234" w:lineRule="exact" w:before="23"/>
              <w:ind w:left="103" w:right="141"/>
              <w:jc w:val="left"/>
              <w:rPr>
                <w:rFonts w:ascii="宋体" w:hAnsi="宋体" w:cs="宋体" w:eastAsia="宋体" w:hint="default"/>
                <w:sz w:val="18"/>
                <w:szCs w:val="18"/>
              </w:rPr>
            </w:pPr>
            <w:r>
              <w:rPr>
                <w:rFonts w:ascii="宋体" w:hAnsi="宋体" w:cs="宋体" w:eastAsia="宋体" w:hint="default"/>
                <w:sz w:val="18"/>
                <w:szCs w:val="18"/>
              </w:rPr>
              <w:t>进损益的其他 综合收益</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51" w:right="0"/>
              <w:jc w:val="left"/>
              <w:rPr>
                <w:rFonts w:ascii="Times New Roman" w:hAnsi="Times New Roman" w:cs="Times New Roman" w:eastAsia="Times New Roman" w:hint="default"/>
                <w:sz w:val="21"/>
                <w:szCs w:val="21"/>
              </w:rPr>
            </w:pPr>
            <w:r>
              <w:rPr>
                <w:rFonts w:ascii="Times New Roman"/>
                <w:sz w:val="21"/>
              </w:rPr>
              <w:t>4,427,272</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84" w:right="0"/>
              <w:jc w:val="left"/>
              <w:rPr>
                <w:rFonts w:ascii="Times New Roman" w:hAnsi="Times New Roman" w:cs="Times New Roman" w:eastAsia="Times New Roman" w:hint="default"/>
                <w:sz w:val="21"/>
                <w:szCs w:val="21"/>
              </w:rPr>
            </w:pPr>
            <w:r>
              <w:rPr>
                <w:rFonts w:ascii="Times New Roman"/>
                <w:sz w:val="21"/>
              </w:rPr>
              <w:t>-7,357,561</w:t>
            </w: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79" w:right="0"/>
              <w:jc w:val="left"/>
              <w:rPr>
                <w:rFonts w:ascii="Times New Roman" w:hAnsi="Times New Roman" w:cs="Times New Roman" w:eastAsia="Times New Roman" w:hint="default"/>
                <w:sz w:val="21"/>
                <w:szCs w:val="21"/>
              </w:rPr>
            </w:pPr>
            <w:r>
              <w:rPr>
                <w:rFonts w:ascii="Times New Roman"/>
                <w:sz w:val="21"/>
              </w:rPr>
              <w:t>-6,921,569</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53" w:right="0"/>
              <w:jc w:val="left"/>
              <w:rPr>
                <w:rFonts w:ascii="Times New Roman" w:hAnsi="Times New Roman" w:cs="Times New Roman" w:eastAsia="Times New Roman" w:hint="default"/>
                <w:sz w:val="21"/>
                <w:szCs w:val="21"/>
              </w:rPr>
            </w:pPr>
            <w:r>
              <w:rPr>
                <w:rFonts w:ascii="Times New Roman"/>
                <w:sz w:val="21"/>
              </w:rPr>
              <w:t>-435,992</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82" w:right="0"/>
              <w:jc w:val="left"/>
              <w:rPr>
                <w:rFonts w:ascii="Times New Roman" w:hAnsi="Times New Roman" w:cs="Times New Roman" w:eastAsia="Times New Roman" w:hint="default"/>
                <w:sz w:val="21"/>
                <w:szCs w:val="21"/>
              </w:rPr>
            </w:pPr>
            <w:r>
              <w:rPr>
                <w:rFonts w:ascii="Times New Roman"/>
                <w:sz w:val="21"/>
              </w:rPr>
              <w:t>-2,494,297</w:t>
            </w:r>
          </w:p>
        </w:tc>
      </w:tr>
      <w:tr>
        <w:trPr>
          <w:trHeight w:val="710"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其中：权益法</w:t>
            </w:r>
          </w:p>
          <w:p>
            <w:pPr>
              <w:pStyle w:val="TableParagraph"/>
              <w:spacing w:line="232" w:lineRule="exact" w:before="24"/>
              <w:ind w:left="103" w:right="141"/>
              <w:jc w:val="left"/>
              <w:rPr>
                <w:rFonts w:ascii="宋体" w:hAnsi="宋体" w:cs="宋体" w:eastAsia="宋体" w:hint="default"/>
                <w:sz w:val="18"/>
                <w:szCs w:val="18"/>
              </w:rPr>
            </w:pPr>
            <w:r>
              <w:rPr>
                <w:rFonts w:ascii="宋体" w:hAnsi="宋体" w:cs="宋体" w:eastAsia="宋体" w:hint="default"/>
                <w:sz w:val="18"/>
                <w:szCs w:val="18"/>
              </w:rPr>
              <w:t>下可转损益的 其他综合收益</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firstLine="180"/>
              <w:jc w:val="left"/>
              <w:rPr>
                <w:rFonts w:ascii="宋体" w:hAnsi="宋体" w:cs="宋体" w:eastAsia="宋体" w:hint="default"/>
                <w:sz w:val="18"/>
                <w:szCs w:val="18"/>
              </w:rPr>
            </w:pPr>
            <w:r>
              <w:rPr>
                <w:rFonts w:ascii="宋体" w:hAnsi="宋体" w:cs="宋体" w:eastAsia="宋体" w:hint="default"/>
                <w:sz w:val="18"/>
                <w:szCs w:val="18"/>
              </w:rPr>
              <w:t>其他债权投</w:t>
            </w:r>
          </w:p>
          <w:p>
            <w:pPr>
              <w:pStyle w:val="TableParagraph"/>
              <w:spacing w:line="232" w:lineRule="exact" w:before="24"/>
              <w:ind w:left="103" w:right="141"/>
              <w:jc w:val="left"/>
              <w:rPr>
                <w:rFonts w:ascii="宋体" w:hAnsi="宋体" w:cs="宋体" w:eastAsia="宋体" w:hint="default"/>
                <w:sz w:val="18"/>
                <w:szCs w:val="18"/>
              </w:rPr>
            </w:pPr>
            <w:r>
              <w:rPr>
                <w:rFonts w:ascii="宋体" w:hAnsi="宋体" w:cs="宋体" w:eastAsia="宋体" w:hint="default"/>
                <w:sz w:val="18"/>
                <w:szCs w:val="18"/>
              </w:rPr>
              <w:t>资公允价值变 动</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firstLine="180"/>
              <w:jc w:val="left"/>
              <w:rPr>
                <w:rFonts w:ascii="宋体" w:hAnsi="宋体" w:cs="宋体" w:eastAsia="宋体" w:hint="default"/>
                <w:sz w:val="18"/>
                <w:szCs w:val="18"/>
              </w:rPr>
            </w:pPr>
            <w:r>
              <w:rPr>
                <w:rFonts w:ascii="宋体" w:hAnsi="宋体" w:cs="宋体" w:eastAsia="宋体" w:hint="default"/>
                <w:sz w:val="18"/>
                <w:szCs w:val="18"/>
              </w:rPr>
              <w:t>金融资产重</w:t>
            </w:r>
          </w:p>
          <w:p>
            <w:pPr>
              <w:pStyle w:val="TableParagraph"/>
              <w:spacing w:line="232" w:lineRule="exact" w:before="24"/>
              <w:ind w:left="103" w:right="141"/>
              <w:jc w:val="both"/>
              <w:rPr>
                <w:rFonts w:ascii="宋体" w:hAnsi="宋体" w:cs="宋体" w:eastAsia="宋体" w:hint="default"/>
                <w:sz w:val="18"/>
                <w:szCs w:val="18"/>
              </w:rPr>
            </w:pPr>
            <w:r>
              <w:rPr>
                <w:rFonts w:ascii="宋体" w:hAnsi="宋体" w:cs="宋体" w:eastAsia="宋体" w:hint="default"/>
                <w:sz w:val="18"/>
                <w:szCs w:val="18"/>
              </w:rPr>
              <w:t>分类计入其他 综合收益的金 额</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firstLine="180"/>
              <w:jc w:val="left"/>
              <w:rPr>
                <w:rFonts w:ascii="宋体" w:hAnsi="宋体" w:cs="宋体" w:eastAsia="宋体" w:hint="default"/>
                <w:sz w:val="18"/>
                <w:szCs w:val="18"/>
              </w:rPr>
            </w:pPr>
            <w:r>
              <w:rPr>
                <w:rFonts w:ascii="宋体" w:hAnsi="宋体" w:cs="宋体" w:eastAsia="宋体" w:hint="default"/>
                <w:sz w:val="18"/>
                <w:szCs w:val="18"/>
              </w:rPr>
              <w:t>其他债权投</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资信用减值准</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620" w:right="1460"/>
        </w:sectPr>
      </w:pPr>
    </w:p>
    <w:p>
      <w:pPr>
        <w:spacing w:line="240" w:lineRule="auto" w:before="5"/>
        <w:rPr>
          <w:rFonts w:ascii="宋体" w:hAnsi="宋体" w:cs="宋体" w:eastAsia="宋体" w:hint="default"/>
          <w:sz w:val="27"/>
          <w:szCs w:val="27"/>
        </w:rPr>
      </w:pPr>
    </w:p>
    <w:tbl>
      <w:tblPr>
        <w:tblW w:w="0" w:type="auto"/>
        <w:jc w:val="left"/>
        <w:tblInd w:w="111" w:type="dxa"/>
        <w:tblLayout w:type="fixed"/>
        <w:tblCellMar>
          <w:top w:w="0" w:type="dxa"/>
          <w:left w:w="0" w:type="dxa"/>
          <w:bottom w:w="0" w:type="dxa"/>
          <w:right w:w="0" w:type="dxa"/>
        </w:tblCellMar>
        <w:tblLook w:val="01E0"/>
      </w:tblPr>
      <w:tblGrid>
        <w:gridCol w:w="1335"/>
        <w:gridCol w:w="1205"/>
        <w:gridCol w:w="1208"/>
        <w:gridCol w:w="900"/>
        <w:gridCol w:w="905"/>
        <w:gridCol w:w="615"/>
        <w:gridCol w:w="1205"/>
        <w:gridCol w:w="1023"/>
        <w:gridCol w:w="1205"/>
      </w:tblGrid>
      <w:tr>
        <w:trPr>
          <w:trHeight w:val="242"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备</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firstLine="182"/>
              <w:jc w:val="left"/>
              <w:rPr>
                <w:rFonts w:ascii="宋体" w:hAnsi="宋体" w:cs="宋体" w:eastAsia="宋体" w:hint="default"/>
                <w:sz w:val="18"/>
                <w:szCs w:val="18"/>
              </w:rPr>
            </w:pPr>
            <w:r>
              <w:rPr>
                <w:rFonts w:ascii="宋体" w:hAnsi="宋体" w:cs="宋体" w:eastAsia="宋体" w:hint="default"/>
                <w:sz w:val="18"/>
                <w:szCs w:val="18"/>
              </w:rPr>
              <w:t>现金流量套</w:t>
            </w:r>
          </w:p>
          <w:p>
            <w:pPr>
              <w:pStyle w:val="TableParagraph"/>
              <w:spacing w:line="232" w:lineRule="exact" w:before="23"/>
              <w:ind w:left="103" w:right="141"/>
              <w:jc w:val="left"/>
              <w:rPr>
                <w:rFonts w:ascii="宋体" w:hAnsi="宋体" w:cs="宋体" w:eastAsia="宋体" w:hint="default"/>
                <w:sz w:val="18"/>
                <w:szCs w:val="18"/>
              </w:rPr>
            </w:pPr>
            <w:r>
              <w:rPr>
                <w:rFonts w:ascii="宋体" w:hAnsi="宋体" w:cs="宋体" w:eastAsia="宋体" w:hint="default"/>
                <w:sz w:val="18"/>
                <w:szCs w:val="18"/>
              </w:rPr>
              <w:t>期损益的有效 部分</w:t>
            </w: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85" w:right="0"/>
              <w:jc w:val="left"/>
              <w:rPr>
                <w:rFonts w:ascii="宋体" w:hAnsi="宋体" w:cs="宋体" w:eastAsia="宋体" w:hint="default"/>
                <w:sz w:val="18"/>
                <w:szCs w:val="18"/>
              </w:rPr>
            </w:pPr>
            <w:r>
              <w:rPr>
                <w:rFonts w:ascii="宋体" w:hAnsi="宋体" w:cs="宋体" w:eastAsia="宋体" w:hint="default"/>
                <w:sz w:val="18"/>
                <w:szCs w:val="18"/>
              </w:rPr>
              <w:t>外币财务报</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表折算差额</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21"/>
                <w:szCs w:val="21"/>
              </w:rPr>
            </w:pPr>
            <w:r>
              <w:rPr>
                <w:rFonts w:ascii="Times New Roman"/>
                <w:spacing w:val="-1"/>
                <w:sz w:val="21"/>
              </w:rPr>
              <w:t>4,427,272</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21"/>
                <w:szCs w:val="21"/>
              </w:rPr>
            </w:pPr>
            <w:r>
              <w:rPr>
                <w:rFonts w:ascii="Times New Roman"/>
                <w:spacing w:val="-1"/>
                <w:sz w:val="21"/>
              </w:rPr>
              <w:t>-7,357,561</w:t>
            </w: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Times New Roman" w:hAnsi="Times New Roman" w:cs="Times New Roman" w:eastAsia="Times New Roman" w:hint="default"/>
                <w:sz w:val="21"/>
                <w:szCs w:val="21"/>
              </w:rPr>
            </w:pPr>
            <w:r>
              <w:rPr>
                <w:rFonts w:ascii="Times New Roman"/>
                <w:spacing w:val="-1"/>
                <w:sz w:val="21"/>
              </w:rPr>
              <w:t>-6,921,569</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4"/>
              <w:jc w:val="right"/>
              <w:rPr>
                <w:rFonts w:ascii="Times New Roman" w:hAnsi="Times New Roman" w:cs="Times New Roman" w:eastAsia="Times New Roman" w:hint="default"/>
                <w:sz w:val="21"/>
                <w:szCs w:val="21"/>
              </w:rPr>
            </w:pPr>
            <w:r>
              <w:rPr>
                <w:rFonts w:ascii="Times New Roman"/>
                <w:spacing w:val="-1"/>
                <w:sz w:val="21"/>
              </w:rPr>
              <w:t>-435,992</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21"/>
                <w:szCs w:val="21"/>
              </w:rPr>
            </w:pPr>
            <w:r>
              <w:rPr>
                <w:rFonts w:ascii="Times New Roman"/>
                <w:spacing w:val="-1"/>
                <w:sz w:val="21"/>
              </w:rPr>
              <w:t>-2,494,297</w:t>
            </w:r>
          </w:p>
        </w:tc>
      </w:tr>
      <w:tr>
        <w:trPr>
          <w:trHeight w:val="252" w:hRule="exact"/>
        </w:trPr>
        <w:tc>
          <w:tcPr>
            <w:tcW w:w="133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252" w:hRule="exact"/>
        </w:trPr>
        <w:tc>
          <w:tcPr>
            <w:tcW w:w="133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c>
          <w:tcPr>
            <w:tcW w:w="1023"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其他综合收益</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8"/>
              <w:jc w:val="right"/>
              <w:rPr>
                <w:rFonts w:ascii="Times New Roman" w:hAnsi="Times New Roman" w:cs="Times New Roman" w:eastAsia="Times New Roman" w:hint="default"/>
                <w:sz w:val="21"/>
                <w:szCs w:val="21"/>
              </w:rPr>
            </w:pPr>
            <w:r>
              <w:rPr>
                <w:rFonts w:ascii="Times New Roman"/>
                <w:spacing w:val="-1"/>
                <w:sz w:val="21"/>
              </w:rPr>
              <w:t>4,427,272</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Times New Roman" w:hAnsi="Times New Roman" w:cs="Times New Roman" w:eastAsia="Times New Roman" w:hint="default"/>
                <w:sz w:val="21"/>
                <w:szCs w:val="21"/>
              </w:rPr>
            </w:pPr>
            <w:r>
              <w:rPr>
                <w:rFonts w:ascii="Times New Roman"/>
                <w:spacing w:val="-1"/>
                <w:sz w:val="21"/>
              </w:rPr>
              <w:t>-7,357,561</w:t>
            </w:r>
          </w:p>
        </w:tc>
        <w:tc>
          <w:tcPr>
            <w:tcW w:w="900" w:type="dxa"/>
            <w:tcBorders>
              <w:top w:val="single" w:sz="4" w:space="0" w:color="000000"/>
              <w:left w:val="single" w:sz="4" w:space="0" w:color="000000"/>
              <w:bottom w:val="single" w:sz="4" w:space="0" w:color="000000"/>
              <w:right w:val="single" w:sz="4" w:space="0" w:color="000000"/>
            </w:tcBorders>
          </w:tcPr>
          <w:p>
            <w:pPr/>
          </w:p>
        </w:tc>
        <w:tc>
          <w:tcPr>
            <w:tcW w:w="905" w:type="dxa"/>
            <w:tcBorders>
              <w:top w:val="single" w:sz="4" w:space="0" w:color="000000"/>
              <w:left w:val="single" w:sz="4" w:space="0" w:color="000000"/>
              <w:bottom w:val="single" w:sz="4" w:space="0" w:color="000000"/>
              <w:right w:val="single" w:sz="4" w:space="0" w:color="000000"/>
            </w:tcBorders>
          </w:tcPr>
          <w:p>
            <w:pPr/>
          </w:p>
        </w:tc>
        <w:tc>
          <w:tcPr>
            <w:tcW w:w="615"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21"/>
                <w:szCs w:val="21"/>
              </w:rPr>
            </w:pPr>
            <w:r>
              <w:rPr>
                <w:rFonts w:ascii="Times New Roman"/>
                <w:spacing w:val="-1"/>
                <w:sz w:val="21"/>
              </w:rPr>
              <w:t>-6,921,569</w:t>
            </w:r>
          </w:p>
        </w:tc>
        <w:tc>
          <w:tcPr>
            <w:tcW w:w="1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4"/>
              <w:jc w:val="right"/>
              <w:rPr>
                <w:rFonts w:ascii="Times New Roman" w:hAnsi="Times New Roman" w:cs="Times New Roman" w:eastAsia="Times New Roman" w:hint="default"/>
                <w:sz w:val="21"/>
                <w:szCs w:val="21"/>
              </w:rPr>
            </w:pPr>
            <w:r>
              <w:rPr>
                <w:rFonts w:ascii="Times New Roman"/>
                <w:spacing w:val="-1"/>
                <w:sz w:val="21"/>
              </w:rPr>
              <w:t>-435,992</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8"/>
              <w:jc w:val="right"/>
              <w:rPr>
                <w:rFonts w:ascii="Times New Roman" w:hAnsi="Times New Roman" w:cs="Times New Roman" w:eastAsia="Times New Roman" w:hint="default"/>
                <w:sz w:val="21"/>
                <w:szCs w:val="21"/>
              </w:rPr>
            </w:pPr>
            <w:r>
              <w:rPr>
                <w:rFonts w:ascii="Times New Roman"/>
                <w:spacing w:val="-1"/>
                <w:sz w:val="21"/>
              </w:rPr>
              <w:t>-2,494,297</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p>
      <w:pPr>
        <w:pStyle w:val="BodyText"/>
        <w:spacing w:line="240" w:lineRule="auto" w:before="26"/>
        <w:ind w:left="656" w:right="0"/>
        <w:jc w:val="left"/>
      </w:pPr>
      <w:r>
        <w:rPr/>
        <w:t>无。</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2"/>
          <w:szCs w:val="22"/>
        </w:rPr>
      </w:pPr>
    </w:p>
    <w:p>
      <w:pPr>
        <w:pStyle w:val="Heading2"/>
        <w:spacing w:line="240" w:lineRule="auto"/>
        <w:ind w:left="656" w:right="0"/>
        <w:jc w:val="left"/>
        <w:rPr>
          <w:rFonts w:ascii="宋体" w:hAnsi="宋体" w:cs="宋体" w:eastAsia="宋体" w:hint="default"/>
          <w:b w:val="0"/>
          <w:bCs w:val="0"/>
        </w:rPr>
      </w:pPr>
      <w:r>
        <w:rPr>
          <w:rFonts w:ascii="宋体" w:hAnsi="宋体" w:cs="宋体" w:eastAsia="宋体" w:hint="default"/>
        </w:rPr>
        <w:t>56</w:t>
      </w:r>
      <w:r>
        <w:rPr/>
        <w:t>、</w:t>
      </w:r>
      <w:r>
        <w:rPr>
          <w:spacing w:val="-101"/>
        </w:rPr>
        <w:t> </w:t>
      </w:r>
      <w:r>
        <w:rPr/>
        <w:t>专项储备</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656" w:right="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2" w:footer="1195" w:top="1080" w:bottom="1380" w:left="620" w:right="1460"/>
        </w:sectPr>
      </w:pPr>
    </w:p>
    <w:p>
      <w:pPr>
        <w:pStyle w:val="Heading2"/>
        <w:spacing w:line="240" w:lineRule="auto" w:before="26"/>
        <w:ind w:left="656" w:right="-19"/>
        <w:jc w:val="left"/>
        <w:rPr>
          <w:rFonts w:ascii="宋体" w:hAnsi="宋体" w:cs="宋体" w:eastAsia="宋体" w:hint="default"/>
          <w:b w:val="0"/>
          <w:bCs w:val="0"/>
        </w:rPr>
      </w:pPr>
      <w:r>
        <w:rPr>
          <w:rFonts w:ascii="宋体" w:hAnsi="宋体" w:cs="宋体" w:eastAsia="宋体" w:hint="default"/>
        </w:rPr>
        <w:t>57</w:t>
      </w:r>
      <w:r>
        <w:rPr/>
        <w:t>、</w:t>
      </w:r>
      <w:r>
        <w:rPr>
          <w:spacing w:val="-101"/>
        </w:rPr>
        <w:t> </w:t>
      </w:r>
      <w:r>
        <w:rPr/>
        <w:t>盈余公积</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656" w:right="-19"/>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856" w:val="left" w:leader="none"/>
        </w:tabs>
        <w:spacing w:line="240" w:lineRule="auto"/>
        <w:ind w:left="656" w:right="0"/>
        <w:jc w:val="left"/>
      </w:pPr>
      <w:r>
        <w:rPr/>
        <w:t>单位：元</w:t>
        <w:tab/>
        <w:t>币种：人民币</w:t>
      </w:r>
    </w:p>
    <w:p>
      <w:pPr>
        <w:spacing w:after="0" w:line="240" w:lineRule="auto"/>
        <w:jc w:val="left"/>
        <w:sectPr>
          <w:type w:val="continuous"/>
          <w:pgSz w:w="11910" w:h="16840"/>
          <w:pgMar w:top="1120" w:bottom="1380" w:left="620" w:right="1460"/>
          <w:cols w:num="2" w:equalWidth="0">
            <w:col w:w="2458" w:space="3736"/>
            <w:col w:w="3636"/>
          </w:cols>
        </w:sectPr>
      </w:pPr>
    </w:p>
    <w:p>
      <w:pPr>
        <w:spacing w:line="240" w:lineRule="auto" w:before="12"/>
        <w:rPr>
          <w:rFonts w:ascii="宋体" w:hAnsi="宋体" w:cs="宋体" w:eastAsia="宋体" w:hint="default"/>
          <w:sz w:val="2"/>
          <w:szCs w:val="2"/>
        </w:rPr>
      </w:pPr>
    </w:p>
    <w:tbl>
      <w:tblPr>
        <w:tblW w:w="0" w:type="auto"/>
        <w:jc w:val="left"/>
        <w:tblInd w:w="620" w:type="dxa"/>
        <w:tblLayout w:type="fixed"/>
        <w:tblCellMar>
          <w:top w:w="0" w:type="dxa"/>
          <w:left w:w="0" w:type="dxa"/>
          <w:bottom w:w="0" w:type="dxa"/>
          <w:right w:w="0" w:type="dxa"/>
        </w:tblCellMar>
        <w:tblLook w:val="01E0"/>
      </w:tblPr>
      <w:tblGrid>
        <w:gridCol w:w="1673"/>
        <w:gridCol w:w="1798"/>
        <w:gridCol w:w="1805"/>
        <w:gridCol w:w="1814"/>
        <w:gridCol w:w="1805"/>
      </w:tblGrid>
      <w:tr>
        <w:trPr>
          <w:trHeight w:val="319"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项目</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12"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15"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22"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15"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法定盈余公积</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81" w:right="0"/>
              <w:jc w:val="left"/>
              <w:rPr>
                <w:rFonts w:ascii="Times New Roman" w:hAnsi="Times New Roman" w:cs="Times New Roman" w:eastAsia="Times New Roman" w:hint="default"/>
                <w:sz w:val="24"/>
                <w:szCs w:val="24"/>
              </w:rPr>
            </w:pPr>
            <w:r>
              <w:rPr>
                <w:rFonts w:ascii="Times New Roman"/>
                <w:sz w:val="24"/>
              </w:rPr>
              <w:t>584,190,295</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04"/>
              <w:jc w:val="right"/>
              <w:rPr>
                <w:rFonts w:ascii="Times New Roman" w:hAnsi="Times New Roman" w:cs="Times New Roman" w:eastAsia="Times New Roman" w:hint="default"/>
                <w:sz w:val="24"/>
                <w:szCs w:val="24"/>
              </w:rPr>
            </w:pPr>
            <w:r>
              <w:rPr>
                <w:rFonts w:ascii="Times New Roman"/>
                <w:sz w:val="24"/>
              </w:rPr>
              <w:t>110,179,153</w:t>
            </w: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88" w:right="0"/>
              <w:jc w:val="left"/>
              <w:rPr>
                <w:rFonts w:ascii="Times New Roman" w:hAnsi="Times New Roman" w:cs="Times New Roman" w:eastAsia="Times New Roman" w:hint="default"/>
                <w:sz w:val="24"/>
                <w:szCs w:val="24"/>
              </w:rPr>
            </w:pPr>
            <w:r>
              <w:rPr>
                <w:rFonts w:ascii="Times New Roman"/>
                <w:sz w:val="24"/>
              </w:rPr>
              <w:t>694,369,448</w:t>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任意盈余公积</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81" w:right="0"/>
              <w:jc w:val="left"/>
              <w:rPr>
                <w:rFonts w:ascii="Times New Roman" w:hAnsi="Times New Roman" w:cs="Times New Roman" w:eastAsia="Times New Roman" w:hint="default"/>
                <w:sz w:val="24"/>
                <w:szCs w:val="24"/>
              </w:rPr>
            </w:pPr>
            <w:r>
              <w:rPr>
                <w:rFonts w:ascii="Times New Roman"/>
                <w:sz w:val="24"/>
              </w:rPr>
              <w:t>247,793,146</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4"/>
              <w:jc w:val="right"/>
              <w:rPr>
                <w:rFonts w:ascii="Times New Roman" w:hAnsi="Times New Roman" w:cs="Times New Roman" w:eastAsia="Times New Roman" w:hint="default"/>
                <w:sz w:val="24"/>
                <w:szCs w:val="24"/>
              </w:rPr>
            </w:pPr>
            <w:r>
              <w:rPr>
                <w:rFonts w:ascii="Times New Roman"/>
                <w:sz w:val="24"/>
              </w:rPr>
              <w:t>55,089,577</w:t>
            </w: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88" w:right="0"/>
              <w:jc w:val="left"/>
              <w:rPr>
                <w:rFonts w:ascii="Times New Roman" w:hAnsi="Times New Roman" w:cs="Times New Roman" w:eastAsia="Times New Roman" w:hint="default"/>
                <w:sz w:val="24"/>
                <w:szCs w:val="24"/>
              </w:rPr>
            </w:pPr>
            <w:r>
              <w:rPr>
                <w:rFonts w:ascii="Times New Roman"/>
                <w:sz w:val="24"/>
              </w:rPr>
              <w:t>302,882,723</w:t>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储备基金</w:t>
            </w:r>
          </w:p>
        </w:tc>
        <w:tc>
          <w:tcPr>
            <w:tcW w:w="1798"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企业发展基金</w:t>
            </w:r>
          </w:p>
        </w:tc>
        <w:tc>
          <w:tcPr>
            <w:tcW w:w="1798"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其他</w:t>
            </w:r>
          </w:p>
        </w:tc>
        <w:tc>
          <w:tcPr>
            <w:tcW w:w="1798"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合计</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81" w:right="0"/>
              <w:jc w:val="left"/>
              <w:rPr>
                <w:rFonts w:ascii="Times New Roman" w:hAnsi="Times New Roman" w:cs="Times New Roman" w:eastAsia="Times New Roman" w:hint="default"/>
                <w:sz w:val="24"/>
                <w:szCs w:val="24"/>
              </w:rPr>
            </w:pPr>
            <w:r>
              <w:rPr>
                <w:rFonts w:ascii="Times New Roman"/>
                <w:sz w:val="24"/>
              </w:rPr>
              <w:t>831,983,441</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4"/>
              <w:jc w:val="right"/>
              <w:rPr>
                <w:rFonts w:ascii="Times New Roman" w:hAnsi="Times New Roman" w:cs="Times New Roman" w:eastAsia="Times New Roman" w:hint="default"/>
                <w:sz w:val="24"/>
                <w:szCs w:val="24"/>
              </w:rPr>
            </w:pPr>
            <w:r>
              <w:rPr>
                <w:rFonts w:ascii="Times New Roman"/>
                <w:sz w:val="24"/>
              </w:rPr>
              <w:t>165,268,730</w:t>
            </w:r>
          </w:p>
        </w:tc>
        <w:tc>
          <w:tcPr>
            <w:tcW w:w="1814"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88" w:right="0"/>
              <w:jc w:val="left"/>
              <w:rPr>
                <w:rFonts w:ascii="Times New Roman" w:hAnsi="Times New Roman" w:cs="Times New Roman" w:eastAsia="Times New Roman" w:hint="default"/>
                <w:sz w:val="24"/>
                <w:szCs w:val="24"/>
              </w:rPr>
            </w:pPr>
            <w:r>
              <w:rPr>
                <w:rFonts w:ascii="Times New Roman"/>
                <w:sz w:val="24"/>
              </w:rPr>
              <w:t>997,252,171</w:t>
            </w:r>
          </w:p>
        </w:tc>
      </w:tr>
    </w:tbl>
    <w:p>
      <w:pPr>
        <w:pStyle w:val="BodyText"/>
        <w:spacing w:line="240" w:lineRule="auto" w:before="19"/>
        <w:ind w:left="656" w:right="0"/>
        <w:jc w:val="both"/>
      </w:pPr>
      <w:r>
        <w:rPr/>
        <w:t>盈余公积说明，包括本期增减变动情况、变动原因说明：</w:t>
      </w:r>
    </w:p>
    <w:p>
      <w:pPr>
        <w:pStyle w:val="BodyText"/>
        <w:spacing w:line="312" w:lineRule="exact" w:before="86"/>
        <w:ind w:left="656" w:right="334"/>
        <w:jc w:val="both"/>
      </w:pPr>
      <w:r>
        <w:rPr>
          <w:spacing w:val="-1"/>
        </w:rPr>
        <w:t>据公司法、本公司章程的规定，本公司按净利润的</w:t>
      </w:r>
      <w:r>
        <w:rPr>
          <w:rFonts w:ascii="Times New Roman" w:hAnsi="Times New Roman" w:cs="Times New Roman" w:eastAsia="Times New Roman" w:hint="default"/>
          <w:spacing w:val="-1"/>
        </w:rPr>
        <w:t>10%</w:t>
      </w:r>
      <w:r>
        <w:rPr>
          <w:spacing w:val="-1"/>
        </w:rPr>
        <w:t>提取法定盈余公积金。法定盈</w:t>
      </w:r>
      <w:r>
        <w:rPr>
          <w:spacing w:val="-91"/>
        </w:rPr>
        <w:t> </w:t>
      </w:r>
      <w:r>
        <w:rPr>
          <w:spacing w:val="-91"/>
        </w:rPr>
      </w:r>
      <w:r>
        <w:rPr/>
        <w:t>余公积累计额为本公司注册资本</w:t>
      </w:r>
      <w:r>
        <w:rPr>
          <w:rFonts w:ascii="Times New Roman" w:hAnsi="Times New Roman" w:cs="Times New Roman" w:eastAsia="Times New Roman" w:hint="default"/>
        </w:rPr>
        <w:t>50%</w:t>
      </w:r>
      <w:r>
        <w:rPr/>
        <w:t>以上的，可不再提取。</w:t>
      </w:r>
    </w:p>
    <w:p>
      <w:pPr>
        <w:spacing w:line="240" w:lineRule="auto" w:before="13"/>
        <w:rPr>
          <w:rFonts w:ascii="宋体" w:hAnsi="宋体" w:cs="宋体" w:eastAsia="宋体" w:hint="default"/>
          <w:sz w:val="18"/>
          <w:szCs w:val="18"/>
        </w:rPr>
      </w:pPr>
    </w:p>
    <w:p>
      <w:pPr>
        <w:pStyle w:val="BodyText"/>
        <w:spacing w:line="237" w:lineRule="auto"/>
        <w:ind w:left="656" w:right="333"/>
        <w:jc w:val="both"/>
      </w:pPr>
      <w:r>
        <w:rPr>
          <w:spacing w:val="-2"/>
        </w:rPr>
        <w:t>本公司在提取法定盈余公积后，可提取任意盈余公积。任意盈余公积的提取由董事会</w:t>
      </w:r>
      <w:r>
        <w:rPr>
          <w:spacing w:val="-94"/>
        </w:rPr>
        <w:t> </w:t>
      </w:r>
      <w:r>
        <w:rPr>
          <w:spacing w:val="-94"/>
        </w:rPr>
      </w:r>
      <w:r>
        <w:rPr>
          <w:spacing w:val="-2"/>
        </w:rPr>
        <w:t>提议，并经股东大会批准。经批准，任意盈余公积可用于弥补以前年度亏损或增加股</w:t>
      </w:r>
      <w:r>
        <w:rPr>
          <w:spacing w:val="-93"/>
        </w:rPr>
        <w:t> </w:t>
      </w:r>
      <w:r>
        <w:rPr>
          <w:spacing w:val="-93"/>
        </w:rPr>
      </w:r>
      <w:r>
        <w:rPr/>
        <w:t>本。经</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27</w:t>
      </w:r>
      <w:r>
        <w:rPr/>
        <w:t>日董事会提议，本公司按</w:t>
      </w:r>
      <w:r>
        <w:rPr>
          <w:rFonts w:ascii="Times New Roman" w:hAnsi="Times New Roman" w:cs="Times New Roman" w:eastAsia="Times New Roman" w:hint="default"/>
        </w:rPr>
        <w:t>2019</w:t>
      </w:r>
      <w:r>
        <w:rPr/>
        <w:t>年净利润</w:t>
      </w:r>
      <w:r>
        <w:rPr>
          <w:rFonts w:ascii="Times New Roman" w:hAnsi="Times New Roman" w:cs="Times New Roman" w:eastAsia="Times New Roman" w:hint="default"/>
        </w:rPr>
        <w:t>5%</w:t>
      </w:r>
      <w:r>
        <w:rPr/>
        <w:t>计提任意盈余公积。</w:t>
      </w:r>
    </w:p>
    <w:p>
      <w:pPr>
        <w:spacing w:line="240" w:lineRule="auto" w:before="3"/>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120" w:bottom="1380" w:left="620" w:right="1460"/>
        </w:sectPr>
      </w:pPr>
    </w:p>
    <w:p>
      <w:pPr>
        <w:pStyle w:val="Heading2"/>
        <w:spacing w:line="240" w:lineRule="auto" w:before="26"/>
        <w:ind w:left="656" w:right="0"/>
        <w:jc w:val="left"/>
        <w:rPr>
          <w:rFonts w:ascii="宋体" w:hAnsi="宋体" w:cs="宋体" w:eastAsia="宋体" w:hint="default"/>
          <w:b w:val="0"/>
          <w:bCs w:val="0"/>
        </w:rPr>
      </w:pPr>
      <w:r>
        <w:rPr>
          <w:rFonts w:ascii="宋体" w:hAnsi="宋体" w:cs="宋体" w:eastAsia="宋体" w:hint="default"/>
        </w:rPr>
        <w:t>58</w:t>
      </w:r>
      <w:r>
        <w:rPr/>
        <w:t>、</w:t>
      </w:r>
      <w:r>
        <w:rPr>
          <w:spacing w:val="-102"/>
        </w:rPr>
        <w:t> </w:t>
      </w:r>
      <w:r>
        <w:rPr/>
        <w:t>未分配利润</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65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856" w:val="left" w:leader="none"/>
        </w:tabs>
        <w:spacing w:line="240" w:lineRule="auto"/>
        <w:ind w:left="656" w:right="0"/>
        <w:jc w:val="left"/>
      </w:pPr>
      <w:r>
        <w:rPr/>
        <w:t>单位：元</w:t>
        <w:tab/>
        <w:t>币种：人民币</w:t>
      </w:r>
    </w:p>
    <w:p>
      <w:pPr>
        <w:spacing w:after="0" w:line="240" w:lineRule="auto"/>
        <w:jc w:val="left"/>
        <w:sectPr>
          <w:type w:val="continuous"/>
          <w:pgSz w:w="11910" w:h="16840"/>
          <w:pgMar w:top="1120" w:bottom="1380" w:left="620" w:right="1460"/>
          <w:cols w:num="2" w:equalWidth="0">
            <w:col w:w="2487" w:space="3707"/>
            <w:col w:w="3636"/>
          </w:cols>
        </w:sectPr>
      </w:pPr>
    </w:p>
    <w:p>
      <w:pPr>
        <w:spacing w:line="240" w:lineRule="auto" w:before="12"/>
        <w:rPr>
          <w:rFonts w:ascii="宋体" w:hAnsi="宋体" w:cs="宋体" w:eastAsia="宋体" w:hint="default"/>
          <w:sz w:val="2"/>
          <w:szCs w:val="2"/>
        </w:rPr>
      </w:pPr>
    </w:p>
    <w:tbl>
      <w:tblPr>
        <w:tblW w:w="0" w:type="auto"/>
        <w:jc w:val="left"/>
        <w:tblInd w:w="539" w:type="dxa"/>
        <w:tblLayout w:type="fixed"/>
        <w:tblCellMar>
          <w:top w:w="0" w:type="dxa"/>
          <w:left w:w="0" w:type="dxa"/>
          <w:bottom w:w="0" w:type="dxa"/>
          <w:right w:w="0" w:type="dxa"/>
        </w:tblCellMar>
        <w:tblLook w:val="01E0"/>
      </w:tblPr>
      <w:tblGrid>
        <w:gridCol w:w="3493"/>
        <w:gridCol w:w="2828"/>
        <w:gridCol w:w="2741"/>
      </w:tblGrid>
      <w:tr>
        <w:trPr>
          <w:trHeight w:val="322"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本期</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上期</w:t>
            </w:r>
          </w:p>
        </w:tc>
      </w:tr>
      <w:tr>
        <w:trPr>
          <w:trHeight w:val="322"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调整前上期末未分配利润</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1,785,975,033</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1,495,033,934</w:t>
            </w:r>
          </w:p>
        </w:tc>
      </w:tr>
      <w:tr>
        <w:trPr>
          <w:trHeight w:val="319"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会计政策变更</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65,279,400</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pacing w:val="-7"/>
                <w:sz w:val="24"/>
                <w:szCs w:val="24"/>
              </w:rPr>
              <w:t>调整期初未分配利润合计数（调</w:t>
            </w:r>
          </w:p>
          <w:p>
            <w:pPr>
              <w:pStyle w:val="TableParagraph"/>
              <w:spacing w:line="330" w:lineRule="exact"/>
              <w:ind w:left="108" w:right="0"/>
              <w:jc w:val="left"/>
              <w:rPr>
                <w:rFonts w:ascii="宋体" w:hAnsi="宋体" w:cs="宋体" w:eastAsia="宋体" w:hint="default"/>
                <w:sz w:val="24"/>
                <w:szCs w:val="24"/>
              </w:rPr>
            </w:pPr>
            <w:r>
              <w:rPr>
                <w:rFonts w:ascii="宋体" w:hAnsi="宋体" w:cs="宋体" w:eastAsia="宋体" w:hint="default"/>
                <w:sz w:val="24"/>
                <w:szCs w:val="24"/>
              </w:rPr>
              <w:t>增</w:t>
            </w:r>
            <w:r>
              <w:rPr>
                <w:rFonts w:ascii="Times New Roman" w:hAnsi="Times New Roman" w:cs="Times New Roman" w:eastAsia="Times New Roman" w:hint="default"/>
                <w:sz w:val="24"/>
                <w:szCs w:val="24"/>
              </w:rPr>
              <w:t>+</w:t>
            </w:r>
            <w:r>
              <w:rPr>
                <w:rFonts w:ascii="宋体" w:hAnsi="宋体" w:cs="宋体" w:eastAsia="宋体" w:hint="default"/>
                <w:sz w:val="24"/>
                <w:szCs w:val="24"/>
              </w:rPr>
              <w:t>，调减－）</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3"/>
              <w:jc w:val="right"/>
              <w:rPr>
                <w:rFonts w:ascii="Times New Roman" w:hAnsi="Times New Roman" w:cs="Times New Roman" w:eastAsia="Times New Roman" w:hint="default"/>
                <w:sz w:val="24"/>
                <w:szCs w:val="24"/>
              </w:rPr>
            </w:pPr>
            <w:r>
              <w:rPr>
                <w:rFonts w:ascii="Times New Roman"/>
                <w:sz w:val="24"/>
              </w:rPr>
              <w:t>65,279,400</w:t>
            </w: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调整后期初未分配利润</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1,851,254,433</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1,495,033,934</w:t>
            </w:r>
          </w:p>
        </w:tc>
      </w:tr>
    </w:tbl>
    <w:p>
      <w:pPr>
        <w:spacing w:after="0" w:line="268" w:lineRule="exact"/>
        <w:jc w:val="right"/>
        <w:rPr>
          <w:rFonts w:ascii="Times New Roman" w:hAnsi="Times New Roman" w:cs="Times New Roman" w:eastAsia="Times New Roman" w:hint="default"/>
          <w:sz w:val="24"/>
          <w:szCs w:val="24"/>
        </w:rPr>
        <w:sectPr>
          <w:type w:val="continuous"/>
          <w:pgSz w:w="11910" w:h="16840"/>
          <w:pgMar w:top="1120" w:bottom="1380" w:left="620" w:right="1460"/>
        </w:sectPr>
      </w:pPr>
    </w:p>
    <w:p>
      <w:pPr>
        <w:spacing w:line="240" w:lineRule="auto" w:before="5"/>
        <w:rPr>
          <w:rFonts w:ascii="宋体" w:hAnsi="宋体" w:cs="宋体" w:eastAsia="宋体" w:hint="default"/>
          <w:sz w:val="27"/>
          <w:szCs w:val="27"/>
        </w:rPr>
      </w:pPr>
    </w:p>
    <w:tbl>
      <w:tblPr>
        <w:tblW w:w="0" w:type="auto"/>
        <w:jc w:val="left"/>
        <w:tblInd w:w="119" w:type="dxa"/>
        <w:tblLayout w:type="fixed"/>
        <w:tblCellMar>
          <w:top w:w="0" w:type="dxa"/>
          <w:left w:w="0" w:type="dxa"/>
          <w:bottom w:w="0" w:type="dxa"/>
          <w:right w:w="0" w:type="dxa"/>
        </w:tblCellMar>
        <w:tblLook w:val="01E0"/>
      </w:tblPr>
      <w:tblGrid>
        <w:gridCol w:w="3493"/>
        <w:gridCol w:w="2828"/>
        <w:gridCol w:w="2741"/>
      </w:tblGrid>
      <w:tr>
        <w:trPr>
          <w:trHeight w:val="634"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8" w:right="0"/>
              <w:jc w:val="left"/>
              <w:rPr>
                <w:rFonts w:ascii="宋体" w:hAnsi="宋体" w:cs="宋体" w:eastAsia="宋体" w:hint="default"/>
                <w:sz w:val="24"/>
                <w:szCs w:val="24"/>
              </w:rPr>
            </w:pPr>
            <w:r>
              <w:rPr>
                <w:rFonts w:ascii="宋体" w:hAnsi="宋体" w:cs="宋体" w:eastAsia="宋体" w:hint="default"/>
                <w:sz w:val="24"/>
                <w:szCs w:val="24"/>
              </w:rPr>
              <w:t>加</w:t>
            </w:r>
            <w:r>
              <w:rPr>
                <w:rFonts w:ascii="宋体" w:hAnsi="宋体" w:cs="宋体" w:eastAsia="宋体" w:hint="default"/>
                <w:spacing w:val="-101"/>
                <w:sz w:val="24"/>
                <w:szCs w:val="24"/>
              </w:rPr>
              <w:t>：</w:t>
            </w:r>
            <w:r>
              <w:rPr>
                <w:rFonts w:ascii="宋体" w:hAnsi="宋体" w:cs="宋体" w:eastAsia="宋体" w:hint="default"/>
                <w:sz w:val="24"/>
                <w:szCs w:val="24"/>
              </w:rPr>
              <w:t>本期归属于母公司所有者的</w:t>
            </w:r>
          </w:p>
          <w:p>
            <w:pPr>
              <w:pStyle w:val="TableParagraph"/>
              <w:spacing w:line="313" w:lineRule="exact"/>
              <w:ind w:left="108" w:right="0"/>
              <w:jc w:val="left"/>
              <w:rPr>
                <w:rFonts w:ascii="宋体" w:hAnsi="宋体" w:cs="宋体" w:eastAsia="宋体" w:hint="default"/>
                <w:sz w:val="24"/>
                <w:szCs w:val="24"/>
              </w:rPr>
            </w:pPr>
            <w:r>
              <w:rPr>
                <w:rFonts w:ascii="宋体" w:hAnsi="宋体" w:cs="宋体" w:eastAsia="宋体" w:hint="default"/>
                <w:sz w:val="24"/>
                <w:szCs w:val="24"/>
              </w:rPr>
              <w:t>净利润</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4"/>
                <w:szCs w:val="24"/>
              </w:rPr>
            </w:pPr>
            <w:r>
              <w:rPr>
                <w:rFonts w:ascii="Times New Roman"/>
                <w:sz w:val="24"/>
              </w:rPr>
              <w:t>1,182,989,733</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612,130,382</w:t>
            </w:r>
          </w:p>
        </w:tc>
      </w:tr>
      <w:tr>
        <w:trPr>
          <w:trHeight w:val="319"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减：提取法定盈余公积</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110,179,153</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68,003,566</w:t>
            </w:r>
          </w:p>
        </w:tc>
      </w:tr>
      <w:tr>
        <w:trPr>
          <w:trHeight w:val="322"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528" w:right="0"/>
              <w:jc w:val="left"/>
              <w:rPr>
                <w:rFonts w:ascii="宋体" w:hAnsi="宋体" w:cs="宋体" w:eastAsia="宋体" w:hint="default"/>
                <w:sz w:val="24"/>
                <w:szCs w:val="24"/>
              </w:rPr>
            </w:pPr>
            <w:r>
              <w:rPr>
                <w:rFonts w:ascii="宋体" w:hAnsi="宋体" w:cs="宋体" w:eastAsia="宋体" w:hint="default"/>
                <w:sz w:val="24"/>
                <w:szCs w:val="24"/>
              </w:rPr>
              <w:t>提取任意盈余公积</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6"/>
              <w:jc w:val="right"/>
              <w:rPr>
                <w:rFonts w:ascii="Times New Roman" w:hAnsi="Times New Roman" w:cs="Times New Roman" w:eastAsia="Times New Roman" w:hint="default"/>
                <w:sz w:val="24"/>
                <w:szCs w:val="24"/>
              </w:rPr>
            </w:pPr>
            <w:r>
              <w:rPr>
                <w:rFonts w:ascii="Times New Roman"/>
                <w:sz w:val="24"/>
              </w:rPr>
              <w:t>55,089,577</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3"/>
              <w:jc w:val="right"/>
              <w:rPr>
                <w:rFonts w:ascii="Times New Roman" w:hAnsi="Times New Roman" w:cs="Times New Roman" w:eastAsia="Times New Roman" w:hint="default"/>
                <w:sz w:val="24"/>
                <w:szCs w:val="24"/>
              </w:rPr>
            </w:pPr>
            <w:r>
              <w:rPr>
                <w:rFonts w:ascii="Times New Roman"/>
                <w:sz w:val="24"/>
              </w:rPr>
              <w:t>34,001,783</w:t>
            </w:r>
          </w:p>
        </w:tc>
      </w:tr>
      <w:tr>
        <w:trPr>
          <w:trHeight w:val="322"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8" w:right="0"/>
              <w:jc w:val="left"/>
              <w:rPr>
                <w:rFonts w:ascii="宋体" w:hAnsi="宋体" w:cs="宋体" w:eastAsia="宋体" w:hint="default"/>
                <w:sz w:val="24"/>
                <w:szCs w:val="24"/>
              </w:rPr>
            </w:pPr>
            <w:r>
              <w:rPr>
                <w:rFonts w:ascii="宋体" w:hAnsi="宋体" w:cs="宋体" w:eastAsia="宋体" w:hint="default"/>
                <w:sz w:val="24"/>
                <w:szCs w:val="24"/>
              </w:rPr>
              <w:t>提取一般风险准备</w:t>
            </w:r>
          </w:p>
        </w:tc>
        <w:tc>
          <w:tcPr>
            <w:tcW w:w="2828" w:type="dxa"/>
            <w:tcBorders>
              <w:top w:val="single" w:sz="4" w:space="0" w:color="000000"/>
              <w:left w:val="single" w:sz="4" w:space="0" w:color="000000"/>
              <w:bottom w:val="single" w:sz="4" w:space="0" w:color="000000"/>
              <w:right w:val="single" w:sz="4" w:space="0" w:color="000000"/>
            </w:tcBorders>
          </w:tcPr>
          <w:p>
            <w:pP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8" w:right="0"/>
              <w:jc w:val="left"/>
              <w:rPr>
                <w:rFonts w:ascii="宋体" w:hAnsi="宋体" w:cs="宋体" w:eastAsia="宋体" w:hint="default"/>
                <w:sz w:val="24"/>
                <w:szCs w:val="24"/>
              </w:rPr>
            </w:pPr>
            <w:r>
              <w:rPr>
                <w:rFonts w:ascii="宋体" w:hAnsi="宋体" w:cs="宋体" w:eastAsia="宋体" w:hint="default"/>
                <w:sz w:val="24"/>
                <w:szCs w:val="24"/>
              </w:rPr>
              <w:t>应付普通股股利</w:t>
            </w:r>
          </w:p>
        </w:tc>
        <w:tc>
          <w:tcPr>
            <w:tcW w:w="2828" w:type="dxa"/>
            <w:tcBorders>
              <w:top w:val="single" w:sz="4" w:space="0" w:color="000000"/>
              <w:left w:val="single" w:sz="4" w:space="0" w:color="000000"/>
              <w:bottom w:val="single" w:sz="4" w:space="0" w:color="000000"/>
              <w:right w:val="single" w:sz="4" w:space="0" w:color="000000"/>
            </w:tcBorders>
          </w:tcPr>
          <w:p>
            <w:pP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8" w:right="0"/>
              <w:jc w:val="left"/>
              <w:rPr>
                <w:rFonts w:ascii="宋体" w:hAnsi="宋体" w:cs="宋体" w:eastAsia="宋体" w:hint="default"/>
                <w:sz w:val="24"/>
                <w:szCs w:val="24"/>
              </w:rPr>
            </w:pPr>
            <w:r>
              <w:rPr>
                <w:rFonts w:ascii="宋体" w:hAnsi="宋体" w:cs="宋体" w:eastAsia="宋体" w:hint="default"/>
                <w:sz w:val="24"/>
                <w:szCs w:val="24"/>
              </w:rPr>
              <w:t>转作股本的普通股股利</w:t>
            </w:r>
          </w:p>
        </w:tc>
        <w:tc>
          <w:tcPr>
            <w:tcW w:w="2828" w:type="dxa"/>
            <w:tcBorders>
              <w:top w:val="single" w:sz="4" w:space="0" w:color="000000"/>
              <w:left w:val="single" w:sz="4" w:space="0" w:color="000000"/>
              <w:bottom w:val="single" w:sz="4" w:space="0" w:color="000000"/>
              <w:right w:val="single" w:sz="4" w:space="0" w:color="000000"/>
            </w:tcBorders>
          </w:tcPr>
          <w:p>
            <w:pP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已派发之现金股利</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474,413,036</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219,183,934</w:t>
            </w:r>
          </w:p>
        </w:tc>
      </w:tr>
      <w:tr>
        <w:trPr>
          <w:trHeight w:val="286" w:hRule="exact"/>
        </w:trPr>
        <w:tc>
          <w:tcPr>
            <w:tcW w:w="3493" w:type="dxa"/>
            <w:tcBorders>
              <w:top w:val="single" w:sz="4" w:space="0" w:color="000000"/>
              <w:left w:val="single" w:sz="4" w:space="0" w:color="000000"/>
              <w:bottom w:val="single" w:sz="4" w:space="0" w:color="000000"/>
              <w:right w:val="single" w:sz="4" w:space="0" w:color="000000"/>
            </w:tcBorders>
          </w:tcPr>
          <w:p>
            <w:pPr/>
          </w:p>
        </w:tc>
        <w:tc>
          <w:tcPr>
            <w:tcW w:w="2828" w:type="dxa"/>
            <w:tcBorders>
              <w:top w:val="single" w:sz="4" w:space="0" w:color="000000"/>
              <w:left w:val="single" w:sz="4" w:space="0" w:color="000000"/>
              <w:bottom w:val="single" w:sz="4" w:space="0" w:color="000000"/>
              <w:right w:val="single" w:sz="4" w:space="0" w:color="000000"/>
            </w:tcBorders>
          </w:tcPr>
          <w:p>
            <w:pPr/>
          </w:p>
        </w:tc>
        <w:tc>
          <w:tcPr>
            <w:tcW w:w="27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期末未分配利润</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2,394,562,400</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1,785,975,033</w:t>
            </w:r>
          </w:p>
        </w:tc>
      </w:tr>
    </w:tbl>
    <w:p>
      <w:pPr>
        <w:pStyle w:val="BodyText"/>
        <w:spacing w:line="240" w:lineRule="auto" w:before="19"/>
        <w:ind w:left="236" w:right="4250"/>
        <w:jc w:val="left"/>
      </w:pPr>
      <w:r>
        <w:rPr/>
        <w:t>调整期初未分配利润明细：</w:t>
      </w:r>
    </w:p>
    <w:p>
      <w:pPr>
        <w:pStyle w:val="BodyText"/>
        <w:spacing w:line="321" w:lineRule="exact" w:before="58"/>
        <w:ind w:left="236" w:right="0"/>
        <w:jc w:val="left"/>
      </w:pPr>
      <w:r>
        <w:rPr>
          <w:rFonts w:ascii="Times New Roman" w:hAnsi="Times New Roman" w:cs="Times New Roman" w:eastAsia="Times New Roman" w:hint="default"/>
          <w:spacing w:val="-7"/>
        </w:rPr>
        <w:t>1</w:t>
      </w:r>
      <w:r>
        <w:rPr>
          <w:spacing w:val="-7"/>
        </w:rPr>
        <w:t>、由于《企业会计准则》及其相关新规定进行追溯调整，影响期初未分配利润 </w:t>
      </w:r>
      <w:r>
        <w:rPr>
          <w:rFonts w:ascii="Times New Roman" w:hAnsi="Times New Roman" w:cs="Times New Roman" w:eastAsia="Times New Roman" w:hint="default"/>
        </w:rPr>
        <w:t>0</w:t>
      </w:r>
      <w:r>
        <w:rPr>
          <w:rFonts w:ascii="Times New Roman" w:hAnsi="Times New Roman" w:cs="Times New Roman" w:eastAsia="Times New Roman" w:hint="default"/>
          <w:spacing w:val="23"/>
        </w:rPr>
        <w:t> </w:t>
      </w:r>
      <w:r>
        <w:rPr/>
        <w:t>元。</w:t>
      </w:r>
    </w:p>
    <w:p>
      <w:pPr>
        <w:pStyle w:val="BodyText"/>
        <w:spacing w:line="311" w:lineRule="exact"/>
        <w:ind w:left="236" w:right="0"/>
        <w:jc w:val="left"/>
      </w:pPr>
      <w:r>
        <w:rPr>
          <w:rFonts w:ascii="Times New Roman" w:hAnsi="Times New Roman" w:cs="Times New Roman" w:eastAsia="Times New Roman" w:hint="default"/>
        </w:rPr>
        <w:t>2</w:t>
      </w:r>
      <w:r>
        <w:rPr/>
        <w:t>、由于会计政策变更，影响期初未分配利润 </w:t>
      </w:r>
      <w:r>
        <w:rPr>
          <w:rFonts w:ascii="Times New Roman" w:hAnsi="Times New Roman" w:cs="Times New Roman" w:eastAsia="Times New Roman" w:hint="default"/>
        </w:rPr>
        <w:t>65,279,400 </w:t>
      </w:r>
      <w:r>
        <w:rPr/>
        <w:t>元。</w:t>
      </w:r>
    </w:p>
    <w:p>
      <w:pPr>
        <w:pStyle w:val="BodyText"/>
        <w:spacing w:line="312" w:lineRule="exact"/>
        <w:ind w:left="236" w:right="0"/>
        <w:jc w:val="left"/>
      </w:pPr>
      <w:r>
        <w:rPr>
          <w:rFonts w:ascii="Times New Roman" w:hAnsi="Times New Roman" w:cs="Times New Roman" w:eastAsia="Times New Roman" w:hint="default"/>
        </w:rPr>
        <w:t>3</w:t>
      </w:r>
      <w:r>
        <w:rPr/>
        <w:t>、由于重大会计差错更正，影响期初未分配利润 </w:t>
      </w:r>
      <w:r>
        <w:rPr>
          <w:rFonts w:ascii="Times New Roman" w:hAnsi="Times New Roman" w:cs="Times New Roman" w:eastAsia="Times New Roman" w:hint="default"/>
        </w:rPr>
        <w:t>0 </w:t>
      </w:r>
      <w:r>
        <w:rPr/>
        <w:t>元。</w:t>
      </w:r>
    </w:p>
    <w:p>
      <w:pPr>
        <w:pStyle w:val="BodyText"/>
        <w:spacing w:line="311" w:lineRule="exact"/>
        <w:ind w:left="236" w:right="0"/>
        <w:jc w:val="left"/>
      </w:pPr>
      <w:r>
        <w:rPr>
          <w:rFonts w:ascii="Times New Roman" w:hAnsi="Times New Roman" w:cs="Times New Roman" w:eastAsia="Times New Roman" w:hint="default"/>
        </w:rPr>
        <w:t>4</w:t>
      </w:r>
      <w:r>
        <w:rPr/>
        <w:t>、由于同一控制导致的合并范围变更，影响期初未分配利润 </w:t>
      </w:r>
      <w:r>
        <w:rPr>
          <w:rFonts w:ascii="Times New Roman" w:hAnsi="Times New Roman" w:cs="Times New Roman" w:eastAsia="Times New Roman" w:hint="default"/>
        </w:rPr>
        <w:t>0 </w:t>
      </w:r>
      <w:r>
        <w:rPr/>
        <w:t>元。</w:t>
      </w:r>
    </w:p>
    <w:p>
      <w:pPr>
        <w:pStyle w:val="BodyText"/>
        <w:spacing w:line="311" w:lineRule="exact"/>
        <w:ind w:left="236" w:right="4250"/>
        <w:jc w:val="left"/>
      </w:pPr>
      <w:r>
        <w:rPr>
          <w:rFonts w:ascii="Times New Roman" w:hAnsi="Times New Roman" w:cs="Times New Roman" w:eastAsia="Times New Roman" w:hint="default"/>
        </w:rPr>
        <w:t>5</w:t>
      </w:r>
      <w:r>
        <w:rPr/>
        <w:t>、其他调整合计影响期初未分配利润 </w:t>
      </w:r>
      <w:r>
        <w:rPr>
          <w:rFonts w:ascii="Times New Roman" w:hAnsi="Times New Roman" w:cs="Times New Roman" w:eastAsia="Times New Roman" w:hint="default"/>
        </w:rPr>
        <w:t>0 </w:t>
      </w:r>
      <w:r>
        <w:rPr/>
        <w:t>元。</w:t>
      </w:r>
    </w:p>
    <w:p>
      <w:pPr>
        <w:pStyle w:val="BodyText"/>
        <w:spacing w:line="312" w:lineRule="exact"/>
        <w:ind w:left="236" w:right="0"/>
        <w:jc w:val="left"/>
        <w:rPr>
          <w:rFonts w:ascii="Times New Roman" w:hAnsi="Times New Roman" w:cs="Times New Roman" w:eastAsia="Times New Roman" w:hint="default"/>
        </w:rPr>
      </w:pPr>
      <w:r>
        <w:rPr/>
        <w:t>根据本公司于</w:t>
      </w:r>
      <w:r>
        <w:rPr>
          <w:spacing w:val="-60"/>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26 </w:t>
      </w:r>
      <w:r>
        <w:rPr/>
        <w:t>日召开</w:t>
      </w:r>
      <w:r>
        <w:rPr>
          <w:spacing w:val="-60"/>
        </w:rPr>
        <w:t> </w:t>
      </w:r>
      <w:r>
        <w:rPr>
          <w:rFonts w:ascii="Times New Roman" w:hAnsi="Times New Roman" w:cs="Times New Roman" w:eastAsia="Times New Roman" w:hint="default"/>
        </w:rPr>
        <w:t>2018 </w:t>
      </w:r>
      <w:r>
        <w:rPr/>
        <w:t>年年度股东大会，审议通过了公司《</w:t>
      </w:r>
      <w:r>
        <w:rPr>
          <w:rFonts w:ascii="Times New Roman" w:hAnsi="Times New Roman" w:cs="Times New Roman" w:eastAsia="Times New Roman" w:hint="default"/>
        </w:rPr>
        <w:t>2018</w:t>
      </w:r>
    </w:p>
    <w:p>
      <w:pPr>
        <w:pStyle w:val="BodyText"/>
        <w:spacing w:line="311" w:lineRule="exact"/>
        <w:ind w:left="236" w:right="0"/>
        <w:jc w:val="left"/>
      </w:pPr>
      <w:r>
        <w:rPr/>
        <w:t>年度利润分配议案》，公司以</w:t>
      </w:r>
      <w:r>
        <w:rPr>
          <w:spacing w:val="-59"/>
        </w:rPr>
        <w:t> </w:t>
      </w:r>
      <w:r>
        <w:rPr>
          <w:rFonts w:ascii="Times New Roman" w:hAnsi="Times New Roman" w:cs="Times New Roman" w:eastAsia="Times New Roman" w:hint="default"/>
        </w:rPr>
        <w:t>2018 </w:t>
      </w:r>
      <w:r>
        <w:rPr/>
        <w:t>年末总股本</w:t>
      </w:r>
      <w:r>
        <w:rPr>
          <w:spacing w:val="-60"/>
        </w:rPr>
        <w:t> </w:t>
      </w:r>
      <w:r>
        <w:rPr>
          <w:rFonts w:ascii="Times New Roman" w:hAnsi="Times New Roman" w:cs="Times New Roman" w:eastAsia="Times New Roman" w:hint="default"/>
        </w:rPr>
        <w:t>1,897,652,142 </w:t>
      </w:r>
      <w:r>
        <w:rPr/>
        <w:t>股为基数，向全体股东</w:t>
      </w:r>
    </w:p>
    <w:p>
      <w:pPr>
        <w:pStyle w:val="BodyText"/>
        <w:spacing w:line="321" w:lineRule="exact"/>
        <w:ind w:left="236" w:right="0"/>
        <w:jc w:val="left"/>
      </w:pPr>
      <w:r>
        <w:rPr/>
        <w:t>每</w:t>
      </w:r>
      <w:r>
        <w:rPr>
          <w:spacing w:val="-60"/>
        </w:rPr>
        <w:t> </w:t>
      </w:r>
      <w:r>
        <w:rPr>
          <w:rFonts w:ascii="Times New Roman" w:hAnsi="Times New Roman" w:cs="Times New Roman" w:eastAsia="Times New Roman" w:hint="default"/>
        </w:rPr>
        <w:t>10 </w:t>
      </w:r>
      <w:r>
        <w:rPr/>
        <w:t>股派发现金股利</w:t>
      </w:r>
      <w:r>
        <w:rPr>
          <w:spacing w:val="-61"/>
        </w:rPr>
        <w:t> </w:t>
      </w:r>
      <w:r>
        <w:rPr>
          <w:rFonts w:ascii="Times New Roman" w:hAnsi="Times New Roman" w:cs="Times New Roman" w:eastAsia="Times New Roman" w:hint="default"/>
        </w:rPr>
        <w:t>2.5 </w:t>
      </w:r>
      <w:r>
        <w:rPr/>
        <w:t>元</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，分派股利总额为人民币</w:t>
      </w:r>
      <w:r>
        <w:rPr>
          <w:spacing w:val="-60"/>
        </w:rPr>
        <w:t> </w:t>
      </w:r>
      <w:r>
        <w:rPr>
          <w:rFonts w:ascii="Times New Roman" w:hAnsi="Times New Roman" w:cs="Times New Roman" w:eastAsia="Times New Roman" w:hint="default"/>
        </w:rPr>
        <w:t>474,413,036 </w:t>
      </w:r>
      <w:r>
        <w:rPr/>
        <w:t>元。</w:t>
      </w:r>
    </w:p>
    <w:p>
      <w:pPr>
        <w:spacing w:line="240" w:lineRule="auto" w:before="2"/>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1040" w:right="1560"/>
        </w:sectPr>
      </w:pPr>
    </w:p>
    <w:p>
      <w:pPr>
        <w:pStyle w:val="Heading2"/>
        <w:spacing w:line="240" w:lineRule="auto" w:before="26"/>
        <w:ind w:left="236" w:right="0"/>
        <w:jc w:val="left"/>
        <w:rPr>
          <w:b w:val="0"/>
          <w:bCs w:val="0"/>
        </w:rPr>
      </w:pPr>
      <w:r>
        <w:rPr>
          <w:rFonts w:ascii="宋体" w:hAnsi="宋体" w:cs="宋体" w:eastAsia="宋体" w:hint="default"/>
        </w:rPr>
        <w:t>59</w:t>
      </w:r>
      <w:r>
        <w:rPr/>
        <w:t>、</w:t>
      </w:r>
      <w:r>
        <w:rPr>
          <w:spacing w:val="-103"/>
        </w:rPr>
        <w:t> </w:t>
      </w:r>
      <w:r>
        <w:rPr/>
        <w:t>营业收入和营业成本</w:t>
      </w:r>
      <w:r>
        <w:rPr>
          <w:b w:val="0"/>
          <w:bCs w:val="0"/>
        </w:rPr>
      </w:r>
    </w:p>
    <w:p>
      <w:pPr>
        <w:pStyle w:val="Heading2"/>
        <w:tabs>
          <w:tab w:pos="1077" w:val="left" w:leader="none"/>
        </w:tabs>
        <w:spacing w:line="240" w:lineRule="auto" w:before="58"/>
        <w:ind w:left="236" w:right="0"/>
        <w:jc w:val="left"/>
        <w:rPr>
          <w:rFonts w:ascii="宋体" w:hAnsi="宋体" w:cs="宋体" w:eastAsia="宋体" w:hint="default"/>
          <w:b w:val="0"/>
          <w:bCs w:val="0"/>
        </w:rPr>
      </w:pPr>
      <w:r>
        <w:rPr>
          <w:rFonts w:ascii="宋体" w:hAnsi="宋体" w:cs="宋体" w:eastAsia="宋体" w:hint="default"/>
        </w:rPr>
        <w:t>(1).</w:t>
        <w:tab/>
      </w:r>
      <w:r>
        <w:rPr/>
        <w:t>营业收入和营业成本情况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3848" w:space="2345"/>
            <w:col w:w="3117"/>
          </w:cols>
        </w:sectPr>
      </w:pPr>
    </w:p>
    <w:p>
      <w:pPr>
        <w:spacing w:line="240" w:lineRule="auto" w:before="12"/>
        <w:rPr>
          <w:rFonts w:ascii="宋体" w:hAnsi="宋体" w:cs="宋体" w:eastAsia="宋体" w:hint="default"/>
          <w:sz w:val="2"/>
          <w:szCs w:val="2"/>
        </w:rPr>
      </w:pPr>
    </w:p>
    <w:tbl>
      <w:tblPr>
        <w:tblW w:w="0" w:type="auto"/>
        <w:jc w:val="left"/>
        <w:tblInd w:w="246" w:type="dxa"/>
        <w:tblLayout w:type="fixed"/>
        <w:tblCellMar>
          <w:top w:w="0" w:type="dxa"/>
          <w:left w:w="0" w:type="dxa"/>
          <w:bottom w:w="0" w:type="dxa"/>
          <w:right w:w="0" w:type="dxa"/>
        </w:tblCellMar>
        <w:tblLook w:val="01E0"/>
      </w:tblPr>
      <w:tblGrid>
        <w:gridCol w:w="1438"/>
        <w:gridCol w:w="1863"/>
        <w:gridCol w:w="1877"/>
        <w:gridCol w:w="1877"/>
        <w:gridCol w:w="1875"/>
      </w:tblGrid>
      <w:tr>
        <w:trPr>
          <w:trHeight w:val="322" w:hRule="exact"/>
        </w:trPr>
        <w:tc>
          <w:tcPr>
            <w:tcW w:w="1438" w:type="dxa"/>
            <w:vMerge w:val="restart"/>
            <w:tcBorders>
              <w:top w:val="single" w:sz="4" w:space="0" w:color="000000"/>
              <w:left w:val="single" w:sz="4" w:space="0" w:color="000000"/>
              <w:right w:val="single" w:sz="4" w:space="0" w:color="000000"/>
            </w:tcBorders>
          </w:tcPr>
          <w:p>
            <w:pPr>
              <w:pStyle w:val="TableParagraph"/>
              <w:spacing w:line="240" w:lineRule="auto" w:before="120"/>
              <w:ind w:left="470" w:right="0"/>
              <w:jc w:val="left"/>
              <w:rPr>
                <w:rFonts w:ascii="宋体" w:hAnsi="宋体" w:cs="宋体" w:eastAsia="宋体" w:hint="default"/>
                <w:sz w:val="24"/>
                <w:szCs w:val="24"/>
              </w:rPr>
            </w:pPr>
            <w:r>
              <w:rPr>
                <w:rFonts w:ascii="宋体" w:hAnsi="宋体" w:cs="宋体" w:eastAsia="宋体" w:hint="default"/>
                <w:sz w:val="24"/>
                <w:szCs w:val="24"/>
              </w:rPr>
              <w:t>项目</w:t>
            </w:r>
          </w:p>
        </w:tc>
        <w:tc>
          <w:tcPr>
            <w:tcW w:w="37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本期发生额</w:t>
            </w:r>
          </w:p>
        </w:tc>
        <w:tc>
          <w:tcPr>
            <w:tcW w:w="3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19" w:hRule="exact"/>
        </w:trPr>
        <w:tc>
          <w:tcPr>
            <w:tcW w:w="1438" w:type="dxa"/>
            <w:vMerge/>
            <w:tcBorders>
              <w:left w:val="single" w:sz="4" w:space="0" w:color="000000"/>
              <w:bottom w:val="single" w:sz="4" w:space="0" w:color="000000"/>
              <w:right w:val="single" w:sz="4" w:space="0" w:color="000000"/>
            </w:tcBorders>
          </w:tcPr>
          <w:p>
            <w:pP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
              <w:jc w:val="center"/>
              <w:rPr>
                <w:rFonts w:ascii="宋体" w:hAnsi="宋体" w:cs="宋体" w:eastAsia="宋体" w:hint="default"/>
                <w:sz w:val="24"/>
                <w:szCs w:val="24"/>
              </w:rPr>
            </w:pPr>
            <w:r>
              <w:rPr>
                <w:rFonts w:ascii="宋体" w:hAnsi="宋体" w:cs="宋体" w:eastAsia="宋体" w:hint="default"/>
                <w:sz w:val="24"/>
                <w:szCs w:val="24"/>
              </w:rPr>
              <w:t>收入</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成本</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收入</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成本</w:t>
            </w:r>
          </w:p>
        </w:tc>
      </w:tr>
      <w:tr>
        <w:trPr>
          <w:trHeight w:val="322" w:hRule="exact"/>
        </w:trPr>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5"/>
              <w:jc w:val="center"/>
              <w:rPr>
                <w:rFonts w:ascii="宋体" w:hAnsi="宋体" w:cs="宋体" w:eastAsia="宋体" w:hint="default"/>
                <w:sz w:val="24"/>
                <w:szCs w:val="24"/>
              </w:rPr>
            </w:pPr>
            <w:r>
              <w:rPr>
                <w:rFonts w:ascii="宋体" w:hAnsi="宋体" w:cs="宋体" w:eastAsia="宋体" w:hint="default"/>
                <w:sz w:val="24"/>
                <w:szCs w:val="24"/>
              </w:rPr>
              <w:t>主营业务</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8,216,645,764</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2,912,640,628</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7,443,282,768</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2,286,774,723</w:t>
            </w:r>
          </w:p>
        </w:tc>
      </w:tr>
      <w:tr>
        <w:trPr>
          <w:trHeight w:val="322" w:hRule="exact"/>
        </w:trPr>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5"/>
              <w:jc w:val="center"/>
              <w:rPr>
                <w:rFonts w:ascii="宋体" w:hAnsi="宋体" w:cs="宋体" w:eastAsia="宋体" w:hint="default"/>
                <w:sz w:val="24"/>
                <w:szCs w:val="24"/>
              </w:rPr>
            </w:pPr>
            <w:r>
              <w:rPr>
                <w:rFonts w:ascii="宋体" w:hAnsi="宋体" w:cs="宋体" w:eastAsia="宋体" w:hint="default"/>
                <w:sz w:val="24"/>
                <w:szCs w:val="24"/>
              </w:rPr>
              <w:t>其他业务</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293,013,984</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29,591,488</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260,212,278</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28,050,475</w:t>
            </w:r>
          </w:p>
        </w:tc>
      </w:tr>
      <w:tr>
        <w:trPr>
          <w:trHeight w:val="322" w:hRule="exact"/>
        </w:trPr>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合计</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8,509,659,748</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2,942,232,116</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7,703,495,046</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2,314,825,198</w:t>
            </w:r>
          </w:p>
        </w:tc>
      </w:tr>
    </w:tbl>
    <w:p>
      <w:pPr>
        <w:spacing w:line="240" w:lineRule="auto" w:before="8"/>
        <w:rPr>
          <w:rFonts w:ascii="宋体" w:hAnsi="宋体" w:cs="宋体" w:eastAsia="宋体" w:hint="default"/>
          <w:sz w:val="20"/>
          <w:szCs w:val="20"/>
        </w:rPr>
      </w:pPr>
    </w:p>
    <w:p>
      <w:pPr>
        <w:pStyle w:val="BodyText"/>
        <w:spacing w:line="283" w:lineRule="auto" w:before="26"/>
        <w:ind w:left="236" w:right="7850"/>
        <w:jc w:val="left"/>
      </w:pPr>
      <w:r>
        <w:rPr/>
        <w:t>其他说明： 无。</w:t>
      </w:r>
    </w:p>
    <w:p>
      <w:pPr>
        <w:spacing w:line="240" w:lineRule="auto" w:before="4"/>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40" w:right="1560"/>
        </w:sectPr>
      </w:pPr>
    </w:p>
    <w:p>
      <w:pPr>
        <w:pStyle w:val="Heading2"/>
        <w:spacing w:line="240" w:lineRule="auto" w:before="26"/>
        <w:ind w:left="236" w:right="0"/>
        <w:jc w:val="left"/>
        <w:rPr>
          <w:rFonts w:ascii="宋体" w:hAnsi="宋体" w:cs="宋体" w:eastAsia="宋体" w:hint="default"/>
          <w:b w:val="0"/>
          <w:bCs w:val="0"/>
        </w:rPr>
      </w:pPr>
      <w:r>
        <w:rPr>
          <w:rFonts w:ascii="宋体" w:hAnsi="宋体" w:cs="宋体" w:eastAsia="宋体" w:hint="default"/>
        </w:rPr>
        <w:t>60</w:t>
      </w:r>
      <w:r>
        <w:rPr/>
        <w:t>、</w:t>
      </w:r>
      <w:r>
        <w:rPr>
          <w:spacing w:val="-102"/>
        </w:rPr>
        <w:t> </w:t>
      </w:r>
      <w:r>
        <w:rPr/>
        <w:t>税金及附加</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067" w:space="4127"/>
            <w:col w:w="3116"/>
          </w:cols>
        </w:sectPr>
      </w:pPr>
    </w:p>
    <w:p>
      <w:pPr>
        <w:spacing w:line="240" w:lineRule="auto" w:before="12"/>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910"/>
        <w:gridCol w:w="3075"/>
        <w:gridCol w:w="3077"/>
      </w:tblGrid>
      <w:tr>
        <w:trPr>
          <w:trHeight w:val="326"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928"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30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928"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6"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消费税</w:t>
            </w:r>
          </w:p>
        </w:tc>
        <w:tc>
          <w:tcPr>
            <w:tcW w:w="3075" w:type="dxa"/>
            <w:tcBorders>
              <w:top w:val="single" w:sz="6" w:space="0" w:color="000000"/>
              <w:left w:val="single" w:sz="6" w:space="0" w:color="000000"/>
              <w:bottom w:val="single" w:sz="6" w:space="0" w:color="000000"/>
              <w:right w:val="single" w:sz="6" w:space="0" w:color="000000"/>
            </w:tcBorders>
          </w:tcPr>
          <w:p>
            <w:pPr/>
          </w:p>
        </w:tc>
        <w:tc>
          <w:tcPr>
            <w:tcW w:w="3077" w:type="dxa"/>
            <w:tcBorders>
              <w:top w:val="single" w:sz="6" w:space="0" w:color="000000"/>
              <w:left w:val="single" w:sz="6" w:space="0" w:color="000000"/>
              <w:bottom w:val="single" w:sz="6" w:space="0" w:color="000000"/>
              <w:right w:val="single" w:sz="6" w:space="0" w:color="000000"/>
            </w:tcBorders>
          </w:tcPr>
          <w:p>
            <w:pPr/>
          </w:p>
        </w:tc>
      </w:tr>
      <w:tr>
        <w:trPr>
          <w:trHeight w:val="324"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营业税</w:t>
            </w:r>
          </w:p>
        </w:tc>
        <w:tc>
          <w:tcPr>
            <w:tcW w:w="3075" w:type="dxa"/>
            <w:tcBorders>
              <w:top w:val="single" w:sz="6" w:space="0" w:color="000000"/>
              <w:left w:val="single" w:sz="6" w:space="0" w:color="000000"/>
              <w:bottom w:val="single" w:sz="6" w:space="0" w:color="000000"/>
              <w:right w:val="single" w:sz="6" w:space="0" w:color="000000"/>
            </w:tcBorders>
          </w:tcPr>
          <w:p>
            <w:pPr/>
          </w:p>
        </w:tc>
        <w:tc>
          <w:tcPr>
            <w:tcW w:w="3077"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城市维护建设税</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32,681,004</w:t>
            </w:r>
          </w:p>
        </w:tc>
        <w:tc>
          <w:tcPr>
            <w:tcW w:w="3077"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106"/>
              <w:jc w:val="right"/>
              <w:rPr>
                <w:rFonts w:ascii="Times New Roman" w:hAnsi="Times New Roman" w:cs="Times New Roman" w:eastAsia="Times New Roman" w:hint="default"/>
                <w:sz w:val="24"/>
                <w:szCs w:val="24"/>
              </w:rPr>
            </w:pPr>
            <w:r>
              <w:rPr>
                <w:rFonts w:ascii="Times New Roman"/>
                <w:sz w:val="24"/>
              </w:rPr>
              <w:t>36,541,621</w:t>
            </w:r>
          </w:p>
        </w:tc>
      </w:tr>
      <w:tr>
        <w:trPr>
          <w:trHeight w:val="326"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教育费附加</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28,136,263</w:t>
            </w:r>
          </w:p>
        </w:tc>
        <w:tc>
          <w:tcPr>
            <w:tcW w:w="3077"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106"/>
              <w:jc w:val="right"/>
              <w:rPr>
                <w:rFonts w:ascii="Times New Roman" w:hAnsi="Times New Roman" w:cs="Times New Roman" w:eastAsia="Times New Roman" w:hint="default"/>
                <w:sz w:val="24"/>
                <w:szCs w:val="24"/>
              </w:rPr>
            </w:pPr>
            <w:r>
              <w:rPr>
                <w:rFonts w:ascii="Times New Roman"/>
                <w:sz w:val="24"/>
              </w:rPr>
              <w:t>31,028,460</w:t>
            </w:r>
          </w:p>
        </w:tc>
      </w:tr>
      <w:tr>
        <w:trPr>
          <w:trHeight w:val="329"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资源税</w:t>
            </w:r>
          </w:p>
        </w:tc>
        <w:tc>
          <w:tcPr>
            <w:tcW w:w="3075" w:type="dxa"/>
            <w:tcBorders>
              <w:top w:val="single" w:sz="6" w:space="0" w:color="000000"/>
              <w:left w:val="single" w:sz="6" w:space="0" w:color="000000"/>
              <w:bottom w:val="single" w:sz="6" w:space="0" w:color="000000"/>
              <w:right w:val="single" w:sz="6" w:space="0" w:color="000000"/>
            </w:tcBorders>
          </w:tcPr>
          <w:p>
            <w:pPr/>
          </w:p>
        </w:tc>
        <w:tc>
          <w:tcPr>
            <w:tcW w:w="3077"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120" w:bottom="1380" w:left="1040" w:right="1560"/>
        </w:sectPr>
      </w:pPr>
    </w:p>
    <w:p>
      <w:pPr>
        <w:spacing w:line="240" w:lineRule="auto" w:before="5"/>
        <w:rPr>
          <w:rFonts w:ascii="宋体" w:hAnsi="宋体" w:cs="宋体" w:eastAsia="宋体"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2910"/>
        <w:gridCol w:w="3075"/>
        <w:gridCol w:w="3077"/>
      </w:tblGrid>
      <w:tr>
        <w:trPr>
          <w:trHeight w:val="327"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房产税</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36,169,915</w:t>
            </w:r>
          </w:p>
        </w:tc>
        <w:tc>
          <w:tcPr>
            <w:tcW w:w="3077"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32,814,774</w:t>
            </w:r>
          </w:p>
        </w:tc>
      </w:tr>
      <w:tr>
        <w:trPr>
          <w:trHeight w:val="326"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土地使用税</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3,718,896</w:t>
            </w:r>
          </w:p>
        </w:tc>
        <w:tc>
          <w:tcPr>
            <w:tcW w:w="3077"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3,723,899</w:t>
            </w:r>
          </w:p>
        </w:tc>
      </w:tr>
      <w:tr>
        <w:trPr>
          <w:trHeight w:val="326"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车船使用税</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39,882</w:t>
            </w:r>
          </w:p>
        </w:tc>
        <w:tc>
          <w:tcPr>
            <w:tcW w:w="3077"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18,375</w:t>
            </w:r>
          </w:p>
        </w:tc>
      </w:tr>
      <w:tr>
        <w:trPr>
          <w:trHeight w:val="326"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印花税</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2,985,022</w:t>
            </w:r>
          </w:p>
        </w:tc>
        <w:tc>
          <w:tcPr>
            <w:tcW w:w="3077"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3,074,072</w:t>
            </w:r>
          </w:p>
        </w:tc>
      </w:tr>
      <w:tr>
        <w:trPr>
          <w:trHeight w:val="326"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8,888,661</w:t>
            </w:r>
          </w:p>
        </w:tc>
        <w:tc>
          <w:tcPr>
            <w:tcW w:w="3077"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3,088,906</w:t>
            </w:r>
          </w:p>
        </w:tc>
      </w:tr>
      <w:tr>
        <w:trPr>
          <w:trHeight w:val="290" w:hRule="exact"/>
        </w:trPr>
        <w:tc>
          <w:tcPr>
            <w:tcW w:w="2910" w:type="dxa"/>
            <w:tcBorders>
              <w:top w:val="single" w:sz="6" w:space="0" w:color="000000"/>
              <w:left w:val="single" w:sz="6" w:space="0" w:color="000000"/>
              <w:bottom w:val="single" w:sz="6" w:space="0" w:color="000000"/>
              <w:right w:val="single" w:sz="6" w:space="0" w:color="000000"/>
            </w:tcBorders>
          </w:tcPr>
          <w:p>
            <w:pPr/>
          </w:p>
        </w:tc>
        <w:tc>
          <w:tcPr>
            <w:tcW w:w="3075" w:type="dxa"/>
            <w:tcBorders>
              <w:top w:val="single" w:sz="6" w:space="0" w:color="000000"/>
              <w:left w:val="single" w:sz="6" w:space="0" w:color="000000"/>
              <w:bottom w:val="single" w:sz="6" w:space="0" w:color="000000"/>
              <w:right w:val="single" w:sz="6" w:space="0" w:color="000000"/>
            </w:tcBorders>
          </w:tcPr>
          <w:p>
            <w:pPr/>
          </w:p>
        </w:tc>
        <w:tc>
          <w:tcPr>
            <w:tcW w:w="3077"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91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112,619,643</w:t>
            </w:r>
          </w:p>
        </w:tc>
        <w:tc>
          <w:tcPr>
            <w:tcW w:w="3077"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110,290,107</w:t>
            </w:r>
          </w:p>
        </w:tc>
      </w:tr>
    </w:tbl>
    <w:p>
      <w:pPr>
        <w:pStyle w:val="BodyText"/>
        <w:spacing w:line="283" w:lineRule="auto" w:before="19"/>
        <w:ind w:left="236" w:right="7850"/>
        <w:jc w:val="left"/>
      </w:pPr>
      <w:r>
        <w:rPr/>
        <w:t>其他说明： 无</w:t>
      </w:r>
    </w:p>
    <w:p>
      <w:pPr>
        <w:spacing w:line="240" w:lineRule="auto" w:before="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82" w:footer="1195" w:top="1080" w:bottom="1380" w:left="1040" w:right="1560"/>
        </w:sectPr>
      </w:pPr>
    </w:p>
    <w:p>
      <w:pPr>
        <w:pStyle w:val="Heading2"/>
        <w:spacing w:line="240" w:lineRule="auto" w:before="26"/>
        <w:ind w:left="236" w:right="-19"/>
        <w:jc w:val="left"/>
        <w:rPr>
          <w:rFonts w:ascii="宋体" w:hAnsi="宋体" w:cs="宋体" w:eastAsia="宋体" w:hint="default"/>
          <w:b w:val="0"/>
          <w:bCs w:val="0"/>
        </w:rPr>
      </w:pPr>
      <w:r>
        <w:rPr>
          <w:rFonts w:ascii="宋体" w:hAnsi="宋体" w:cs="宋体" w:eastAsia="宋体" w:hint="default"/>
        </w:rPr>
        <w:t>61</w:t>
      </w:r>
      <w:r>
        <w:rPr/>
        <w:t>、</w:t>
      </w:r>
      <w:r>
        <w:rPr>
          <w:spacing w:val="-101"/>
        </w:rPr>
        <w:t> </w:t>
      </w:r>
      <w:r>
        <w:rPr/>
        <w:t>销售费用</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19"/>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4"/>
        <w:rPr>
          <w:rFonts w:ascii="宋体" w:hAnsi="宋体" w:cs="宋体" w:eastAsia="宋体" w:hint="default"/>
          <w:sz w:val="30"/>
          <w:szCs w:val="30"/>
        </w:rPr>
      </w:pPr>
    </w:p>
    <w:p>
      <w:pPr>
        <w:pStyle w:val="BodyText"/>
        <w:spacing w:line="240" w:lineRule="auto"/>
        <w:ind w:left="236" w:right="0"/>
        <w:jc w:val="left"/>
        <w:rPr>
          <w:rFonts w:ascii="宋体" w:hAnsi="宋体" w:cs="宋体" w:eastAsia="宋体" w:hint="default"/>
        </w:rPr>
      </w:pPr>
      <w:r>
        <w:rPr/>
        <w:t>单位：元  </w:t>
      </w:r>
      <w:r>
        <w:rPr>
          <w:rFonts w:ascii="宋体" w:hAnsi="宋体" w:cs="宋体" w:eastAsia="宋体" w:hint="default"/>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120" w:bottom="1380" w:left="1040" w:right="1560"/>
          <w:cols w:num="2" w:equalWidth="0">
            <w:col w:w="2038" w:space="4156"/>
            <w:col w:w="3116"/>
          </w:cols>
        </w:sectPr>
      </w:pPr>
    </w:p>
    <w:p>
      <w:pPr>
        <w:spacing w:line="240" w:lineRule="auto" w:before="12"/>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3332"/>
        <w:gridCol w:w="2861"/>
        <w:gridCol w:w="2857"/>
      </w:tblGrid>
      <w:tr>
        <w:trPr>
          <w:trHeight w:val="319"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0"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职工薪酬及福利</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1,111,844,173</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1,187,546,234</w:t>
            </w:r>
          </w:p>
        </w:tc>
      </w:tr>
      <w:tr>
        <w:trPr>
          <w:trHeight w:val="322"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业务宣传费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147,872,170</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123,221,942</w:t>
            </w:r>
          </w:p>
        </w:tc>
      </w:tr>
      <w:tr>
        <w:trPr>
          <w:trHeight w:val="322"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业务招待费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97,424,341</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90,212,959</w:t>
            </w:r>
          </w:p>
        </w:tc>
      </w:tr>
      <w:tr>
        <w:trPr>
          <w:trHeight w:val="322"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差旅费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121,931,624</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110,959,030</w:t>
            </w:r>
          </w:p>
        </w:tc>
      </w:tr>
      <w:tr>
        <w:trPr>
          <w:trHeight w:val="322"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咨询服务费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80,795,473</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81,295,755</w:t>
            </w:r>
          </w:p>
        </w:tc>
      </w:tr>
      <w:tr>
        <w:trPr>
          <w:trHeight w:val="322"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办公费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12,798,707</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17,778,162</w:t>
            </w:r>
          </w:p>
        </w:tc>
      </w:tr>
      <w:tr>
        <w:trPr>
          <w:trHeight w:val="319"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折旧及摊销</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3,331,683</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4,391,058</w:t>
            </w:r>
          </w:p>
        </w:tc>
      </w:tr>
      <w:tr>
        <w:trPr>
          <w:trHeight w:val="322"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租赁费及物业管理费</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22,364,055</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20,415,591</w:t>
            </w:r>
          </w:p>
        </w:tc>
      </w:tr>
      <w:tr>
        <w:trPr>
          <w:trHeight w:val="322"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35,415,359</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12,981,400</w:t>
            </w:r>
          </w:p>
        </w:tc>
      </w:tr>
      <w:tr>
        <w:trPr>
          <w:trHeight w:val="322"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1,633,777,585</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1,648,802,131</w:t>
            </w:r>
          </w:p>
        </w:tc>
      </w:tr>
    </w:tbl>
    <w:p>
      <w:pPr>
        <w:spacing w:line="240" w:lineRule="auto" w:before="8"/>
        <w:rPr>
          <w:rFonts w:ascii="宋体" w:hAnsi="宋体" w:cs="宋体" w:eastAsia="宋体" w:hint="default"/>
          <w:sz w:val="20"/>
          <w:szCs w:val="20"/>
        </w:rPr>
      </w:pPr>
    </w:p>
    <w:p>
      <w:pPr>
        <w:pStyle w:val="BodyText"/>
        <w:spacing w:line="283" w:lineRule="auto" w:before="26"/>
        <w:ind w:left="236" w:right="7850"/>
        <w:jc w:val="left"/>
      </w:pPr>
      <w:r>
        <w:rPr/>
        <w:t>其他说明： 无。</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120" w:bottom="1380" w:left="1040" w:right="1560"/>
        </w:sectPr>
      </w:pPr>
    </w:p>
    <w:p>
      <w:pPr>
        <w:pStyle w:val="Heading2"/>
        <w:spacing w:line="240" w:lineRule="auto" w:before="26"/>
        <w:ind w:left="236" w:right="-19"/>
        <w:jc w:val="left"/>
        <w:rPr>
          <w:b w:val="0"/>
          <w:bCs w:val="0"/>
        </w:rPr>
      </w:pPr>
      <w:r>
        <w:rPr>
          <w:rFonts w:ascii="宋体" w:hAnsi="宋体" w:cs="宋体" w:eastAsia="宋体" w:hint="default"/>
        </w:rPr>
        <w:t>62</w:t>
      </w:r>
      <w:r>
        <w:rPr/>
        <w:t>、</w:t>
      </w:r>
      <w:r>
        <w:rPr>
          <w:spacing w:val="-101"/>
        </w:rPr>
        <w:t> </w:t>
      </w:r>
      <w:r>
        <w:rPr/>
        <w:t>管理费用</w:t>
      </w:r>
      <w:r>
        <w:rPr>
          <w:b w:val="0"/>
          <w:bCs w:val="0"/>
        </w:rPr>
      </w:r>
    </w:p>
    <w:p>
      <w:pPr>
        <w:pStyle w:val="BodyText"/>
        <w:spacing w:line="240" w:lineRule="auto" w:before="58"/>
        <w:ind w:left="236" w:right="-19"/>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038" w:space="4156"/>
            <w:col w:w="3116"/>
          </w:cols>
        </w:sectPr>
      </w:pPr>
    </w:p>
    <w:p>
      <w:pPr>
        <w:spacing w:line="240" w:lineRule="auto" w:before="12"/>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4007"/>
        <w:gridCol w:w="2604"/>
        <w:gridCol w:w="2439"/>
      </w:tblGrid>
      <w:tr>
        <w:trPr>
          <w:trHeight w:val="320"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93"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12"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职工薪酬及福利</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65"/>
              <w:jc w:val="right"/>
              <w:rPr>
                <w:rFonts w:ascii="Times New Roman" w:hAnsi="Times New Roman" w:cs="Times New Roman" w:eastAsia="Times New Roman" w:hint="default"/>
                <w:sz w:val="24"/>
                <w:szCs w:val="24"/>
              </w:rPr>
            </w:pPr>
            <w:r>
              <w:rPr>
                <w:rFonts w:ascii="Times New Roman"/>
                <w:sz w:val="24"/>
              </w:rPr>
              <w:t>703,609,500</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828,217,718</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业务宣传费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22,038,899</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52,098,635</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业务招待费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23,630,347</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22,489,782</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差旅费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34,431,091</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35,811,166</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咨询服务费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68,536,790</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50,830,889</w:t>
            </w:r>
          </w:p>
        </w:tc>
      </w:tr>
      <w:tr>
        <w:trPr>
          <w:trHeight w:val="319"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办公费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30,571,534</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41,045,835</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折旧及摊销</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114,256,996</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104,117,489</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租赁费及物业管理费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157,369,745</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132,478,966</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服务质量保障金</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225,795,588</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98,575,508</w:t>
            </w:r>
          </w:p>
        </w:tc>
      </w:tr>
    </w:tbl>
    <w:p>
      <w:pPr>
        <w:spacing w:after="0" w:line="268" w:lineRule="exact"/>
        <w:jc w:val="right"/>
        <w:rPr>
          <w:rFonts w:ascii="Times New Roman" w:hAnsi="Times New Roman" w:cs="Times New Roman" w:eastAsia="Times New Roman" w:hint="default"/>
          <w:sz w:val="24"/>
          <w:szCs w:val="24"/>
        </w:rPr>
        <w:sectPr>
          <w:type w:val="continuous"/>
          <w:pgSz w:w="11910" w:h="16840"/>
          <w:pgMar w:top="1120" w:bottom="1380" w:left="104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4007"/>
        <w:gridCol w:w="2604"/>
        <w:gridCol w:w="2439"/>
      </w:tblGrid>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8,770,418</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9,770,158</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1,389,010,908</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1,375,436,146</w:t>
            </w:r>
          </w:p>
        </w:tc>
      </w:tr>
    </w:tbl>
    <w:p>
      <w:pPr>
        <w:pStyle w:val="BodyText"/>
        <w:spacing w:line="273" w:lineRule="exact"/>
        <w:ind w:left="216" w:right="0"/>
        <w:jc w:val="left"/>
      </w:pPr>
      <w:r>
        <w:rPr/>
        <w:t>其他说明：</w:t>
      </w:r>
    </w:p>
    <w:p>
      <w:pPr>
        <w:pStyle w:val="BodyText"/>
        <w:spacing w:line="313" w:lineRule="exact"/>
        <w:ind w:left="216" w:right="0"/>
        <w:jc w:val="left"/>
      </w:pPr>
      <w:r>
        <w:rPr/>
        <w:t>无。</w:t>
      </w:r>
    </w:p>
    <w:p>
      <w:pPr>
        <w:spacing w:line="240" w:lineRule="auto" w:before="5"/>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70"/>
          <w:pgSz w:w="11910" w:h="16840"/>
          <w:pgMar w:footer="1195" w:header="882" w:top="1080" w:bottom="1380" w:left="1060" w:right="1560"/>
        </w:sectPr>
      </w:pPr>
    </w:p>
    <w:p>
      <w:pPr>
        <w:pStyle w:val="Heading2"/>
        <w:spacing w:line="240" w:lineRule="auto" w:before="26"/>
        <w:ind w:right="-19"/>
        <w:jc w:val="left"/>
        <w:rPr>
          <w:b w:val="0"/>
          <w:bCs w:val="0"/>
        </w:rPr>
      </w:pPr>
      <w:r>
        <w:rPr>
          <w:rFonts w:ascii="宋体" w:hAnsi="宋体" w:cs="宋体" w:eastAsia="宋体" w:hint="default"/>
        </w:rPr>
        <w:t>63</w:t>
      </w:r>
      <w:r>
        <w:rPr/>
        <w:t>、</w:t>
      </w:r>
      <w:r>
        <w:rPr>
          <w:spacing w:val="-101"/>
        </w:rPr>
        <w:t> </w:t>
      </w:r>
      <w:r>
        <w:rPr/>
        <w:t>研发费用</w:t>
      </w:r>
      <w:r>
        <w:rPr>
          <w:b w:val="0"/>
          <w:bCs w:val="0"/>
        </w:rPr>
      </w:r>
    </w:p>
    <w:p>
      <w:pPr>
        <w:pStyle w:val="BodyText"/>
        <w:spacing w:line="240" w:lineRule="auto" w:before="58"/>
        <w:ind w:left="216" w:right="-19"/>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018" w:space="4176"/>
            <w:col w:w="3096"/>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4007"/>
        <w:gridCol w:w="2604"/>
        <w:gridCol w:w="2439"/>
      </w:tblGrid>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57"/>
              <w:jc w:val="right"/>
              <w:rPr>
                <w:rFonts w:ascii="宋体" w:hAnsi="宋体" w:cs="宋体" w:eastAsia="宋体" w:hint="default"/>
                <w:sz w:val="24"/>
                <w:szCs w:val="24"/>
              </w:rPr>
            </w:pPr>
            <w:r>
              <w:rPr>
                <w:rFonts w:ascii="宋体" w:hAnsi="宋体" w:cs="宋体" w:eastAsia="宋体" w:hint="default"/>
                <w:sz w:val="24"/>
                <w:szCs w:val="24"/>
              </w:rPr>
              <w:t>项目</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93"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12"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职工薪酬及福利</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1,325,603,254</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1,152,702,424</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差旅费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50,045,267</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46,635,171</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咨询服务费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37,737,815</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40,771,222</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办公费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6,441,364</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9,995,566</w:t>
            </w:r>
          </w:p>
        </w:tc>
      </w:tr>
      <w:tr>
        <w:trPr>
          <w:trHeight w:val="319"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折旧及摊销</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182,873,357</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105,246,473</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租赁费及物业管理费</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17,086,000</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14,340,280</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10,340,463</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20,551,376</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57"/>
              <w:jc w:val="right"/>
              <w:rPr>
                <w:rFonts w:ascii="宋体" w:hAnsi="宋体" w:cs="宋体" w:eastAsia="宋体" w:hint="default"/>
                <w:sz w:val="24"/>
                <w:szCs w:val="24"/>
              </w:rPr>
            </w:pPr>
            <w:r>
              <w:rPr>
                <w:rFonts w:ascii="宋体" w:hAnsi="宋体" w:cs="宋体" w:eastAsia="宋体" w:hint="default"/>
                <w:sz w:val="24"/>
                <w:szCs w:val="24"/>
              </w:rPr>
              <w:t>合计</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1,630,127,520</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1,390,242,512</w:t>
            </w:r>
          </w:p>
        </w:tc>
      </w:tr>
    </w:tbl>
    <w:p>
      <w:pPr>
        <w:pStyle w:val="BodyText"/>
        <w:spacing w:line="273" w:lineRule="exact"/>
        <w:ind w:left="216" w:right="0"/>
        <w:jc w:val="left"/>
      </w:pPr>
      <w:r>
        <w:rPr/>
        <w:t>其他说明：</w:t>
      </w:r>
    </w:p>
    <w:p>
      <w:pPr>
        <w:pStyle w:val="BodyText"/>
        <w:spacing w:line="313" w:lineRule="exact"/>
        <w:ind w:left="216" w:right="0"/>
        <w:jc w:val="left"/>
      </w:pPr>
      <w:r>
        <w:rPr/>
        <w:t>无</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spacing w:line="240" w:lineRule="auto" w:before="26"/>
        <w:ind w:right="-19"/>
        <w:jc w:val="left"/>
        <w:rPr>
          <w:b w:val="0"/>
          <w:bCs w:val="0"/>
        </w:rPr>
      </w:pPr>
      <w:r>
        <w:rPr>
          <w:rFonts w:ascii="宋体" w:hAnsi="宋体" w:cs="宋体" w:eastAsia="宋体" w:hint="default"/>
        </w:rPr>
        <w:t>64</w:t>
      </w:r>
      <w:r>
        <w:rPr/>
        <w:t>、</w:t>
      </w:r>
      <w:r>
        <w:rPr>
          <w:spacing w:val="-101"/>
        </w:rPr>
        <w:t> </w:t>
      </w:r>
      <w:r>
        <w:rPr/>
        <w:t>财务费用</w:t>
      </w:r>
      <w:r>
        <w:rPr>
          <w:b w:val="0"/>
          <w:bCs w:val="0"/>
        </w:rPr>
      </w:r>
    </w:p>
    <w:p>
      <w:pPr>
        <w:pStyle w:val="BodyText"/>
        <w:spacing w:line="240" w:lineRule="auto" w:before="55"/>
        <w:ind w:left="216" w:right="-19"/>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018" w:space="4176"/>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4007"/>
        <w:gridCol w:w="2604"/>
        <w:gridCol w:w="2439"/>
      </w:tblGrid>
      <w:tr>
        <w:trPr>
          <w:trHeight w:val="319"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57"/>
              <w:jc w:val="right"/>
              <w:rPr>
                <w:rFonts w:ascii="宋体" w:hAnsi="宋体" w:cs="宋体" w:eastAsia="宋体" w:hint="default"/>
                <w:sz w:val="24"/>
                <w:szCs w:val="24"/>
              </w:rPr>
            </w:pPr>
            <w:r>
              <w:rPr>
                <w:rFonts w:ascii="宋体" w:hAnsi="宋体" w:cs="宋体" w:eastAsia="宋体" w:hint="default"/>
                <w:sz w:val="24"/>
                <w:szCs w:val="24"/>
              </w:rPr>
              <w:t>项目</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93"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12"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利息支出</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198,849,165</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201,356,203</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减：利息收入</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pacing w:val="-1"/>
                <w:sz w:val="24"/>
              </w:rPr>
              <w:t>-76,758,328</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pacing w:val="-1"/>
                <w:sz w:val="24"/>
              </w:rPr>
              <w:t>-85,247,849</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减：利息资本化金额</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pacing w:val="-1"/>
                <w:sz w:val="24"/>
              </w:rPr>
              <w:t>-7,853,333</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pacing w:val="-1"/>
                <w:sz w:val="24"/>
              </w:rPr>
              <w:t>-11,051,667</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汇兑损益</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pacing w:val="-1"/>
                <w:sz w:val="24"/>
              </w:rPr>
              <w:t>-3,218,850</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596,236</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6,775,546</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3,960,075</w:t>
            </w:r>
          </w:p>
        </w:tc>
      </w:tr>
      <w:tr>
        <w:trPr>
          <w:trHeight w:val="322"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57"/>
              <w:jc w:val="right"/>
              <w:rPr>
                <w:rFonts w:ascii="宋体" w:hAnsi="宋体" w:cs="宋体" w:eastAsia="宋体" w:hint="default"/>
                <w:sz w:val="24"/>
                <w:szCs w:val="24"/>
              </w:rPr>
            </w:pPr>
            <w:r>
              <w:rPr>
                <w:rFonts w:ascii="宋体" w:hAnsi="宋体" w:cs="宋体" w:eastAsia="宋体" w:hint="default"/>
                <w:sz w:val="24"/>
                <w:szCs w:val="24"/>
              </w:rPr>
              <w:t>合计</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117,794,200</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109,612,998</w:t>
            </w:r>
          </w:p>
        </w:tc>
      </w:tr>
    </w:tbl>
    <w:p>
      <w:pPr>
        <w:pStyle w:val="BodyText"/>
        <w:spacing w:line="272" w:lineRule="exact"/>
        <w:ind w:left="216" w:right="0"/>
        <w:jc w:val="left"/>
      </w:pPr>
      <w:r>
        <w:rPr/>
        <w:t>其他说明：</w:t>
      </w:r>
    </w:p>
    <w:p>
      <w:pPr>
        <w:pStyle w:val="BodyText"/>
        <w:spacing w:line="330" w:lineRule="exact"/>
        <w:ind w:left="216" w:right="0"/>
        <w:jc w:val="left"/>
      </w:pPr>
      <w:r>
        <w:rPr/>
        <w:t>借款费用资本化金额已计入在建工程。参见附注七、</w:t>
      </w:r>
      <w:r>
        <w:rPr>
          <w:rFonts w:ascii="Times New Roman" w:hAnsi="Times New Roman" w:cs="Times New Roman" w:eastAsia="Times New Roman" w:hint="default"/>
        </w:rPr>
        <w:t>21</w:t>
      </w:r>
      <w:r>
        <w:rPr/>
        <w:t>。</w:t>
      </w:r>
    </w:p>
    <w:p>
      <w:pPr>
        <w:spacing w:line="240" w:lineRule="auto" w:before="3"/>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120" w:bottom="1380" w:left="1060" w:right="1560"/>
        </w:sectPr>
      </w:pPr>
    </w:p>
    <w:p>
      <w:pPr>
        <w:pStyle w:val="Heading2"/>
        <w:spacing w:line="240" w:lineRule="auto" w:before="26"/>
        <w:ind w:right="-19"/>
        <w:jc w:val="left"/>
        <w:rPr>
          <w:b w:val="0"/>
          <w:bCs w:val="0"/>
        </w:rPr>
      </w:pPr>
      <w:r>
        <w:rPr>
          <w:rFonts w:ascii="宋体" w:hAnsi="宋体" w:cs="宋体" w:eastAsia="宋体" w:hint="default"/>
        </w:rPr>
        <w:t>65</w:t>
      </w:r>
      <w:r>
        <w:rPr/>
        <w:t>、</w:t>
      </w:r>
      <w:r>
        <w:rPr>
          <w:spacing w:val="-101"/>
        </w:rPr>
        <w:t> </w:t>
      </w:r>
      <w:r>
        <w:rPr/>
        <w:t>其他收益</w:t>
      </w:r>
      <w:r>
        <w:rPr>
          <w:b w:val="0"/>
          <w:bCs w:val="0"/>
        </w:rPr>
      </w:r>
    </w:p>
    <w:p>
      <w:pPr>
        <w:pStyle w:val="BodyText"/>
        <w:spacing w:line="240" w:lineRule="auto" w:before="58"/>
        <w:ind w:left="216" w:right="-19"/>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018" w:space="4176"/>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917"/>
        <w:gridCol w:w="2952"/>
        <w:gridCol w:w="2955"/>
      </w:tblGrid>
      <w:tr>
        <w:trPr>
          <w:trHeight w:val="322" w:hRule="exact"/>
        </w:trPr>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71"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71"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634" w:hRule="exact"/>
        </w:trPr>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与日常活动相关的政府补</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助</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36,147,967</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46,960,205</w:t>
            </w:r>
          </w:p>
        </w:tc>
      </w:tr>
      <w:tr>
        <w:trPr>
          <w:trHeight w:val="319" w:hRule="exact"/>
        </w:trPr>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增值税退税返还</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323,796,552</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327,548,835</w:t>
            </w:r>
          </w:p>
        </w:tc>
      </w:tr>
      <w:tr>
        <w:trPr>
          <w:trHeight w:val="322" w:hRule="exact"/>
        </w:trPr>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其他补贴收入</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9,595,782</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7,654,896</w:t>
            </w:r>
          </w:p>
        </w:tc>
      </w:tr>
      <w:tr>
        <w:trPr>
          <w:trHeight w:val="288" w:hRule="exact"/>
        </w:trPr>
        <w:tc>
          <w:tcPr>
            <w:tcW w:w="2917" w:type="dxa"/>
            <w:tcBorders>
              <w:top w:val="single" w:sz="4" w:space="0" w:color="000000"/>
              <w:left w:val="single" w:sz="4" w:space="0" w:color="000000"/>
              <w:bottom w:val="single" w:sz="4" w:space="0" w:color="000000"/>
              <w:right w:val="single" w:sz="4" w:space="0" w:color="000000"/>
            </w:tcBorders>
          </w:tcPr>
          <w:p>
            <w:pPr/>
          </w:p>
        </w:tc>
        <w:tc>
          <w:tcPr>
            <w:tcW w:w="2952" w:type="dxa"/>
            <w:tcBorders>
              <w:top w:val="single" w:sz="4" w:space="0" w:color="000000"/>
              <w:left w:val="single" w:sz="4" w:space="0" w:color="000000"/>
              <w:bottom w:val="single" w:sz="4" w:space="0" w:color="000000"/>
              <w:right w:val="single" w:sz="4" w:space="0" w:color="000000"/>
            </w:tcBorders>
          </w:tcPr>
          <w:p>
            <w:pPr/>
          </w:p>
        </w:tc>
        <w:tc>
          <w:tcPr>
            <w:tcW w:w="2955"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2917"/>
        <w:gridCol w:w="2952"/>
        <w:gridCol w:w="2955"/>
      </w:tblGrid>
      <w:tr>
        <w:trPr>
          <w:trHeight w:val="322" w:hRule="exact"/>
        </w:trPr>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639" w:right="0"/>
              <w:jc w:val="left"/>
              <w:rPr>
                <w:rFonts w:ascii="Times New Roman" w:hAnsi="Times New Roman" w:cs="Times New Roman" w:eastAsia="Times New Roman" w:hint="default"/>
                <w:sz w:val="24"/>
                <w:szCs w:val="24"/>
              </w:rPr>
            </w:pPr>
            <w:r>
              <w:rPr>
                <w:rFonts w:ascii="Times New Roman"/>
                <w:sz w:val="24"/>
              </w:rPr>
              <w:t>369,540,301</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641" w:right="0"/>
              <w:jc w:val="left"/>
              <w:rPr>
                <w:rFonts w:ascii="Times New Roman" w:hAnsi="Times New Roman" w:cs="Times New Roman" w:eastAsia="Times New Roman" w:hint="default"/>
                <w:sz w:val="24"/>
                <w:szCs w:val="24"/>
              </w:rPr>
            </w:pPr>
            <w:r>
              <w:rPr>
                <w:rFonts w:ascii="Times New Roman"/>
                <w:sz w:val="24"/>
              </w:rPr>
              <w:t>382,163,936</w:t>
            </w:r>
          </w:p>
        </w:tc>
      </w:tr>
    </w:tbl>
    <w:p>
      <w:pPr>
        <w:pStyle w:val="BodyText"/>
        <w:spacing w:line="273" w:lineRule="exact"/>
        <w:ind w:left="216" w:right="0"/>
        <w:jc w:val="left"/>
      </w:pPr>
      <w:r>
        <w:rPr/>
        <w:t>其他说明：</w:t>
      </w:r>
    </w:p>
    <w:p>
      <w:pPr>
        <w:pStyle w:val="BodyText"/>
        <w:spacing w:line="313" w:lineRule="exact"/>
        <w:ind w:left="216" w:right="0"/>
        <w:jc w:val="left"/>
      </w:pPr>
      <w:r>
        <w:rPr/>
        <w:t>无。</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footerReference w:type="default" r:id="rId71"/>
          <w:pgSz w:w="11910" w:h="16840"/>
          <w:pgMar w:footer="1195" w:header="882" w:top="1080" w:bottom="1380" w:left="1060" w:right="1560"/>
          <w:pgNumType w:start="121"/>
        </w:sectPr>
      </w:pPr>
    </w:p>
    <w:p>
      <w:pPr>
        <w:pStyle w:val="Heading2"/>
        <w:spacing w:line="240" w:lineRule="auto" w:before="26"/>
        <w:ind w:right="-19"/>
        <w:jc w:val="left"/>
        <w:rPr>
          <w:rFonts w:ascii="宋体" w:hAnsi="宋体" w:cs="宋体" w:eastAsia="宋体" w:hint="default"/>
          <w:b w:val="0"/>
          <w:bCs w:val="0"/>
        </w:rPr>
      </w:pPr>
      <w:r>
        <w:rPr>
          <w:rFonts w:ascii="宋体" w:hAnsi="宋体" w:cs="宋体" w:eastAsia="宋体" w:hint="default"/>
        </w:rPr>
        <w:t>66</w:t>
      </w:r>
      <w:r>
        <w:rPr/>
        <w:t>、</w:t>
      </w:r>
      <w:r>
        <w:rPr>
          <w:spacing w:val="-101"/>
        </w:rPr>
        <w:t> </w:t>
      </w:r>
      <w:r>
        <w:rPr/>
        <w:t>投资收益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19"/>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018" w:space="4176"/>
            <w:col w:w="3096"/>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654"/>
        <w:gridCol w:w="2693"/>
        <w:gridCol w:w="2703"/>
      </w:tblGrid>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39"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43"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权益法核算的长期股权投资收益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22,472,096</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27,632,868</w:t>
            </w: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处置长期股权投资产生的投资收</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5"/>
              <w:jc w:val="right"/>
              <w:rPr>
                <w:rFonts w:ascii="Times New Roman" w:hAnsi="Times New Roman" w:cs="Times New Roman" w:eastAsia="Times New Roman" w:hint="default"/>
                <w:sz w:val="24"/>
                <w:szCs w:val="24"/>
              </w:rPr>
            </w:pPr>
            <w:r>
              <w:rPr>
                <w:rFonts w:ascii="Times New Roman"/>
                <w:sz w:val="24"/>
              </w:rPr>
              <w:t>239,679,053</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4,416,553</w:t>
            </w:r>
          </w:p>
        </w:tc>
      </w:tr>
      <w:tr>
        <w:trPr>
          <w:trHeight w:val="94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以公允价值计量且其变动计入当</w:t>
            </w:r>
          </w:p>
          <w:p>
            <w:pPr>
              <w:pStyle w:val="TableParagraph"/>
              <w:spacing w:line="310" w:lineRule="exact" w:before="31"/>
              <w:ind w:left="103" w:right="180"/>
              <w:jc w:val="left"/>
              <w:rPr>
                <w:rFonts w:ascii="宋体" w:hAnsi="宋体" w:cs="宋体" w:eastAsia="宋体" w:hint="default"/>
                <w:sz w:val="24"/>
                <w:szCs w:val="24"/>
              </w:rPr>
            </w:pPr>
            <w:r>
              <w:rPr>
                <w:rFonts w:ascii="宋体" w:hAnsi="宋体" w:cs="宋体" w:eastAsia="宋体" w:hint="default"/>
                <w:sz w:val="24"/>
                <w:szCs w:val="24"/>
              </w:rPr>
              <w:t>期损益的金融资产在持有期间的 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处置以公允价值计量且其变动计</w:t>
            </w:r>
          </w:p>
          <w:p>
            <w:pPr>
              <w:pStyle w:val="TableParagraph"/>
              <w:spacing w:line="310" w:lineRule="exact" w:before="31"/>
              <w:ind w:left="103" w:right="180"/>
              <w:jc w:val="left"/>
              <w:rPr>
                <w:rFonts w:ascii="宋体" w:hAnsi="宋体" w:cs="宋体" w:eastAsia="宋体" w:hint="default"/>
                <w:sz w:val="24"/>
                <w:szCs w:val="24"/>
              </w:rPr>
            </w:pPr>
            <w:r>
              <w:rPr>
                <w:rFonts w:ascii="宋体" w:hAnsi="宋体" w:cs="宋体" w:eastAsia="宋体" w:hint="default"/>
                <w:sz w:val="24"/>
                <w:szCs w:val="24"/>
              </w:rPr>
              <w:t>入当期损益的金融资产取得的投 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持有至到期投资在持有期间的投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处置持有至到期投资取得的投资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可供出售金融资产在持有期间取</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得的投资收益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1,695,531</w:t>
            </w:r>
          </w:p>
        </w:tc>
      </w:tr>
      <w:tr>
        <w:trPr>
          <w:trHeight w:val="63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处置可供出售金融资产取得的投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28,117,614</w:t>
            </w: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交易性金融资产在持有期间的投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其他权益工具投资在持有期间取</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得的股利收入</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债权投资在持有期间取得的利息</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收入</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其他债权投资在持有期间取得的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利息收入</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处置交易性金融资产取得的投资</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处置其他权益工具投资取得的投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处置债权投资取得的投资收益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处置其他债权投资取得的投资收</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金融资产在持有期间取得的投资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收益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5"/>
              <w:jc w:val="right"/>
              <w:rPr>
                <w:rFonts w:ascii="Times New Roman" w:hAnsi="Times New Roman" w:cs="Times New Roman" w:eastAsia="Times New Roman" w:hint="default"/>
                <w:sz w:val="24"/>
                <w:szCs w:val="24"/>
              </w:rPr>
            </w:pPr>
            <w:r>
              <w:rPr>
                <w:rFonts w:ascii="Times New Roman"/>
                <w:sz w:val="24"/>
              </w:rPr>
              <w:t>5,512,439</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z w:val="24"/>
              </w:rPr>
              <w:t>38,693,182</w:t>
            </w:r>
          </w:p>
        </w:tc>
      </w:tr>
    </w:tbl>
    <w:p>
      <w:pPr>
        <w:spacing w:after="0" w:line="240" w:lineRule="auto"/>
        <w:jc w:val="right"/>
        <w:rPr>
          <w:rFonts w:ascii="Times New Roman" w:hAnsi="Times New Roman" w:cs="Times New Roman" w:eastAsia="Times New Roman" w:hint="default"/>
          <w:sz w:val="24"/>
          <w:szCs w:val="24"/>
        </w:rPr>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3654"/>
        <w:gridCol w:w="2693"/>
        <w:gridCol w:w="2703"/>
      </w:tblGrid>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处置子公司取得的投资收益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17,118,734</w:t>
            </w: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其他非流动金融资产在持有期间</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取得的投资收益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5"/>
              <w:jc w:val="right"/>
              <w:rPr>
                <w:rFonts w:ascii="Times New Roman" w:hAnsi="Times New Roman" w:cs="Times New Roman" w:eastAsia="Times New Roman" w:hint="default"/>
                <w:sz w:val="24"/>
                <w:szCs w:val="24"/>
              </w:rPr>
            </w:pPr>
            <w:r>
              <w:rPr>
                <w:rFonts w:ascii="Times New Roman"/>
                <w:sz w:val="24"/>
              </w:rPr>
              <w:t>2,420,880</w:t>
            </w: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287,203,202</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389" w:right="0"/>
              <w:jc w:val="left"/>
              <w:rPr>
                <w:rFonts w:ascii="Times New Roman" w:hAnsi="Times New Roman" w:cs="Times New Roman" w:eastAsia="Times New Roman" w:hint="default"/>
                <w:sz w:val="24"/>
                <w:szCs w:val="24"/>
              </w:rPr>
            </w:pPr>
            <w:r>
              <w:rPr>
                <w:rFonts w:ascii="Times New Roman"/>
                <w:sz w:val="24"/>
              </w:rPr>
              <w:t>100,555,748</w:t>
            </w:r>
          </w:p>
        </w:tc>
      </w:tr>
    </w:tbl>
    <w:p>
      <w:pPr>
        <w:pStyle w:val="BodyText"/>
        <w:spacing w:line="283" w:lineRule="auto" w:before="67"/>
        <w:ind w:left="216" w:right="7850"/>
        <w:jc w:val="left"/>
      </w:pPr>
      <w:r>
        <w:rPr/>
        <w:t>其他说明： 无。</w:t>
      </w:r>
    </w:p>
    <w:p>
      <w:pPr>
        <w:spacing w:line="240" w:lineRule="auto" w:before="3"/>
        <w:rPr>
          <w:rFonts w:ascii="宋体" w:hAnsi="宋体" w:cs="宋体" w:eastAsia="宋体" w:hint="default"/>
          <w:sz w:val="22"/>
          <w:szCs w:val="22"/>
        </w:rPr>
      </w:pPr>
    </w:p>
    <w:p>
      <w:pPr>
        <w:pStyle w:val="Heading2"/>
        <w:spacing w:line="240" w:lineRule="auto"/>
        <w:ind w:right="0"/>
        <w:jc w:val="left"/>
        <w:rPr>
          <w:b w:val="0"/>
          <w:bCs w:val="0"/>
        </w:rPr>
      </w:pPr>
      <w:r>
        <w:rPr>
          <w:rFonts w:ascii="宋体" w:hAnsi="宋体" w:cs="宋体" w:eastAsia="宋体" w:hint="default"/>
        </w:rPr>
        <w:t>67</w:t>
      </w:r>
      <w:r>
        <w:rPr/>
        <w:t>、</w:t>
      </w:r>
      <w:r>
        <w:rPr>
          <w:spacing w:val="-102"/>
        </w:rPr>
        <w:t> </w:t>
      </w:r>
      <w:r>
        <w:rPr/>
        <w:t>净敞口套期收益</w:t>
      </w:r>
      <w:r>
        <w:rPr>
          <w:b w:val="0"/>
          <w:bCs w:val="0"/>
        </w:rPr>
      </w:r>
    </w:p>
    <w:p>
      <w:pPr>
        <w:pStyle w:val="BodyText"/>
        <w:spacing w:line="240" w:lineRule="auto" w:before="58"/>
        <w:ind w:left="216" w:right="0"/>
        <w:jc w:val="left"/>
      </w:pPr>
      <w:r>
        <w:rPr/>
        <w:t>□适用 √不适用</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82" w:footer="1195" w:top="108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68</w:t>
      </w:r>
      <w:r>
        <w:rPr/>
        <w:t>、</w:t>
      </w:r>
      <w:r>
        <w:rPr>
          <w:spacing w:val="-103"/>
        </w:rPr>
        <w:t> </w:t>
      </w:r>
      <w:r>
        <w:rPr/>
        <w:t>公允价值变动收益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769" w:space="3424"/>
            <w:col w:w="3097"/>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399"/>
        <w:gridCol w:w="2825"/>
        <w:gridCol w:w="2825"/>
      </w:tblGrid>
      <w:tr>
        <w:trPr>
          <w:trHeight w:val="319"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34" w:right="0"/>
              <w:jc w:val="left"/>
              <w:rPr>
                <w:rFonts w:ascii="宋体" w:hAnsi="宋体" w:cs="宋体" w:eastAsia="宋体" w:hint="default"/>
                <w:sz w:val="24"/>
                <w:szCs w:val="24"/>
              </w:rPr>
            </w:pPr>
            <w:r>
              <w:rPr>
                <w:rFonts w:ascii="宋体" w:hAnsi="宋体" w:cs="宋体" w:eastAsia="宋体" w:hint="default"/>
                <w:sz w:val="24"/>
                <w:szCs w:val="24"/>
              </w:rPr>
              <w:t>产生公允价值变动收益的来源</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06"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06"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交易性金融资产</w:t>
            </w:r>
          </w:p>
        </w:tc>
        <w:tc>
          <w:tcPr>
            <w:tcW w:w="2825" w:type="dxa"/>
            <w:tcBorders>
              <w:top w:val="single" w:sz="4" w:space="0" w:color="000000"/>
              <w:left w:val="single" w:sz="4" w:space="0" w:color="000000"/>
              <w:bottom w:val="single" w:sz="4" w:space="0" w:color="000000"/>
              <w:right w:val="single" w:sz="4" w:space="0" w:color="000000"/>
            </w:tcBorders>
          </w:tcPr>
          <w:p>
            <w:pPr/>
          </w:p>
        </w:tc>
        <w:tc>
          <w:tcPr>
            <w:tcW w:w="282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其中：衍生金融工具产生的公</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允价值变动收益</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pacing w:val="-1"/>
                <w:sz w:val="24"/>
              </w:rPr>
              <w:t>-6,273,781</w:t>
            </w:r>
          </w:p>
        </w:tc>
        <w:tc>
          <w:tcPr>
            <w:tcW w:w="282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3" w:right="0"/>
              <w:jc w:val="left"/>
              <w:rPr>
                <w:rFonts w:ascii="宋体" w:hAnsi="宋体" w:cs="宋体" w:eastAsia="宋体" w:hint="default"/>
                <w:sz w:val="24"/>
                <w:szCs w:val="24"/>
              </w:rPr>
            </w:pPr>
            <w:r>
              <w:rPr>
                <w:rFonts w:ascii="宋体" w:hAnsi="宋体" w:cs="宋体" w:eastAsia="宋体" w:hint="default"/>
                <w:sz w:val="24"/>
                <w:szCs w:val="24"/>
              </w:rPr>
              <w:t>银行理财</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48,648,383</w:t>
            </w:r>
          </w:p>
        </w:tc>
        <w:tc>
          <w:tcPr>
            <w:tcW w:w="282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交易性金融负债</w:t>
            </w:r>
          </w:p>
        </w:tc>
        <w:tc>
          <w:tcPr>
            <w:tcW w:w="2825" w:type="dxa"/>
            <w:tcBorders>
              <w:top w:val="single" w:sz="4" w:space="0" w:color="000000"/>
              <w:left w:val="single" w:sz="4" w:space="0" w:color="000000"/>
              <w:bottom w:val="single" w:sz="4" w:space="0" w:color="000000"/>
              <w:right w:val="single" w:sz="4" w:space="0" w:color="000000"/>
            </w:tcBorders>
          </w:tcPr>
          <w:p>
            <w:pPr/>
          </w:p>
        </w:tc>
        <w:tc>
          <w:tcPr>
            <w:tcW w:w="282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按公允价值计量的投资性房地</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产</w:t>
            </w:r>
          </w:p>
        </w:tc>
        <w:tc>
          <w:tcPr>
            <w:tcW w:w="2825" w:type="dxa"/>
            <w:tcBorders>
              <w:top w:val="single" w:sz="4" w:space="0" w:color="000000"/>
              <w:left w:val="single" w:sz="4" w:space="0" w:color="000000"/>
              <w:bottom w:val="single" w:sz="4" w:space="0" w:color="000000"/>
              <w:right w:val="single" w:sz="4" w:space="0" w:color="000000"/>
            </w:tcBorders>
          </w:tcPr>
          <w:p>
            <w:pPr/>
          </w:p>
        </w:tc>
        <w:tc>
          <w:tcPr>
            <w:tcW w:w="282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其他非流动金融资产</w:t>
            </w:r>
          </w:p>
        </w:tc>
        <w:tc>
          <w:tcPr>
            <w:tcW w:w="2825" w:type="dxa"/>
            <w:tcBorders>
              <w:top w:val="single" w:sz="4" w:space="0" w:color="000000"/>
              <w:left w:val="single" w:sz="4" w:space="0" w:color="000000"/>
              <w:bottom w:val="single" w:sz="4" w:space="0" w:color="000000"/>
              <w:right w:val="single" w:sz="4" w:space="0" w:color="000000"/>
            </w:tcBorders>
          </w:tcPr>
          <w:p>
            <w:pPr/>
          </w:p>
        </w:tc>
        <w:tc>
          <w:tcPr>
            <w:tcW w:w="2825"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其中：交易性权益工具投资公</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允价值变动</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184,324,487</w:t>
            </w:r>
          </w:p>
        </w:tc>
        <w:tc>
          <w:tcPr>
            <w:tcW w:w="282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03" w:right="0"/>
              <w:jc w:val="left"/>
              <w:rPr>
                <w:rFonts w:ascii="宋体" w:hAnsi="宋体" w:cs="宋体" w:eastAsia="宋体" w:hint="default"/>
                <w:sz w:val="24"/>
                <w:szCs w:val="24"/>
              </w:rPr>
            </w:pPr>
            <w:r>
              <w:rPr>
                <w:rFonts w:ascii="宋体" w:hAnsi="宋体" w:cs="宋体" w:eastAsia="宋体" w:hint="default"/>
                <w:sz w:val="24"/>
                <w:szCs w:val="24"/>
              </w:rPr>
              <w:t>处置交易性权益工具投</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资的收益</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8,392,655</w:t>
            </w:r>
          </w:p>
        </w:tc>
        <w:tc>
          <w:tcPr>
            <w:tcW w:w="282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235,091,744</w:t>
            </w:r>
          </w:p>
        </w:tc>
        <w:tc>
          <w:tcPr>
            <w:tcW w:w="2825"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83" w:lineRule="auto" w:before="19"/>
        <w:ind w:left="216" w:right="7850"/>
        <w:jc w:val="left"/>
      </w:pPr>
      <w:r>
        <w:rPr/>
        <w:t>其他说明： 无。</w:t>
      </w:r>
    </w:p>
    <w:p>
      <w:pPr>
        <w:spacing w:line="240" w:lineRule="auto" w:before="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60" w:right="1560"/>
        </w:sectPr>
      </w:pPr>
    </w:p>
    <w:p>
      <w:pPr>
        <w:pStyle w:val="Heading2"/>
        <w:spacing w:line="240" w:lineRule="auto" w:before="26"/>
        <w:ind w:right="-17"/>
        <w:jc w:val="left"/>
        <w:rPr>
          <w:b w:val="0"/>
          <w:bCs w:val="0"/>
        </w:rPr>
      </w:pPr>
      <w:r>
        <w:rPr>
          <w:rFonts w:ascii="宋体" w:hAnsi="宋体" w:cs="宋体" w:eastAsia="宋体" w:hint="default"/>
        </w:rPr>
        <w:t>69</w:t>
      </w:r>
      <w:r>
        <w:rPr/>
        <w:t>、</w:t>
      </w:r>
      <w:r>
        <w:rPr>
          <w:spacing w:val="-103"/>
        </w:rPr>
        <w:t> </w:t>
      </w:r>
      <w:r>
        <w:rPr/>
        <w:t>信用减值损失</w:t>
      </w:r>
      <w:r>
        <w:rPr>
          <w:b w:val="0"/>
          <w:bCs w:val="0"/>
        </w:rPr>
      </w:r>
    </w:p>
    <w:p>
      <w:pPr>
        <w:pStyle w:val="BodyText"/>
        <w:spacing w:line="240" w:lineRule="auto" w:before="58"/>
        <w:ind w:left="216" w:right="-17"/>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4"/>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166" w:space="4027"/>
            <w:col w:w="3097"/>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651"/>
        <w:gridCol w:w="2688"/>
        <w:gridCol w:w="2710"/>
      </w:tblGrid>
      <w:tr>
        <w:trPr>
          <w:trHeight w:val="324" w:hRule="exact"/>
        </w:trPr>
        <w:tc>
          <w:tcPr>
            <w:tcW w:w="3651" w:type="dxa"/>
            <w:tcBorders>
              <w:top w:val="single" w:sz="4" w:space="0" w:color="000000"/>
              <w:left w:val="single" w:sz="4"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688" w:type="dxa"/>
            <w:tcBorders>
              <w:top w:val="single" w:sz="4" w:space="0" w:color="000000"/>
              <w:left w:val="single" w:sz="6" w:space="0" w:color="000000"/>
              <w:bottom w:val="single" w:sz="6" w:space="0" w:color="000000"/>
              <w:right w:val="single" w:sz="6" w:space="0" w:color="000000"/>
            </w:tcBorders>
          </w:tcPr>
          <w:p>
            <w:pPr>
              <w:pStyle w:val="TableParagraph"/>
              <w:spacing w:line="276" w:lineRule="exact"/>
              <w:ind w:left="736"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710" w:type="dxa"/>
            <w:tcBorders>
              <w:top w:val="single" w:sz="4" w:space="0" w:color="000000"/>
              <w:left w:val="single" w:sz="6" w:space="0" w:color="000000"/>
              <w:bottom w:val="single" w:sz="6" w:space="0" w:color="000000"/>
              <w:right w:val="single" w:sz="4" w:space="0" w:color="000000"/>
            </w:tcBorders>
          </w:tcPr>
          <w:p>
            <w:pPr>
              <w:pStyle w:val="TableParagraph"/>
              <w:spacing w:line="276" w:lineRule="exact"/>
              <w:ind w:left="748"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6"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其他应收款坏账损失</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99"/>
              <w:jc w:val="right"/>
              <w:rPr>
                <w:rFonts w:ascii="Times New Roman" w:hAnsi="Times New Roman" w:cs="Times New Roman" w:eastAsia="Times New Roman" w:hint="default"/>
                <w:sz w:val="24"/>
                <w:szCs w:val="24"/>
              </w:rPr>
            </w:pPr>
            <w:r>
              <w:rPr>
                <w:rFonts w:ascii="Times New Roman"/>
                <w:sz w:val="24"/>
              </w:rPr>
              <w:t>15,277,178</w:t>
            </w:r>
          </w:p>
        </w:tc>
        <w:tc>
          <w:tcPr>
            <w:tcW w:w="2710" w:type="dxa"/>
            <w:tcBorders>
              <w:top w:val="single" w:sz="6" w:space="0" w:color="000000"/>
              <w:left w:val="single" w:sz="6" w:space="0" w:color="000000"/>
              <w:bottom w:val="single" w:sz="6" w:space="0" w:color="000000"/>
              <w:right w:val="single" w:sz="4" w:space="0" w:color="000000"/>
            </w:tcBorders>
          </w:tcPr>
          <w:p>
            <w:pPr/>
          </w:p>
        </w:tc>
      </w:tr>
      <w:tr>
        <w:trPr>
          <w:trHeight w:val="326"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债权投资减值损失</w:t>
            </w:r>
          </w:p>
        </w:tc>
        <w:tc>
          <w:tcPr>
            <w:tcW w:w="2688" w:type="dxa"/>
            <w:tcBorders>
              <w:top w:val="single" w:sz="6" w:space="0" w:color="000000"/>
              <w:left w:val="single" w:sz="6" w:space="0" w:color="000000"/>
              <w:bottom w:val="single" w:sz="6" w:space="0" w:color="000000"/>
              <w:right w:val="single" w:sz="6" w:space="0" w:color="000000"/>
            </w:tcBorders>
          </w:tcPr>
          <w:p>
            <w:pPr/>
          </w:p>
        </w:tc>
        <w:tc>
          <w:tcPr>
            <w:tcW w:w="2710" w:type="dxa"/>
            <w:tcBorders>
              <w:top w:val="single" w:sz="6" w:space="0" w:color="000000"/>
              <w:left w:val="single" w:sz="6" w:space="0" w:color="000000"/>
              <w:bottom w:val="single" w:sz="6" w:space="0" w:color="000000"/>
              <w:right w:val="single" w:sz="4" w:space="0" w:color="000000"/>
            </w:tcBorders>
          </w:tcPr>
          <w:p>
            <w:pPr/>
          </w:p>
        </w:tc>
      </w:tr>
      <w:tr>
        <w:trPr>
          <w:trHeight w:val="326"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其他债权投资减值损失</w:t>
            </w:r>
          </w:p>
        </w:tc>
        <w:tc>
          <w:tcPr>
            <w:tcW w:w="2688" w:type="dxa"/>
            <w:tcBorders>
              <w:top w:val="single" w:sz="6" w:space="0" w:color="000000"/>
              <w:left w:val="single" w:sz="6" w:space="0" w:color="000000"/>
              <w:bottom w:val="single" w:sz="6" w:space="0" w:color="000000"/>
              <w:right w:val="single" w:sz="6" w:space="0" w:color="000000"/>
            </w:tcBorders>
          </w:tcPr>
          <w:p>
            <w:pPr/>
          </w:p>
        </w:tc>
        <w:tc>
          <w:tcPr>
            <w:tcW w:w="2710" w:type="dxa"/>
            <w:tcBorders>
              <w:top w:val="single" w:sz="6" w:space="0" w:color="000000"/>
              <w:left w:val="single" w:sz="6" w:space="0" w:color="000000"/>
              <w:bottom w:val="single" w:sz="6" w:space="0" w:color="000000"/>
              <w:right w:val="single" w:sz="4" w:space="0" w:color="000000"/>
            </w:tcBorders>
          </w:tcPr>
          <w:p>
            <w:pPr/>
          </w:p>
        </w:tc>
      </w:tr>
      <w:tr>
        <w:trPr>
          <w:trHeight w:val="326"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长期应收款坏账损失</w:t>
            </w:r>
          </w:p>
        </w:tc>
        <w:tc>
          <w:tcPr>
            <w:tcW w:w="2688" w:type="dxa"/>
            <w:tcBorders>
              <w:top w:val="single" w:sz="6" w:space="0" w:color="000000"/>
              <w:left w:val="single" w:sz="6" w:space="0" w:color="000000"/>
              <w:bottom w:val="single" w:sz="6" w:space="0" w:color="000000"/>
              <w:right w:val="single" w:sz="6" w:space="0" w:color="000000"/>
            </w:tcBorders>
          </w:tcPr>
          <w:p>
            <w:pPr/>
          </w:p>
        </w:tc>
        <w:tc>
          <w:tcPr>
            <w:tcW w:w="2710" w:type="dxa"/>
            <w:tcBorders>
              <w:top w:val="single" w:sz="6" w:space="0" w:color="000000"/>
              <w:left w:val="single" w:sz="6" w:space="0" w:color="000000"/>
              <w:bottom w:val="single" w:sz="6" w:space="0" w:color="000000"/>
              <w:right w:val="single" w:sz="4" w:space="0" w:color="000000"/>
            </w:tcBorders>
          </w:tcPr>
          <w:p>
            <w:pPr/>
          </w:p>
        </w:tc>
      </w:tr>
      <w:tr>
        <w:trPr>
          <w:trHeight w:val="326"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应收账款坏账损失</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9"/>
              <w:jc w:val="right"/>
              <w:rPr>
                <w:rFonts w:ascii="Times New Roman" w:hAnsi="Times New Roman" w:cs="Times New Roman" w:eastAsia="Times New Roman" w:hint="default"/>
                <w:sz w:val="24"/>
                <w:szCs w:val="24"/>
              </w:rPr>
            </w:pPr>
            <w:r>
              <w:rPr>
                <w:rFonts w:ascii="Times New Roman"/>
                <w:sz w:val="24"/>
              </w:rPr>
              <w:t>120,835,120</w:t>
            </w:r>
          </w:p>
        </w:tc>
        <w:tc>
          <w:tcPr>
            <w:tcW w:w="2710" w:type="dxa"/>
            <w:tcBorders>
              <w:top w:val="single" w:sz="6" w:space="0" w:color="000000"/>
              <w:left w:val="single" w:sz="6" w:space="0" w:color="000000"/>
              <w:bottom w:val="single" w:sz="6" w:space="0" w:color="000000"/>
              <w:right w:val="single" w:sz="4" w:space="0" w:color="000000"/>
            </w:tcBorders>
          </w:tcPr>
          <w:p>
            <w:pPr/>
          </w:p>
        </w:tc>
      </w:tr>
      <w:tr>
        <w:trPr>
          <w:trHeight w:val="290" w:hRule="exact"/>
        </w:trPr>
        <w:tc>
          <w:tcPr>
            <w:tcW w:w="3651" w:type="dxa"/>
            <w:tcBorders>
              <w:top w:val="single" w:sz="6" w:space="0" w:color="000000"/>
              <w:left w:val="single" w:sz="4" w:space="0" w:color="000000"/>
              <w:bottom w:val="single" w:sz="6" w:space="0" w:color="000000"/>
              <w:right w:val="single" w:sz="6" w:space="0" w:color="000000"/>
            </w:tcBorders>
          </w:tcPr>
          <w:p>
            <w:pPr/>
          </w:p>
        </w:tc>
        <w:tc>
          <w:tcPr>
            <w:tcW w:w="2688" w:type="dxa"/>
            <w:tcBorders>
              <w:top w:val="single" w:sz="6" w:space="0" w:color="000000"/>
              <w:left w:val="single" w:sz="6" w:space="0" w:color="000000"/>
              <w:bottom w:val="single" w:sz="6" w:space="0" w:color="000000"/>
              <w:right w:val="single" w:sz="6" w:space="0" w:color="000000"/>
            </w:tcBorders>
          </w:tcPr>
          <w:p>
            <w:pPr/>
          </w:p>
        </w:tc>
        <w:tc>
          <w:tcPr>
            <w:tcW w:w="2710" w:type="dxa"/>
            <w:tcBorders>
              <w:top w:val="single" w:sz="6" w:space="0" w:color="000000"/>
              <w:left w:val="single" w:sz="6" w:space="0" w:color="000000"/>
              <w:bottom w:val="single" w:sz="6" w:space="0" w:color="000000"/>
              <w:right w:val="single" w:sz="4" w:space="0" w:color="000000"/>
            </w:tcBorders>
          </w:tcPr>
          <w:p>
            <w:pPr/>
          </w:p>
        </w:tc>
      </w:tr>
      <w:tr>
        <w:trPr>
          <w:trHeight w:val="324" w:hRule="exact"/>
        </w:trPr>
        <w:tc>
          <w:tcPr>
            <w:tcW w:w="3651" w:type="dxa"/>
            <w:tcBorders>
              <w:top w:val="single" w:sz="6" w:space="0" w:color="000000"/>
              <w:left w:val="single" w:sz="4" w:space="0" w:color="000000"/>
              <w:bottom w:val="single" w:sz="4" w:space="0" w:color="000000"/>
              <w:right w:val="single" w:sz="6"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688" w:type="dxa"/>
            <w:tcBorders>
              <w:top w:val="single" w:sz="6" w:space="0" w:color="000000"/>
              <w:left w:val="single" w:sz="6" w:space="0" w:color="000000"/>
              <w:bottom w:val="single" w:sz="4" w:space="0" w:color="000000"/>
              <w:right w:val="single" w:sz="6" w:space="0" w:color="000000"/>
            </w:tcBorders>
          </w:tcPr>
          <w:p>
            <w:pPr>
              <w:pStyle w:val="TableParagraph"/>
              <w:spacing w:line="268" w:lineRule="exact"/>
              <w:ind w:right="99"/>
              <w:jc w:val="right"/>
              <w:rPr>
                <w:rFonts w:ascii="Times New Roman" w:hAnsi="Times New Roman" w:cs="Times New Roman" w:eastAsia="Times New Roman" w:hint="default"/>
                <w:sz w:val="24"/>
                <w:szCs w:val="24"/>
              </w:rPr>
            </w:pPr>
            <w:r>
              <w:rPr>
                <w:rFonts w:ascii="Times New Roman"/>
                <w:sz w:val="24"/>
              </w:rPr>
              <w:t>136,112,298</w:t>
            </w:r>
          </w:p>
        </w:tc>
        <w:tc>
          <w:tcPr>
            <w:tcW w:w="2710" w:type="dxa"/>
            <w:tcBorders>
              <w:top w:val="single" w:sz="6" w:space="0" w:color="000000"/>
              <w:left w:val="single" w:sz="6"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4"/>
        <w:rPr>
          <w:rFonts w:ascii="宋体" w:hAnsi="宋体" w:cs="宋体" w:eastAsia="宋体" w:hint="default"/>
          <w:sz w:val="22"/>
          <w:szCs w:val="22"/>
        </w:rPr>
      </w:pPr>
    </w:p>
    <w:p>
      <w:pPr>
        <w:pStyle w:val="BodyText"/>
        <w:spacing w:line="240" w:lineRule="auto" w:before="26"/>
        <w:ind w:left="216" w:right="7850"/>
        <w:jc w:val="left"/>
      </w:pPr>
      <w:r>
        <w:rPr/>
        <w:t>其他说明： 无</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82" w:footer="1195" w:top="1080" w:bottom="1380" w:left="1060" w:right="1560"/>
        </w:sectPr>
      </w:pPr>
    </w:p>
    <w:p>
      <w:pPr>
        <w:pStyle w:val="Heading2"/>
        <w:spacing w:line="240" w:lineRule="auto" w:before="26"/>
        <w:ind w:right="0"/>
        <w:jc w:val="left"/>
        <w:rPr>
          <w:rFonts w:ascii="宋体" w:hAnsi="宋体" w:cs="宋体" w:eastAsia="宋体" w:hint="default"/>
          <w:b w:val="0"/>
          <w:bCs w:val="0"/>
        </w:rPr>
      </w:pPr>
      <w:r>
        <w:rPr>
          <w:rFonts w:ascii="宋体" w:hAnsi="宋体" w:cs="宋体" w:eastAsia="宋体" w:hint="default"/>
        </w:rPr>
        <w:t>70</w:t>
      </w:r>
      <w:r>
        <w:rPr/>
        <w:t>、</w:t>
      </w:r>
      <w:r>
        <w:rPr>
          <w:spacing w:val="-103"/>
        </w:rPr>
        <w:t> </w:t>
      </w:r>
      <w:r>
        <w:rPr/>
        <w:t>资产减值损失</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287" w:space="3907"/>
            <w:col w:w="3096"/>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399"/>
        <w:gridCol w:w="2573"/>
        <w:gridCol w:w="3077"/>
      </w:tblGrid>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679"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933"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一、坏账损失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219,854,972</w:t>
            </w: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二、存货跌价损失</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873,355</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10,609,820</w:t>
            </w:r>
          </w:p>
        </w:tc>
      </w:tr>
      <w:tr>
        <w:trPr>
          <w:trHeight w:val="63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三、可供出售金融资产减值损</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1,520,300</w:t>
            </w:r>
          </w:p>
        </w:tc>
      </w:tr>
      <w:tr>
        <w:trPr>
          <w:trHeight w:val="319"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四、持有至到期投资减值损失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五、长期股权投资减值损失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18,471,235</w:t>
            </w: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六、投资性房地产减值损失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七、固定资产减值损失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八、工程物资减值损失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九、在建工程减值损失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十、生产性生物资产减值损失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十一、油气资产减值损失</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十二、无形资产减值损失</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1,549,307</w:t>
            </w: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十三、商誉减值损失</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33,681,647</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43,671,000</w:t>
            </w: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十四、其他</w:t>
            </w:r>
          </w:p>
        </w:tc>
        <w:tc>
          <w:tcPr>
            <w:tcW w:w="2573" w:type="dxa"/>
            <w:tcBorders>
              <w:top w:val="single" w:sz="4" w:space="0" w:color="000000"/>
              <w:left w:val="single" w:sz="4" w:space="0" w:color="000000"/>
              <w:bottom w:val="single" w:sz="4" w:space="0" w:color="000000"/>
              <w:right w:val="single" w:sz="4" w:space="0" w:color="000000"/>
            </w:tcBorders>
          </w:tcPr>
          <w:p>
            <w:pPr/>
          </w:p>
        </w:tc>
        <w:tc>
          <w:tcPr>
            <w:tcW w:w="307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36,104,309</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294,127,327</w:t>
            </w:r>
          </w:p>
        </w:tc>
      </w:tr>
    </w:tbl>
    <w:p>
      <w:pPr>
        <w:pStyle w:val="BodyText"/>
        <w:spacing w:line="283" w:lineRule="auto" w:before="19"/>
        <w:ind w:left="216" w:right="7850"/>
        <w:jc w:val="left"/>
      </w:pPr>
      <w:r>
        <w:rPr/>
        <w:t>其他说明： 无</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pStyle w:val="Heading2"/>
        <w:spacing w:line="240" w:lineRule="auto" w:before="26"/>
        <w:ind w:right="-17"/>
        <w:jc w:val="left"/>
        <w:rPr>
          <w:b w:val="0"/>
          <w:bCs w:val="0"/>
        </w:rPr>
      </w:pPr>
      <w:r>
        <w:rPr>
          <w:rFonts w:ascii="宋体" w:hAnsi="宋体" w:cs="宋体" w:eastAsia="宋体" w:hint="default"/>
        </w:rPr>
        <w:t>71</w:t>
      </w:r>
      <w:r>
        <w:rPr/>
        <w:t>、</w:t>
      </w:r>
      <w:r>
        <w:rPr>
          <w:spacing w:val="-103"/>
        </w:rPr>
        <w:t> </w:t>
      </w:r>
      <w:r>
        <w:rPr/>
        <w:t>资产处置收益</w:t>
      </w:r>
      <w:r>
        <w:rPr>
          <w:b w:val="0"/>
          <w:bCs w:val="0"/>
        </w:rPr>
      </w:r>
    </w:p>
    <w:p>
      <w:pPr>
        <w:pStyle w:val="BodyText"/>
        <w:spacing w:line="240" w:lineRule="auto" w:before="58"/>
        <w:ind w:left="216" w:right="-17"/>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166" w:space="4027"/>
            <w:col w:w="3097"/>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018"/>
        <w:gridCol w:w="3015"/>
        <w:gridCol w:w="3017"/>
      </w:tblGrid>
      <w:tr>
        <w:trPr>
          <w:trHeight w:val="319"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99"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02"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固定资产处置收益</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905,946</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237,405</w:t>
            </w:r>
          </w:p>
        </w:tc>
      </w:tr>
      <w:tr>
        <w:trPr>
          <w:trHeight w:val="286" w:hRule="exact"/>
        </w:trPr>
        <w:tc>
          <w:tcPr>
            <w:tcW w:w="3018" w:type="dxa"/>
            <w:tcBorders>
              <w:top w:val="single" w:sz="4" w:space="0" w:color="000000"/>
              <w:left w:val="single" w:sz="4" w:space="0" w:color="000000"/>
              <w:bottom w:val="single" w:sz="4" w:space="0" w:color="000000"/>
              <w:right w:val="single" w:sz="4" w:space="0" w:color="000000"/>
            </w:tcBorders>
          </w:tcPr>
          <w:p>
            <w:pPr/>
          </w:p>
        </w:tc>
        <w:tc>
          <w:tcPr>
            <w:tcW w:w="3015" w:type="dxa"/>
            <w:tcBorders>
              <w:top w:val="single" w:sz="4" w:space="0" w:color="000000"/>
              <w:left w:val="single" w:sz="4" w:space="0" w:color="000000"/>
              <w:bottom w:val="single" w:sz="4" w:space="0" w:color="000000"/>
              <w:right w:val="single" w:sz="4" w:space="0" w:color="000000"/>
            </w:tcBorders>
          </w:tcPr>
          <w:p>
            <w:pPr/>
          </w:p>
        </w:tc>
        <w:tc>
          <w:tcPr>
            <w:tcW w:w="30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905,946</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237,405</w:t>
            </w:r>
          </w:p>
        </w:tc>
      </w:tr>
    </w:tbl>
    <w:p>
      <w:pPr>
        <w:pStyle w:val="BodyText"/>
        <w:spacing w:line="273" w:lineRule="exact"/>
        <w:ind w:left="216" w:right="0"/>
        <w:jc w:val="left"/>
      </w:pPr>
      <w:r>
        <w:rPr/>
        <w:t>其他说明：</w:t>
      </w:r>
    </w:p>
    <w:p>
      <w:pPr>
        <w:pStyle w:val="BodyText"/>
        <w:spacing w:line="313" w:lineRule="exact"/>
        <w:ind w:left="216" w:right="0"/>
        <w:jc w:val="left"/>
      </w:pPr>
      <w:r>
        <w:rPr/>
        <w:t>无</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60" w:right="1560"/>
        </w:sectPr>
      </w:pPr>
    </w:p>
    <w:p>
      <w:pPr>
        <w:spacing w:line="283" w:lineRule="auto" w:before="26"/>
        <w:ind w:left="216" w:right="-20" w:firstLine="0"/>
        <w:jc w:val="left"/>
        <w:rPr>
          <w:rFonts w:ascii="宋体" w:hAnsi="宋体" w:cs="宋体" w:eastAsia="宋体" w:hint="default"/>
          <w:sz w:val="24"/>
          <w:szCs w:val="24"/>
        </w:rPr>
      </w:pPr>
      <w:r>
        <w:rPr>
          <w:rFonts w:ascii="宋体" w:hAnsi="宋体" w:cs="宋体" w:eastAsia="宋体" w:hint="default"/>
          <w:b/>
          <w:bCs/>
          <w:sz w:val="24"/>
          <w:szCs w:val="24"/>
        </w:rPr>
        <w:t>72</w:t>
      </w:r>
      <w:r>
        <w:rPr>
          <w:rFonts w:ascii="宋体" w:hAnsi="宋体" w:cs="宋体" w:eastAsia="宋体" w:hint="default"/>
          <w:b/>
          <w:bCs/>
          <w:sz w:val="24"/>
          <w:szCs w:val="24"/>
        </w:rPr>
        <w:t>、</w:t>
      </w:r>
      <w:r>
        <w:rPr>
          <w:rFonts w:ascii="宋体" w:hAnsi="宋体" w:cs="宋体" w:eastAsia="宋体" w:hint="default"/>
          <w:b/>
          <w:bCs/>
          <w:spacing w:val="-101"/>
          <w:sz w:val="24"/>
          <w:szCs w:val="24"/>
        </w:rPr>
        <w:t> </w:t>
      </w:r>
      <w:r>
        <w:rPr>
          <w:rFonts w:ascii="宋体" w:hAnsi="宋体" w:cs="宋体" w:eastAsia="宋体" w:hint="default"/>
          <w:b/>
          <w:bCs/>
          <w:sz w:val="24"/>
          <w:szCs w:val="24"/>
        </w:rPr>
        <w:t>营业外收入</w:t>
      </w:r>
      <w:r>
        <w:rPr>
          <w:rFonts w:ascii="宋体" w:hAnsi="宋体" w:cs="宋体" w:eastAsia="宋体" w:hint="default"/>
          <w:b/>
          <w:bCs/>
          <w:w w:val="99"/>
          <w:sz w:val="24"/>
          <w:szCs w:val="24"/>
        </w:rPr>
        <w:t> </w:t>
      </w:r>
      <w:r>
        <w:rPr>
          <w:rFonts w:ascii="宋体" w:hAnsi="宋体" w:cs="宋体" w:eastAsia="宋体" w:hint="default"/>
          <w:sz w:val="24"/>
          <w:szCs w:val="24"/>
        </w:rPr>
        <w:t>营业外收入情况</w:t>
      </w:r>
    </w:p>
    <w:p>
      <w:pPr>
        <w:pStyle w:val="BodyText"/>
        <w:tabs>
          <w:tab w:pos="1177" w:val="left" w:leader="none"/>
        </w:tabs>
        <w:spacing w:line="269" w:lineRule="exact"/>
        <w:ind w:left="216" w:right="-20"/>
        <w:jc w:val="left"/>
      </w:pPr>
      <w:r>
        <w:rPr/>
        <w:t>√适用</w:t>
        <w:tab/>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9"/>
          <w:szCs w:val="29"/>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138" w:space="4056"/>
            <w:col w:w="3096"/>
          </w:cols>
        </w:sectPr>
      </w:pPr>
    </w:p>
    <w:p>
      <w:pPr>
        <w:spacing w:line="240" w:lineRule="auto" w:before="5"/>
        <w:rPr>
          <w:rFonts w:ascii="宋体" w:hAnsi="宋体" w:cs="宋体" w:eastAsia="宋体" w:hint="default"/>
          <w:sz w:val="27"/>
          <w:szCs w:val="27"/>
        </w:rPr>
      </w:pPr>
    </w:p>
    <w:tbl>
      <w:tblPr>
        <w:tblW w:w="0" w:type="auto"/>
        <w:jc w:val="left"/>
        <w:tblInd w:w="123" w:type="dxa"/>
        <w:tblLayout w:type="fixed"/>
        <w:tblCellMar>
          <w:top w:w="0" w:type="dxa"/>
          <w:left w:w="0" w:type="dxa"/>
          <w:bottom w:w="0" w:type="dxa"/>
          <w:right w:w="0" w:type="dxa"/>
        </w:tblCellMar>
        <w:tblLook w:val="01E0"/>
      </w:tblPr>
      <w:tblGrid>
        <w:gridCol w:w="2112"/>
        <w:gridCol w:w="2305"/>
        <w:gridCol w:w="2316"/>
        <w:gridCol w:w="2317"/>
      </w:tblGrid>
      <w:tr>
        <w:trPr>
          <w:trHeight w:val="63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44"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551" w:right="0"/>
              <w:jc w:val="left"/>
              <w:rPr>
                <w:rFonts w:ascii="宋体" w:hAnsi="宋体" w:cs="宋体" w:eastAsia="宋体" w:hint="default"/>
                <w:sz w:val="24"/>
                <w:szCs w:val="24"/>
              </w:rPr>
            </w:pPr>
            <w:r>
              <w:rPr>
                <w:rFonts w:ascii="宋体" w:hAnsi="宋体" w:cs="宋体" w:eastAsia="宋体" w:hint="default"/>
                <w:sz w:val="24"/>
                <w:szCs w:val="24"/>
              </w:rPr>
              <w:t>上期发生额</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
              <w:jc w:val="center"/>
              <w:rPr>
                <w:rFonts w:ascii="宋体" w:hAnsi="宋体" w:cs="宋体" w:eastAsia="宋体" w:hint="default"/>
                <w:sz w:val="24"/>
                <w:szCs w:val="24"/>
              </w:rPr>
            </w:pPr>
            <w:r>
              <w:rPr>
                <w:rFonts w:ascii="宋体" w:hAnsi="宋体" w:cs="宋体" w:eastAsia="宋体" w:hint="default"/>
                <w:sz w:val="24"/>
                <w:szCs w:val="24"/>
              </w:rPr>
              <w:t>计入当期非经常性</w:t>
            </w:r>
          </w:p>
          <w:p>
            <w:pPr>
              <w:pStyle w:val="TableParagraph"/>
              <w:spacing w:line="313" w:lineRule="exact"/>
              <w:ind w:right="2"/>
              <w:jc w:val="center"/>
              <w:rPr>
                <w:rFonts w:ascii="宋体" w:hAnsi="宋体" w:cs="宋体" w:eastAsia="宋体" w:hint="default"/>
                <w:sz w:val="24"/>
                <w:szCs w:val="24"/>
              </w:rPr>
            </w:pPr>
            <w:r>
              <w:rPr>
                <w:rFonts w:ascii="宋体" w:hAnsi="宋体" w:cs="宋体" w:eastAsia="宋体" w:hint="default"/>
                <w:sz w:val="24"/>
                <w:szCs w:val="24"/>
              </w:rPr>
              <w:t>损益的金额</w:t>
            </w:r>
          </w:p>
        </w:tc>
      </w:tr>
      <w:tr>
        <w:trPr>
          <w:trHeight w:val="631"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非流动资产处置</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利得合计</w:t>
            </w:r>
          </w:p>
        </w:tc>
        <w:tc>
          <w:tcPr>
            <w:tcW w:w="2305"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其中：固定资产处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置利得</w:t>
            </w:r>
          </w:p>
        </w:tc>
        <w:tc>
          <w:tcPr>
            <w:tcW w:w="2305"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823" w:right="0"/>
              <w:jc w:val="left"/>
              <w:rPr>
                <w:rFonts w:ascii="宋体" w:hAnsi="宋体" w:cs="宋体" w:eastAsia="宋体" w:hint="default"/>
                <w:sz w:val="24"/>
                <w:szCs w:val="24"/>
              </w:rPr>
            </w:pPr>
            <w:r>
              <w:rPr>
                <w:rFonts w:ascii="宋体" w:hAnsi="宋体" w:cs="宋体" w:eastAsia="宋体" w:hint="default"/>
                <w:sz w:val="24"/>
                <w:szCs w:val="24"/>
              </w:rPr>
              <w:t>无形资产</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处置利得</w:t>
            </w:r>
          </w:p>
        </w:tc>
        <w:tc>
          <w:tcPr>
            <w:tcW w:w="2305"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债务重组利得</w:t>
            </w:r>
          </w:p>
        </w:tc>
        <w:tc>
          <w:tcPr>
            <w:tcW w:w="2305"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非货币性资产交</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换利得</w:t>
            </w:r>
          </w:p>
        </w:tc>
        <w:tc>
          <w:tcPr>
            <w:tcW w:w="2305"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0"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接受捐赠</w:t>
            </w:r>
          </w:p>
        </w:tc>
        <w:tc>
          <w:tcPr>
            <w:tcW w:w="2305" w:type="dxa"/>
            <w:tcBorders>
              <w:top w:val="single" w:sz="4" w:space="0" w:color="000000"/>
              <w:left w:val="single" w:sz="4" w:space="0" w:color="000000"/>
              <w:bottom w:val="single" w:sz="4" w:space="0" w:color="000000"/>
              <w:right w:val="single" w:sz="4" w:space="0" w:color="000000"/>
            </w:tcBorders>
          </w:tcPr>
          <w:p>
            <w:pPr/>
          </w:p>
        </w:tc>
        <w:tc>
          <w:tcPr>
            <w:tcW w:w="2316"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政府补助</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4,928,377</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11,657,891</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4,928,377</w:t>
            </w:r>
          </w:p>
        </w:tc>
      </w:tr>
      <w:tr>
        <w:trPr>
          <w:trHeight w:val="322"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罚款净收入</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82,301</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31,682</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82,301</w:t>
            </w:r>
          </w:p>
        </w:tc>
      </w:tr>
      <w:tr>
        <w:trPr>
          <w:trHeight w:val="322"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3,745,108</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4,539,603</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3,745,108</w:t>
            </w:r>
          </w:p>
        </w:tc>
      </w:tr>
      <w:tr>
        <w:trPr>
          <w:trHeight w:val="322"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8,755,786</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16,229,176</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8,755,786</w:t>
            </w:r>
          </w:p>
        </w:tc>
      </w:tr>
    </w:tbl>
    <w:p>
      <w:pPr>
        <w:spacing w:line="240" w:lineRule="auto" w:before="9"/>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882" w:footer="1195" w:top="1080" w:bottom="1380" w:left="1040" w:right="1560"/>
        </w:sectPr>
      </w:pPr>
    </w:p>
    <w:p>
      <w:pPr>
        <w:spacing w:line="273" w:lineRule="exact" w:before="36"/>
        <w:ind w:left="236" w:right="0" w:firstLine="0"/>
        <w:jc w:val="left"/>
        <w:rPr>
          <w:rFonts w:ascii="宋体" w:hAnsi="宋体" w:cs="宋体" w:eastAsia="宋体" w:hint="default"/>
          <w:sz w:val="21"/>
          <w:szCs w:val="21"/>
        </w:rPr>
      </w:pPr>
      <w:r>
        <w:rPr>
          <w:rFonts w:ascii="宋体" w:hAnsi="宋体" w:cs="宋体" w:eastAsia="宋体" w:hint="default"/>
          <w:sz w:val="21"/>
          <w:szCs w:val="21"/>
        </w:rPr>
        <w:t>计入当期损益的政府补助</w:t>
      </w:r>
      <w:r>
        <w:rPr>
          <w:rFonts w:ascii="宋体" w:hAnsi="宋体" w:cs="宋体" w:eastAsia="宋体" w:hint="default"/>
          <w:sz w:val="21"/>
          <w:szCs w:val="21"/>
        </w:rPr>
        <w:t> </w:t>
      </w:r>
    </w:p>
    <w:p>
      <w:pPr>
        <w:spacing w:line="273" w:lineRule="exact" w:before="0"/>
        <w:ind w:left="236"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2"/>
          <w:sz w:val="21"/>
          <w:szCs w:val="21"/>
        </w:rPr>
        <w:t> </w:t>
      </w:r>
      <w:r>
        <w:rPr>
          <w:rFonts w:ascii="宋体" w:hAnsi="宋体" w:cs="宋体" w:eastAsia="宋体" w:hint="default"/>
          <w:spacing w:val="-2"/>
          <w:sz w:val="21"/>
          <w:szCs w:val="21"/>
        </w:rPr>
      </w:r>
      <w:r>
        <w:rPr>
          <w:rFonts w:ascii="宋体" w:hAnsi="宋体" w:cs="宋体" w:eastAsia="宋体" w:hint="default"/>
          <w:sz w:val="21"/>
          <w:szCs w:val="21"/>
        </w:rPr>
        <w:t>□不适用</w:t>
      </w:r>
      <w:r>
        <w:rPr>
          <w:rFonts w:ascii="宋体" w:hAnsi="宋体" w:cs="宋体" w:eastAsia="宋体" w:hint="default"/>
          <w:spacing w:val="-3"/>
          <w:sz w:val="21"/>
          <w:szCs w:val="21"/>
        </w:rPr>
        <w:t> </w:t>
      </w:r>
      <w:r>
        <w:rPr>
          <w:rFonts w:ascii="宋体" w:hAnsi="宋体" w:cs="宋体" w:eastAsia="宋体" w:hint="default"/>
          <w:sz w:val="21"/>
          <w:szCs w:val="21"/>
        </w:rPr>
        <w:t> </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2"/>
        <w:rPr>
          <w:rFonts w:ascii="宋体" w:hAnsi="宋体" w:cs="宋体" w:eastAsia="宋体" w:hint="default"/>
          <w:sz w:val="19"/>
          <w:szCs w:val="19"/>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655" w:space="3539"/>
            <w:col w:w="3116"/>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2616"/>
        <w:gridCol w:w="2329"/>
        <w:gridCol w:w="2182"/>
        <w:gridCol w:w="1935"/>
      </w:tblGrid>
      <w:tr>
        <w:trPr>
          <w:trHeight w:val="631" w:hRule="exact"/>
        </w:trPr>
        <w:tc>
          <w:tcPr>
            <w:tcW w:w="2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821" w:right="0"/>
              <w:jc w:val="left"/>
              <w:rPr>
                <w:rFonts w:ascii="宋体" w:hAnsi="宋体" w:cs="宋体" w:eastAsia="宋体" w:hint="default"/>
                <w:sz w:val="24"/>
                <w:szCs w:val="24"/>
              </w:rPr>
            </w:pPr>
            <w:r>
              <w:rPr>
                <w:rFonts w:ascii="宋体" w:hAnsi="宋体" w:cs="宋体" w:eastAsia="宋体" w:hint="default"/>
                <w:sz w:val="24"/>
                <w:szCs w:val="24"/>
              </w:rPr>
              <w:t>补助项目</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37" w:right="0"/>
              <w:jc w:val="left"/>
              <w:rPr>
                <w:rFonts w:ascii="宋体" w:hAnsi="宋体" w:cs="宋体" w:eastAsia="宋体" w:hint="default"/>
                <w:sz w:val="24"/>
                <w:szCs w:val="24"/>
              </w:rPr>
            </w:pPr>
            <w:r>
              <w:rPr>
                <w:rFonts w:ascii="宋体" w:hAnsi="宋体" w:cs="宋体" w:eastAsia="宋体" w:hint="default"/>
                <w:sz w:val="24"/>
                <w:szCs w:val="24"/>
              </w:rPr>
              <w:t>本期发生金额</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365" w:right="0"/>
              <w:jc w:val="left"/>
              <w:rPr>
                <w:rFonts w:ascii="宋体" w:hAnsi="宋体" w:cs="宋体" w:eastAsia="宋体" w:hint="default"/>
                <w:sz w:val="24"/>
                <w:szCs w:val="24"/>
              </w:rPr>
            </w:pPr>
            <w:r>
              <w:rPr>
                <w:rFonts w:ascii="宋体" w:hAnsi="宋体" w:cs="宋体" w:eastAsia="宋体" w:hint="default"/>
                <w:sz w:val="24"/>
                <w:szCs w:val="24"/>
              </w:rPr>
              <w:t>上期发生金额</w:t>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right="2"/>
              <w:jc w:val="center"/>
              <w:rPr>
                <w:rFonts w:ascii="宋体" w:hAnsi="宋体" w:cs="宋体" w:eastAsia="宋体" w:hint="default"/>
                <w:sz w:val="24"/>
                <w:szCs w:val="24"/>
              </w:rPr>
            </w:pPr>
            <w:r>
              <w:rPr>
                <w:rFonts w:ascii="宋体" w:hAnsi="宋体" w:cs="宋体" w:eastAsia="宋体" w:hint="default"/>
                <w:sz w:val="24"/>
                <w:szCs w:val="24"/>
              </w:rPr>
              <w:t>与资产相关</w:t>
            </w:r>
            <w:r>
              <w:rPr>
                <w:rFonts w:ascii="Times New Roman" w:hAnsi="Times New Roman" w:cs="Times New Roman" w:eastAsia="Times New Roman" w:hint="default"/>
                <w:sz w:val="24"/>
                <w:szCs w:val="24"/>
              </w:rPr>
              <w:t>/</w:t>
            </w:r>
            <w:r>
              <w:rPr>
                <w:rFonts w:ascii="宋体" w:hAnsi="宋体" w:cs="宋体" w:eastAsia="宋体" w:hint="default"/>
                <w:sz w:val="24"/>
                <w:szCs w:val="24"/>
              </w:rPr>
              <w:t>与</w:t>
            </w:r>
          </w:p>
          <w:p>
            <w:pPr>
              <w:pStyle w:val="TableParagraph"/>
              <w:spacing w:line="303" w:lineRule="exact"/>
              <w:ind w:right="3"/>
              <w:jc w:val="center"/>
              <w:rPr>
                <w:rFonts w:ascii="宋体" w:hAnsi="宋体" w:cs="宋体" w:eastAsia="宋体" w:hint="default"/>
                <w:sz w:val="24"/>
                <w:szCs w:val="24"/>
              </w:rPr>
            </w:pPr>
            <w:r>
              <w:rPr>
                <w:rFonts w:ascii="宋体" w:hAnsi="宋体" w:cs="宋体" w:eastAsia="宋体" w:hint="default"/>
                <w:sz w:val="24"/>
                <w:szCs w:val="24"/>
              </w:rPr>
              <w:t>收益相关</w:t>
            </w:r>
          </w:p>
        </w:tc>
      </w:tr>
      <w:tr>
        <w:trPr>
          <w:trHeight w:val="634" w:hRule="exact"/>
        </w:trPr>
        <w:tc>
          <w:tcPr>
            <w:tcW w:w="2616"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2017 </w:t>
            </w:r>
            <w:r>
              <w:rPr>
                <w:rFonts w:ascii="宋体" w:hAnsi="宋体" w:cs="宋体" w:eastAsia="宋体" w:hint="default"/>
                <w:sz w:val="24"/>
                <w:szCs w:val="24"/>
              </w:rPr>
              <w:t>年海南省互联网</w:t>
            </w:r>
          </w:p>
          <w:p>
            <w:pPr>
              <w:pStyle w:val="TableParagraph"/>
              <w:spacing w:line="304" w:lineRule="exact"/>
              <w:ind w:left="108" w:right="0"/>
              <w:jc w:val="left"/>
              <w:rPr>
                <w:rFonts w:ascii="宋体" w:hAnsi="宋体" w:cs="宋体" w:eastAsia="宋体" w:hint="default"/>
                <w:sz w:val="24"/>
                <w:szCs w:val="24"/>
              </w:rPr>
            </w:pPr>
            <w:r>
              <w:rPr>
                <w:rFonts w:ascii="宋体" w:hAnsi="宋体" w:cs="宋体" w:eastAsia="宋体" w:hint="default"/>
                <w:sz w:val="24"/>
                <w:szCs w:val="24"/>
              </w:rPr>
              <w:t>产业发展专项资金</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7"/>
              <w:jc w:val="right"/>
              <w:rPr>
                <w:rFonts w:ascii="Times New Roman" w:hAnsi="Times New Roman" w:cs="Times New Roman" w:eastAsia="Times New Roman" w:hint="default"/>
                <w:sz w:val="24"/>
                <w:szCs w:val="24"/>
              </w:rPr>
            </w:pPr>
            <w:r>
              <w:rPr>
                <w:rFonts w:ascii="Times New Roman"/>
                <w:sz w:val="24"/>
              </w:rPr>
              <w:t>490,963</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7"/>
              <w:jc w:val="right"/>
              <w:rPr>
                <w:rFonts w:ascii="Times New Roman" w:hAnsi="Times New Roman" w:cs="Times New Roman" w:eastAsia="Times New Roman" w:hint="default"/>
                <w:sz w:val="24"/>
                <w:szCs w:val="24"/>
              </w:rPr>
            </w:pPr>
            <w:r>
              <w:rPr>
                <w:rFonts w:ascii="Times New Roman"/>
                <w:sz w:val="24"/>
              </w:rPr>
              <w:t>4,990,765</w:t>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360" w:right="0"/>
              <w:jc w:val="left"/>
              <w:rPr>
                <w:rFonts w:ascii="宋体" w:hAnsi="宋体" w:cs="宋体" w:eastAsia="宋体" w:hint="default"/>
                <w:sz w:val="24"/>
                <w:szCs w:val="24"/>
              </w:rPr>
            </w:pPr>
            <w:r>
              <w:rPr>
                <w:rFonts w:ascii="宋体" w:hAnsi="宋体" w:cs="宋体" w:eastAsia="宋体" w:hint="default"/>
                <w:sz w:val="24"/>
                <w:szCs w:val="24"/>
              </w:rPr>
              <w:t>与收益相关</w:t>
            </w:r>
          </w:p>
        </w:tc>
      </w:tr>
      <w:tr>
        <w:trPr>
          <w:trHeight w:val="943" w:hRule="exact"/>
        </w:trPr>
        <w:tc>
          <w:tcPr>
            <w:tcW w:w="261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8" w:right="0"/>
              <w:jc w:val="left"/>
              <w:rPr>
                <w:rFonts w:ascii="宋体" w:hAnsi="宋体" w:cs="宋体" w:eastAsia="宋体" w:hint="default"/>
                <w:sz w:val="24"/>
                <w:szCs w:val="24"/>
              </w:rPr>
            </w:pPr>
            <w:r>
              <w:rPr>
                <w:rFonts w:ascii="宋体" w:hAnsi="宋体" w:cs="宋体" w:eastAsia="宋体" w:hint="default"/>
                <w:sz w:val="24"/>
                <w:szCs w:val="24"/>
              </w:rPr>
              <w:t>杭州市工业和科技重</w:t>
            </w:r>
          </w:p>
          <w:p>
            <w:pPr>
              <w:pStyle w:val="TableParagraph"/>
              <w:spacing w:line="310" w:lineRule="exact" w:before="31"/>
              <w:ind w:left="108" w:right="336"/>
              <w:jc w:val="left"/>
              <w:rPr>
                <w:rFonts w:ascii="Times New Roman" w:hAnsi="Times New Roman" w:cs="Times New Roman" w:eastAsia="Times New Roman" w:hint="default"/>
                <w:sz w:val="24"/>
                <w:szCs w:val="24"/>
              </w:rPr>
            </w:pPr>
            <w:r>
              <w:rPr>
                <w:rFonts w:ascii="宋体" w:hAnsi="宋体" w:cs="宋体" w:eastAsia="宋体" w:hint="default"/>
                <w:sz w:val="24"/>
                <w:szCs w:val="24"/>
              </w:rPr>
              <w:t>大创新项目信息化项 目资助资</w:t>
            </w:r>
            <w:r>
              <w:rPr>
                <w:rFonts w:ascii="Times New Roman" w:hAnsi="Times New Roman" w:cs="Times New Roman" w:eastAsia="Times New Roman" w:hint="default"/>
                <w:sz w:val="24"/>
                <w:szCs w:val="24"/>
              </w:rPr>
              <w:t>(</w:t>
            </w:r>
            <w:r>
              <w:rPr>
                <w:rFonts w:ascii="宋体" w:hAnsi="宋体" w:cs="宋体" w:eastAsia="宋体" w:hint="default"/>
                <w:sz w:val="24"/>
                <w:szCs w:val="24"/>
              </w:rPr>
              <w:t>市配套</w:t>
            </w:r>
            <w:r>
              <w:rPr>
                <w:rFonts w:ascii="Times New Roman" w:hAnsi="Times New Roman" w:cs="Times New Roman" w:eastAsia="Times New Roman" w:hint="default"/>
                <w:sz w:val="24"/>
                <w:szCs w:val="24"/>
              </w:rPr>
              <w:t>)</w:t>
            </w:r>
          </w:p>
        </w:tc>
        <w:tc>
          <w:tcPr>
            <w:tcW w:w="2329" w:type="dxa"/>
            <w:tcBorders>
              <w:top w:val="single" w:sz="4" w:space="0" w:color="000000"/>
              <w:left w:val="single" w:sz="4" w:space="0" w:color="000000"/>
              <w:bottom w:val="single" w:sz="4" w:space="0" w:color="000000"/>
              <w:right w:val="single" w:sz="4" w:space="0" w:color="000000"/>
            </w:tcBorders>
          </w:tcPr>
          <w:p>
            <w:pP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7"/>
              <w:jc w:val="right"/>
              <w:rPr>
                <w:rFonts w:ascii="Times New Roman" w:hAnsi="Times New Roman" w:cs="Times New Roman" w:eastAsia="Times New Roman" w:hint="default"/>
                <w:sz w:val="24"/>
                <w:szCs w:val="24"/>
              </w:rPr>
            </w:pPr>
            <w:r>
              <w:rPr>
                <w:rFonts w:ascii="Times New Roman"/>
                <w:sz w:val="24"/>
              </w:rPr>
              <w:t>1,212,000</w:t>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360" w:right="0"/>
              <w:jc w:val="left"/>
              <w:rPr>
                <w:rFonts w:ascii="宋体" w:hAnsi="宋体" w:cs="宋体" w:eastAsia="宋体" w:hint="default"/>
                <w:sz w:val="24"/>
                <w:szCs w:val="24"/>
              </w:rPr>
            </w:pPr>
            <w:r>
              <w:rPr>
                <w:rFonts w:ascii="宋体" w:hAnsi="宋体" w:cs="宋体" w:eastAsia="宋体" w:hint="default"/>
                <w:sz w:val="24"/>
                <w:szCs w:val="24"/>
              </w:rPr>
              <w:t>与收益相关</w:t>
            </w:r>
          </w:p>
        </w:tc>
      </w:tr>
      <w:tr>
        <w:trPr>
          <w:trHeight w:val="322" w:hRule="exact"/>
        </w:trPr>
        <w:tc>
          <w:tcPr>
            <w:tcW w:w="26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7"/>
              <w:jc w:val="right"/>
              <w:rPr>
                <w:rFonts w:ascii="Times New Roman" w:hAnsi="Times New Roman" w:cs="Times New Roman" w:eastAsia="Times New Roman" w:hint="default"/>
                <w:sz w:val="24"/>
                <w:szCs w:val="24"/>
              </w:rPr>
            </w:pPr>
            <w:r>
              <w:rPr>
                <w:rFonts w:ascii="Times New Roman"/>
                <w:sz w:val="24"/>
              </w:rPr>
              <w:t>4,437,414</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7"/>
              <w:jc w:val="right"/>
              <w:rPr>
                <w:rFonts w:ascii="Times New Roman" w:hAnsi="Times New Roman" w:cs="Times New Roman" w:eastAsia="Times New Roman" w:hint="default"/>
                <w:sz w:val="24"/>
                <w:szCs w:val="24"/>
              </w:rPr>
            </w:pPr>
            <w:r>
              <w:rPr>
                <w:rFonts w:ascii="Times New Roman"/>
                <w:sz w:val="24"/>
              </w:rPr>
              <w:t>5,455,126</w:t>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60" w:right="0"/>
              <w:jc w:val="left"/>
              <w:rPr>
                <w:rFonts w:ascii="宋体" w:hAnsi="宋体" w:cs="宋体" w:eastAsia="宋体" w:hint="default"/>
                <w:sz w:val="24"/>
                <w:szCs w:val="24"/>
              </w:rPr>
            </w:pPr>
            <w:r>
              <w:rPr>
                <w:rFonts w:ascii="宋体" w:hAnsi="宋体" w:cs="宋体" w:eastAsia="宋体" w:hint="default"/>
                <w:sz w:val="24"/>
                <w:szCs w:val="24"/>
              </w:rPr>
              <w:t>与收益相关</w:t>
            </w:r>
          </w:p>
        </w:tc>
      </w:tr>
      <w:tr>
        <w:trPr>
          <w:trHeight w:val="322" w:hRule="exact"/>
        </w:trPr>
        <w:tc>
          <w:tcPr>
            <w:tcW w:w="26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232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4,928,377</w:t>
            </w:r>
          </w:p>
        </w:tc>
        <w:tc>
          <w:tcPr>
            <w:tcW w:w="218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11,657,891</w:t>
            </w:r>
          </w:p>
        </w:tc>
        <w:tc>
          <w:tcPr>
            <w:tcW w:w="193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24"/>
          <w:szCs w:val="24"/>
        </w:rPr>
      </w:pPr>
    </w:p>
    <w:p>
      <w:pPr>
        <w:pStyle w:val="BodyText"/>
        <w:spacing w:line="240" w:lineRule="auto" w:before="26"/>
        <w:ind w:left="236" w:right="4250"/>
        <w:jc w:val="left"/>
      </w:pPr>
      <w:r>
        <w:rPr/>
        <w:t>其他说明：</w:t>
      </w:r>
    </w:p>
    <w:p>
      <w:pPr>
        <w:pStyle w:val="BodyText"/>
        <w:spacing w:line="240" w:lineRule="auto" w:before="106"/>
        <w:ind w:left="236" w:right="4250"/>
        <w:jc w:val="left"/>
      </w:pPr>
      <w:r>
        <w:rPr/>
        <w:t>√适用 □不适用</w:t>
      </w:r>
    </w:p>
    <w:p>
      <w:pPr>
        <w:pStyle w:val="BodyText"/>
        <w:spacing w:line="310" w:lineRule="exact" w:before="90"/>
        <w:ind w:left="236" w:right="219"/>
        <w:jc w:val="left"/>
      </w:pPr>
      <w:r>
        <w:rPr/>
        <w:t>于</w:t>
      </w:r>
      <w:r>
        <w:rPr>
          <w:spacing w:val="-7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3"/>
        </w:rPr>
        <w:t> </w:t>
      </w:r>
      <w:r>
        <w:rPr/>
        <w:t>年度及</w:t>
      </w:r>
      <w:r>
        <w:rPr>
          <w:spacing w:val="-72"/>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2"/>
        </w:rPr>
        <w:t> </w:t>
      </w:r>
      <w:r>
        <w:rPr/>
        <w:t>年度，本集团所获得的与日常经营活动无关的政府补助均为与收 益相关。</w:t>
      </w:r>
    </w:p>
    <w:p>
      <w:pPr>
        <w:spacing w:line="240" w:lineRule="auto" w:before="5"/>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120" w:bottom="1380" w:left="1040" w:right="1560"/>
        </w:sectPr>
      </w:pPr>
    </w:p>
    <w:p>
      <w:pPr>
        <w:pStyle w:val="Heading2"/>
        <w:spacing w:line="240" w:lineRule="auto" w:before="26"/>
        <w:ind w:left="236" w:right="-20"/>
        <w:jc w:val="left"/>
        <w:rPr>
          <w:rFonts w:ascii="宋体" w:hAnsi="宋体" w:cs="宋体" w:eastAsia="宋体" w:hint="default"/>
          <w:b w:val="0"/>
          <w:bCs w:val="0"/>
        </w:rPr>
      </w:pPr>
      <w:r>
        <w:rPr>
          <w:rFonts w:ascii="宋体" w:hAnsi="宋体" w:cs="宋体" w:eastAsia="宋体" w:hint="default"/>
        </w:rPr>
        <w:t>73</w:t>
      </w:r>
      <w:r>
        <w:rPr/>
        <w:t>、</w:t>
      </w:r>
      <w:r>
        <w:rPr>
          <w:spacing w:val="-102"/>
        </w:rPr>
        <w:t> </w:t>
      </w:r>
      <w:r>
        <w:rPr/>
        <w:t>营业外支出</w:t>
      </w:r>
      <w:r>
        <w:rPr>
          <w:rFonts w:ascii="宋体" w:hAnsi="宋体" w:cs="宋体" w:eastAsia="宋体" w:hint="default"/>
          <w:w w:val="99"/>
        </w:rPr>
        <w:t> </w:t>
      </w:r>
      <w:r>
        <w:rPr>
          <w:rFonts w:ascii="宋体" w:hAnsi="宋体" w:cs="宋体" w:eastAsia="宋体" w:hint="default"/>
          <w:b w:val="0"/>
          <w:bCs w:val="0"/>
        </w:rPr>
      </w:r>
    </w:p>
    <w:p>
      <w:pPr>
        <w:pStyle w:val="BodyText"/>
        <w:tabs>
          <w:tab w:pos="1197" w:val="left" w:leader="none"/>
        </w:tabs>
        <w:spacing w:line="240" w:lineRule="auto" w:before="58"/>
        <w:ind w:left="236" w:right="-20"/>
        <w:jc w:val="left"/>
      </w:pPr>
      <w:r>
        <w:rPr/>
        <w:t>√适用</w:t>
        <w:tab/>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158" w:space="4036"/>
            <w:col w:w="3116"/>
          </w:cols>
        </w:sectPr>
      </w:pPr>
    </w:p>
    <w:p>
      <w:pPr>
        <w:spacing w:line="240" w:lineRule="auto" w:before="10"/>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2028"/>
        <w:gridCol w:w="2377"/>
        <w:gridCol w:w="2328"/>
        <w:gridCol w:w="2317"/>
      </w:tblGrid>
      <w:tr>
        <w:trPr>
          <w:trHeight w:val="634"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
              <w:jc w:val="center"/>
              <w:rPr>
                <w:rFonts w:ascii="宋体" w:hAnsi="宋体" w:cs="宋体" w:eastAsia="宋体" w:hint="default"/>
                <w:sz w:val="24"/>
                <w:szCs w:val="24"/>
              </w:rPr>
            </w:pPr>
            <w:r>
              <w:rPr>
                <w:rFonts w:ascii="宋体" w:hAnsi="宋体" w:cs="宋体" w:eastAsia="宋体" w:hint="default"/>
                <w:sz w:val="24"/>
                <w:szCs w:val="24"/>
              </w:rPr>
              <w:t>项目</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580"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556" w:right="0"/>
              <w:jc w:val="left"/>
              <w:rPr>
                <w:rFonts w:ascii="宋体" w:hAnsi="宋体" w:cs="宋体" w:eastAsia="宋体" w:hint="default"/>
                <w:sz w:val="24"/>
                <w:szCs w:val="24"/>
              </w:rPr>
            </w:pPr>
            <w:r>
              <w:rPr>
                <w:rFonts w:ascii="宋体" w:hAnsi="宋体" w:cs="宋体" w:eastAsia="宋体" w:hint="default"/>
                <w:sz w:val="24"/>
                <w:szCs w:val="24"/>
              </w:rPr>
              <w:t>上期发生额</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
              <w:jc w:val="center"/>
              <w:rPr>
                <w:rFonts w:ascii="宋体" w:hAnsi="宋体" w:cs="宋体" w:eastAsia="宋体" w:hint="default"/>
                <w:sz w:val="24"/>
                <w:szCs w:val="24"/>
              </w:rPr>
            </w:pPr>
            <w:r>
              <w:rPr>
                <w:rFonts w:ascii="宋体" w:hAnsi="宋体" w:cs="宋体" w:eastAsia="宋体" w:hint="default"/>
                <w:sz w:val="24"/>
                <w:szCs w:val="24"/>
              </w:rPr>
              <w:t>计入当期非经常性</w:t>
            </w:r>
          </w:p>
          <w:p>
            <w:pPr>
              <w:pStyle w:val="TableParagraph"/>
              <w:spacing w:line="313" w:lineRule="exact"/>
              <w:ind w:right="2"/>
              <w:jc w:val="center"/>
              <w:rPr>
                <w:rFonts w:ascii="宋体" w:hAnsi="宋体" w:cs="宋体" w:eastAsia="宋体" w:hint="default"/>
                <w:sz w:val="24"/>
                <w:szCs w:val="24"/>
              </w:rPr>
            </w:pPr>
            <w:r>
              <w:rPr>
                <w:rFonts w:ascii="宋体" w:hAnsi="宋体" w:cs="宋体" w:eastAsia="宋体" w:hint="default"/>
                <w:sz w:val="24"/>
                <w:szCs w:val="24"/>
              </w:rPr>
              <w:t>损益的金额</w:t>
            </w:r>
          </w:p>
        </w:tc>
      </w:tr>
      <w:tr>
        <w:trPr>
          <w:trHeight w:val="631"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非流动资产处置</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损失合计</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其中</w:t>
            </w:r>
            <w:r>
              <w:rPr>
                <w:rFonts w:ascii="宋体" w:hAnsi="宋体" w:cs="宋体" w:eastAsia="宋体" w:hint="default"/>
                <w:spacing w:val="-108"/>
                <w:sz w:val="24"/>
                <w:szCs w:val="24"/>
              </w:rPr>
              <w:t>：</w:t>
            </w:r>
            <w:r>
              <w:rPr>
                <w:rFonts w:ascii="宋体" w:hAnsi="宋体" w:cs="宋体" w:eastAsia="宋体" w:hint="default"/>
                <w:sz w:val="24"/>
                <w:szCs w:val="24"/>
              </w:rPr>
              <w:t>固定资产处</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40" w:right="1560"/>
        </w:sectPr>
      </w:pPr>
    </w:p>
    <w:p>
      <w:pPr>
        <w:spacing w:line="240" w:lineRule="auto" w:before="5"/>
        <w:rPr>
          <w:rFonts w:ascii="宋体" w:hAnsi="宋体" w:cs="宋体" w:eastAsia="宋体" w:hint="default"/>
          <w:sz w:val="27"/>
          <w:szCs w:val="27"/>
        </w:rPr>
      </w:pPr>
    </w:p>
    <w:tbl>
      <w:tblPr>
        <w:tblW w:w="0" w:type="auto"/>
        <w:jc w:val="left"/>
        <w:tblInd w:w="123" w:type="dxa"/>
        <w:tblLayout w:type="fixed"/>
        <w:tblCellMar>
          <w:top w:w="0" w:type="dxa"/>
          <w:left w:w="0" w:type="dxa"/>
          <w:bottom w:w="0" w:type="dxa"/>
          <w:right w:w="0" w:type="dxa"/>
        </w:tblCellMar>
        <w:tblLook w:val="01E0"/>
      </w:tblPr>
      <w:tblGrid>
        <w:gridCol w:w="2028"/>
        <w:gridCol w:w="2377"/>
        <w:gridCol w:w="2328"/>
        <w:gridCol w:w="2317"/>
      </w:tblGrid>
      <w:tr>
        <w:trPr>
          <w:trHeight w:val="322"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置损失</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823" w:right="0"/>
              <w:jc w:val="left"/>
              <w:rPr>
                <w:rFonts w:ascii="宋体" w:hAnsi="宋体" w:cs="宋体" w:eastAsia="宋体" w:hint="default"/>
                <w:sz w:val="24"/>
                <w:szCs w:val="24"/>
              </w:rPr>
            </w:pPr>
            <w:r>
              <w:rPr>
                <w:rFonts w:ascii="宋体" w:hAnsi="宋体" w:cs="宋体" w:eastAsia="宋体" w:hint="default"/>
                <w:sz w:val="24"/>
                <w:szCs w:val="24"/>
              </w:rPr>
              <w:t>无形资产</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处置损失</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债务重组损失</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非货币性资产交</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换损失</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对外捐赠</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5,492,541</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5,096,650</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5,492,541</w:t>
            </w:r>
          </w:p>
        </w:tc>
      </w:tr>
      <w:tr>
        <w:trPr>
          <w:trHeight w:val="322"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罚款支出</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140,849</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238,278</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140,849</w:t>
            </w:r>
          </w:p>
        </w:tc>
      </w:tr>
      <w:tr>
        <w:trPr>
          <w:trHeight w:val="319"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盘亏损失</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41,787</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30,944</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41,787</w:t>
            </w:r>
          </w:p>
        </w:tc>
      </w:tr>
      <w:tr>
        <w:trPr>
          <w:trHeight w:val="322"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3,853,783</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3,644,933</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3,853,783</w:t>
            </w:r>
          </w:p>
        </w:tc>
      </w:tr>
      <w:tr>
        <w:trPr>
          <w:trHeight w:val="322"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4"/>
              <w:jc w:val="center"/>
              <w:rPr>
                <w:rFonts w:ascii="宋体" w:hAnsi="宋体" w:cs="宋体" w:eastAsia="宋体" w:hint="default"/>
                <w:sz w:val="24"/>
                <w:szCs w:val="24"/>
              </w:rPr>
            </w:pPr>
            <w:r>
              <w:rPr>
                <w:rFonts w:ascii="宋体" w:hAnsi="宋体" w:cs="宋体" w:eastAsia="宋体" w:hint="default"/>
                <w:sz w:val="24"/>
                <w:szCs w:val="24"/>
              </w:rPr>
              <w:t>合计</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9,528,960</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9,010,805</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9,528,960</w:t>
            </w:r>
          </w:p>
        </w:tc>
      </w:tr>
    </w:tbl>
    <w:p>
      <w:pPr>
        <w:pStyle w:val="BodyText"/>
        <w:spacing w:line="283" w:lineRule="auto" w:before="20"/>
        <w:ind w:left="236" w:right="7850"/>
        <w:jc w:val="left"/>
      </w:pPr>
      <w:r>
        <w:rPr/>
        <w:t>其他说明： 无。</w:t>
      </w:r>
    </w:p>
    <w:p>
      <w:pPr>
        <w:spacing w:line="240" w:lineRule="auto" w:before="3"/>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82" w:footer="1195" w:top="1080" w:bottom="1380" w:left="1040" w:right="1560"/>
        </w:sectPr>
      </w:pPr>
    </w:p>
    <w:p>
      <w:pPr>
        <w:pStyle w:val="Heading2"/>
        <w:tabs>
          <w:tab w:pos="1077" w:val="left" w:leader="none"/>
        </w:tabs>
        <w:spacing w:line="283" w:lineRule="auto" w:before="26"/>
        <w:ind w:left="236" w:right="0"/>
        <w:jc w:val="left"/>
        <w:rPr>
          <w:rFonts w:ascii="宋体" w:hAnsi="宋体" w:cs="宋体" w:eastAsia="宋体" w:hint="default"/>
          <w:b w:val="0"/>
          <w:bCs w:val="0"/>
        </w:rPr>
      </w:pPr>
      <w:r>
        <w:rPr>
          <w:rFonts w:ascii="宋体" w:hAnsi="宋体" w:cs="宋体" w:eastAsia="宋体" w:hint="default"/>
        </w:rPr>
        <w:t>74</w:t>
      </w:r>
      <w:r>
        <w:rPr/>
        <w:t>、</w:t>
      </w:r>
      <w:r>
        <w:rPr>
          <w:spacing w:val="118"/>
        </w:rPr>
        <w:t> </w:t>
      </w:r>
      <w:r>
        <w:rPr/>
        <w:t>所得税费用</w:t>
      </w:r>
      <w:r>
        <w:rPr>
          <w:rFonts w:ascii="宋体" w:hAnsi="宋体" w:cs="宋体" w:eastAsia="宋体" w:hint="default"/>
          <w:w w:val="99"/>
        </w:rPr>
        <w:t> </w:t>
      </w:r>
      <w:r>
        <w:rPr>
          <w:rFonts w:ascii="宋体" w:hAnsi="宋体" w:cs="宋体" w:eastAsia="宋体" w:hint="default"/>
          <w:w w:val="99"/>
        </w:rPr>
        <w:t> </w:t>
      </w:r>
      <w:r>
        <w:rPr>
          <w:rFonts w:ascii="宋体" w:hAnsi="宋体" w:cs="宋体" w:eastAsia="宋体" w:hint="default"/>
        </w:rPr>
        <w:t>(1).</w:t>
        <w:tab/>
      </w:r>
      <w:r>
        <w:rPr/>
        <w:t>所得税费用表</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643" w:space="3551"/>
            <w:col w:w="3116"/>
          </w:cols>
        </w:sectPr>
      </w:pP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217"/>
        <w:gridCol w:w="2931"/>
        <w:gridCol w:w="2914"/>
      </w:tblGrid>
      <w:tr>
        <w:trPr>
          <w:trHeight w:val="322" w:hRule="exact"/>
        </w:trPr>
        <w:tc>
          <w:tcPr>
            <w:tcW w:w="321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366"/>
              <w:jc w:val="right"/>
              <w:rPr>
                <w:rFonts w:ascii="宋体" w:hAnsi="宋体" w:cs="宋体" w:eastAsia="宋体" w:hint="default"/>
                <w:sz w:val="24"/>
                <w:szCs w:val="24"/>
              </w:rPr>
            </w:pPr>
            <w:r>
              <w:rPr>
                <w:rFonts w:ascii="宋体" w:hAnsi="宋体" w:cs="宋体" w:eastAsia="宋体" w:hint="default"/>
                <w:sz w:val="24"/>
                <w:szCs w:val="24"/>
              </w:rPr>
              <w:t>项目</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54"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44"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2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当期所得税费用</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120,043,832</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6"/>
              <w:jc w:val="right"/>
              <w:rPr>
                <w:rFonts w:ascii="Times New Roman" w:hAnsi="Times New Roman" w:cs="Times New Roman" w:eastAsia="Times New Roman" w:hint="default"/>
                <w:sz w:val="24"/>
                <w:szCs w:val="24"/>
              </w:rPr>
            </w:pPr>
            <w:r>
              <w:rPr>
                <w:rFonts w:ascii="Times New Roman"/>
                <w:sz w:val="24"/>
              </w:rPr>
              <w:t>157,897,082</w:t>
            </w:r>
          </w:p>
        </w:tc>
      </w:tr>
      <w:tr>
        <w:trPr>
          <w:trHeight w:val="322" w:hRule="exact"/>
        </w:trPr>
        <w:tc>
          <w:tcPr>
            <w:tcW w:w="32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递延所得税费用</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pacing w:val="-1"/>
                <w:sz w:val="24"/>
              </w:rPr>
              <w:t>-37,503,633</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6"/>
              <w:jc w:val="right"/>
              <w:rPr>
                <w:rFonts w:ascii="Times New Roman" w:hAnsi="Times New Roman" w:cs="Times New Roman" w:eastAsia="Times New Roman" w:hint="default"/>
                <w:sz w:val="24"/>
                <w:szCs w:val="24"/>
              </w:rPr>
            </w:pPr>
            <w:r>
              <w:rPr>
                <w:rFonts w:ascii="Times New Roman"/>
                <w:spacing w:val="-1"/>
                <w:sz w:val="24"/>
              </w:rPr>
              <w:t>-17,750,074</w:t>
            </w:r>
          </w:p>
        </w:tc>
      </w:tr>
      <w:tr>
        <w:trPr>
          <w:trHeight w:val="286" w:hRule="exact"/>
        </w:trPr>
        <w:tc>
          <w:tcPr>
            <w:tcW w:w="3217" w:type="dxa"/>
            <w:tcBorders>
              <w:top w:val="single" w:sz="4" w:space="0" w:color="000000"/>
              <w:left w:val="single" w:sz="4" w:space="0" w:color="000000"/>
              <w:bottom w:val="single" w:sz="4" w:space="0" w:color="000000"/>
              <w:right w:val="single" w:sz="4" w:space="0" w:color="000000"/>
            </w:tcBorders>
          </w:tcPr>
          <w:p>
            <w:pPr/>
          </w:p>
        </w:tc>
        <w:tc>
          <w:tcPr>
            <w:tcW w:w="2931" w:type="dxa"/>
            <w:tcBorders>
              <w:top w:val="single" w:sz="4" w:space="0" w:color="000000"/>
              <w:left w:val="single" w:sz="4" w:space="0" w:color="000000"/>
              <w:bottom w:val="single" w:sz="4" w:space="0" w:color="000000"/>
              <w:right w:val="single" w:sz="4" w:space="0" w:color="000000"/>
            </w:tcBorders>
          </w:tcPr>
          <w:p>
            <w:pPr/>
          </w:p>
        </w:tc>
        <w:tc>
          <w:tcPr>
            <w:tcW w:w="2914"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3217" w:type="dxa"/>
            <w:tcBorders>
              <w:top w:val="single" w:sz="4" w:space="0" w:color="000000"/>
              <w:left w:val="single" w:sz="4" w:space="0" w:color="000000"/>
              <w:bottom w:val="single" w:sz="4" w:space="0" w:color="000000"/>
              <w:right w:val="single" w:sz="4" w:space="0" w:color="000000"/>
            </w:tcBorders>
          </w:tcPr>
          <w:p>
            <w:pPr/>
          </w:p>
        </w:tc>
        <w:tc>
          <w:tcPr>
            <w:tcW w:w="2931" w:type="dxa"/>
            <w:tcBorders>
              <w:top w:val="single" w:sz="4" w:space="0" w:color="000000"/>
              <w:left w:val="single" w:sz="4" w:space="0" w:color="000000"/>
              <w:bottom w:val="single" w:sz="4" w:space="0" w:color="000000"/>
              <w:right w:val="single" w:sz="4" w:space="0" w:color="000000"/>
            </w:tcBorders>
          </w:tcPr>
          <w:p>
            <w:pPr/>
          </w:p>
        </w:tc>
        <w:tc>
          <w:tcPr>
            <w:tcW w:w="291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66"/>
              <w:jc w:val="right"/>
              <w:rPr>
                <w:rFonts w:ascii="宋体" w:hAnsi="宋体" w:cs="宋体" w:eastAsia="宋体" w:hint="default"/>
                <w:sz w:val="24"/>
                <w:szCs w:val="24"/>
              </w:rPr>
            </w:pPr>
            <w:r>
              <w:rPr>
                <w:rFonts w:ascii="宋体" w:hAnsi="宋体" w:cs="宋体" w:eastAsia="宋体" w:hint="default"/>
                <w:sz w:val="24"/>
                <w:szCs w:val="24"/>
              </w:rPr>
              <w:t>合计</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3"/>
              <w:jc w:val="right"/>
              <w:rPr>
                <w:rFonts w:ascii="Times New Roman" w:hAnsi="Times New Roman" w:cs="Times New Roman" w:eastAsia="Times New Roman" w:hint="default"/>
                <w:sz w:val="24"/>
                <w:szCs w:val="24"/>
              </w:rPr>
            </w:pPr>
            <w:r>
              <w:rPr>
                <w:rFonts w:ascii="Times New Roman"/>
                <w:sz w:val="24"/>
              </w:rPr>
              <w:t>82,540,199</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6"/>
              <w:jc w:val="right"/>
              <w:rPr>
                <w:rFonts w:ascii="Times New Roman" w:hAnsi="Times New Roman" w:cs="Times New Roman" w:eastAsia="Times New Roman" w:hint="default"/>
                <w:sz w:val="24"/>
                <w:szCs w:val="24"/>
              </w:rPr>
            </w:pPr>
            <w:r>
              <w:rPr>
                <w:rFonts w:ascii="Times New Roman"/>
                <w:sz w:val="24"/>
              </w:rPr>
              <w:t>140,147,008</w:t>
            </w:r>
          </w:p>
        </w:tc>
      </w:tr>
    </w:tbl>
    <w:p>
      <w:pPr>
        <w:spacing w:line="240" w:lineRule="auto" w:before="8"/>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40" w:right="1560"/>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(2).</w:t>
        <w:tab/>
      </w:r>
      <w:r>
        <w:rPr/>
        <w:t>会计利润与所得税费用调整过程</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4573" w:space="1621"/>
            <w:col w:w="3116"/>
          </w:cols>
        </w:sectPr>
      </w:pP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381"/>
        <w:gridCol w:w="4676"/>
      </w:tblGrid>
      <w:tr>
        <w:trPr>
          <w:trHeight w:val="322"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4676" w:type="dxa"/>
            <w:tcBorders>
              <w:top w:val="single" w:sz="4" w:space="0" w:color="000000"/>
              <w:left w:val="single" w:sz="4" w:space="0" w:color="000000"/>
              <w:bottom w:val="single" w:sz="4" w:space="0" w:color="000000"/>
              <w:right w:val="single" w:sz="5"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本期发生额</w:t>
            </w:r>
          </w:p>
        </w:tc>
      </w:tr>
      <w:tr>
        <w:trPr>
          <w:trHeight w:val="324"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利润总额</w:t>
            </w:r>
          </w:p>
        </w:tc>
        <w:tc>
          <w:tcPr>
            <w:tcW w:w="4676" w:type="dxa"/>
            <w:tcBorders>
              <w:top w:val="single" w:sz="4" w:space="0" w:color="000000"/>
              <w:left w:val="single" w:sz="4"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1,403,849,188</w:t>
            </w:r>
          </w:p>
        </w:tc>
      </w:tr>
      <w:tr>
        <w:trPr>
          <w:trHeight w:val="326"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8" w:right="0"/>
              <w:jc w:val="left"/>
              <w:rPr>
                <w:rFonts w:ascii="宋体" w:hAnsi="宋体" w:cs="宋体" w:eastAsia="宋体" w:hint="default"/>
                <w:sz w:val="24"/>
                <w:szCs w:val="24"/>
              </w:rPr>
            </w:pPr>
            <w:r>
              <w:rPr>
                <w:rFonts w:ascii="宋体" w:hAnsi="宋体" w:cs="宋体" w:eastAsia="宋体" w:hint="default"/>
                <w:sz w:val="24"/>
                <w:szCs w:val="24"/>
              </w:rPr>
              <w:t>按法定</w:t>
            </w:r>
            <w:r>
              <w:rPr>
                <w:rFonts w:ascii="Times New Roman" w:hAnsi="Times New Roman" w:cs="Times New Roman" w:eastAsia="Times New Roman" w:hint="default"/>
                <w:sz w:val="24"/>
                <w:szCs w:val="24"/>
              </w:rPr>
              <w:t>/</w:t>
            </w:r>
            <w:r>
              <w:rPr>
                <w:rFonts w:ascii="宋体" w:hAnsi="宋体" w:cs="宋体" w:eastAsia="宋体" w:hint="default"/>
                <w:sz w:val="24"/>
                <w:szCs w:val="24"/>
              </w:rPr>
              <w:t>适用税率计算的所得税费用</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140,384,919</w:t>
            </w:r>
          </w:p>
        </w:tc>
      </w:tr>
      <w:tr>
        <w:trPr>
          <w:trHeight w:val="326"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子公司适用不同税率的影响</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9,794,585</w:t>
            </w:r>
          </w:p>
        </w:tc>
      </w:tr>
      <w:tr>
        <w:trPr>
          <w:trHeight w:val="326"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调整以前期间所得税的影响</w:t>
            </w:r>
          </w:p>
        </w:tc>
        <w:tc>
          <w:tcPr>
            <w:tcW w:w="4676" w:type="dxa"/>
            <w:tcBorders>
              <w:top w:val="single" w:sz="6" w:space="0" w:color="000000"/>
              <w:left w:val="single" w:sz="4" w:space="0" w:color="000000"/>
              <w:bottom w:val="single" w:sz="6" w:space="0" w:color="000000"/>
              <w:right w:val="single" w:sz="6" w:space="0" w:color="000000"/>
            </w:tcBorders>
          </w:tcPr>
          <w:p>
            <w:pPr/>
          </w:p>
        </w:tc>
      </w:tr>
      <w:tr>
        <w:trPr>
          <w:trHeight w:val="327"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8" w:right="0"/>
              <w:jc w:val="left"/>
              <w:rPr>
                <w:rFonts w:ascii="宋体" w:hAnsi="宋体" w:cs="宋体" w:eastAsia="宋体" w:hint="default"/>
                <w:sz w:val="24"/>
                <w:szCs w:val="24"/>
              </w:rPr>
            </w:pPr>
            <w:r>
              <w:rPr>
                <w:rFonts w:ascii="宋体" w:hAnsi="宋体" w:cs="宋体" w:eastAsia="宋体" w:hint="default"/>
                <w:sz w:val="24"/>
                <w:szCs w:val="24"/>
              </w:rPr>
              <w:t>非应税收入的影响</w:t>
            </w:r>
          </w:p>
        </w:tc>
        <w:tc>
          <w:tcPr>
            <w:tcW w:w="4676" w:type="dxa"/>
            <w:tcBorders>
              <w:top w:val="single" w:sz="6" w:space="0" w:color="000000"/>
              <w:left w:val="single" w:sz="4" w:space="0" w:color="000000"/>
              <w:bottom w:val="single" w:sz="6" w:space="0" w:color="000000"/>
              <w:right w:val="single" w:sz="6" w:space="0" w:color="000000"/>
            </w:tcBorders>
          </w:tcPr>
          <w:p>
            <w:pPr/>
          </w:p>
        </w:tc>
      </w:tr>
      <w:tr>
        <w:trPr>
          <w:trHeight w:val="326"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不可抵扣的成本、费用和损失的影响</w:t>
            </w:r>
          </w:p>
        </w:tc>
        <w:tc>
          <w:tcPr>
            <w:tcW w:w="4676" w:type="dxa"/>
            <w:tcBorders>
              <w:top w:val="single" w:sz="6" w:space="0" w:color="000000"/>
              <w:left w:val="single" w:sz="4" w:space="0" w:color="000000"/>
              <w:bottom w:val="single" w:sz="6" w:space="0" w:color="000000"/>
              <w:right w:val="single" w:sz="6" w:space="0" w:color="000000"/>
            </w:tcBorders>
          </w:tcPr>
          <w:p>
            <w:pPr/>
          </w:p>
        </w:tc>
      </w:tr>
      <w:tr>
        <w:trPr>
          <w:trHeight w:val="636"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8" w:right="0"/>
              <w:jc w:val="left"/>
              <w:rPr>
                <w:rFonts w:ascii="宋体" w:hAnsi="宋体" w:cs="宋体" w:eastAsia="宋体" w:hint="default"/>
                <w:sz w:val="24"/>
                <w:szCs w:val="24"/>
              </w:rPr>
            </w:pPr>
            <w:r>
              <w:rPr>
                <w:rFonts w:ascii="宋体" w:hAnsi="宋体" w:cs="宋体" w:eastAsia="宋体" w:hint="default"/>
                <w:sz w:val="24"/>
                <w:szCs w:val="24"/>
              </w:rPr>
              <w:t>使用前期未确认递延所得税资产的可抵</w:t>
            </w:r>
          </w:p>
          <w:p>
            <w:pPr>
              <w:pStyle w:val="TableParagraph"/>
              <w:spacing w:line="313" w:lineRule="exact"/>
              <w:ind w:left="108" w:right="0"/>
              <w:jc w:val="left"/>
              <w:rPr>
                <w:rFonts w:ascii="宋体" w:hAnsi="宋体" w:cs="宋体" w:eastAsia="宋体" w:hint="default"/>
                <w:sz w:val="24"/>
                <w:szCs w:val="24"/>
              </w:rPr>
            </w:pPr>
            <w:r>
              <w:rPr>
                <w:rFonts w:ascii="宋体" w:hAnsi="宋体" w:cs="宋体" w:eastAsia="宋体" w:hint="default"/>
                <w:sz w:val="24"/>
                <w:szCs w:val="24"/>
              </w:rPr>
              <w:t>扣亏损的影响</w:t>
            </w:r>
          </w:p>
        </w:tc>
        <w:tc>
          <w:tcPr>
            <w:tcW w:w="4676" w:type="dxa"/>
            <w:tcBorders>
              <w:top w:val="single" w:sz="6" w:space="0" w:color="000000"/>
              <w:left w:val="single" w:sz="4" w:space="0" w:color="000000"/>
              <w:bottom w:val="single" w:sz="6" w:space="0" w:color="000000"/>
              <w:right w:val="single" w:sz="6" w:space="0" w:color="000000"/>
            </w:tcBorders>
          </w:tcPr>
          <w:p>
            <w:pPr/>
          </w:p>
        </w:tc>
      </w:tr>
      <w:tr>
        <w:trPr>
          <w:trHeight w:val="638"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本期未确认递延所得税资产的可抵扣暂</w:t>
            </w:r>
          </w:p>
          <w:p>
            <w:pPr>
              <w:pStyle w:val="TableParagraph"/>
              <w:spacing w:line="312" w:lineRule="exact"/>
              <w:ind w:left="108" w:right="0"/>
              <w:jc w:val="left"/>
              <w:rPr>
                <w:rFonts w:ascii="宋体" w:hAnsi="宋体" w:cs="宋体" w:eastAsia="宋体" w:hint="default"/>
                <w:sz w:val="24"/>
                <w:szCs w:val="24"/>
              </w:rPr>
            </w:pPr>
            <w:r>
              <w:rPr>
                <w:rFonts w:ascii="宋体" w:hAnsi="宋体" w:cs="宋体" w:eastAsia="宋体" w:hint="default"/>
                <w:sz w:val="24"/>
                <w:szCs w:val="24"/>
              </w:rPr>
              <w:t>时性差异或可抵扣亏损的影响</w:t>
            </w:r>
          </w:p>
        </w:tc>
        <w:tc>
          <w:tcPr>
            <w:tcW w:w="4676" w:type="dxa"/>
            <w:tcBorders>
              <w:top w:val="single" w:sz="6" w:space="0" w:color="000000"/>
              <w:left w:val="single" w:sz="4" w:space="0" w:color="000000"/>
              <w:bottom w:val="single" w:sz="6" w:space="0" w:color="000000"/>
              <w:right w:val="single" w:sz="6" w:space="0" w:color="000000"/>
            </w:tcBorders>
          </w:tcPr>
          <w:p>
            <w:pPr/>
          </w:p>
        </w:tc>
      </w:tr>
      <w:tr>
        <w:trPr>
          <w:trHeight w:val="326" w:hRule="exact"/>
        </w:trPr>
        <w:tc>
          <w:tcPr>
            <w:tcW w:w="4381" w:type="dxa"/>
            <w:tcBorders>
              <w:top w:val="single" w:sz="4" w:space="0" w:color="000000"/>
              <w:left w:val="single" w:sz="6" w:space="0" w:color="000000"/>
              <w:bottom w:val="single" w:sz="6" w:space="0" w:color="000000"/>
              <w:right w:val="single" w:sz="6"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归属于联营企业的损益的影响</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pacing w:val="-1"/>
                <w:sz w:val="24"/>
              </w:rPr>
              <w:t>-2,832,323</w:t>
            </w:r>
          </w:p>
        </w:tc>
      </w:tr>
      <w:tr>
        <w:trPr>
          <w:trHeight w:val="326" w:hRule="exact"/>
        </w:trPr>
        <w:tc>
          <w:tcPr>
            <w:tcW w:w="438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无需纳税的收入的影响</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pacing w:val="-1"/>
                <w:sz w:val="24"/>
              </w:rPr>
              <w:t>-25,225,569</w:t>
            </w:r>
          </w:p>
        </w:tc>
      </w:tr>
      <w:tr>
        <w:trPr>
          <w:trHeight w:val="326" w:hRule="exact"/>
        </w:trPr>
        <w:tc>
          <w:tcPr>
            <w:tcW w:w="438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当年研发费加计扣除的影响</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pacing w:val="-1"/>
                <w:sz w:val="24"/>
              </w:rPr>
              <w:t>-99,312,079</w:t>
            </w:r>
          </w:p>
        </w:tc>
      </w:tr>
    </w:tbl>
    <w:p>
      <w:pPr>
        <w:spacing w:after="0" w:line="268" w:lineRule="exact"/>
        <w:jc w:val="right"/>
        <w:rPr>
          <w:rFonts w:ascii="Times New Roman" w:hAnsi="Times New Roman" w:cs="Times New Roman" w:eastAsia="Times New Roman" w:hint="default"/>
          <w:sz w:val="24"/>
          <w:szCs w:val="24"/>
        </w:rPr>
        <w:sectPr>
          <w:type w:val="continuous"/>
          <w:pgSz w:w="11910" w:h="16840"/>
          <w:pgMar w:top="1120" w:bottom="1380" w:left="1040" w:right="1560"/>
        </w:sectPr>
      </w:pPr>
    </w:p>
    <w:p>
      <w:pPr>
        <w:spacing w:line="240" w:lineRule="auto" w:before="5"/>
        <w:rPr>
          <w:rFonts w:ascii="宋体" w:hAnsi="宋体" w:cs="宋体" w:eastAsia="宋体"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4381"/>
        <w:gridCol w:w="4676"/>
      </w:tblGrid>
      <w:tr>
        <w:trPr>
          <w:trHeight w:val="327" w:hRule="exact"/>
        </w:trPr>
        <w:tc>
          <w:tcPr>
            <w:tcW w:w="4381" w:type="dxa"/>
            <w:tcBorders>
              <w:top w:val="single" w:sz="4" w:space="0" w:color="000000"/>
              <w:left w:val="single" w:sz="6" w:space="0" w:color="000000"/>
              <w:bottom w:val="single" w:sz="6" w:space="0" w:color="000000"/>
              <w:right w:val="single" w:sz="6" w:space="0" w:color="000000"/>
            </w:tcBorders>
          </w:tcPr>
          <w:p>
            <w:pPr>
              <w:pStyle w:val="TableParagraph"/>
              <w:spacing w:line="276" w:lineRule="exact"/>
              <w:ind w:left="105" w:right="0"/>
              <w:jc w:val="left"/>
              <w:rPr>
                <w:rFonts w:ascii="宋体" w:hAnsi="宋体" w:cs="宋体" w:eastAsia="宋体" w:hint="default"/>
                <w:sz w:val="24"/>
                <w:szCs w:val="24"/>
              </w:rPr>
            </w:pPr>
            <w:r>
              <w:rPr>
                <w:rFonts w:ascii="宋体" w:hAnsi="宋体" w:cs="宋体" w:eastAsia="宋体" w:hint="default"/>
                <w:sz w:val="24"/>
                <w:szCs w:val="24"/>
              </w:rPr>
              <w:t>对以前期间当期所得税的调整</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pacing w:val="-1"/>
                <w:sz w:val="24"/>
              </w:rPr>
              <w:t>-7,111,952</w:t>
            </w:r>
          </w:p>
        </w:tc>
      </w:tr>
      <w:tr>
        <w:trPr>
          <w:trHeight w:val="638" w:hRule="exact"/>
        </w:trPr>
        <w:tc>
          <w:tcPr>
            <w:tcW w:w="4381"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105" w:right="0"/>
              <w:jc w:val="left"/>
              <w:rPr>
                <w:rFonts w:ascii="宋体" w:hAnsi="宋体" w:cs="宋体" w:eastAsia="宋体" w:hint="default"/>
                <w:sz w:val="24"/>
                <w:szCs w:val="24"/>
              </w:rPr>
            </w:pPr>
            <w:r>
              <w:rPr>
                <w:rFonts w:ascii="宋体" w:hAnsi="宋体" w:cs="宋体" w:eastAsia="宋体" w:hint="default"/>
                <w:sz w:val="24"/>
                <w:szCs w:val="24"/>
              </w:rPr>
              <w:t>不可抵扣的费用、未确认的可抵扣暂时</w:t>
            </w:r>
          </w:p>
          <w:p>
            <w:pPr>
              <w:pStyle w:val="TableParagraph"/>
              <w:spacing w:line="313" w:lineRule="exact"/>
              <w:ind w:left="105" w:right="0"/>
              <w:jc w:val="left"/>
              <w:rPr>
                <w:rFonts w:ascii="宋体" w:hAnsi="宋体" w:cs="宋体" w:eastAsia="宋体" w:hint="default"/>
                <w:sz w:val="24"/>
                <w:szCs w:val="24"/>
              </w:rPr>
            </w:pPr>
            <w:r>
              <w:rPr>
                <w:rFonts w:ascii="宋体" w:hAnsi="宋体" w:cs="宋体" w:eastAsia="宋体" w:hint="default"/>
                <w:sz w:val="24"/>
                <w:szCs w:val="24"/>
              </w:rPr>
              <w:t>性差异的影响和可抵扣亏损</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82,297,780</w:t>
            </w:r>
          </w:p>
        </w:tc>
      </w:tr>
      <w:tr>
        <w:trPr>
          <w:trHeight w:val="326" w:hRule="exact"/>
        </w:trPr>
        <w:tc>
          <w:tcPr>
            <w:tcW w:w="438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税率变动对期初递延所得税余额的影响</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7"/>
              <w:jc w:val="right"/>
              <w:rPr>
                <w:rFonts w:ascii="Times New Roman" w:hAnsi="Times New Roman" w:cs="Times New Roman" w:eastAsia="Times New Roman" w:hint="default"/>
                <w:sz w:val="24"/>
                <w:szCs w:val="24"/>
              </w:rPr>
            </w:pPr>
            <w:r>
              <w:rPr>
                <w:rFonts w:ascii="Times New Roman"/>
                <w:sz w:val="24"/>
              </w:rPr>
              <w:t>3,915,587</w:t>
            </w:r>
          </w:p>
        </w:tc>
      </w:tr>
      <w:tr>
        <w:trPr>
          <w:trHeight w:val="324" w:hRule="exact"/>
        </w:trPr>
        <w:tc>
          <w:tcPr>
            <w:tcW w:w="438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利用以前年度可抵扣亏损</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pacing w:val="-1"/>
                <w:sz w:val="24"/>
              </w:rPr>
              <w:t>-19,370,749</w:t>
            </w:r>
          </w:p>
        </w:tc>
      </w:tr>
      <w:tr>
        <w:trPr>
          <w:trHeight w:val="329" w:hRule="exact"/>
        </w:trPr>
        <w:tc>
          <w:tcPr>
            <w:tcW w:w="4381" w:type="dxa"/>
            <w:tcBorders>
              <w:top w:val="single" w:sz="6"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所得税费用</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70" w:lineRule="exact"/>
              <w:ind w:right="106"/>
              <w:jc w:val="right"/>
              <w:rPr>
                <w:rFonts w:ascii="Times New Roman" w:hAnsi="Times New Roman" w:cs="Times New Roman" w:eastAsia="Times New Roman" w:hint="default"/>
                <w:sz w:val="24"/>
                <w:szCs w:val="24"/>
              </w:rPr>
            </w:pPr>
            <w:r>
              <w:rPr>
                <w:rFonts w:ascii="Times New Roman"/>
                <w:sz w:val="24"/>
              </w:rPr>
              <w:t>82,540,199</w:t>
            </w:r>
          </w:p>
        </w:tc>
      </w:tr>
    </w:tbl>
    <w:p>
      <w:pPr>
        <w:spacing w:line="240" w:lineRule="auto" w:before="8"/>
        <w:rPr>
          <w:rFonts w:ascii="宋体" w:hAnsi="宋体" w:cs="宋体" w:eastAsia="宋体" w:hint="default"/>
          <w:sz w:val="20"/>
          <w:szCs w:val="20"/>
        </w:rPr>
      </w:pPr>
    </w:p>
    <w:p>
      <w:pPr>
        <w:pStyle w:val="BodyText"/>
        <w:spacing w:line="240" w:lineRule="auto" w:before="26"/>
        <w:ind w:left="236" w:right="4250"/>
        <w:jc w:val="left"/>
      </w:pPr>
      <w:r>
        <w:rPr/>
        <w:t>其他说明：</w:t>
      </w:r>
    </w:p>
    <w:p>
      <w:pPr>
        <w:pStyle w:val="BodyText"/>
        <w:spacing w:line="240" w:lineRule="auto" w:before="55"/>
        <w:ind w:left="236" w:right="4250"/>
        <w:jc w:val="left"/>
      </w:pPr>
      <w:r>
        <w:rPr/>
        <w:t>√适用 □不适用</w:t>
      </w:r>
    </w:p>
    <w:p>
      <w:pPr>
        <w:pStyle w:val="BodyText"/>
        <w:spacing w:line="230" w:lineRule="auto" w:before="69"/>
        <w:ind w:left="236" w:right="0"/>
        <w:jc w:val="left"/>
      </w:pPr>
      <w:r>
        <w:rPr/>
        <w:t>注 </w:t>
      </w:r>
      <w:r>
        <w:rPr>
          <w:rFonts w:ascii="Times New Roman" w:hAnsi="Times New Roman" w:cs="Times New Roman" w:eastAsia="Times New Roman" w:hint="default"/>
        </w:rPr>
        <w:t>1</w:t>
      </w:r>
      <w:r>
        <w:rPr/>
        <w:t>．</w:t>
      </w:r>
      <w:r>
        <w:rPr>
          <w:spacing w:val="-1"/>
        </w:rPr>
        <w:t> </w:t>
      </w:r>
      <w:r>
        <w:rPr/>
        <w:t>本集团所得税按在中国境内取得的估计应纳税所得额及适用税率计提。源于</w:t>
      </w:r>
      <w:r>
        <w:rPr/>
        <w:t> 其他地区应纳税所得的税项根据本集团经营所在国家的现行法律、解释公告和惯例，</w:t>
      </w:r>
      <w:r>
        <w:rPr>
          <w:spacing w:val="-63"/>
        </w:rPr>
        <w:t> </w:t>
      </w:r>
      <w:r>
        <w:rPr>
          <w:spacing w:val="-63"/>
        </w:rPr>
      </w:r>
      <w:r>
        <w:rPr/>
        <w:t>按照适用税率计算。</w:t>
      </w:r>
    </w:p>
    <w:p>
      <w:pPr>
        <w:spacing w:line="240" w:lineRule="auto" w:before="8"/>
        <w:rPr>
          <w:rFonts w:ascii="宋体" w:hAnsi="宋体" w:cs="宋体" w:eastAsia="宋体" w:hint="default"/>
          <w:sz w:val="25"/>
          <w:szCs w:val="25"/>
        </w:rPr>
      </w:pPr>
    </w:p>
    <w:p>
      <w:pPr>
        <w:pStyle w:val="Heading2"/>
        <w:spacing w:line="240" w:lineRule="auto"/>
        <w:ind w:left="236" w:right="4250"/>
        <w:jc w:val="left"/>
        <w:rPr>
          <w:rFonts w:ascii="宋体" w:hAnsi="宋体" w:cs="宋体" w:eastAsia="宋体" w:hint="default"/>
          <w:b w:val="0"/>
          <w:bCs w:val="0"/>
        </w:rPr>
      </w:pPr>
      <w:r>
        <w:rPr>
          <w:rFonts w:ascii="宋体" w:hAnsi="宋体" w:cs="宋体" w:eastAsia="宋体" w:hint="default"/>
        </w:rPr>
        <w:t>75</w:t>
      </w:r>
      <w:r>
        <w:rPr/>
        <w:t>、</w:t>
      </w:r>
      <w:r>
        <w:rPr>
          <w:spacing w:val="-103"/>
        </w:rPr>
        <w:t> </w:t>
      </w:r>
      <w:r>
        <w:rPr/>
        <w:t>其他综合收益</w:t>
      </w:r>
      <w:r>
        <w:rPr>
          <w:rFonts w:ascii="宋体" w:hAnsi="宋体" w:cs="宋体" w:eastAsia="宋体" w:hint="default"/>
          <w:w w:val="99"/>
        </w:rPr>
        <w:t> </w:t>
      </w:r>
      <w:r>
        <w:rPr>
          <w:rFonts w:ascii="宋体" w:hAnsi="宋体" w:cs="宋体" w:eastAsia="宋体" w:hint="default"/>
          <w:b w:val="0"/>
          <w:bCs w:val="0"/>
        </w:rPr>
      </w:r>
    </w:p>
    <w:p>
      <w:pPr>
        <w:pStyle w:val="BodyText"/>
        <w:spacing w:line="310" w:lineRule="exact" w:before="90"/>
        <w:ind w:left="236" w:right="7250"/>
        <w:jc w:val="left"/>
      </w:pPr>
      <w:r>
        <w:rPr/>
        <w:t>√适用 □不适用 详见附注</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1040" w:right="1560"/>
        </w:sectPr>
      </w:pPr>
    </w:p>
    <w:p>
      <w:pPr>
        <w:pStyle w:val="Heading2"/>
        <w:spacing w:line="240" w:lineRule="auto" w:before="26"/>
        <w:ind w:left="236" w:right="0"/>
        <w:jc w:val="left"/>
        <w:rPr>
          <w:rFonts w:ascii="宋体" w:hAnsi="宋体" w:cs="宋体" w:eastAsia="宋体" w:hint="default"/>
          <w:b w:val="0"/>
          <w:bCs w:val="0"/>
        </w:rPr>
      </w:pPr>
      <w:r>
        <w:rPr>
          <w:rFonts w:ascii="宋体" w:hAnsi="宋体" w:cs="宋体" w:eastAsia="宋体" w:hint="default"/>
        </w:rPr>
        <w:t>76</w:t>
      </w:r>
      <w:r>
        <w:rPr/>
        <w:t>、</w:t>
      </w:r>
      <w:r>
        <w:rPr>
          <w:spacing w:val="-102"/>
        </w:rPr>
        <w:t> </w:t>
      </w:r>
      <w:r>
        <w:rPr/>
        <w:t>现金流量表项目</w:t>
      </w:r>
      <w:r>
        <w:rPr>
          <w:rFonts w:ascii="宋体" w:hAnsi="宋体" w:cs="宋体" w:eastAsia="宋体" w:hint="default"/>
          <w:w w:val="99"/>
        </w:rPr>
        <w:t> </w:t>
      </w:r>
      <w:r>
        <w:rPr>
          <w:rFonts w:ascii="宋体" w:hAnsi="宋体" w:cs="宋体" w:eastAsia="宋体" w:hint="default"/>
          <w:b w:val="0"/>
          <w:bCs w:val="0"/>
        </w:rPr>
      </w:r>
    </w:p>
    <w:p>
      <w:pPr>
        <w:pStyle w:val="Heading2"/>
        <w:tabs>
          <w:tab w:pos="1077" w:val="left" w:leader="none"/>
        </w:tabs>
        <w:spacing w:line="240" w:lineRule="auto" w:before="58"/>
        <w:ind w:left="236" w:right="0"/>
        <w:jc w:val="left"/>
        <w:rPr>
          <w:rFonts w:ascii="宋体" w:hAnsi="宋体" w:cs="宋体" w:eastAsia="宋体" w:hint="default"/>
          <w:b w:val="0"/>
          <w:bCs w:val="0"/>
        </w:rPr>
      </w:pPr>
      <w:r>
        <w:rPr>
          <w:rFonts w:ascii="宋体" w:hAnsi="宋体" w:cs="宋体" w:eastAsia="宋体" w:hint="default"/>
        </w:rPr>
        <w:t>(1).</w:t>
        <w:tab/>
      </w:r>
      <w:r>
        <w:rPr/>
        <w:t>收到的其他与经营活动有关的现金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4813" w:space="1381"/>
            <w:col w:w="3116"/>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411"/>
        <w:gridCol w:w="2830"/>
        <w:gridCol w:w="2821"/>
      </w:tblGrid>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60"/>
              <w:jc w:val="right"/>
              <w:rPr>
                <w:rFonts w:ascii="宋体" w:hAnsi="宋体" w:cs="宋体" w:eastAsia="宋体" w:hint="default"/>
                <w:sz w:val="24"/>
                <w:szCs w:val="24"/>
              </w:rPr>
            </w:pPr>
            <w:r>
              <w:rPr>
                <w:rFonts w:ascii="宋体" w:hAnsi="宋体" w:cs="宋体" w:eastAsia="宋体" w:hint="default"/>
                <w:sz w:val="24"/>
                <w:szCs w:val="24"/>
              </w:rPr>
              <w:t>项目</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08"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04"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政府补贴款</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6"/>
              <w:jc w:val="right"/>
              <w:rPr>
                <w:rFonts w:ascii="Times New Roman" w:hAnsi="Times New Roman" w:cs="Times New Roman" w:eastAsia="Times New Roman" w:hint="default"/>
                <w:sz w:val="24"/>
                <w:szCs w:val="24"/>
              </w:rPr>
            </w:pPr>
            <w:r>
              <w:rPr>
                <w:rFonts w:ascii="Times New Roman"/>
                <w:sz w:val="24"/>
              </w:rPr>
              <w:t>59,427,912</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64,304,783</w:t>
            </w:r>
          </w:p>
        </w:tc>
      </w:tr>
      <w:tr>
        <w:trPr>
          <w:trHeight w:val="319"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其他营业收入</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6"/>
              <w:jc w:val="right"/>
              <w:rPr>
                <w:rFonts w:ascii="Times New Roman" w:hAnsi="Times New Roman" w:cs="Times New Roman" w:eastAsia="Times New Roman" w:hint="default"/>
                <w:sz w:val="24"/>
                <w:szCs w:val="24"/>
              </w:rPr>
            </w:pPr>
            <w:r>
              <w:rPr>
                <w:rFonts w:ascii="Times New Roman"/>
                <w:sz w:val="24"/>
              </w:rPr>
              <w:t>293,013,984</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264,740,581</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6"/>
              <w:jc w:val="right"/>
              <w:rPr>
                <w:rFonts w:ascii="Times New Roman" w:hAnsi="Times New Roman" w:cs="Times New Roman" w:eastAsia="Times New Roman" w:hint="default"/>
                <w:sz w:val="24"/>
                <w:szCs w:val="24"/>
              </w:rPr>
            </w:pPr>
            <w:r>
              <w:rPr>
                <w:rFonts w:ascii="Times New Roman"/>
                <w:sz w:val="24"/>
              </w:rPr>
              <w:t>10,571,558</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0"/>
              <w:jc w:val="right"/>
              <w:rPr>
                <w:rFonts w:ascii="Times New Roman" w:hAnsi="Times New Roman" w:cs="Times New Roman" w:eastAsia="Times New Roman" w:hint="default"/>
                <w:sz w:val="24"/>
                <w:szCs w:val="24"/>
              </w:rPr>
            </w:pPr>
            <w:r>
              <w:rPr>
                <w:rFonts w:ascii="Times New Roman"/>
                <w:sz w:val="24"/>
              </w:rPr>
              <w:t>17,921,696</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60"/>
              <w:jc w:val="right"/>
              <w:rPr>
                <w:rFonts w:ascii="宋体" w:hAnsi="宋体" w:cs="宋体" w:eastAsia="宋体" w:hint="default"/>
                <w:sz w:val="24"/>
                <w:szCs w:val="24"/>
              </w:rPr>
            </w:pPr>
            <w:r>
              <w:rPr>
                <w:rFonts w:ascii="宋体" w:hAnsi="宋体" w:cs="宋体" w:eastAsia="宋体" w:hint="default"/>
                <w:sz w:val="24"/>
                <w:szCs w:val="24"/>
              </w:rPr>
              <w:t>合计</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6"/>
              <w:jc w:val="right"/>
              <w:rPr>
                <w:rFonts w:ascii="Times New Roman" w:hAnsi="Times New Roman" w:cs="Times New Roman" w:eastAsia="Times New Roman" w:hint="default"/>
                <w:sz w:val="24"/>
                <w:szCs w:val="24"/>
              </w:rPr>
            </w:pPr>
            <w:r>
              <w:rPr>
                <w:rFonts w:ascii="Times New Roman"/>
                <w:sz w:val="24"/>
              </w:rPr>
              <w:t>363,013,454</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346,967,060</w:t>
            </w:r>
          </w:p>
        </w:tc>
      </w:tr>
    </w:tbl>
    <w:p>
      <w:pPr>
        <w:pStyle w:val="BodyText"/>
        <w:spacing w:line="283" w:lineRule="auto" w:before="19"/>
        <w:ind w:left="236" w:right="4730"/>
        <w:jc w:val="left"/>
      </w:pPr>
      <w:r>
        <w:rPr/>
        <w:t>收到的其他与经营活动有关的现金说明： 无。</w:t>
      </w:r>
    </w:p>
    <w:p>
      <w:pPr>
        <w:spacing w:line="240" w:lineRule="auto" w:before="3"/>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40" w:right="1560"/>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(2).</w:t>
        <w:tab/>
      </w:r>
      <w:r>
        <w:rPr/>
        <w:t>支付的其他与经营活动有关的现金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4813" w:space="1381"/>
            <w:col w:w="3116"/>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411"/>
        <w:gridCol w:w="2811"/>
        <w:gridCol w:w="2840"/>
      </w:tblGrid>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99"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11"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19"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差旅费</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206,407,982</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193,405,367</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业务宣传费</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6"/>
              <w:jc w:val="right"/>
              <w:rPr>
                <w:rFonts w:ascii="Times New Roman" w:hAnsi="Times New Roman" w:cs="Times New Roman" w:eastAsia="Times New Roman" w:hint="default"/>
                <w:sz w:val="24"/>
                <w:szCs w:val="24"/>
              </w:rPr>
            </w:pPr>
            <w:r>
              <w:rPr>
                <w:rFonts w:ascii="Times New Roman"/>
                <w:sz w:val="24"/>
              </w:rPr>
              <w:t>169,911,069</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0"/>
              <w:jc w:val="right"/>
              <w:rPr>
                <w:rFonts w:ascii="Times New Roman" w:hAnsi="Times New Roman" w:cs="Times New Roman" w:eastAsia="Times New Roman" w:hint="default"/>
                <w:sz w:val="24"/>
                <w:szCs w:val="24"/>
              </w:rPr>
            </w:pPr>
            <w:r>
              <w:rPr>
                <w:rFonts w:ascii="Times New Roman"/>
                <w:sz w:val="24"/>
              </w:rPr>
              <w:t>178,316,075</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租赁费及物业管理费</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196,819,800</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167,234,837</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业务招待费</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121,054,688</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116,290,046</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咨询服务费</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187,070,078</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172,897,866</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489,268,413</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214,206,641</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1,370,532,030</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1,042,350,832</w:t>
            </w:r>
          </w:p>
        </w:tc>
      </w:tr>
    </w:tbl>
    <w:p>
      <w:pPr>
        <w:spacing w:after="0" w:line="268" w:lineRule="exact"/>
        <w:jc w:val="right"/>
        <w:rPr>
          <w:rFonts w:ascii="Times New Roman" w:hAnsi="Times New Roman" w:cs="Times New Roman" w:eastAsia="Times New Roman" w:hint="default"/>
          <w:sz w:val="24"/>
          <w:szCs w:val="24"/>
        </w:rPr>
        <w:sectPr>
          <w:type w:val="continuous"/>
          <w:pgSz w:w="11910" w:h="16840"/>
          <w:pgMar w:top="1120" w:bottom="1380" w:left="1040" w:right="1560"/>
        </w:sectPr>
      </w:pPr>
    </w:p>
    <w:p>
      <w:pPr>
        <w:spacing w:line="240" w:lineRule="auto" w:before="4"/>
        <w:rPr>
          <w:rFonts w:ascii="宋体" w:hAnsi="宋体" w:cs="宋体" w:eastAsia="宋体" w:hint="default"/>
          <w:sz w:val="22"/>
          <w:szCs w:val="22"/>
        </w:rPr>
      </w:pPr>
    </w:p>
    <w:p>
      <w:pPr>
        <w:pStyle w:val="BodyText"/>
        <w:spacing w:line="285" w:lineRule="auto" w:before="26"/>
        <w:ind w:left="236" w:right="4730"/>
        <w:jc w:val="left"/>
      </w:pPr>
      <w:r>
        <w:rPr/>
        <w:t>支付的其他与经营活动有关的现金说明： 无。</w:t>
      </w:r>
    </w:p>
    <w:p>
      <w:pPr>
        <w:spacing w:line="240" w:lineRule="auto" w:before="4"/>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pgSz w:w="11910" w:h="16840"/>
          <w:pgMar w:header="882" w:footer="1195" w:top="1080" w:bottom="1380" w:left="1040" w:right="1560"/>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(3).</w:t>
        <w:tab/>
      </w:r>
      <w:r>
        <w:rPr/>
        <w:t>收到的其他与投资活动有关的现金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120" w:bottom="1380" w:left="1040" w:right="1560"/>
          <w:cols w:num="2" w:equalWidth="0">
            <w:col w:w="4813" w:space="1553"/>
            <w:col w:w="2944"/>
          </w:cols>
        </w:sectPr>
      </w:pPr>
    </w:p>
    <w:tbl>
      <w:tblPr>
        <w:tblW w:w="0" w:type="auto"/>
        <w:jc w:val="left"/>
        <w:tblInd w:w="119" w:type="dxa"/>
        <w:tblLayout w:type="fixed"/>
        <w:tblCellMar>
          <w:top w:w="0" w:type="dxa"/>
          <w:left w:w="0" w:type="dxa"/>
          <w:bottom w:w="0" w:type="dxa"/>
          <w:right w:w="0" w:type="dxa"/>
        </w:tblCellMar>
        <w:tblLook w:val="01E0"/>
      </w:tblPr>
      <w:tblGrid>
        <w:gridCol w:w="3411"/>
        <w:gridCol w:w="2914"/>
        <w:gridCol w:w="2737"/>
      </w:tblGrid>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52"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60"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预收股权转让款</w:t>
            </w:r>
          </w:p>
        </w:tc>
        <w:tc>
          <w:tcPr>
            <w:tcW w:w="2914" w:type="dxa"/>
            <w:tcBorders>
              <w:top w:val="single" w:sz="4" w:space="0" w:color="000000"/>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30,200,000</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取得存款利息收入</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6"/>
              <w:jc w:val="right"/>
              <w:rPr>
                <w:rFonts w:ascii="Times New Roman" w:hAnsi="Times New Roman" w:cs="Times New Roman" w:eastAsia="Times New Roman" w:hint="default"/>
                <w:sz w:val="24"/>
                <w:szCs w:val="24"/>
              </w:rPr>
            </w:pPr>
            <w:r>
              <w:rPr>
                <w:rFonts w:ascii="Times New Roman"/>
                <w:sz w:val="24"/>
              </w:rPr>
              <w:t>38,278,922</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72,581,844</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6"/>
              <w:jc w:val="right"/>
              <w:rPr>
                <w:rFonts w:ascii="Times New Roman" w:hAnsi="Times New Roman" w:cs="Times New Roman" w:eastAsia="Times New Roman" w:hint="default"/>
                <w:sz w:val="24"/>
                <w:szCs w:val="24"/>
              </w:rPr>
            </w:pPr>
            <w:r>
              <w:rPr>
                <w:rFonts w:ascii="Times New Roman"/>
                <w:sz w:val="24"/>
              </w:rPr>
              <w:t>38,278,922</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102,781,844</w:t>
            </w:r>
          </w:p>
        </w:tc>
      </w:tr>
    </w:tbl>
    <w:p>
      <w:pPr>
        <w:pStyle w:val="BodyText"/>
        <w:spacing w:line="285" w:lineRule="auto" w:before="37"/>
        <w:ind w:left="236" w:right="4730"/>
        <w:jc w:val="left"/>
      </w:pPr>
      <w:r>
        <w:rPr/>
        <w:t>收到的其他与投资活动有关的现金说明： 无。</w:t>
      </w:r>
    </w:p>
    <w:p>
      <w:pPr>
        <w:spacing w:line="240" w:lineRule="auto" w:before="11"/>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120" w:bottom="1380" w:left="1040" w:right="1560"/>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(4).</w:t>
        <w:tab/>
      </w:r>
      <w:r>
        <w:rPr/>
        <w:t>支付的其他与投资活动有关的现金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4813" w:space="1381"/>
            <w:col w:w="3116"/>
          </w:cols>
        </w:sectPr>
      </w:pPr>
    </w:p>
    <w:p>
      <w:pPr>
        <w:spacing w:line="240" w:lineRule="auto" w:before="1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411"/>
        <w:gridCol w:w="2916"/>
        <w:gridCol w:w="2734"/>
      </w:tblGrid>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460"/>
              <w:jc w:val="right"/>
              <w:rPr>
                <w:rFonts w:ascii="宋体" w:hAnsi="宋体" w:cs="宋体" w:eastAsia="宋体" w:hint="default"/>
                <w:sz w:val="24"/>
                <w:szCs w:val="24"/>
              </w:rPr>
            </w:pPr>
            <w:r>
              <w:rPr>
                <w:rFonts w:ascii="宋体" w:hAnsi="宋体" w:cs="宋体" w:eastAsia="宋体" w:hint="default"/>
                <w:sz w:val="24"/>
                <w:szCs w:val="24"/>
              </w:rPr>
              <w:t>项目</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52"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60"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股权收购款</w:t>
            </w:r>
          </w:p>
        </w:tc>
        <w:tc>
          <w:tcPr>
            <w:tcW w:w="2916"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28,670,518</w:t>
            </w:r>
          </w:p>
        </w:tc>
      </w:tr>
      <w:tr>
        <w:trPr>
          <w:trHeight w:val="286" w:hRule="exact"/>
        </w:trPr>
        <w:tc>
          <w:tcPr>
            <w:tcW w:w="3411" w:type="dxa"/>
            <w:tcBorders>
              <w:top w:val="single" w:sz="4" w:space="0" w:color="000000"/>
              <w:left w:val="single" w:sz="4" w:space="0" w:color="000000"/>
              <w:bottom w:val="single" w:sz="4" w:space="0" w:color="000000"/>
              <w:right w:val="single" w:sz="4" w:space="0" w:color="000000"/>
            </w:tcBorders>
          </w:tcPr>
          <w:p>
            <w:pPr/>
          </w:p>
        </w:tc>
        <w:tc>
          <w:tcPr>
            <w:tcW w:w="2916"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60"/>
              <w:jc w:val="right"/>
              <w:rPr>
                <w:rFonts w:ascii="宋体" w:hAnsi="宋体" w:cs="宋体" w:eastAsia="宋体" w:hint="default"/>
                <w:sz w:val="24"/>
                <w:szCs w:val="24"/>
              </w:rPr>
            </w:pPr>
            <w:r>
              <w:rPr>
                <w:rFonts w:ascii="宋体" w:hAnsi="宋体" w:cs="宋体" w:eastAsia="宋体" w:hint="default"/>
                <w:sz w:val="24"/>
                <w:szCs w:val="24"/>
              </w:rPr>
              <w:t>合计</w:t>
            </w:r>
          </w:p>
        </w:tc>
        <w:tc>
          <w:tcPr>
            <w:tcW w:w="2916"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28,670,518</w:t>
            </w:r>
          </w:p>
        </w:tc>
      </w:tr>
    </w:tbl>
    <w:p>
      <w:pPr>
        <w:pStyle w:val="BodyText"/>
        <w:spacing w:line="285" w:lineRule="auto" w:before="19"/>
        <w:ind w:left="236" w:right="4730"/>
        <w:jc w:val="left"/>
      </w:pPr>
      <w:r>
        <w:rPr/>
        <w:t>支付的其他与投资活动有关的现金说明： 无。</w:t>
      </w:r>
    </w:p>
    <w:p>
      <w:pPr>
        <w:spacing w:line="240" w:lineRule="auto" w:before="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40" w:right="1560"/>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(5).</w:t>
        <w:tab/>
      </w:r>
      <w:r>
        <w:rPr/>
        <w:t>收到的其他与筹资活动有关的现金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4813" w:space="1381"/>
            <w:col w:w="3116"/>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411"/>
        <w:gridCol w:w="2916"/>
        <w:gridCol w:w="2734"/>
      </w:tblGrid>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52"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60"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19"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少数股东增资</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6"/>
              <w:jc w:val="right"/>
              <w:rPr>
                <w:rFonts w:ascii="Times New Roman" w:hAnsi="Times New Roman" w:cs="Times New Roman" w:eastAsia="Times New Roman" w:hint="default"/>
                <w:sz w:val="24"/>
                <w:szCs w:val="24"/>
              </w:rPr>
            </w:pPr>
            <w:r>
              <w:rPr>
                <w:rFonts w:ascii="Times New Roman"/>
                <w:sz w:val="24"/>
              </w:rPr>
              <w:t>36,244,206</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41,621,613</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股权激励授予款项</w:t>
            </w:r>
          </w:p>
        </w:tc>
        <w:tc>
          <w:tcPr>
            <w:tcW w:w="2916"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8"/>
              <w:jc w:val="right"/>
              <w:rPr>
                <w:rFonts w:ascii="Times New Roman" w:hAnsi="Times New Roman" w:cs="Times New Roman" w:eastAsia="Times New Roman" w:hint="default"/>
                <w:sz w:val="24"/>
                <w:szCs w:val="24"/>
              </w:rPr>
            </w:pPr>
            <w:r>
              <w:rPr>
                <w:rFonts w:ascii="Times New Roman"/>
                <w:sz w:val="24"/>
              </w:rPr>
              <w:t>2,647,760</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6"/>
              <w:jc w:val="right"/>
              <w:rPr>
                <w:rFonts w:ascii="Times New Roman" w:hAnsi="Times New Roman" w:cs="Times New Roman" w:eastAsia="Times New Roman" w:hint="default"/>
                <w:sz w:val="24"/>
                <w:szCs w:val="24"/>
              </w:rPr>
            </w:pPr>
            <w:r>
              <w:rPr>
                <w:rFonts w:ascii="Times New Roman"/>
                <w:sz w:val="24"/>
              </w:rPr>
              <w:t>36,244,206</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44,269,373</w:t>
            </w:r>
          </w:p>
        </w:tc>
      </w:tr>
    </w:tbl>
    <w:p>
      <w:pPr>
        <w:pStyle w:val="BodyText"/>
        <w:spacing w:line="283" w:lineRule="auto" w:before="19"/>
        <w:ind w:left="236" w:right="4730"/>
        <w:jc w:val="left"/>
      </w:pPr>
      <w:r>
        <w:rPr/>
        <w:t>收到的其他与筹资活动有关的现金说明： 无。</w:t>
      </w:r>
    </w:p>
    <w:p>
      <w:pPr>
        <w:spacing w:line="240" w:lineRule="auto" w:before="4"/>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120" w:bottom="1380" w:left="1040" w:right="1560"/>
        </w:sectPr>
      </w:pPr>
    </w:p>
    <w:p>
      <w:pPr>
        <w:pStyle w:val="Heading2"/>
        <w:tabs>
          <w:tab w:pos="1077" w:val="left" w:leader="none"/>
        </w:tabs>
        <w:spacing w:line="240" w:lineRule="auto" w:before="26"/>
        <w:ind w:left="236" w:right="0"/>
        <w:jc w:val="left"/>
        <w:rPr>
          <w:rFonts w:ascii="宋体" w:hAnsi="宋体" w:cs="宋体" w:eastAsia="宋体" w:hint="default"/>
          <w:b w:val="0"/>
          <w:bCs w:val="0"/>
        </w:rPr>
      </w:pPr>
      <w:r>
        <w:rPr>
          <w:rFonts w:ascii="宋体" w:hAnsi="宋体" w:cs="宋体" w:eastAsia="宋体" w:hint="default"/>
        </w:rPr>
        <w:t>(6).</w:t>
        <w:tab/>
      </w:r>
      <w:r>
        <w:rPr/>
        <w:t>支付的其他与筹资活动有关的现金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5"/>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4813" w:space="1381"/>
            <w:col w:w="3116"/>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411"/>
        <w:gridCol w:w="2916"/>
        <w:gridCol w:w="2734"/>
      </w:tblGrid>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52"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60"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19"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股票回购</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469,077,017</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15,557,463</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收购少数股东股权</w:t>
            </w:r>
          </w:p>
        </w:tc>
        <w:tc>
          <w:tcPr>
            <w:tcW w:w="2916"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0"/>
              <w:jc w:val="right"/>
              <w:rPr>
                <w:rFonts w:ascii="Times New Roman" w:hAnsi="Times New Roman" w:cs="Times New Roman" w:eastAsia="Times New Roman" w:hint="default"/>
                <w:sz w:val="24"/>
                <w:szCs w:val="24"/>
              </w:rPr>
            </w:pPr>
            <w:r>
              <w:rPr>
                <w:rFonts w:ascii="Times New Roman"/>
                <w:sz w:val="24"/>
              </w:rPr>
              <w:t>36,431,400</w:t>
            </w:r>
          </w:p>
        </w:tc>
      </w:tr>
      <w:tr>
        <w:trPr>
          <w:trHeight w:val="322"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6"/>
              <w:jc w:val="right"/>
              <w:rPr>
                <w:rFonts w:ascii="Times New Roman" w:hAnsi="Times New Roman" w:cs="Times New Roman" w:eastAsia="Times New Roman" w:hint="default"/>
                <w:sz w:val="24"/>
                <w:szCs w:val="24"/>
              </w:rPr>
            </w:pPr>
            <w:r>
              <w:rPr>
                <w:rFonts w:ascii="Times New Roman"/>
                <w:sz w:val="24"/>
              </w:rPr>
              <w:t>469,077,017</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0"/>
              <w:jc w:val="right"/>
              <w:rPr>
                <w:rFonts w:ascii="Times New Roman" w:hAnsi="Times New Roman" w:cs="Times New Roman" w:eastAsia="Times New Roman" w:hint="default"/>
                <w:sz w:val="24"/>
                <w:szCs w:val="24"/>
              </w:rPr>
            </w:pPr>
            <w:r>
              <w:rPr>
                <w:rFonts w:ascii="Times New Roman"/>
                <w:sz w:val="24"/>
              </w:rPr>
              <w:t>51,988,863</w:t>
            </w:r>
          </w:p>
        </w:tc>
      </w:tr>
    </w:tbl>
    <w:p>
      <w:pPr>
        <w:pStyle w:val="BodyText"/>
        <w:spacing w:line="240" w:lineRule="auto" w:before="19"/>
        <w:ind w:left="236" w:right="4250"/>
        <w:jc w:val="left"/>
      </w:pPr>
      <w:r>
        <w:rPr/>
        <w:t>支付的其他与筹资活动有关的现金说明：</w:t>
      </w:r>
    </w:p>
    <w:p>
      <w:pPr>
        <w:spacing w:after="0" w:line="240" w:lineRule="auto"/>
        <w:jc w:val="left"/>
        <w:sectPr>
          <w:type w:val="continuous"/>
          <w:pgSz w:w="11910" w:h="16840"/>
          <w:pgMar w:top="1120" w:bottom="1380" w:left="1040" w:right="1560"/>
        </w:sectPr>
      </w:pPr>
    </w:p>
    <w:p>
      <w:pPr>
        <w:spacing w:line="240" w:lineRule="auto" w:before="4"/>
        <w:rPr>
          <w:rFonts w:ascii="宋体" w:hAnsi="宋体" w:cs="宋体" w:eastAsia="宋体" w:hint="default"/>
          <w:sz w:val="22"/>
          <w:szCs w:val="22"/>
        </w:rPr>
      </w:pPr>
    </w:p>
    <w:p>
      <w:pPr>
        <w:pStyle w:val="BodyText"/>
        <w:spacing w:line="240" w:lineRule="auto" w:before="26"/>
        <w:ind w:left="216" w:right="0"/>
        <w:jc w:val="left"/>
      </w:pPr>
      <w:r>
        <w:rPr/>
        <w:t>无。</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2" w:footer="1195" w:top="1080" w:bottom="1380" w:left="1060" w:right="1560"/>
        </w:sectPr>
      </w:pPr>
    </w:p>
    <w:p>
      <w:pPr>
        <w:pStyle w:val="Heading2"/>
        <w:tabs>
          <w:tab w:pos="1057" w:val="left" w:leader="none"/>
        </w:tabs>
        <w:spacing w:line="283" w:lineRule="auto" w:before="26"/>
        <w:ind w:right="0"/>
        <w:jc w:val="left"/>
        <w:rPr>
          <w:rFonts w:ascii="宋体" w:hAnsi="宋体" w:cs="宋体" w:eastAsia="宋体" w:hint="default"/>
          <w:b w:val="0"/>
          <w:bCs w:val="0"/>
        </w:rPr>
      </w:pPr>
      <w:r>
        <w:rPr>
          <w:rFonts w:ascii="宋体" w:hAnsi="宋体" w:cs="宋体" w:eastAsia="宋体" w:hint="default"/>
        </w:rPr>
        <w:t>77</w:t>
      </w:r>
      <w:r>
        <w:rPr/>
        <w:t>、</w:t>
      </w:r>
      <w:r>
        <w:rPr>
          <w:spacing w:val="-100"/>
        </w:rPr>
        <w:t> </w:t>
      </w:r>
      <w:r>
        <w:rPr/>
        <w:t>现金流量表补充资料</w:t>
      </w:r>
      <w:r>
        <w:rPr>
          <w:spacing w:val="2"/>
          <w:w w:val="99"/>
        </w:rPr>
        <w:t> </w:t>
      </w:r>
      <w:r>
        <w:rPr>
          <w:rFonts w:ascii="宋体" w:hAnsi="宋体" w:cs="宋体" w:eastAsia="宋体" w:hint="default"/>
        </w:rPr>
        <w:t>(1).</w:t>
        <w:tab/>
      </w:r>
      <w:r>
        <w:rPr/>
        <w:t>现金流量表补充资料</w:t>
      </w:r>
      <w:r>
        <w:rPr>
          <w:rFonts w:ascii="宋体" w:hAnsi="宋体" w:cs="宋体" w:eastAsia="宋体" w:hint="default"/>
          <w:w w:val="99"/>
        </w:rPr>
        <w:t> </w:t>
      </w:r>
      <w:r>
        <w:rPr>
          <w:rFonts w:ascii="宋体" w:hAnsi="宋体" w:cs="宋体" w:eastAsia="宋体" w:hint="default"/>
          <w:b w:val="0"/>
          <w:bCs w:val="0"/>
        </w:rPr>
      </w:r>
    </w:p>
    <w:p>
      <w:pPr>
        <w:pStyle w:val="BodyText"/>
        <w:tabs>
          <w:tab w:pos="1177" w:val="left" w:leader="none"/>
        </w:tabs>
        <w:spacing w:line="240" w:lineRule="auto" w:before="14"/>
        <w:ind w:left="216" w:right="0"/>
        <w:jc w:val="left"/>
      </w:pPr>
      <w:r>
        <w:rPr/>
        <w:t>√适用</w:t>
        <w:tab/>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4"/>
          <w:szCs w:val="34"/>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3348" w:space="2845"/>
            <w:col w:w="3097"/>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483"/>
        <w:gridCol w:w="2801"/>
        <w:gridCol w:w="2765"/>
      </w:tblGrid>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补充资料</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911" w:right="0"/>
              <w:jc w:val="left"/>
              <w:rPr>
                <w:rFonts w:ascii="宋体" w:hAnsi="宋体" w:cs="宋体" w:eastAsia="宋体" w:hint="default"/>
                <w:sz w:val="24"/>
                <w:szCs w:val="24"/>
              </w:rPr>
            </w:pPr>
            <w:r>
              <w:rPr>
                <w:rFonts w:ascii="宋体" w:hAnsi="宋体" w:cs="宋体" w:eastAsia="宋体" w:hint="default"/>
                <w:sz w:val="24"/>
                <w:szCs w:val="24"/>
              </w:rPr>
              <w:t>本期金额</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895" w:right="0"/>
              <w:jc w:val="left"/>
              <w:rPr>
                <w:rFonts w:ascii="宋体" w:hAnsi="宋体" w:cs="宋体" w:eastAsia="宋体" w:hint="default"/>
                <w:sz w:val="24"/>
                <w:szCs w:val="24"/>
              </w:rPr>
            </w:pPr>
            <w:r>
              <w:rPr>
                <w:rFonts w:ascii="宋体" w:hAnsi="宋体" w:cs="宋体" w:eastAsia="宋体" w:hint="default"/>
                <w:sz w:val="24"/>
                <w:szCs w:val="24"/>
              </w:rPr>
              <w:t>上期金额</w:t>
            </w:r>
          </w:p>
        </w:tc>
      </w:tr>
      <w:tr>
        <w:trPr>
          <w:trHeight w:val="63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．将净利润调节为经营活动现</w:t>
            </w:r>
            <w:r>
              <w:rPr>
                <w:rFonts w:ascii="宋体" w:hAnsi="宋体" w:cs="宋体" w:eastAsia="宋体" w:hint="default"/>
                <w:sz w:val="24"/>
                <w:szCs w:val="24"/>
              </w:rPr>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金流量：</w:t>
            </w:r>
            <w:r>
              <w:rPr>
                <w:rFonts w:ascii="宋体" w:hAnsi="宋体" w:cs="宋体" w:eastAsia="宋体" w:hint="default"/>
                <w:sz w:val="24"/>
                <w:szCs w:val="24"/>
              </w:rPr>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净利润</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1,321,308,989</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810,187,079</w:t>
            </w: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加：资产减值准备</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172,216,607</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294,127,327</w:t>
            </w:r>
          </w:p>
        </w:tc>
      </w:tr>
      <w:tr>
        <w:trPr>
          <w:trHeight w:val="63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固定资产折旧、油气资产折耗、</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生产性生物资产折旧</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right="105"/>
              <w:jc w:val="right"/>
              <w:rPr>
                <w:rFonts w:ascii="Times New Roman" w:hAnsi="Times New Roman" w:cs="Times New Roman" w:eastAsia="Times New Roman" w:hint="default"/>
                <w:sz w:val="24"/>
                <w:szCs w:val="24"/>
              </w:rPr>
            </w:pPr>
            <w:r>
              <w:rPr>
                <w:rFonts w:ascii="Times New Roman"/>
                <w:sz w:val="24"/>
              </w:rPr>
              <w:t>114,937,673</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right="101"/>
              <w:jc w:val="right"/>
              <w:rPr>
                <w:rFonts w:ascii="Times New Roman" w:hAnsi="Times New Roman" w:cs="Times New Roman" w:eastAsia="Times New Roman" w:hint="default"/>
                <w:sz w:val="24"/>
                <w:szCs w:val="24"/>
              </w:rPr>
            </w:pPr>
            <w:r>
              <w:rPr>
                <w:rFonts w:ascii="Times New Roman"/>
                <w:sz w:val="24"/>
              </w:rPr>
              <w:t>106,925,828</w:t>
            </w: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使用权资产摊销</w:t>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无形资产摊销</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197,183,022</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119,176,847</w:t>
            </w: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长期待摊费用摊销</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22,200,050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20,408,041</w:t>
            </w:r>
          </w:p>
        </w:tc>
      </w:tr>
      <w:tr>
        <w:trPr>
          <w:trHeight w:val="94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pacing w:val="-7"/>
                <w:sz w:val="24"/>
                <w:szCs w:val="24"/>
              </w:rPr>
              <w:t>处置固定资产、无形资产和其他</w:t>
            </w:r>
          </w:p>
          <w:p>
            <w:pPr>
              <w:pStyle w:val="TableParagraph"/>
              <w:spacing w:line="312" w:lineRule="exact" w:before="28"/>
              <w:ind w:left="103" w:right="275"/>
              <w:jc w:val="left"/>
              <w:rPr>
                <w:rFonts w:ascii="宋体" w:hAnsi="宋体" w:cs="宋体" w:eastAsia="宋体" w:hint="default"/>
                <w:sz w:val="24"/>
                <w:szCs w:val="24"/>
              </w:rPr>
            </w:pPr>
            <w:r>
              <w:rPr>
                <w:rFonts w:ascii="宋体" w:hAnsi="宋体" w:cs="宋体" w:eastAsia="宋体" w:hint="default"/>
                <w:sz w:val="24"/>
                <w:szCs w:val="24"/>
              </w:rPr>
              <w:t>长期资产的损失（收益以</w:t>
            </w: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Times New Roman" w:hAnsi="Times New Roman" w:cs="Times New Roman" w:eastAsia="Times New Roman" w:hint="default"/>
                <w:w w:val="100"/>
                <w:sz w:val="24"/>
                <w:szCs w:val="24"/>
              </w:rPr>
              <w:t> </w:t>
            </w:r>
            <w:r>
              <w:rPr>
                <w:rFonts w:ascii="宋体" w:hAnsi="宋体" w:cs="宋体" w:eastAsia="宋体" w:hint="default"/>
                <w:sz w:val="24"/>
                <w:szCs w:val="24"/>
              </w:rPr>
              <w:t>号填列）</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pacing w:val="-1"/>
                <w:sz w:val="24"/>
              </w:rPr>
              <w:t>-905,946</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pacing w:val="-1"/>
                <w:sz w:val="24"/>
              </w:rPr>
              <w:t>-237,405</w:t>
            </w:r>
          </w:p>
        </w:tc>
      </w:tr>
      <w:tr>
        <w:trPr>
          <w:trHeight w:val="631"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pacing w:val="-5"/>
                <w:sz w:val="24"/>
                <w:szCs w:val="24"/>
              </w:rPr>
              <w:t>固定资产报废损失（收益以</w:t>
            </w:r>
            <w:r>
              <w:rPr>
                <w:rFonts w:ascii="Times New Roman" w:hAnsi="Times New Roman" w:cs="Times New Roman" w:eastAsia="Times New Roman" w:hint="default"/>
                <w:spacing w:val="-5"/>
                <w:sz w:val="24"/>
                <w:szCs w:val="24"/>
              </w:rPr>
              <w:t>“</w:t>
            </w:r>
            <w:r>
              <w:rPr>
                <w:rFonts w:ascii="宋体" w:hAnsi="宋体" w:cs="宋体" w:eastAsia="宋体" w:hint="default"/>
                <w:spacing w:val="-5"/>
                <w:sz w:val="24"/>
                <w:szCs w:val="24"/>
              </w:rPr>
              <w:t>－</w:t>
            </w:r>
            <w:r>
              <w:rPr>
                <w:rFonts w:ascii="Times New Roman" w:hAnsi="Times New Roman" w:cs="Times New Roman" w:eastAsia="Times New Roman" w:hint="default"/>
                <w:spacing w:val="-5"/>
                <w:sz w:val="24"/>
                <w:szCs w:val="24"/>
              </w:rPr>
              <w:t>”</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号填列）</w:t>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pacing w:val="-5"/>
                <w:sz w:val="24"/>
                <w:szCs w:val="24"/>
              </w:rPr>
              <w:t>公允价值变动损失（收益以</w:t>
            </w:r>
            <w:r>
              <w:rPr>
                <w:rFonts w:ascii="Times New Roman" w:hAnsi="Times New Roman" w:cs="Times New Roman" w:eastAsia="Times New Roman" w:hint="default"/>
                <w:spacing w:val="-5"/>
                <w:sz w:val="24"/>
                <w:szCs w:val="24"/>
              </w:rPr>
              <w:t>“</w:t>
            </w:r>
            <w:r>
              <w:rPr>
                <w:rFonts w:ascii="宋体" w:hAnsi="宋体" w:cs="宋体" w:eastAsia="宋体" w:hint="default"/>
                <w:spacing w:val="-5"/>
                <w:sz w:val="24"/>
                <w:szCs w:val="24"/>
              </w:rPr>
              <w:t>－</w:t>
            </w:r>
            <w:r>
              <w:rPr>
                <w:rFonts w:ascii="Times New Roman" w:hAnsi="Times New Roman" w:cs="Times New Roman" w:eastAsia="Times New Roman" w:hint="default"/>
                <w:spacing w:val="-5"/>
                <w:sz w:val="24"/>
                <w:szCs w:val="24"/>
              </w:rPr>
              <w:t>”</w:t>
            </w:r>
          </w:p>
          <w:p>
            <w:pPr>
              <w:pStyle w:val="TableParagraph"/>
              <w:spacing w:line="303" w:lineRule="exact"/>
              <w:ind w:left="103" w:right="0"/>
              <w:jc w:val="left"/>
              <w:rPr>
                <w:rFonts w:ascii="宋体" w:hAnsi="宋体" w:cs="宋体" w:eastAsia="宋体" w:hint="default"/>
                <w:sz w:val="24"/>
                <w:szCs w:val="24"/>
              </w:rPr>
            </w:pPr>
            <w:r>
              <w:rPr>
                <w:rFonts w:ascii="宋体" w:hAnsi="宋体" w:cs="宋体" w:eastAsia="宋体" w:hint="default"/>
                <w:sz w:val="24"/>
                <w:szCs w:val="24"/>
              </w:rPr>
              <w:t>号填列）</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5"/>
              <w:jc w:val="right"/>
              <w:rPr>
                <w:rFonts w:ascii="Times New Roman" w:hAnsi="Times New Roman" w:cs="Times New Roman" w:eastAsia="Times New Roman" w:hint="default"/>
                <w:sz w:val="24"/>
                <w:szCs w:val="24"/>
              </w:rPr>
            </w:pPr>
            <w:r>
              <w:rPr>
                <w:rFonts w:ascii="Times New Roman"/>
                <w:spacing w:val="-1"/>
                <w:sz w:val="24"/>
              </w:rPr>
              <w:t>-235,091,744</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宋体" w:hAnsi="宋体" w:cs="宋体" w:eastAsia="宋体" w:hint="default"/>
                <w:sz w:val="24"/>
                <w:szCs w:val="24"/>
              </w:rPr>
              <w:t>财务费用（收益以</w:t>
            </w: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152,716,910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119,003,334</w:t>
            </w: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投资损失（收益以</w:t>
            </w: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pacing w:val="-1"/>
                <w:sz w:val="24"/>
              </w:rPr>
              <w:t>-287,203,202</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pacing w:val="-1"/>
                <w:sz w:val="24"/>
              </w:rPr>
              <w:t>-100,555,748</w:t>
            </w:r>
          </w:p>
        </w:tc>
      </w:tr>
      <w:tr>
        <w:trPr>
          <w:trHeight w:val="631"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递延所得税资产减少（增加以</w:t>
            </w:r>
          </w:p>
          <w:p>
            <w:pPr>
              <w:pStyle w:val="TableParagraph"/>
              <w:spacing w:line="331"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5"/>
              <w:jc w:val="right"/>
              <w:rPr>
                <w:rFonts w:ascii="Times New Roman" w:hAnsi="Times New Roman" w:cs="Times New Roman" w:eastAsia="Times New Roman" w:hint="default"/>
                <w:sz w:val="24"/>
                <w:szCs w:val="24"/>
              </w:rPr>
            </w:pPr>
            <w:r>
              <w:rPr>
                <w:rFonts w:ascii="Times New Roman"/>
                <w:spacing w:val="-1"/>
                <w:sz w:val="24"/>
              </w:rPr>
              <w:t>-38,043,687</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pacing w:val="-1"/>
                <w:sz w:val="24"/>
              </w:rPr>
              <w:t>-16,030,225</w:t>
            </w:r>
          </w:p>
        </w:tc>
      </w:tr>
      <w:tr>
        <w:trPr>
          <w:trHeight w:val="63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递延所得税负债增加（减少以</w:t>
            </w:r>
          </w:p>
          <w:p>
            <w:pPr>
              <w:pStyle w:val="TableParagraph"/>
              <w:spacing w:line="331"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3"/>
              <w:jc w:val="right"/>
              <w:rPr>
                <w:rFonts w:ascii="Times New Roman" w:hAnsi="Times New Roman" w:cs="Times New Roman" w:eastAsia="Times New Roman" w:hint="default"/>
                <w:sz w:val="24"/>
                <w:szCs w:val="24"/>
              </w:rPr>
            </w:pPr>
            <w:r>
              <w:rPr>
                <w:rFonts w:ascii="Times New Roman"/>
                <w:sz w:val="24"/>
              </w:rPr>
              <w:t>540,054</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z w:val="24"/>
              </w:rPr>
              <w:t>3,274,117</w:t>
            </w:r>
          </w:p>
        </w:tc>
      </w:tr>
      <w:tr>
        <w:trPr>
          <w:trHeight w:val="631"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宋体" w:hAnsi="宋体" w:cs="宋体" w:eastAsia="宋体" w:hint="default"/>
                <w:sz w:val="24"/>
                <w:szCs w:val="24"/>
              </w:rPr>
            </w:pPr>
            <w:r>
              <w:rPr>
                <w:rFonts w:ascii="宋体" w:hAnsi="宋体" w:cs="宋体" w:eastAsia="宋体" w:hint="default"/>
                <w:sz w:val="24"/>
                <w:szCs w:val="24"/>
              </w:rPr>
              <w:t>存货的减少（增加以</w:t>
            </w: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列）</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5"/>
              <w:jc w:val="right"/>
              <w:rPr>
                <w:rFonts w:ascii="Times New Roman" w:hAnsi="Times New Roman" w:cs="Times New Roman" w:eastAsia="Times New Roman" w:hint="default"/>
                <w:sz w:val="24"/>
                <w:szCs w:val="24"/>
              </w:rPr>
            </w:pPr>
            <w:r>
              <w:rPr>
                <w:rFonts w:ascii="Times New Roman"/>
                <w:spacing w:val="-1"/>
                <w:sz w:val="24"/>
              </w:rPr>
              <w:t>-1,091,479</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4"/>
                <w:szCs w:val="24"/>
              </w:rPr>
            </w:pPr>
            <w:r>
              <w:rPr>
                <w:rFonts w:ascii="Times New Roman"/>
                <w:spacing w:val="-1"/>
                <w:sz w:val="24"/>
              </w:rPr>
              <w:t>-540,731</w:t>
            </w:r>
          </w:p>
        </w:tc>
      </w:tr>
      <w:tr>
        <w:trPr>
          <w:trHeight w:val="63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7"/>
                <w:sz w:val="24"/>
                <w:szCs w:val="24"/>
              </w:rPr>
              <w:t>经营性应收项目的减少（增加以</w:t>
            </w:r>
          </w:p>
          <w:p>
            <w:pPr>
              <w:pStyle w:val="TableParagraph"/>
              <w:spacing w:line="331"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5"/>
              <w:jc w:val="right"/>
              <w:rPr>
                <w:rFonts w:ascii="Times New Roman" w:hAnsi="Times New Roman" w:cs="Times New Roman" w:eastAsia="Times New Roman" w:hint="default"/>
                <w:sz w:val="24"/>
                <w:szCs w:val="24"/>
              </w:rPr>
            </w:pPr>
            <w:r>
              <w:rPr>
                <w:rFonts w:ascii="Times New Roman"/>
                <w:spacing w:val="-1"/>
                <w:sz w:val="24"/>
              </w:rPr>
              <w:t>-496,793,402</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1"/>
              <w:jc w:val="right"/>
              <w:rPr>
                <w:rFonts w:ascii="Times New Roman" w:hAnsi="Times New Roman" w:cs="Times New Roman" w:eastAsia="Times New Roman" w:hint="default"/>
                <w:sz w:val="24"/>
                <w:szCs w:val="24"/>
              </w:rPr>
            </w:pPr>
            <w:r>
              <w:rPr>
                <w:rFonts w:ascii="Times New Roman"/>
                <w:spacing w:val="-1"/>
                <w:sz w:val="24"/>
              </w:rPr>
              <w:t>-254,050,892</w:t>
            </w:r>
          </w:p>
        </w:tc>
      </w:tr>
      <w:tr>
        <w:trPr>
          <w:trHeight w:val="63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7"/>
                <w:sz w:val="24"/>
                <w:szCs w:val="24"/>
              </w:rPr>
              <w:t>经营性应付项目的增加（减少以</w:t>
            </w:r>
          </w:p>
          <w:p>
            <w:pPr>
              <w:pStyle w:val="TableParagraph"/>
              <w:spacing w:line="331"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号填列）</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right="105"/>
              <w:jc w:val="right"/>
              <w:rPr>
                <w:rFonts w:ascii="Times New Roman" w:hAnsi="Times New Roman" w:cs="Times New Roman" w:eastAsia="Times New Roman" w:hint="default"/>
                <w:sz w:val="24"/>
                <w:szCs w:val="24"/>
              </w:rPr>
            </w:pPr>
            <w:r>
              <w:rPr>
                <w:rFonts w:ascii="Times New Roman"/>
                <w:sz w:val="24"/>
              </w:rPr>
              <w:t>466,734,429</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right="101"/>
              <w:jc w:val="right"/>
              <w:rPr>
                <w:rFonts w:ascii="Times New Roman" w:hAnsi="Times New Roman" w:cs="Times New Roman" w:eastAsia="Times New Roman" w:hint="default"/>
                <w:sz w:val="24"/>
                <w:szCs w:val="24"/>
              </w:rPr>
            </w:pPr>
            <w:r>
              <w:rPr>
                <w:rFonts w:ascii="Times New Roman"/>
                <w:sz w:val="24"/>
              </w:rPr>
              <w:t>706,694,209</w:t>
            </w: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144,333,782</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234,271,310</w:t>
            </w: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经营活动产生的现金流量净额</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1,533,042,056</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4"/>
                <w:szCs w:val="24"/>
              </w:rPr>
            </w:pPr>
            <w:r>
              <w:rPr>
                <w:rFonts w:ascii="Times New Roman"/>
                <w:sz w:val="24"/>
              </w:rPr>
              <w:t>2,042,653,091</w:t>
            </w:r>
          </w:p>
        </w:tc>
      </w:tr>
      <w:tr>
        <w:trPr>
          <w:trHeight w:val="63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．不涉及现金收支的重大投资</w:t>
            </w:r>
            <w:r>
              <w:rPr>
                <w:rFonts w:ascii="宋体" w:hAnsi="宋体" w:cs="宋体" w:eastAsia="宋体" w:hint="default"/>
                <w:sz w:val="24"/>
                <w:szCs w:val="24"/>
              </w:rPr>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和筹资活动：</w:t>
            </w:r>
            <w:r>
              <w:rPr>
                <w:rFonts w:ascii="宋体" w:hAnsi="宋体" w:cs="宋体" w:eastAsia="宋体" w:hint="default"/>
                <w:sz w:val="24"/>
                <w:szCs w:val="24"/>
              </w:rPr>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债务转为资本</w:t>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一年内到期的可转换公司债券</w:t>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融资租入固定资产</w:t>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．现金及现金等价物净变动情</w:t>
            </w:r>
            <w:r>
              <w:rPr>
                <w:rFonts w:ascii="宋体" w:hAnsi="宋体" w:cs="宋体" w:eastAsia="宋体" w:hint="default"/>
                <w:sz w:val="24"/>
                <w:szCs w:val="24"/>
              </w:rPr>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3483"/>
        <w:gridCol w:w="2801"/>
        <w:gridCol w:w="2765"/>
      </w:tblGrid>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b/>
                <w:bCs/>
                <w:sz w:val="24"/>
                <w:szCs w:val="24"/>
              </w:rPr>
              <w:t>况：</w:t>
            </w:r>
            <w:r>
              <w:rPr>
                <w:rFonts w:ascii="宋体" w:hAnsi="宋体" w:cs="宋体" w:eastAsia="宋体" w:hint="default"/>
                <w:sz w:val="24"/>
                <w:szCs w:val="24"/>
              </w:rPr>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现金的期末余额</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6,038,444,456</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4,849,879,509</w:t>
            </w: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减：现金的期初余额</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24"/>
                <w:szCs w:val="24"/>
              </w:rPr>
            </w:pPr>
            <w:r>
              <w:rPr>
                <w:rFonts w:ascii="Times New Roman"/>
                <w:sz w:val="24"/>
              </w:rPr>
              <w:t>4,849,879,509</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4"/>
                <w:szCs w:val="24"/>
              </w:rPr>
            </w:pPr>
            <w:r>
              <w:rPr>
                <w:rFonts w:ascii="Times New Roman"/>
                <w:sz w:val="24"/>
              </w:rPr>
              <w:t>3,416,062,876</w:t>
            </w:r>
          </w:p>
        </w:tc>
      </w:tr>
      <w:tr>
        <w:trPr>
          <w:trHeight w:val="319"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加：现金等价物的期末余额</w:t>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减：现金等价物的期初余额</w:t>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现金及现金等价物净增加额</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1,188,564,947</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1,433,816,633</w:t>
            </w:r>
          </w:p>
        </w:tc>
      </w:tr>
    </w:tbl>
    <w:p>
      <w:pPr>
        <w:spacing w:line="240" w:lineRule="auto" w:before="8"/>
        <w:rPr>
          <w:rFonts w:ascii="宋体" w:hAnsi="宋体" w:cs="宋体" w:eastAsia="宋体" w:hint="default"/>
          <w:sz w:val="20"/>
          <w:szCs w:val="20"/>
        </w:r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(2).</w:t>
        <w:tab/>
      </w:r>
      <w:r>
        <w:rPr/>
        <w:t>本期支付的取得子公司的现金净额</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82" w:footer="1195" w:top="1080" w:bottom="1380" w:left="1060" w:right="156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(3).</w:t>
        <w:tab/>
      </w:r>
      <w:r>
        <w:rPr/>
        <w:t>本期收到的处置子公司的现金净额</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21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4793" w:space="1401"/>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5905"/>
        <w:gridCol w:w="3145"/>
      </w:tblGrid>
      <w:tr>
        <w:trPr>
          <w:trHeight w:val="322" w:hRule="exact"/>
        </w:trPr>
        <w:tc>
          <w:tcPr>
            <w:tcW w:w="5905" w:type="dxa"/>
            <w:tcBorders>
              <w:top w:val="single" w:sz="4" w:space="0" w:color="000000"/>
              <w:left w:val="single" w:sz="4" w:space="0" w:color="000000"/>
              <w:bottom w:val="single" w:sz="4" w:space="0" w:color="000000"/>
              <w:right w:val="single" w:sz="4" w:space="0" w:color="000000"/>
            </w:tcBorders>
          </w:tcPr>
          <w:p>
            <w:pP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金额</w:t>
            </w:r>
          </w:p>
        </w:tc>
      </w:tr>
      <w:tr>
        <w:trPr>
          <w:trHeight w:val="319" w:hRule="exact"/>
        </w:trPr>
        <w:tc>
          <w:tcPr>
            <w:tcW w:w="59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本期处置子公司于本期收到的现金或现金等价物</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13,160,000</w:t>
            </w:r>
          </w:p>
        </w:tc>
      </w:tr>
      <w:tr>
        <w:trPr>
          <w:trHeight w:val="288" w:hRule="exact"/>
        </w:trPr>
        <w:tc>
          <w:tcPr>
            <w:tcW w:w="5905" w:type="dxa"/>
            <w:tcBorders>
              <w:top w:val="single" w:sz="4" w:space="0" w:color="000000"/>
              <w:left w:val="single" w:sz="4" w:space="0" w:color="000000"/>
              <w:bottom w:val="single" w:sz="4" w:space="0" w:color="000000"/>
              <w:right w:val="single" w:sz="4" w:space="0" w:color="000000"/>
            </w:tcBorders>
          </w:tcPr>
          <w:p>
            <w:pPr/>
          </w:p>
        </w:tc>
        <w:tc>
          <w:tcPr>
            <w:tcW w:w="314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905" w:type="dxa"/>
            <w:tcBorders>
              <w:top w:val="single" w:sz="4" w:space="0" w:color="000000"/>
              <w:left w:val="single" w:sz="4" w:space="0" w:color="000000"/>
              <w:bottom w:val="single" w:sz="4" w:space="0" w:color="000000"/>
              <w:right w:val="single" w:sz="4" w:space="0" w:color="000000"/>
            </w:tcBorders>
          </w:tcPr>
          <w:p>
            <w:pPr/>
          </w:p>
        </w:tc>
        <w:tc>
          <w:tcPr>
            <w:tcW w:w="31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9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减：丧失控制权日子公司持有的现金及现金等价物</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2,833,847</w:t>
            </w:r>
          </w:p>
        </w:tc>
      </w:tr>
      <w:tr>
        <w:trPr>
          <w:trHeight w:val="286" w:hRule="exact"/>
        </w:trPr>
        <w:tc>
          <w:tcPr>
            <w:tcW w:w="5905" w:type="dxa"/>
            <w:tcBorders>
              <w:top w:val="single" w:sz="4" w:space="0" w:color="000000"/>
              <w:left w:val="single" w:sz="4" w:space="0" w:color="000000"/>
              <w:bottom w:val="single" w:sz="4" w:space="0" w:color="000000"/>
              <w:right w:val="single" w:sz="4" w:space="0" w:color="000000"/>
            </w:tcBorders>
          </w:tcPr>
          <w:p>
            <w:pPr/>
          </w:p>
        </w:tc>
        <w:tc>
          <w:tcPr>
            <w:tcW w:w="314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905" w:type="dxa"/>
            <w:tcBorders>
              <w:top w:val="single" w:sz="4" w:space="0" w:color="000000"/>
              <w:left w:val="single" w:sz="4" w:space="0" w:color="000000"/>
              <w:bottom w:val="single" w:sz="4" w:space="0" w:color="000000"/>
              <w:right w:val="single" w:sz="4" w:space="0" w:color="000000"/>
            </w:tcBorders>
          </w:tcPr>
          <w:p>
            <w:pPr/>
          </w:p>
        </w:tc>
        <w:tc>
          <w:tcPr>
            <w:tcW w:w="3145"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590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pacing w:val="-3"/>
                <w:sz w:val="24"/>
                <w:szCs w:val="24"/>
              </w:rPr>
              <w:t>加：以前期间处置子公司于本期收到的现金或现金等价</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物</w:t>
            </w:r>
          </w:p>
        </w:tc>
        <w:tc>
          <w:tcPr>
            <w:tcW w:w="3145"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5905" w:type="dxa"/>
            <w:tcBorders>
              <w:top w:val="single" w:sz="4" w:space="0" w:color="000000"/>
              <w:left w:val="single" w:sz="4" w:space="0" w:color="000000"/>
              <w:bottom w:val="single" w:sz="4" w:space="0" w:color="000000"/>
              <w:right w:val="single" w:sz="4" w:space="0" w:color="000000"/>
            </w:tcBorders>
          </w:tcPr>
          <w:p>
            <w:pPr/>
          </w:p>
        </w:tc>
        <w:tc>
          <w:tcPr>
            <w:tcW w:w="314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905" w:type="dxa"/>
            <w:tcBorders>
              <w:top w:val="single" w:sz="4" w:space="0" w:color="000000"/>
              <w:left w:val="single" w:sz="4" w:space="0" w:color="000000"/>
              <w:bottom w:val="single" w:sz="4" w:space="0" w:color="000000"/>
              <w:right w:val="single" w:sz="4" w:space="0" w:color="000000"/>
            </w:tcBorders>
          </w:tcPr>
          <w:p>
            <w:pPr/>
          </w:p>
        </w:tc>
        <w:tc>
          <w:tcPr>
            <w:tcW w:w="31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9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处置子公司收到的现金净额</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10,326,153</w:t>
            </w:r>
          </w:p>
        </w:tc>
      </w:tr>
    </w:tbl>
    <w:p>
      <w:pPr>
        <w:pStyle w:val="BodyText"/>
        <w:spacing w:line="281" w:lineRule="exact"/>
        <w:ind w:left="216" w:right="0"/>
        <w:jc w:val="left"/>
        <w:rPr>
          <w:rFonts w:ascii="Times New Roman" w:hAnsi="Times New Roman" w:cs="Times New Roman" w:eastAsia="Times New Roman" w:hint="default"/>
        </w:rPr>
      </w:pPr>
      <w:r>
        <w:rPr/>
        <w:t>其他说明</w:t>
      </w:r>
      <w:r>
        <w:rPr>
          <w:rFonts w:ascii="Times New Roman" w:hAnsi="Times New Roman" w:cs="Times New Roman" w:eastAsia="Times New Roman" w:hint="default"/>
        </w:rPr>
        <w:t>:</w:t>
      </w:r>
    </w:p>
    <w:p>
      <w:pPr>
        <w:pStyle w:val="BodyText"/>
        <w:spacing w:line="303" w:lineRule="exact"/>
        <w:ind w:left="216" w:right="0"/>
        <w:jc w:val="left"/>
      </w:pPr>
      <w:r>
        <w:rPr/>
        <w:t>无。</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120" w:bottom="1380" w:left="1060" w:right="1560"/>
        </w:sectPr>
      </w:pPr>
    </w:p>
    <w:p>
      <w:pPr>
        <w:pStyle w:val="Heading2"/>
        <w:tabs>
          <w:tab w:pos="1057" w:val="left" w:leader="none"/>
        </w:tabs>
        <w:spacing w:line="240" w:lineRule="auto" w:before="26"/>
        <w:ind w:right="0"/>
        <w:jc w:val="left"/>
        <w:rPr>
          <w:rFonts w:ascii="宋体" w:hAnsi="宋体" w:cs="宋体" w:eastAsia="宋体" w:hint="default"/>
          <w:b w:val="0"/>
          <w:bCs w:val="0"/>
        </w:rPr>
      </w:pPr>
      <w:r>
        <w:rPr>
          <w:rFonts w:ascii="宋体" w:hAnsi="宋体" w:cs="宋体" w:eastAsia="宋体" w:hint="default"/>
        </w:rPr>
        <w:t>(4).</w:t>
        <w:tab/>
      </w:r>
      <w:r>
        <w:rPr/>
        <w:t>现金和现金等价物的构成</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1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30"/>
          <w:szCs w:val="30"/>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3828" w:space="2365"/>
            <w:col w:w="3097"/>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395"/>
        <w:gridCol w:w="2921"/>
        <w:gridCol w:w="2734"/>
      </w:tblGrid>
      <w:tr>
        <w:trPr>
          <w:trHeight w:val="322"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4"/>
              <w:jc w:val="center"/>
              <w:rPr>
                <w:rFonts w:ascii="宋体" w:hAnsi="宋体" w:cs="宋体" w:eastAsia="宋体" w:hint="default"/>
                <w:sz w:val="24"/>
                <w:szCs w:val="24"/>
              </w:rPr>
            </w:pPr>
            <w:r>
              <w:rPr>
                <w:rFonts w:ascii="宋体" w:hAnsi="宋体" w:cs="宋体" w:eastAsia="宋体" w:hint="default"/>
                <w:sz w:val="24"/>
                <w:szCs w:val="24"/>
              </w:rPr>
              <w:t>项目</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期末余额</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83" w:right="0"/>
              <w:jc w:val="left"/>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一、现金</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5"/>
              <w:jc w:val="right"/>
              <w:rPr>
                <w:rFonts w:ascii="Times New Roman" w:hAnsi="Times New Roman" w:cs="Times New Roman" w:eastAsia="Times New Roman" w:hint="default"/>
                <w:sz w:val="24"/>
                <w:szCs w:val="24"/>
              </w:rPr>
            </w:pPr>
            <w:r>
              <w:rPr>
                <w:rFonts w:ascii="Times New Roman"/>
                <w:sz w:val="24"/>
              </w:rPr>
              <w:t>6,038,444,456</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9"/>
              <w:jc w:val="right"/>
              <w:rPr>
                <w:rFonts w:ascii="Times New Roman" w:hAnsi="Times New Roman" w:cs="Times New Roman" w:eastAsia="Times New Roman" w:hint="default"/>
                <w:sz w:val="24"/>
                <w:szCs w:val="24"/>
              </w:rPr>
            </w:pPr>
            <w:r>
              <w:rPr>
                <w:rFonts w:ascii="Times New Roman"/>
                <w:sz w:val="24"/>
              </w:rPr>
              <w:t>4,849,879,509</w:t>
            </w:r>
          </w:p>
        </w:tc>
      </w:tr>
      <w:tr>
        <w:trPr>
          <w:trHeight w:val="322"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其中：库存现金</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24"/>
                <w:szCs w:val="24"/>
              </w:rPr>
            </w:pPr>
            <w:r>
              <w:rPr>
                <w:rFonts w:ascii="Times New Roman"/>
                <w:sz w:val="24"/>
              </w:rPr>
              <w:t>479,584</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Times New Roman" w:hAnsi="Times New Roman" w:cs="Times New Roman" w:eastAsia="Times New Roman" w:hint="default"/>
                <w:sz w:val="24"/>
                <w:szCs w:val="24"/>
              </w:rPr>
            </w:pPr>
            <w:r>
              <w:rPr>
                <w:rFonts w:ascii="Times New Roman"/>
                <w:sz w:val="24"/>
              </w:rPr>
              <w:t>462,130</w:t>
            </w:r>
          </w:p>
        </w:tc>
      </w:tr>
      <w:tr>
        <w:trPr>
          <w:trHeight w:val="631"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可随时用于支付的银行存</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款</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105"/>
              <w:jc w:val="right"/>
              <w:rPr>
                <w:rFonts w:ascii="Times New Roman" w:hAnsi="Times New Roman" w:cs="Times New Roman" w:eastAsia="Times New Roman" w:hint="default"/>
                <w:sz w:val="24"/>
                <w:szCs w:val="24"/>
              </w:rPr>
            </w:pPr>
            <w:r>
              <w:rPr>
                <w:rFonts w:ascii="Times New Roman"/>
                <w:sz w:val="24"/>
              </w:rPr>
              <w:t>6,011,761,928</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right="99"/>
              <w:jc w:val="right"/>
              <w:rPr>
                <w:rFonts w:ascii="Times New Roman" w:hAnsi="Times New Roman" w:cs="Times New Roman" w:eastAsia="Times New Roman" w:hint="default"/>
                <w:sz w:val="24"/>
                <w:szCs w:val="24"/>
              </w:rPr>
            </w:pPr>
            <w:r>
              <w:rPr>
                <w:rFonts w:ascii="Times New Roman"/>
                <w:sz w:val="24"/>
              </w:rPr>
              <w:t>4,782,064,174</w:t>
            </w:r>
          </w:p>
        </w:tc>
      </w:tr>
      <w:tr>
        <w:trPr>
          <w:trHeight w:val="634"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可随时用于支付的其他货</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币资金</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105"/>
              <w:jc w:val="right"/>
              <w:rPr>
                <w:rFonts w:ascii="Times New Roman" w:hAnsi="Times New Roman" w:cs="Times New Roman" w:eastAsia="Times New Roman" w:hint="default"/>
                <w:sz w:val="24"/>
                <w:szCs w:val="24"/>
              </w:rPr>
            </w:pPr>
            <w:r>
              <w:rPr>
                <w:rFonts w:ascii="Times New Roman"/>
                <w:sz w:val="24"/>
              </w:rPr>
              <w:t>26,202,944</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99"/>
              <w:jc w:val="right"/>
              <w:rPr>
                <w:rFonts w:ascii="Times New Roman" w:hAnsi="Times New Roman" w:cs="Times New Roman" w:eastAsia="Times New Roman" w:hint="default"/>
                <w:sz w:val="24"/>
                <w:szCs w:val="24"/>
              </w:rPr>
            </w:pPr>
            <w:r>
              <w:rPr>
                <w:rFonts w:ascii="Times New Roman"/>
                <w:sz w:val="24"/>
              </w:rPr>
              <w:t>67,353,205</w:t>
            </w:r>
          </w:p>
        </w:tc>
      </w:tr>
      <w:tr>
        <w:trPr>
          <w:trHeight w:val="631"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可用于支付的存放中央银</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行款项</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存放同业款项</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拆放同业款项</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23" w:type="dxa"/>
        <w:tblLayout w:type="fixed"/>
        <w:tblCellMar>
          <w:top w:w="0" w:type="dxa"/>
          <w:left w:w="0" w:type="dxa"/>
          <w:bottom w:w="0" w:type="dxa"/>
          <w:right w:w="0" w:type="dxa"/>
        </w:tblCellMar>
        <w:tblLook w:val="01E0"/>
      </w:tblPr>
      <w:tblGrid>
        <w:gridCol w:w="3395"/>
        <w:gridCol w:w="2921"/>
        <w:gridCol w:w="2734"/>
      </w:tblGrid>
      <w:tr>
        <w:trPr>
          <w:trHeight w:val="322"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二、现金等价物</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其中：三个月内到期的债券投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三、期末现金及现金等价物余</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额</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425" w:right="0"/>
              <w:jc w:val="left"/>
              <w:rPr>
                <w:rFonts w:ascii="Times New Roman" w:hAnsi="Times New Roman" w:cs="Times New Roman" w:eastAsia="Times New Roman" w:hint="default"/>
                <w:sz w:val="24"/>
                <w:szCs w:val="24"/>
              </w:rPr>
            </w:pPr>
            <w:r>
              <w:rPr>
                <w:rFonts w:ascii="Times New Roman"/>
                <w:sz w:val="24"/>
              </w:rPr>
              <w:t>6,038,444,456</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243" w:right="0"/>
              <w:jc w:val="left"/>
              <w:rPr>
                <w:rFonts w:ascii="Times New Roman" w:hAnsi="Times New Roman" w:cs="Times New Roman" w:eastAsia="Times New Roman" w:hint="default"/>
                <w:sz w:val="24"/>
                <w:szCs w:val="24"/>
              </w:rPr>
            </w:pPr>
            <w:r>
              <w:rPr>
                <w:rFonts w:ascii="Times New Roman"/>
                <w:sz w:val="24"/>
              </w:rPr>
              <w:t>4,849,879,509</w:t>
            </w:r>
          </w:p>
        </w:tc>
      </w:tr>
      <w:tr>
        <w:trPr>
          <w:trHeight w:val="943"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其中：母公司或集团内子公司</w:t>
            </w:r>
          </w:p>
          <w:p>
            <w:pPr>
              <w:pStyle w:val="TableParagraph"/>
              <w:spacing w:line="310" w:lineRule="exact" w:before="31"/>
              <w:ind w:left="103" w:right="159"/>
              <w:jc w:val="left"/>
              <w:rPr>
                <w:rFonts w:ascii="宋体" w:hAnsi="宋体" w:cs="宋体" w:eastAsia="宋体" w:hint="default"/>
                <w:sz w:val="24"/>
                <w:szCs w:val="24"/>
              </w:rPr>
            </w:pPr>
            <w:r>
              <w:rPr>
                <w:rFonts w:ascii="宋体" w:hAnsi="宋体" w:cs="宋体" w:eastAsia="宋体" w:hint="default"/>
                <w:sz w:val="24"/>
                <w:szCs w:val="24"/>
              </w:rPr>
              <w:t>使用受限制的现金和现金等价 物</w:t>
            </w:r>
          </w:p>
        </w:tc>
        <w:tc>
          <w:tcPr>
            <w:tcW w:w="2921" w:type="dxa"/>
            <w:tcBorders>
              <w:top w:val="single" w:sz="4" w:space="0" w:color="000000"/>
              <w:left w:val="single" w:sz="4" w:space="0" w:color="000000"/>
              <w:bottom w:val="single" w:sz="4" w:space="0" w:color="000000"/>
              <w:right w:val="single" w:sz="4" w:space="0" w:color="000000"/>
            </w:tcBorders>
          </w:tcPr>
          <w:p>
            <w:pPr/>
          </w:p>
        </w:tc>
        <w:tc>
          <w:tcPr>
            <w:tcW w:w="273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25"/>
          <w:szCs w:val="25"/>
        </w:rPr>
      </w:pPr>
    </w:p>
    <w:p>
      <w:pPr>
        <w:pStyle w:val="BodyText"/>
        <w:spacing w:line="240" w:lineRule="auto" w:before="26"/>
        <w:ind w:left="236" w:right="4250"/>
        <w:jc w:val="left"/>
      </w:pPr>
      <w:r>
        <w:rPr/>
        <w:t>其他说明：</w:t>
      </w:r>
    </w:p>
    <w:p>
      <w:pPr>
        <w:pStyle w:val="BodyText"/>
        <w:spacing w:line="240" w:lineRule="auto" w:before="58"/>
        <w:ind w:left="236" w:right="4250"/>
        <w:jc w:val="left"/>
      </w:pPr>
      <w:r>
        <w:rPr/>
        <w:t>√适用 □不适用</w:t>
      </w:r>
    </w:p>
    <w:p>
      <w:pPr>
        <w:pStyle w:val="BodyText"/>
        <w:spacing w:line="321" w:lineRule="exact" w:before="58"/>
        <w:ind w:left="236" w:right="0"/>
        <w:jc w:val="left"/>
      </w:pPr>
      <w:r>
        <w:rPr/>
        <w:t>注：可随时用于支付的银行存款不包括集团</w:t>
      </w:r>
      <w:r>
        <w:rPr>
          <w:spacing w:val="-59"/>
        </w:rPr>
        <w:t> </w:t>
      </w:r>
      <w:r>
        <w:rPr>
          <w:rFonts w:ascii="Times New Roman" w:hAnsi="Times New Roman" w:cs="Times New Roman" w:eastAsia="Times New Roman" w:hint="default"/>
        </w:rPr>
        <w:t>3 </w:t>
      </w:r>
      <w:r>
        <w:rPr/>
        <w:t>个月及以上定期存款人民币</w:t>
      </w:r>
    </w:p>
    <w:p>
      <w:pPr>
        <w:pStyle w:val="BodyText"/>
        <w:spacing w:line="321" w:lineRule="exact"/>
        <w:ind w:left="236" w:right="0"/>
        <w:jc w:val="left"/>
      </w:pPr>
      <w:r>
        <w:rPr>
          <w:rFonts w:ascii="Times New Roman" w:hAnsi="Times New Roman" w:cs="Times New Roman" w:eastAsia="Times New Roman" w:hint="default"/>
        </w:rPr>
        <w:t>1,048,452,073 </w:t>
      </w:r>
      <w:r>
        <w:rPr/>
        <w:t>元以及保证金人民币</w:t>
      </w:r>
      <w:r>
        <w:rPr>
          <w:spacing w:val="-60"/>
        </w:rPr>
        <w:t> </w:t>
      </w:r>
      <w:r>
        <w:rPr>
          <w:rFonts w:ascii="Times New Roman" w:hAnsi="Times New Roman" w:cs="Times New Roman" w:eastAsia="Times New Roman" w:hint="default"/>
        </w:rPr>
        <w:t>40,628,756 </w:t>
      </w:r>
      <w:r>
        <w:rPr/>
        <w:t>元，详情参见附注七、</w:t>
      </w:r>
      <w:r>
        <w:rPr>
          <w:rFonts w:ascii="Times New Roman" w:hAnsi="Times New Roman" w:cs="Times New Roman" w:eastAsia="Times New Roman" w:hint="default"/>
        </w:rPr>
        <w:t>1</w:t>
      </w:r>
      <w:r>
        <w:rPr/>
        <w:t>、注</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及注</w:t>
      </w:r>
      <w:r>
        <w:rPr>
          <w:spacing w:val="-58"/>
        </w:rPr>
        <w:t> </w:t>
      </w:r>
      <w:r>
        <w:rPr>
          <w:rFonts w:ascii="Times New Roman" w:hAnsi="Times New Roman" w:cs="Times New Roman" w:eastAsia="Times New Roman" w:hint="default"/>
        </w:rPr>
        <w:t>2</w:t>
      </w:r>
      <w:r>
        <w:rPr/>
        <w:t>。</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1"/>
          <w:szCs w:val="21"/>
        </w:rPr>
      </w:pPr>
    </w:p>
    <w:p>
      <w:pPr>
        <w:spacing w:line="283" w:lineRule="auto" w:before="0"/>
        <w:ind w:left="236" w:right="1610" w:firstLine="0"/>
        <w:jc w:val="left"/>
        <w:rPr>
          <w:rFonts w:ascii="宋体" w:hAnsi="宋体" w:cs="宋体" w:eastAsia="宋体" w:hint="default"/>
          <w:sz w:val="24"/>
          <w:szCs w:val="24"/>
        </w:rPr>
      </w:pPr>
      <w:r>
        <w:rPr>
          <w:rFonts w:ascii="宋体" w:hAnsi="宋体" w:cs="宋体" w:eastAsia="宋体" w:hint="default"/>
          <w:b/>
          <w:bCs/>
          <w:sz w:val="24"/>
          <w:szCs w:val="24"/>
        </w:rPr>
        <w:t>78</w:t>
      </w:r>
      <w:r>
        <w:rPr>
          <w:rFonts w:ascii="宋体" w:hAnsi="宋体" w:cs="宋体" w:eastAsia="宋体" w:hint="default"/>
          <w:b/>
          <w:bCs/>
          <w:sz w:val="24"/>
          <w:szCs w:val="24"/>
        </w:rPr>
        <w:t>、</w:t>
      </w:r>
      <w:r>
        <w:rPr>
          <w:rFonts w:ascii="宋体" w:hAnsi="宋体" w:cs="宋体" w:eastAsia="宋体" w:hint="default"/>
          <w:b/>
          <w:bCs/>
          <w:spacing w:val="-100"/>
          <w:sz w:val="24"/>
          <w:szCs w:val="24"/>
        </w:rPr>
        <w:t> </w:t>
      </w:r>
      <w:r>
        <w:rPr>
          <w:rFonts w:ascii="宋体" w:hAnsi="宋体" w:cs="宋体" w:eastAsia="宋体" w:hint="default"/>
          <w:b/>
          <w:bCs/>
          <w:sz w:val="24"/>
          <w:szCs w:val="24"/>
        </w:rPr>
        <w:t>所有者权益变动表项目注释</w:t>
      </w:r>
      <w:r>
        <w:rPr>
          <w:rFonts w:ascii="宋体" w:hAnsi="宋体" w:cs="宋体" w:eastAsia="宋体" w:hint="default"/>
          <w:b/>
          <w:bCs/>
          <w:w w:val="99"/>
          <w:sz w:val="24"/>
          <w:szCs w:val="24"/>
        </w:rPr>
        <w:t> </w:t>
      </w:r>
      <w:r>
        <w:rPr>
          <w:rFonts w:ascii="宋体" w:hAnsi="宋体" w:cs="宋体" w:eastAsia="宋体" w:hint="default"/>
          <w:sz w:val="24"/>
          <w:szCs w:val="24"/>
        </w:rPr>
        <w:t>说明对上年期末余额进行调整的“其他”项目名称及调整金额等事项：</w:t>
      </w:r>
    </w:p>
    <w:p>
      <w:pPr>
        <w:pStyle w:val="BodyText"/>
        <w:spacing w:line="266" w:lineRule="exact"/>
        <w:ind w:left="236" w:right="4250"/>
        <w:jc w:val="left"/>
      </w:pPr>
      <w:r>
        <w:rPr/>
        <w:t>□适用 √不适用</w:t>
      </w:r>
    </w:p>
    <w:p>
      <w:pPr>
        <w:spacing w:line="240" w:lineRule="auto" w:before="7"/>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72"/>
          <w:pgSz w:w="11910" w:h="16840"/>
          <w:pgMar w:footer="1195" w:header="882" w:top="1080" w:bottom="1380" w:left="1040" w:right="1560"/>
        </w:sectPr>
      </w:pPr>
    </w:p>
    <w:p>
      <w:pPr>
        <w:pStyle w:val="Heading2"/>
        <w:spacing w:line="240" w:lineRule="auto" w:before="26"/>
        <w:ind w:left="236" w:right="0"/>
        <w:jc w:val="left"/>
        <w:rPr>
          <w:rFonts w:ascii="宋体" w:hAnsi="宋体" w:cs="宋体" w:eastAsia="宋体" w:hint="default"/>
          <w:b w:val="0"/>
          <w:bCs w:val="0"/>
        </w:rPr>
      </w:pPr>
      <w:r>
        <w:rPr>
          <w:rFonts w:ascii="宋体" w:hAnsi="宋体" w:cs="宋体" w:eastAsia="宋体" w:hint="default"/>
        </w:rPr>
        <w:t>79</w:t>
      </w:r>
      <w:r>
        <w:rPr/>
        <w:t>、</w:t>
      </w:r>
      <w:r>
        <w:rPr>
          <w:spacing w:val="-101"/>
        </w:rPr>
        <w:t> </w:t>
      </w:r>
      <w:r>
        <w:rPr/>
        <w:t>所有权或使用权受到限制的资产</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1"/>
        <w:rPr>
          <w:rFonts w:ascii="宋体" w:hAnsi="宋体" w:cs="宋体" w:eastAsia="宋体" w:hint="default"/>
          <w:sz w:val="30"/>
          <w:szCs w:val="30"/>
        </w:rPr>
      </w:pPr>
    </w:p>
    <w:p>
      <w:pPr>
        <w:pStyle w:val="BodyText"/>
        <w:spacing w:line="240" w:lineRule="auto"/>
        <w:ind w:left="236" w:right="0"/>
        <w:jc w:val="left"/>
        <w:rPr>
          <w:rFonts w:ascii="宋体" w:hAnsi="宋体" w:cs="宋体" w:eastAsia="宋体" w:hint="default"/>
        </w:rPr>
      </w:pPr>
      <w:r>
        <w:rPr/>
        <w:t>单位：元  </w:t>
      </w:r>
      <w:r>
        <w:rPr>
          <w:rFonts w:ascii="宋体" w:hAnsi="宋体" w:cs="宋体" w:eastAsia="宋体" w:hint="default"/>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120" w:bottom="1380" w:left="1040" w:right="1560"/>
          <w:cols w:num="2" w:equalWidth="0">
            <w:col w:w="4237" w:space="1957"/>
            <w:col w:w="3116"/>
          </w:cols>
        </w:sectPr>
      </w:pPr>
    </w:p>
    <w:p>
      <w:pPr>
        <w:spacing w:line="240" w:lineRule="auto" w:before="12"/>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215"/>
        <w:gridCol w:w="3104"/>
        <w:gridCol w:w="2744"/>
      </w:tblGrid>
      <w:tr>
        <w:trPr>
          <w:trHeight w:val="322"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61"/>
              <w:jc w:val="right"/>
              <w:rPr>
                <w:rFonts w:ascii="宋体" w:hAnsi="宋体" w:cs="宋体" w:eastAsia="宋体" w:hint="default"/>
                <w:sz w:val="24"/>
                <w:szCs w:val="24"/>
              </w:rPr>
            </w:pPr>
            <w:r>
              <w:rPr>
                <w:rFonts w:ascii="宋体" w:hAnsi="宋体" w:cs="宋体" w:eastAsia="宋体" w:hint="default"/>
                <w:sz w:val="24"/>
                <w:szCs w:val="24"/>
              </w:rPr>
              <w:t>项目</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25" w:right="0"/>
              <w:jc w:val="left"/>
              <w:rPr>
                <w:rFonts w:ascii="宋体" w:hAnsi="宋体" w:cs="宋体" w:eastAsia="宋体" w:hint="default"/>
                <w:sz w:val="24"/>
                <w:szCs w:val="24"/>
              </w:rPr>
            </w:pPr>
            <w:r>
              <w:rPr>
                <w:rFonts w:ascii="宋体" w:hAnsi="宋体" w:cs="宋体" w:eastAsia="宋体" w:hint="default"/>
                <w:sz w:val="24"/>
                <w:szCs w:val="24"/>
              </w:rPr>
              <w:t>期末账面价值</w:t>
            </w:r>
          </w:p>
        </w:tc>
        <w:tc>
          <w:tcPr>
            <w:tcW w:w="27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83" w:right="0"/>
              <w:jc w:val="left"/>
              <w:rPr>
                <w:rFonts w:ascii="宋体" w:hAnsi="宋体" w:cs="宋体" w:eastAsia="宋体" w:hint="default"/>
                <w:sz w:val="24"/>
                <w:szCs w:val="24"/>
              </w:rPr>
            </w:pPr>
            <w:r>
              <w:rPr>
                <w:rFonts w:ascii="宋体" w:hAnsi="宋体" w:cs="宋体" w:eastAsia="宋体" w:hint="default"/>
                <w:sz w:val="24"/>
                <w:szCs w:val="24"/>
              </w:rPr>
              <w:t>受限原因</w:t>
            </w:r>
          </w:p>
        </w:tc>
      </w:tr>
      <w:tr>
        <w:trPr>
          <w:trHeight w:val="631"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货币资金</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432,504,699</w:t>
            </w:r>
          </w:p>
        </w:tc>
        <w:tc>
          <w:tcPr>
            <w:tcW w:w="274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宋体" w:hAnsi="宋体" w:cs="宋体" w:eastAsia="宋体" w:hint="default"/>
                <w:sz w:val="24"/>
                <w:szCs w:val="24"/>
              </w:rPr>
            </w:pPr>
            <w:r>
              <w:rPr>
                <w:rFonts w:ascii="宋体" w:hAnsi="宋体" w:cs="宋体" w:eastAsia="宋体" w:hint="default"/>
                <w:sz w:val="24"/>
                <w:szCs w:val="24"/>
              </w:rPr>
              <w:t>履约保证金及存放于包</w:t>
            </w:r>
          </w:p>
          <w:p>
            <w:pPr>
              <w:pStyle w:val="TableParagraph"/>
              <w:spacing w:line="313" w:lineRule="exact"/>
              <w:ind w:left="105" w:right="0"/>
              <w:jc w:val="left"/>
              <w:rPr>
                <w:rFonts w:ascii="宋体" w:hAnsi="宋体" w:cs="宋体" w:eastAsia="宋体" w:hint="default"/>
                <w:sz w:val="24"/>
                <w:szCs w:val="24"/>
              </w:rPr>
            </w:pPr>
            <w:r>
              <w:rPr>
                <w:rFonts w:ascii="宋体" w:hAnsi="宋体" w:cs="宋体" w:eastAsia="宋体" w:hint="default"/>
                <w:sz w:val="24"/>
                <w:szCs w:val="24"/>
              </w:rPr>
              <w:t>商银行款项</w:t>
            </w:r>
          </w:p>
        </w:tc>
      </w:tr>
      <w:tr>
        <w:trPr>
          <w:trHeight w:val="322"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8" w:right="0"/>
              <w:jc w:val="left"/>
              <w:rPr>
                <w:rFonts w:ascii="宋体" w:hAnsi="宋体" w:cs="宋体" w:eastAsia="宋体" w:hint="default"/>
                <w:sz w:val="24"/>
                <w:szCs w:val="24"/>
              </w:rPr>
            </w:pPr>
            <w:r>
              <w:rPr>
                <w:rFonts w:ascii="宋体" w:hAnsi="宋体" w:cs="宋体" w:eastAsia="宋体" w:hint="default"/>
                <w:sz w:val="24"/>
                <w:szCs w:val="24"/>
              </w:rPr>
              <w:t>应收票据</w:t>
            </w:r>
          </w:p>
        </w:tc>
        <w:tc>
          <w:tcPr>
            <w:tcW w:w="3104" w:type="dxa"/>
            <w:tcBorders>
              <w:top w:val="single" w:sz="4" w:space="0" w:color="000000"/>
              <w:left w:val="single" w:sz="4" w:space="0" w:color="000000"/>
              <w:bottom w:val="single" w:sz="4" w:space="0" w:color="000000"/>
              <w:right w:val="single" w:sz="4" w:space="0" w:color="000000"/>
            </w:tcBorders>
          </w:tcPr>
          <w:p>
            <w:pPr/>
          </w:p>
        </w:tc>
        <w:tc>
          <w:tcPr>
            <w:tcW w:w="274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存货</w:t>
            </w:r>
          </w:p>
        </w:tc>
        <w:tc>
          <w:tcPr>
            <w:tcW w:w="3104" w:type="dxa"/>
            <w:tcBorders>
              <w:top w:val="single" w:sz="4" w:space="0" w:color="000000"/>
              <w:left w:val="single" w:sz="4" w:space="0" w:color="000000"/>
              <w:bottom w:val="single" w:sz="4" w:space="0" w:color="000000"/>
              <w:right w:val="single" w:sz="4" w:space="0" w:color="000000"/>
            </w:tcBorders>
          </w:tcPr>
          <w:p>
            <w:pPr/>
          </w:p>
        </w:tc>
        <w:tc>
          <w:tcPr>
            <w:tcW w:w="274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3104" w:type="dxa"/>
            <w:tcBorders>
              <w:top w:val="single" w:sz="4" w:space="0" w:color="000000"/>
              <w:left w:val="single" w:sz="4" w:space="0" w:color="000000"/>
              <w:bottom w:val="single" w:sz="4" w:space="0" w:color="000000"/>
              <w:right w:val="single" w:sz="4" w:space="0" w:color="000000"/>
            </w:tcBorders>
          </w:tcPr>
          <w:p>
            <w:pPr/>
          </w:p>
        </w:tc>
        <w:tc>
          <w:tcPr>
            <w:tcW w:w="2744"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15" w:type="dxa"/>
            <w:tcBorders>
              <w:top w:val="single" w:sz="4" w:space="0" w:color="000000"/>
              <w:left w:val="single" w:sz="4" w:space="0" w:color="000000"/>
              <w:bottom w:val="single" w:sz="6"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无形资产</w:t>
            </w:r>
          </w:p>
        </w:tc>
        <w:tc>
          <w:tcPr>
            <w:tcW w:w="3104" w:type="dxa"/>
            <w:tcBorders>
              <w:top w:val="single" w:sz="4" w:space="0" w:color="000000"/>
              <w:left w:val="single" w:sz="4" w:space="0" w:color="000000"/>
              <w:bottom w:val="single" w:sz="6"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30,414,228</w:t>
            </w:r>
          </w:p>
        </w:tc>
        <w:tc>
          <w:tcPr>
            <w:tcW w:w="2744" w:type="dxa"/>
            <w:tcBorders>
              <w:top w:val="single" w:sz="4" w:space="0" w:color="000000"/>
              <w:left w:val="single" w:sz="4" w:space="0" w:color="000000"/>
              <w:bottom w:val="single" w:sz="6" w:space="0" w:color="000000"/>
              <w:right w:val="single" w:sz="4"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取得银行借款抵押</w:t>
            </w:r>
          </w:p>
        </w:tc>
      </w:tr>
      <w:tr>
        <w:trPr>
          <w:trHeight w:val="326" w:hRule="exact"/>
        </w:trPr>
        <w:tc>
          <w:tcPr>
            <w:tcW w:w="3215"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交易性金融资产</w:t>
            </w:r>
          </w:p>
        </w:tc>
        <w:tc>
          <w:tcPr>
            <w:tcW w:w="3104"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3,946,265</w:t>
            </w:r>
          </w:p>
        </w:tc>
        <w:tc>
          <w:tcPr>
            <w:tcW w:w="274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取得银行借款抵押</w:t>
            </w:r>
          </w:p>
        </w:tc>
      </w:tr>
      <w:tr>
        <w:trPr>
          <w:trHeight w:val="326" w:hRule="exact"/>
        </w:trPr>
        <w:tc>
          <w:tcPr>
            <w:tcW w:w="3215" w:type="dxa"/>
            <w:tcBorders>
              <w:top w:val="single" w:sz="6" w:space="0" w:color="000000"/>
              <w:left w:val="single" w:sz="6" w:space="0" w:color="000000"/>
              <w:bottom w:val="single" w:sz="4" w:space="0" w:color="000000"/>
              <w:right w:val="single" w:sz="6" w:space="0" w:color="000000"/>
            </w:tcBorders>
          </w:tcPr>
          <w:p>
            <w:pPr>
              <w:pStyle w:val="TableParagraph"/>
              <w:spacing w:line="274" w:lineRule="exact"/>
              <w:ind w:left="105" w:right="0"/>
              <w:jc w:val="left"/>
              <w:rPr>
                <w:rFonts w:ascii="宋体" w:hAnsi="宋体" w:cs="宋体" w:eastAsia="宋体" w:hint="default"/>
                <w:sz w:val="24"/>
                <w:szCs w:val="24"/>
              </w:rPr>
            </w:pPr>
            <w:r>
              <w:rPr>
                <w:rFonts w:ascii="宋体" w:hAnsi="宋体" w:cs="宋体" w:eastAsia="宋体" w:hint="default"/>
                <w:sz w:val="24"/>
                <w:szCs w:val="24"/>
              </w:rPr>
              <w:t>房屋建筑物</w:t>
            </w:r>
          </w:p>
        </w:tc>
        <w:tc>
          <w:tcPr>
            <w:tcW w:w="3104"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523,454,206</w:t>
            </w:r>
          </w:p>
        </w:tc>
        <w:tc>
          <w:tcPr>
            <w:tcW w:w="274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取得银行借款抵押</w:t>
            </w:r>
          </w:p>
        </w:tc>
      </w:tr>
      <w:tr>
        <w:trPr>
          <w:trHeight w:val="327"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361"/>
              <w:jc w:val="right"/>
              <w:rPr>
                <w:rFonts w:ascii="宋体" w:hAnsi="宋体" w:cs="宋体" w:eastAsia="宋体" w:hint="default"/>
                <w:sz w:val="24"/>
                <w:szCs w:val="24"/>
              </w:rPr>
            </w:pPr>
            <w:r>
              <w:rPr>
                <w:rFonts w:ascii="宋体" w:hAnsi="宋体" w:cs="宋体" w:eastAsia="宋体" w:hint="default"/>
                <w:sz w:val="24"/>
                <w:szCs w:val="24"/>
              </w:rPr>
              <w:t>合计</w:t>
            </w:r>
          </w:p>
        </w:tc>
        <w:tc>
          <w:tcPr>
            <w:tcW w:w="3104" w:type="dxa"/>
            <w:tcBorders>
              <w:top w:val="single" w:sz="6" w:space="0" w:color="000000"/>
              <w:left w:val="single" w:sz="4" w:space="0" w:color="000000"/>
              <w:bottom w:val="single" w:sz="6" w:space="0" w:color="000000"/>
              <w:right w:val="single" w:sz="4" w:space="0" w:color="000000"/>
            </w:tcBorders>
          </w:tcPr>
          <w:p>
            <w:pPr>
              <w:pStyle w:val="TableParagraph"/>
              <w:spacing w:line="269" w:lineRule="exact"/>
              <w:ind w:right="108"/>
              <w:jc w:val="right"/>
              <w:rPr>
                <w:rFonts w:ascii="Times New Roman" w:hAnsi="Times New Roman" w:cs="Times New Roman" w:eastAsia="Times New Roman" w:hint="default"/>
                <w:sz w:val="24"/>
                <w:szCs w:val="24"/>
              </w:rPr>
            </w:pPr>
            <w:r>
              <w:rPr>
                <w:rFonts w:ascii="Times New Roman"/>
                <w:sz w:val="24"/>
              </w:rPr>
              <w:t>990,319,398</w:t>
            </w:r>
          </w:p>
        </w:tc>
        <w:tc>
          <w:tcPr>
            <w:tcW w:w="2744" w:type="dxa"/>
            <w:tcBorders>
              <w:top w:val="single" w:sz="6" w:space="0" w:color="000000"/>
              <w:left w:val="single" w:sz="4" w:space="0" w:color="000000"/>
              <w:bottom w:val="single" w:sz="6" w:space="0" w:color="000000"/>
              <w:right w:val="single" w:sz="4" w:space="0" w:color="000000"/>
            </w:tcBorders>
          </w:tcPr>
          <w:p>
            <w:pPr>
              <w:pStyle w:val="TableParagraph"/>
              <w:spacing w:line="269" w:lineRule="exact"/>
              <w:ind w:right="6"/>
              <w:jc w:val="center"/>
              <w:rPr>
                <w:rFonts w:ascii="Times New Roman" w:hAnsi="Times New Roman" w:cs="Times New Roman" w:eastAsia="Times New Roman" w:hint="default"/>
                <w:sz w:val="24"/>
                <w:szCs w:val="24"/>
              </w:rPr>
            </w:pPr>
            <w:r>
              <w:rPr>
                <w:rFonts w:ascii="Times New Roman"/>
                <w:sz w:val="24"/>
              </w:rPr>
              <w:t>/</w:t>
            </w:r>
          </w:p>
        </w:tc>
      </w:tr>
    </w:tbl>
    <w:p>
      <w:pPr>
        <w:pStyle w:val="BodyText"/>
        <w:spacing w:line="240" w:lineRule="auto" w:before="19"/>
        <w:ind w:left="236" w:right="4250"/>
        <w:jc w:val="left"/>
      </w:pPr>
      <w:r>
        <w:rPr/>
        <w:t>其他说明：</w:t>
      </w:r>
    </w:p>
    <w:p>
      <w:pPr>
        <w:spacing w:line="240" w:lineRule="auto" w:before="7"/>
        <w:rPr>
          <w:rFonts w:ascii="宋体" w:hAnsi="宋体" w:cs="宋体" w:eastAsia="宋体" w:hint="default"/>
          <w:sz w:val="25"/>
          <w:szCs w:val="25"/>
        </w:rPr>
      </w:pPr>
    </w:p>
    <w:p>
      <w:pPr>
        <w:pStyle w:val="BodyText"/>
        <w:spacing w:line="321" w:lineRule="exact"/>
        <w:ind w:left="236" w:right="0"/>
        <w:jc w:val="left"/>
        <w:rPr>
          <w:rFonts w:ascii="Times New Roman" w:hAnsi="Times New Roman" w:cs="Times New Roman" w:eastAsia="Times New Roman" w:hint="default"/>
        </w:rPr>
      </w:pPr>
      <w:r>
        <w:rPr/>
        <w:t>注</w:t>
      </w:r>
      <w:r>
        <w:rPr>
          <w:spacing w:val="-47"/>
        </w:rPr>
        <w:t> </w:t>
      </w:r>
      <w:r>
        <w:rPr>
          <w:rFonts w:ascii="Times New Roman" w:hAnsi="Times New Roman" w:cs="Times New Roman" w:eastAsia="Times New Roman" w:hint="default"/>
        </w:rPr>
        <w:t>1</w:t>
      </w:r>
      <w:r>
        <w:rPr/>
        <w:t>：于</w:t>
      </w:r>
      <w:r>
        <w:rPr>
          <w:spacing w:val="-47"/>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1"/>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11"/>
        </w:rPr>
        <w:t> </w:t>
      </w:r>
      <w:r>
        <w:rPr/>
        <w:t>月</w:t>
      </w:r>
      <w:r>
        <w:rPr>
          <w:spacing w:val="-47"/>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t>日，受限货币资金人民币</w:t>
      </w:r>
      <w:r>
        <w:rPr>
          <w:spacing w:val="-47"/>
        </w:rPr>
        <w:t> </w:t>
      </w:r>
      <w:r>
        <w:rPr>
          <w:rFonts w:ascii="Times New Roman" w:hAnsi="Times New Roman" w:cs="Times New Roman" w:eastAsia="Times New Roman" w:hint="default"/>
        </w:rPr>
        <w:t>432,504,699</w:t>
      </w:r>
      <w:r>
        <w:rPr>
          <w:rFonts w:ascii="Times New Roman" w:hAnsi="Times New Roman" w:cs="Times New Roman" w:eastAsia="Times New Roman" w:hint="default"/>
          <w:spacing w:val="11"/>
        </w:rPr>
        <w:t> </w:t>
      </w:r>
      <w:r>
        <w:rPr/>
        <w:t>元</w:t>
      </w:r>
      <w:r>
        <w:rPr>
          <w:rFonts w:ascii="Times New Roman" w:hAnsi="Times New Roman" w:cs="Times New Roman" w:eastAsia="Times New Roman" w:hint="default"/>
        </w:rPr>
        <w:t>(2018</w:t>
      </w:r>
      <w:r>
        <w:rPr>
          <w:rFonts w:ascii="Times New Roman" w:hAnsi="Times New Roman" w:cs="Times New Roman" w:eastAsia="Times New Roman" w:hint="default"/>
          <w:spacing w:val="12"/>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47"/>
        </w:rPr>
        <w:t> </w:t>
      </w:r>
      <w:r>
        <w:rPr>
          <w:rFonts w:ascii="Times New Roman" w:hAnsi="Times New Roman" w:cs="Times New Roman" w:eastAsia="Times New Roman" w:hint="default"/>
        </w:rPr>
        <w:t>31</w:t>
      </w:r>
    </w:p>
    <w:p>
      <w:pPr>
        <w:pStyle w:val="BodyText"/>
        <w:spacing w:line="321" w:lineRule="exact"/>
        <w:ind w:left="236" w:right="0"/>
        <w:jc w:val="left"/>
      </w:pPr>
      <w:r>
        <w:rPr>
          <w:spacing w:val="-17"/>
        </w:rPr>
        <w:t>日：人民币 </w:t>
      </w:r>
      <w:r>
        <w:rPr>
          <w:rFonts w:ascii="Times New Roman" w:hAnsi="Times New Roman" w:cs="Times New Roman" w:eastAsia="Times New Roman" w:hint="default"/>
        </w:rPr>
        <w:t>36,113,236</w:t>
      </w:r>
      <w:r>
        <w:rPr>
          <w:rFonts w:ascii="Times New Roman" w:hAnsi="Times New Roman" w:cs="Times New Roman" w:eastAsia="Times New Roman" w:hint="default"/>
          <w:spacing w:val="-31"/>
        </w:rPr>
        <w:t> </w:t>
      </w:r>
      <w:r>
        <w:rPr>
          <w:spacing w:val="-6"/>
        </w:rPr>
        <w:t>元</w:t>
      </w:r>
      <w:r>
        <w:rPr>
          <w:rFonts w:ascii="Times New Roman" w:hAnsi="Times New Roman" w:cs="Times New Roman" w:eastAsia="Times New Roman" w:hint="default"/>
          <w:spacing w:val="-6"/>
        </w:rPr>
        <w:t>)</w:t>
      </w:r>
      <w:r>
        <w:rPr>
          <w:spacing w:val="-6"/>
        </w:rPr>
        <w:t>为履约保证金及存放于包商银行款项。详情参见附注七、</w:t>
      </w:r>
      <w:r>
        <w:rPr>
          <w:rFonts w:ascii="Times New Roman" w:hAnsi="Times New Roman" w:cs="Times New Roman" w:eastAsia="Times New Roman" w:hint="default"/>
          <w:spacing w:val="-6"/>
        </w:rPr>
        <w:t>1</w:t>
      </w:r>
      <w:r>
        <w:rPr>
          <w:spacing w:val="-6"/>
        </w:rPr>
        <w:t>。</w:t>
      </w:r>
    </w:p>
    <w:p>
      <w:pPr>
        <w:spacing w:line="240" w:lineRule="auto" w:before="7"/>
        <w:rPr>
          <w:rFonts w:ascii="宋体" w:hAnsi="宋体" w:cs="宋体" w:eastAsia="宋体" w:hint="default"/>
          <w:sz w:val="19"/>
          <w:szCs w:val="19"/>
        </w:rPr>
      </w:pPr>
    </w:p>
    <w:p>
      <w:pPr>
        <w:pStyle w:val="BodyText"/>
        <w:spacing w:line="322" w:lineRule="exact"/>
        <w:ind w:left="236" w:right="0"/>
        <w:jc w:val="left"/>
      </w:pPr>
      <w:r>
        <w:rPr/>
        <w:t>注</w:t>
      </w:r>
      <w:r>
        <w:rPr>
          <w:spacing w:val="-61"/>
        </w:rPr>
        <w:t> </w:t>
      </w:r>
      <w:r>
        <w:rPr>
          <w:rFonts w:ascii="Times New Roman" w:hAnsi="Times New Roman" w:cs="Times New Roman" w:eastAsia="Times New Roman" w:hint="default"/>
        </w:rPr>
        <w:t>2</w:t>
      </w:r>
      <w:r>
        <w:rPr/>
        <w:t>：于</w:t>
      </w:r>
      <w:r>
        <w:rPr>
          <w:spacing w:val="-6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日，受限交易性金融资产人民币</w:t>
      </w:r>
      <w:r>
        <w:rPr>
          <w:spacing w:val="-61"/>
        </w:rPr>
        <w:t> </w:t>
      </w:r>
      <w:r>
        <w:rPr>
          <w:rFonts w:ascii="Times New Roman" w:hAnsi="Times New Roman" w:cs="Times New Roman" w:eastAsia="Times New Roman" w:hint="default"/>
        </w:rPr>
        <w:t>3,946,265</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p>
    <w:p>
      <w:pPr>
        <w:pStyle w:val="BodyText"/>
        <w:spacing w:line="322" w:lineRule="exact"/>
        <w:ind w:left="236" w:right="4250"/>
        <w:jc w:val="left"/>
      </w:pP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日：无</w:t>
      </w:r>
      <w:r>
        <w:rPr>
          <w:rFonts w:ascii="Times New Roman" w:hAnsi="Times New Roman" w:cs="Times New Roman" w:eastAsia="Times New Roman" w:hint="default"/>
        </w:rPr>
        <w:t>)</w:t>
      </w:r>
      <w:r>
        <w:rPr/>
        <w:t>为包商银行理财产品。</w:t>
      </w:r>
    </w:p>
    <w:p>
      <w:pPr>
        <w:spacing w:after="0" w:line="322" w:lineRule="exact"/>
        <w:jc w:val="left"/>
        <w:sectPr>
          <w:type w:val="continuous"/>
          <w:pgSz w:w="11910" w:h="16840"/>
          <w:pgMar w:top="1120" w:bottom="1380" w:left="1040" w:right="1560"/>
        </w:sectPr>
      </w:pPr>
    </w:p>
    <w:p>
      <w:pPr>
        <w:spacing w:line="240" w:lineRule="auto" w:before="4"/>
        <w:rPr>
          <w:rFonts w:ascii="宋体" w:hAnsi="宋体" w:cs="宋体" w:eastAsia="宋体" w:hint="default"/>
          <w:sz w:val="22"/>
          <w:szCs w:val="22"/>
        </w:rPr>
      </w:pPr>
    </w:p>
    <w:p>
      <w:pPr>
        <w:pStyle w:val="BodyText"/>
        <w:spacing w:line="322" w:lineRule="exact" w:before="26"/>
        <w:ind w:left="216" w:right="0"/>
        <w:jc w:val="left"/>
      </w:pPr>
      <w:r>
        <w:rPr/>
        <w:t>注</w:t>
      </w:r>
      <w:r>
        <w:rPr>
          <w:spacing w:val="-53"/>
        </w:rPr>
        <w:t> </w:t>
      </w:r>
      <w:r>
        <w:rPr>
          <w:rFonts w:ascii="Times New Roman" w:hAnsi="Times New Roman" w:cs="Times New Roman" w:eastAsia="Times New Roman" w:hint="default"/>
        </w:rPr>
        <w:t>3</w:t>
      </w:r>
      <w:r>
        <w:rPr/>
        <w:t>：于</w:t>
      </w:r>
      <w:r>
        <w:rPr>
          <w:spacing w:val="-5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9"/>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51"/>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t>日，账面价值为人民币</w:t>
      </w:r>
      <w:r>
        <w:rPr>
          <w:spacing w:val="-53"/>
        </w:rPr>
        <w:t> </w:t>
      </w:r>
      <w:r>
        <w:rPr>
          <w:rFonts w:ascii="Times New Roman" w:hAnsi="Times New Roman" w:cs="Times New Roman" w:eastAsia="Times New Roman" w:hint="default"/>
        </w:rPr>
        <w:t>30,414,228</w:t>
      </w:r>
      <w:r>
        <w:rPr>
          <w:rFonts w:ascii="Times New Roman" w:hAnsi="Times New Roman" w:cs="Times New Roman" w:eastAsia="Times New Roman" w:hint="default"/>
          <w:spacing w:val="7"/>
        </w:rPr>
        <w:t> </w:t>
      </w:r>
      <w:r>
        <w:rPr/>
        <w:t>元</w:t>
      </w:r>
      <w:r>
        <w:rPr>
          <w:rFonts w:ascii="Times New Roman" w:hAnsi="Times New Roman" w:cs="Times New Roman" w:eastAsia="Times New Roman" w:hint="default"/>
        </w:rPr>
        <w:t>(2018</w:t>
      </w:r>
      <w:r>
        <w:rPr>
          <w:rFonts w:ascii="Times New Roman" w:hAnsi="Times New Roman" w:cs="Times New Roman" w:eastAsia="Times New Roman" w:hint="default"/>
          <w:spacing w:val="7"/>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51"/>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t>日：</w:t>
      </w:r>
    </w:p>
    <w:p>
      <w:pPr>
        <w:pStyle w:val="BodyText"/>
        <w:spacing w:line="322" w:lineRule="exact"/>
        <w:ind w:left="216" w:right="0"/>
        <w:jc w:val="left"/>
      </w:pPr>
      <w:r>
        <w:rPr/>
        <w:t>人民币</w:t>
      </w:r>
      <w:r>
        <w:rPr>
          <w:spacing w:val="-49"/>
        </w:rPr>
        <w:t> </w:t>
      </w:r>
      <w:r>
        <w:rPr>
          <w:rFonts w:ascii="Times New Roman" w:hAnsi="Times New Roman" w:cs="Times New Roman" w:eastAsia="Times New Roman" w:hint="default"/>
        </w:rPr>
        <w:t>96,717,035</w:t>
      </w:r>
      <w:r>
        <w:rPr>
          <w:rFonts w:ascii="Times New Roman" w:hAnsi="Times New Roman" w:cs="Times New Roman" w:eastAsia="Times New Roman" w:hint="default"/>
          <w:spacing w:val="11"/>
        </w:rPr>
        <w:t> </w:t>
      </w:r>
      <w:r>
        <w:rPr>
          <w:spacing w:val="-5"/>
        </w:rPr>
        <w:t>元</w:t>
      </w:r>
      <w:r>
        <w:rPr>
          <w:rFonts w:ascii="Times New Roman" w:hAnsi="Times New Roman" w:cs="Times New Roman" w:eastAsia="Times New Roman" w:hint="default"/>
          <w:spacing w:val="-5"/>
        </w:rPr>
        <w:t>)</w:t>
      </w:r>
      <w:r>
        <w:rPr>
          <w:spacing w:val="-5"/>
        </w:rPr>
        <w:t>的土地使用权，用于取得银行借款抵押。详情参见附注七、</w:t>
      </w:r>
      <w:r>
        <w:rPr>
          <w:rFonts w:ascii="Times New Roman" w:hAnsi="Times New Roman" w:cs="Times New Roman" w:eastAsia="Times New Roman" w:hint="default"/>
          <w:spacing w:val="-5"/>
        </w:rPr>
        <w:t>44</w:t>
      </w:r>
      <w:r>
        <w:rPr>
          <w:spacing w:val="-5"/>
        </w:rPr>
        <w:t>。</w:t>
      </w:r>
    </w:p>
    <w:p>
      <w:pPr>
        <w:spacing w:line="240" w:lineRule="auto" w:before="5"/>
        <w:rPr>
          <w:rFonts w:ascii="宋体" w:hAnsi="宋体" w:cs="宋体" w:eastAsia="宋体" w:hint="default"/>
          <w:sz w:val="19"/>
          <w:szCs w:val="19"/>
        </w:rPr>
      </w:pPr>
    </w:p>
    <w:p>
      <w:pPr>
        <w:pStyle w:val="BodyText"/>
        <w:spacing w:line="322" w:lineRule="exact"/>
        <w:ind w:left="216" w:right="0"/>
        <w:jc w:val="left"/>
        <w:rPr>
          <w:rFonts w:ascii="Times New Roman" w:hAnsi="Times New Roman" w:cs="Times New Roman" w:eastAsia="Times New Roman" w:hint="default"/>
        </w:rPr>
      </w:pPr>
      <w:r>
        <w:rPr/>
        <w:t>注</w:t>
      </w:r>
      <w:r>
        <w:rPr>
          <w:spacing w:val="-44"/>
        </w:rPr>
        <w:t> </w:t>
      </w:r>
      <w:r>
        <w:rPr>
          <w:rFonts w:ascii="Times New Roman" w:hAnsi="Times New Roman" w:cs="Times New Roman" w:eastAsia="Times New Roman" w:hint="default"/>
        </w:rPr>
        <w:t>4</w:t>
      </w:r>
      <w:r>
        <w:rPr/>
        <w:t>：于</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3"/>
        </w:rPr>
        <w:t> </w:t>
      </w:r>
      <w:r>
        <w:rPr/>
        <w:t>年</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45"/>
        </w:rPr>
        <w:t> </w:t>
      </w:r>
      <w:r>
        <w:rPr>
          <w:rFonts w:ascii="Times New Roman" w:hAnsi="Times New Roman" w:cs="Times New Roman" w:eastAsia="Times New Roman" w:hint="default"/>
        </w:rPr>
        <w:t>31</w:t>
      </w:r>
      <w:r>
        <w:rPr>
          <w:rFonts w:ascii="Times New Roman" w:hAnsi="Times New Roman" w:cs="Times New Roman" w:eastAsia="Times New Roman" w:hint="default"/>
          <w:spacing w:val="16"/>
        </w:rPr>
        <w:t> </w:t>
      </w:r>
      <w:r>
        <w:rPr/>
        <w:t>日，无在建工程用于取得银行借款抵押</w:t>
      </w:r>
      <w:r>
        <w:rPr>
          <w:spacing w:val="-1"/>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5"/>
        </w:rPr>
        <w:t> </w:t>
      </w:r>
      <w:r>
        <w:rPr/>
        <w:t>年</w:t>
      </w:r>
      <w:r>
        <w:rPr>
          <w:spacing w:val="-44"/>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月</w:t>
      </w:r>
      <w:r>
        <w:rPr>
          <w:spacing w:val="-45"/>
        </w:rPr>
        <w:t> </w:t>
      </w:r>
      <w:r>
        <w:rPr>
          <w:rFonts w:ascii="Times New Roman" w:hAnsi="Times New Roman" w:cs="Times New Roman" w:eastAsia="Times New Roman" w:hint="default"/>
        </w:rPr>
        <w:t>31</w:t>
      </w:r>
    </w:p>
    <w:p>
      <w:pPr>
        <w:pStyle w:val="BodyText"/>
        <w:spacing w:line="322" w:lineRule="exact"/>
        <w:ind w:left="216" w:right="0"/>
        <w:jc w:val="left"/>
      </w:pPr>
      <w:r>
        <w:rPr/>
        <w:t>日：人民币</w:t>
      </w:r>
      <w:r>
        <w:rPr>
          <w:spacing w:val="-61"/>
        </w:rPr>
        <w:t> </w:t>
      </w:r>
      <w:r>
        <w:rPr>
          <w:rFonts w:ascii="Times New Roman" w:hAnsi="Times New Roman" w:cs="Times New Roman" w:eastAsia="Times New Roman" w:hint="default"/>
        </w:rPr>
        <w:t>231,516,575</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w:t>
      </w:r>
    </w:p>
    <w:p>
      <w:pPr>
        <w:spacing w:line="240" w:lineRule="auto" w:before="7"/>
        <w:rPr>
          <w:rFonts w:ascii="宋体" w:hAnsi="宋体" w:cs="宋体" w:eastAsia="宋体" w:hint="default"/>
          <w:sz w:val="19"/>
          <w:szCs w:val="19"/>
        </w:rPr>
      </w:pPr>
    </w:p>
    <w:p>
      <w:pPr>
        <w:pStyle w:val="BodyText"/>
        <w:spacing w:line="321" w:lineRule="exact"/>
        <w:ind w:left="216" w:right="0"/>
        <w:jc w:val="left"/>
      </w:pPr>
      <w:r>
        <w:rPr/>
        <w:t>注</w:t>
      </w:r>
      <w:r>
        <w:rPr>
          <w:spacing w:val="-60"/>
        </w:rPr>
        <w:t> </w:t>
      </w:r>
      <w:r>
        <w:rPr>
          <w:rFonts w:ascii="Times New Roman" w:hAnsi="Times New Roman" w:cs="Times New Roman" w:eastAsia="Times New Roman" w:hint="default"/>
        </w:rPr>
        <w:t>5</w:t>
      </w:r>
      <w:r>
        <w:rPr/>
        <w:t>：</w:t>
      </w:r>
      <w:r>
        <w:rPr>
          <w:spacing w:val="59"/>
        </w:rPr>
        <w:t> </w:t>
      </w:r>
      <w:r>
        <w:rPr/>
        <w:t>于</w:t>
      </w:r>
      <w:r>
        <w:rPr>
          <w:spacing w:val="-7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5"/>
        </w:rPr>
        <w:t> </w:t>
      </w:r>
      <w:r>
        <w:rPr/>
        <w:t>年</w:t>
      </w:r>
      <w:r>
        <w:rPr>
          <w:spacing w:val="-75"/>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月</w:t>
      </w:r>
      <w:r>
        <w:rPr>
          <w:spacing w:val="-75"/>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t>日</w:t>
      </w:r>
      <w:r>
        <w:rPr>
          <w:spacing w:val="-120"/>
        </w:rPr>
        <w:t>，</w:t>
      </w:r>
      <w:r>
        <w:rPr/>
        <w:t>账面价值为人民币</w:t>
      </w:r>
      <w:r>
        <w:rPr>
          <w:spacing w:val="-75"/>
        </w:rPr>
        <w:t> </w:t>
      </w:r>
      <w:r>
        <w:rPr>
          <w:rFonts w:ascii="Times New Roman" w:hAnsi="Times New Roman" w:cs="Times New Roman" w:eastAsia="Times New Roman" w:hint="default"/>
        </w:rPr>
        <w:t>523,454,206</w:t>
      </w:r>
      <w:r>
        <w:rPr>
          <w:rFonts w:ascii="Times New Roman" w:hAnsi="Times New Roman" w:cs="Times New Roman" w:eastAsia="Times New Roman" w:hint="default"/>
          <w:spacing w:val="-14"/>
        </w:rPr>
        <w:t> </w:t>
      </w:r>
      <w:r>
        <w:rPr/>
        <w:t>元</w:t>
      </w:r>
      <w:r>
        <w:rPr>
          <w:rFonts w:ascii="Times New Roman" w:hAnsi="Times New Roman" w:cs="Times New Roman" w:eastAsia="Times New Roman" w:hint="default"/>
        </w:rPr>
        <w:t>(2018</w:t>
      </w:r>
      <w:r>
        <w:rPr>
          <w:rFonts w:ascii="Times New Roman" w:hAnsi="Times New Roman" w:cs="Times New Roman" w:eastAsia="Times New Roman" w:hint="default"/>
          <w:spacing w:val="-16"/>
        </w:rPr>
        <w:t> </w:t>
      </w:r>
      <w:r>
        <w:rPr/>
        <w:t>年</w:t>
      </w:r>
      <w:r>
        <w:rPr>
          <w:spacing w:val="-75"/>
        </w:rPr>
        <w:t> </w:t>
      </w:r>
      <w:r>
        <w:rPr>
          <w:rFonts w:ascii="Times New Roman" w:hAnsi="Times New Roman" w:cs="Times New Roman" w:eastAsia="Times New Roman" w:hint="default"/>
        </w:rPr>
        <w:t>12</w:t>
      </w:r>
      <w:r>
        <w:rPr>
          <w:rFonts w:ascii="Times New Roman" w:hAnsi="Times New Roman" w:cs="Times New Roman" w:eastAsia="Times New Roman" w:hint="default"/>
          <w:spacing w:val="-14"/>
        </w:rPr>
        <w:t> </w:t>
      </w:r>
      <w:r>
        <w:rPr/>
        <w:t>月</w:t>
      </w:r>
      <w:r>
        <w:rPr>
          <w:spacing w:val="-75"/>
        </w:rPr>
        <w:t> </w:t>
      </w:r>
      <w:r>
        <w:rPr>
          <w:rFonts w:ascii="Times New Roman" w:hAnsi="Times New Roman" w:cs="Times New Roman" w:eastAsia="Times New Roman" w:hint="default"/>
        </w:rPr>
        <w:t>31</w:t>
      </w:r>
      <w:r>
        <w:rPr>
          <w:rFonts w:ascii="Times New Roman" w:hAnsi="Times New Roman" w:cs="Times New Roman" w:eastAsia="Times New Roman" w:hint="default"/>
          <w:spacing w:val="-15"/>
        </w:rPr>
        <w:t> </w:t>
      </w:r>
      <w:r>
        <w:rPr/>
        <w:t>日：</w:t>
      </w:r>
    </w:p>
    <w:p>
      <w:pPr>
        <w:pStyle w:val="BodyText"/>
        <w:spacing w:line="321" w:lineRule="exact"/>
        <w:ind w:left="216" w:right="0"/>
        <w:jc w:val="left"/>
      </w:pPr>
      <w:r>
        <w:rPr/>
        <w:t>人民币</w:t>
      </w:r>
      <w:r>
        <w:rPr>
          <w:spacing w:val="-59"/>
        </w:rPr>
        <w:t> </w:t>
      </w:r>
      <w:r>
        <w:rPr>
          <w:rFonts w:ascii="Times New Roman" w:hAnsi="Times New Roman" w:cs="Times New Roman" w:eastAsia="Times New Roman" w:hint="default"/>
        </w:rPr>
        <w:t>783,623,765</w:t>
      </w:r>
      <w:r>
        <w:rPr>
          <w:rFonts w:ascii="Times New Roman" w:hAnsi="Times New Roman" w:cs="Times New Roman" w:eastAsia="Times New Roman" w:hint="default"/>
          <w:spacing w:val="1"/>
        </w:rPr>
        <w:t> </w:t>
      </w:r>
      <w:r>
        <w:rPr>
          <w:spacing w:val="-8"/>
        </w:rPr>
        <w:t>元</w:t>
      </w:r>
      <w:r>
        <w:rPr>
          <w:rFonts w:ascii="Times New Roman" w:hAnsi="Times New Roman" w:cs="Times New Roman" w:eastAsia="Times New Roman" w:hint="default"/>
          <w:spacing w:val="-8"/>
        </w:rPr>
        <w:t>)</w:t>
      </w:r>
      <w:r>
        <w:rPr>
          <w:spacing w:val="-8"/>
        </w:rPr>
        <w:t>的房屋建筑物，用于取得银行借款抵押。详情参见附注七、</w:t>
      </w:r>
      <w:r>
        <w:rPr>
          <w:rFonts w:ascii="Times New Roman" w:hAnsi="Times New Roman" w:cs="Times New Roman" w:eastAsia="Times New Roman" w:hint="default"/>
          <w:spacing w:val="-8"/>
        </w:rPr>
        <w:t>32</w:t>
      </w:r>
      <w:r>
        <w:rPr>
          <w:spacing w:val="-8"/>
        </w:rPr>
        <w:t>。</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73"/>
          <w:pgSz w:w="11910" w:h="16840"/>
          <w:pgMar w:footer="1195" w:header="882" w:top="1080" w:bottom="1380" w:left="1060" w:right="1560"/>
          <w:pgNumType w:start="131"/>
        </w:sectPr>
      </w:pPr>
    </w:p>
    <w:p>
      <w:pPr>
        <w:tabs>
          <w:tab w:pos="1057" w:val="left" w:leader="none"/>
        </w:tabs>
        <w:spacing w:line="285" w:lineRule="auto" w:before="26"/>
        <w:ind w:left="216" w:right="0" w:firstLine="0"/>
        <w:jc w:val="left"/>
        <w:rPr>
          <w:rFonts w:ascii="宋体" w:hAnsi="宋体" w:cs="宋体" w:eastAsia="宋体" w:hint="default"/>
          <w:sz w:val="24"/>
          <w:szCs w:val="24"/>
        </w:rPr>
      </w:pPr>
      <w:r>
        <w:rPr>
          <w:rFonts w:ascii="宋体" w:hAnsi="宋体" w:cs="宋体" w:eastAsia="宋体" w:hint="default"/>
          <w:b/>
          <w:bCs/>
          <w:sz w:val="24"/>
          <w:szCs w:val="24"/>
        </w:rPr>
        <w:t>80</w:t>
      </w:r>
      <w:r>
        <w:rPr>
          <w:rFonts w:ascii="宋体" w:hAnsi="宋体" w:cs="宋体" w:eastAsia="宋体" w:hint="default"/>
          <w:b/>
          <w:bCs/>
          <w:sz w:val="24"/>
          <w:szCs w:val="24"/>
        </w:rPr>
        <w:t>、</w:t>
      </w:r>
      <w:r>
        <w:rPr>
          <w:rFonts w:ascii="宋体" w:hAnsi="宋体" w:cs="宋体" w:eastAsia="宋体" w:hint="default"/>
          <w:b/>
          <w:bCs/>
          <w:spacing w:val="-101"/>
          <w:sz w:val="24"/>
          <w:szCs w:val="24"/>
        </w:rPr>
        <w:t> </w:t>
      </w:r>
      <w:r>
        <w:rPr>
          <w:rFonts w:ascii="宋体" w:hAnsi="宋体" w:cs="宋体" w:eastAsia="宋体" w:hint="default"/>
          <w:b/>
          <w:bCs/>
          <w:sz w:val="24"/>
          <w:szCs w:val="24"/>
        </w:rPr>
        <w:t>外币货币性项目</w:t>
      </w:r>
      <w:r>
        <w:rPr>
          <w:rFonts w:ascii="宋体" w:hAnsi="宋体" w:cs="宋体" w:eastAsia="宋体" w:hint="default"/>
          <w:b/>
          <w:bCs/>
          <w:w w:val="99"/>
          <w:sz w:val="24"/>
          <w:szCs w:val="24"/>
        </w:rPr>
        <w:t> </w:t>
      </w:r>
      <w:r>
        <w:rPr>
          <w:rFonts w:ascii="宋体" w:hAnsi="宋体" w:cs="宋体" w:eastAsia="宋体" w:hint="default"/>
          <w:b/>
          <w:bCs/>
          <w:sz w:val="24"/>
          <w:szCs w:val="24"/>
        </w:rPr>
        <w:t>(1).</w:t>
        <w:tab/>
      </w:r>
      <w:r>
        <w:rPr>
          <w:rFonts w:ascii="宋体" w:hAnsi="宋体" w:cs="宋体" w:eastAsia="宋体" w:hint="default"/>
          <w:b/>
          <w:bCs/>
          <w:sz w:val="21"/>
          <w:szCs w:val="21"/>
        </w:rPr>
        <w:t>外币货币性项目</w:t>
      </w:r>
      <w:r>
        <w:rPr>
          <w:rFonts w:ascii="宋体" w:hAnsi="宋体" w:cs="宋体" w:eastAsia="宋体" w:hint="default"/>
          <w:sz w:val="24"/>
          <w:szCs w:val="24"/>
        </w:rPr>
        <w:t> </w:t>
      </w:r>
    </w:p>
    <w:p>
      <w:pPr>
        <w:pStyle w:val="BodyText"/>
        <w:spacing w:line="240" w:lineRule="auto" w:before="1"/>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33"/>
          <w:szCs w:val="33"/>
        </w:rPr>
      </w:pPr>
    </w:p>
    <w:p>
      <w:pPr>
        <w:pStyle w:val="BodyText"/>
        <w:spacing w:line="240" w:lineRule="auto"/>
        <w:ind w:left="216" w:right="0"/>
        <w:jc w:val="left"/>
        <w:rPr>
          <w:rFonts w:ascii="宋体" w:hAnsi="宋体" w:cs="宋体" w:eastAsia="宋体" w:hint="default"/>
        </w:rPr>
      </w:pPr>
      <w:r>
        <w:rPr/>
        <w:t>单位：元</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120" w:bottom="1380" w:left="1060" w:right="1560"/>
          <w:cols w:num="2" w:equalWidth="0">
            <w:col w:w="2654" w:space="5220"/>
            <w:col w:w="1416"/>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898"/>
        <w:gridCol w:w="2050"/>
        <w:gridCol w:w="2057"/>
        <w:gridCol w:w="2045"/>
      </w:tblGrid>
      <w:tr>
        <w:trPr>
          <w:trHeight w:val="634"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299" w:right="0"/>
              <w:jc w:val="left"/>
              <w:rPr>
                <w:rFonts w:ascii="宋体" w:hAnsi="宋体" w:cs="宋体" w:eastAsia="宋体" w:hint="default"/>
                <w:sz w:val="24"/>
                <w:szCs w:val="24"/>
              </w:rPr>
            </w:pPr>
            <w:r>
              <w:rPr>
                <w:rFonts w:ascii="宋体" w:hAnsi="宋体" w:cs="宋体" w:eastAsia="宋体" w:hint="default"/>
                <w:sz w:val="24"/>
                <w:szCs w:val="24"/>
              </w:rPr>
              <w:t>期末外币余额</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542" w:right="0"/>
              <w:jc w:val="left"/>
              <w:rPr>
                <w:rFonts w:ascii="宋体" w:hAnsi="宋体" w:cs="宋体" w:eastAsia="宋体" w:hint="default"/>
                <w:sz w:val="24"/>
                <w:szCs w:val="24"/>
              </w:rPr>
            </w:pPr>
            <w:r>
              <w:rPr>
                <w:rFonts w:ascii="宋体" w:hAnsi="宋体" w:cs="宋体" w:eastAsia="宋体" w:hint="default"/>
                <w:sz w:val="24"/>
                <w:szCs w:val="24"/>
              </w:rPr>
              <w:t>折算汇率</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期末折算人民币</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余额</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货币资金</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其中：美元</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3,701,491</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6.9762</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25,822,341</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欧元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日元</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1,438,497</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0.0641</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92,207</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新币</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1,791,357</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5.1739</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9,268,302</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澳门元</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3,133,650</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0.8768</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2,747,584</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林吉特</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2,845,933</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1.6987</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4,834,386</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台币</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29,635,580</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0.2328</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6,899,163</w:t>
            </w:r>
          </w:p>
        </w:tc>
      </w:tr>
      <w:tr>
        <w:trPr>
          <w:trHeight w:val="319"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泰铢</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162,108</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0.2328</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37,739</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843"/>
              <w:jc w:val="right"/>
              <w:rPr>
                <w:rFonts w:ascii="宋体" w:hAnsi="宋体" w:cs="宋体" w:eastAsia="宋体" w:hint="default"/>
                <w:sz w:val="24"/>
                <w:szCs w:val="24"/>
              </w:rPr>
            </w:pPr>
            <w:r>
              <w:rPr>
                <w:rFonts w:ascii="宋体" w:hAnsi="宋体" w:cs="宋体" w:eastAsia="宋体" w:hint="default"/>
                <w:sz w:val="24"/>
                <w:szCs w:val="24"/>
              </w:rPr>
              <w:t>澳大利亚元</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13,184</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4.8843</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64,395</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英镑</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4,000</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9.1501</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36,600</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43"/>
              <w:jc w:val="righ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港币</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178,467,676</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0.8958</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159,871,344</w:t>
            </w: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其中：美元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欧元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港币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长期借款</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其中：美元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欧元</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sz w:val="24"/>
                <w:szCs w:val="24"/>
              </w:rPr>
              <w:t>港币</w:t>
            </w:r>
          </w:p>
        </w:tc>
        <w:tc>
          <w:tcPr>
            <w:tcW w:w="2050" w:type="dxa"/>
            <w:tcBorders>
              <w:top w:val="single" w:sz="4" w:space="0" w:color="000000"/>
              <w:left w:val="single" w:sz="4" w:space="0" w:color="000000"/>
              <w:bottom w:val="single" w:sz="4" w:space="0" w:color="000000"/>
              <w:right w:val="single" w:sz="4" w:space="0" w:color="000000"/>
            </w:tcBorders>
          </w:tcPr>
          <w:p>
            <w:pPr/>
          </w:p>
        </w:tc>
        <w:tc>
          <w:tcPr>
            <w:tcW w:w="2057" w:type="dxa"/>
            <w:tcBorders>
              <w:top w:val="single" w:sz="4" w:space="0" w:color="000000"/>
              <w:left w:val="single" w:sz="4" w:space="0" w:color="000000"/>
              <w:bottom w:val="single" w:sz="4" w:space="0" w:color="000000"/>
              <w:right w:val="single" w:sz="4" w:space="0" w:color="000000"/>
            </w:tcBorders>
          </w:tcPr>
          <w:p>
            <w:pPr/>
          </w:p>
        </w:tc>
        <w:tc>
          <w:tcPr>
            <w:tcW w:w="2045"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83" w:lineRule="auto" w:before="19"/>
        <w:ind w:left="216" w:right="7850"/>
        <w:jc w:val="left"/>
      </w:pPr>
      <w:r>
        <w:rPr/>
        <w:t>其他说明： 无。</w:t>
      </w:r>
    </w:p>
    <w:p>
      <w:pPr>
        <w:spacing w:line="240" w:lineRule="auto" w:before="5"/>
        <w:rPr>
          <w:rFonts w:ascii="宋体" w:hAnsi="宋体" w:cs="宋体" w:eastAsia="宋体" w:hint="default"/>
          <w:sz w:val="24"/>
          <w:szCs w:val="24"/>
        </w:rPr>
      </w:pPr>
    </w:p>
    <w:p>
      <w:pPr>
        <w:pStyle w:val="Heading2"/>
        <w:tabs>
          <w:tab w:pos="1057" w:val="left" w:leader="none"/>
        </w:tabs>
        <w:spacing w:line="312" w:lineRule="exact"/>
        <w:ind w:left="644" w:right="291" w:hanging="428"/>
        <w:jc w:val="left"/>
        <w:rPr>
          <w:rFonts w:ascii="宋体" w:hAnsi="宋体" w:cs="宋体" w:eastAsia="宋体" w:hint="default"/>
          <w:b w:val="0"/>
          <w:bCs w:val="0"/>
        </w:rPr>
      </w:pPr>
      <w:r>
        <w:rPr>
          <w:rFonts w:ascii="宋体" w:hAnsi="宋体" w:cs="宋体" w:eastAsia="宋体" w:hint="default"/>
        </w:rPr>
        <w:t>(2).</w:t>
        <w:tab/>
      </w:r>
      <w:r>
        <w:rPr>
          <w:spacing w:val="3"/>
          <w:w w:val="95"/>
          <w:sz w:val="21"/>
          <w:szCs w:val="21"/>
        </w:rPr>
        <w:t>境外</w:t>
      </w:r>
      <w:r>
        <w:rPr>
          <w:spacing w:val="3"/>
          <w:w w:val="95"/>
        </w:rPr>
        <w:t>经营实体说明，包括对于重要的境外经营实体，应披露其境外主要经营</w:t>
      </w:r>
      <w:r>
        <w:rPr>
          <w:spacing w:val="24"/>
          <w:w w:val="95"/>
        </w:rPr>
        <w:t> </w:t>
      </w:r>
      <w:r>
        <w:rPr>
          <w:spacing w:val="24"/>
          <w:w w:val="95"/>
        </w:rPr>
      </w:r>
      <w:r>
        <w:rPr/>
        <w:t>地、记账本位币及选择依据，记账本位币发生变化的还应披露原因</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29"/>
        <w:ind w:left="216" w:right="0"/>
        <w:jc w:val="left"/>
      </w:pPr>
      <w:r>
        <w:rPr/>
        <w:t>□适用 √不适用</w:t>
      </w:r>
    </w:p>
    <w:p>
      <w:pPr>
        <w:spacing w:after="0" w:line="240" w:lineRule="auto"/>
        <w:jc w:val="left"/>
        <w:sectPr>
          <w:type w:val="continuous"/>
          <w:pgSz w:w="11910" w:h="16840"/>
          <w:pgMar w:top="1120" w:bottom="1380" w:left="1060" w:right="1560"/>
        </w:sectPr>
      </w:pPr>
    </w:p>
    <w:p>
      <w:pPr>
        <w:spacing w:line="240" w:lineRule="auto" w:before="4"/>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60" w:right="1440"/>
        </w:sectPr>
      </w:pPr>
    </w:p>
    <w:p>
      <w:pPr>
        <w:pStyle w:val="Heading2"/>
        <w:spacing w:line="240" w:lineRule="auto" w:before="26"/>
        <w:ind w:left="316" w:right="0"/>
        <w:jc w:val="left"/>
        <w:rPr>
          <w:b w:val="0"/>
          <w:bCs w:val="0"/>
        </w:rPr>
      </w:pPr>
      <w:r>
        <w:rPr>
          <w:rFonts w:ascii="宋体" w:hAnsi="宋体" w:cs="宋体" w:eastAsia="宋体" w:hint="default"/>
        </w:rPr>
        <w:t>81</w:t>
      </w:r>
      <w:r>
        <w:rPr/>
        <w:t>、</w:t>
      </w:r>
      <w:r>
        <w:rPr>
          <w:spacing w:val="-100"/>
        </w:rPr>
        <w:t> </w:t>
      </w:r>
      <w:r>
        <w:rPr/>
        <w:t>政府补助</w:t>
      </w:r>
      <w:r>
        <w:rPr>
          <w:b w:val="0"/>
          <w:bCs w:val="0"/>
        </w:rPr>
      </w:r>
    </w:p>
    <w:p>
      <w:pPr>
        <w:pStyle w:val="Heading2"/>
        <w:tabs>
          <w:tab w:pos="1157" w:val="left" w:leader="none"/>
        </w:tabs>
        <w:spacing w:line="240" w:lineRule="auto" w:before="58"/>
        <w:ind w:left="316" w:right="0"/>
        <w:jc w:val="left"/>
        <w:rPr>
          <w:rFonts w:ascii="宋体" w:hAnsi="宋体" w:cs="宋体" w:eastAsia="宋体" w:hint="default"/>
          <w:b w:val="0"/>
          <w:bCs w:val="0"/>
        </w:rPr>
      </w:pPr>
      <w:r>
        <w:rPr>
          <w:rFonts w:ascii="宋体" w:hAnsi="宋体" w:cs="宋体" w:eastAsia="宋体" w:hint="default"/>
        </w:rPr>
        <w:t>(1).</w:t>
        <w:tab/>
      </w:r>
      <w:r>
        <w:rPr/>
        <w:t>政府补助基本情况</w:t>
      </w:r>
      <w:r>
        <w:rPr>
          <w:rFonts w:ascii="宋体" w:hAnsi="宋体" w:cs="宋体" w:eastAsia="宋体" w:hint="default"/>
          <w:w w:val="99"/>
        </w:rPr>
        <w:t> </w:t>
      </w:r>
      <w:r>
        <w:rPr>
          <w:rFonts w:ascii="宋体" w:hAnsi="宋体" w:cs="宋体" w:eastAsia="宋体" w:hint="default"/>
          <w:b w:val="0"/>
          <w:bCs w:val="0"/>
        </w:rPr>
      </w:r>
    </w:p>
    <w:p>
      <w:pPr>
        <w:pStyle w:val="BodyText"/>
        <w:tabs>
          <w:tab w:pos="1277" w:val="left" w:leader="none"/>
        </w:tabs>
        <w:spacing w:line="240" w:lineRule="auto" w:before="55"/>
        <w:ind w:left="316" w:right="0"/>
        <w:jc w:val="left"/>
      </w:pPr>
      <w:r>
        <w:rPr/>
        <w:t>√适用</w:t>
        <w:tab/>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pStyle w:val="BodyText"/>
        <w:tabs>
          <w:tab w:pos="1516" w:val="left" w:leader="none"/>
        </w:tabs>
        <w:spacing w:line="240" w:lineRule="auto"/>
        <w:ind w:left="316" w:right="0"/>
        <w:jc w:val="left"/>
      </w:pPr>
      <w:r>
        <w:rPr/>
        <w:t>单位：元</w:t>
        <w:tab/>
        <w:t>币种：人民币</w:t>
      </w:r>
    </w:p>
    <w:p>
      <w:pPr>
        <w:spacing w:after="0" w:line="240" w:lineRule="auto"/>
        <w:jc w:val="left"/>
        <w:sectPr>
          <w:type w:val="continuous"/>
          <w:pgSz w:w="11910" w:h="16840"/>
          <w:pgMar w:top="1120" w:bottom="1380" w:left="960" w:right="1440"/>
          <w:cols w:num="2" w:equalWidth="0">
            <w:col w:w="3206" w:space="2988"/>
            <w:col w:w="3316"/>
          </w:cols>
        </w:sectPr>
      </w:pPr>
    </w:p>
    <w:p>
      <w:pPr>
        <w:spacing w:line="240" w:lineRule="auto" w:before="12"/>
        <w:rPr>
          <w:rFonts w:ascii="宋体" w:hAnsi="宋体" w:cs="宋体" w:eastAsia="宋体" w:hint="default"/>
          <w:sz w:val="2"/>
          <w:szCs w:val="2"/>
        </w:rPr>
      </w:pPr>
    </w:p>
    <w:tbl>
      <w:tblPr>
        <w:tblW w:w="0" w:type="auto"/>
        <w:jc w:val="left"/>
        <w:tblInd w:w="203" w:type="dxa"/>
        <w:tblLayout w:type="fixed"/>
        <w:tblCellMar>
          <w:top w:w="0" w:type="dxa"/>
          <w:left w:w="0" w:type="dxa"/>
          <w:bottom w:w="0" w:type="dxa"/>
          <w:right w:w="0" w:type="dxa"/>
        </w:tblCellMar>
        <w:tblLook w:val="01E0"/>
      </w:tblPr>
      <w:tblGrid>
        <w:gridCol w:w="3392"/>
        <w:gridCol w:w="1983"/>
        <w:gridCol w:w="1274"/>
        <w:gridCol w:w="2072"/>
      </w:tblGrid>
      <w:tr>
        <w:trPr>
          <w:trHeight w:val="631"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37" w:right="0"/>
              <w:jc w:val="left"/>
              <w:rPr>
                <w:rFonts w:ascii="宋体" w:hAnsi="宋体" w:cs="宋体" w:eastAsia="宋体" w:hint="default"/>
                <w:sz w:val="24"/>
                <w:szCs w:val="24"/>
              </w:rPr>
            </w:pPr>
            <w:r>
              <w:rPr>
                <w:rFonts w:ascii="宋体" w:hAnsi="宋体" w:cs="宋体" w:eastAsia="宋体" w:hint="default"/>
                <w:sz w:val="24"/>
                <w:szCs w:val="24"/>
              </w:rPr>
              <w:t>种类</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宋体" w:hAnsi="宋体" w:cs="宋体" w:eastAsia="宋体" w:hint="default"/>
                <w:sz w:val="24"/>
                <w:szCs w:val="24"/>
              </w:rPr>
            </w:pPr>
            <w:r>
              <w:rPr>
                <w:rFonts w:ascii="宋体" w:hAnsi="宋体" w:cs="宋体" w:eastAsia="宋体" w:hint="default"/>
                <w:sz w:val="24"/>
                <w:szCs w:val="24"/>
              </w:rPr>
              <w:t>金额</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99"/>
              <w:jc w:val="right"/>
              <w:rPr>
                <w:rFonts w:ascii="宋体" w:hAnsi="宋体" w:cs="宋体" w:eastAsia="宋体" w:hint="default"/>
                <w:sz w:val="24"/>
                <w:szCs w:val="24"/>
              </w:rPr>
            </w:pPr>
            <w:r>
              <w:rPr>
                <w:rFonts w:ascii="宋体" w:hAnsi="宋体" w:cs="宋体" w:eastAsia="宋体" w:hint="default"/>
                <w:sz w:val="24"/>
                <w:szCs w:val="24"/>
              </w:rPr>
              <w:t>列报项目</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计入当期损益的</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金额</w:t>
            </w:r>
          </w:p>
        </w:tc>
      </w:tr>
      <w:tr>
        <w:trPr>
          <w:trHeight w:val="634"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5" w:right="0"/>
              <w:jc w:val="left"/>
              <w:rPr>
                <w:rFonts w:ascii="宋体" w:hAnsi="宋体" w:cs="宋体" w:eastAsia="宋体" w:hint="default"/>
                <w:sz w:val="24"/>
                <w:szCs w:val="24"/>
              </w:rPr>
            </w:pPr>
            <w:r>
              <w:rPr>
                <w:rFonts w:ascii="宋体" w:hAnsi="宋体" w:cs="宋体" w:eastAsia="宋体" w:hint="default"/>
                <w:sz w:val="24"/>
                <w:szCs w:val="24"/>
              </w:rPr>
              <w:t>用友精智工业互联网平台研发</w:t>
            </w:r>
          </w:p>
          <w:p>
            <w:pPr>
              <w:pStyle w:val="TableParagraph"/>
              <w:spacing w:line="313" w:lineRule="exact"/>
              <w:ind w:left="-5" w:right="0"/>
              <w:jc w:val="left"/>
              <w:rPr>
                <w:rFonts w:ascii="宋体" w:hAnsi="宋体" w:cs="宋体" w:eastAsia="宋体" w:hint="default"/>
                <w:sz w:val="24"/>
                <w:szCs w:val="24"/>
              </w:rPr>
            </w:pPr>
            <w:r>
              <w:rPr>
                <w:rFonts w:ascii="宋体" w:hAnsi="宋体" w:cs="宋体" w:eastAsia="宋体" w:hint="default"/>
                <w:sz w:val="24"/>
                <w:szCs w:val="24"/>
              </w:rPr>
              <w:t>与产业化推广</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99"/>
              <w:jc w:val="right"/>
              <w:rPr>
                <w:rFonts w:ascii="宋体" w:hAnsi="宋体" w:cs="宋体" w:eastAsia="宋体" w:hint="default"/>
                <w:sz w:val="24"/>
                <w:szCs w:val="24"/>
              </w:rPr>
            </w:pPr>
            <w:r>
              <w:rPr>
                <w:rFonts w:ascii="宋体" w:hAnsi="宋体" w:cs="宋体" w:eastAsia="宋体" w:hint="default"/>
                <w:sz w:val="24"/>
                <w:szCs w:val="24"/>
              </w:rPr>
              <w:t>其他收益</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10,000,000</w:t>
            </w:r>
          </w:p>
        </w:tc>
      </w:tr>
      <w:tr>
        <w:trPr>
          <w:trHeight w:val="631"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2019 </w:t>
            </w:r>
            <w:r>
              <w:rPr>
                <w:rFonts w:ascii="Times New Roman" w:hAnsi="Times New Roman" w:cs="Times New Roman" w:eastAsia="Times New Roman" w:hint="default"/>
                <w:spacing w:val="7"/>
                <w:sz w:val="24"/>
                <w:szCs w:val="24"/>
              </w:rPr>
              <w:t> </w:t>
            </w:r>
            <w:r>
              <w:rPr>
                <w:rFonts w:ascii="宋体" w:hAnsi="宋体" w:cs="宋体" w:eastAsia="宋体" w:hint="default"/>
                <w:spacing w:val="3"/>
                <w:sz w:val="24"/>
                <w:szCs w:val="24"/>
              </w:rPr>
              <w:t>年北京市高精尖产业发展</w:t>
            </w:r>
          </w:p>
          <w:p>
            <w:pPr>
              <w:pStyle w:val="TableParagraph"/>
              <w:spacing w:line="304" w:lineRule="exact"/>
              <w:ind w:left="-5" w:right="0"/>
              <w:jc w:val="left"/>
              <w:rPr>
                <w:rFonts w:ascii="宋体" w:hAnsi="宋体" w:cs="宋体" w:eastAsia="宋体" w:hint="default"/>
                <w:sz w:val="24"/>
                <w:szCs w:val="24"/>
              </w:rPr>
            </w:pPr>
            <w:r>
              <w:rPr>
                <w:rFonts w:ascii="宋体" w:hAnsi="宋体" w:cs="宋体" w:eastAsia="宋体" w:hint="default"/>
                <w:sz w:val="24"/>
                <w:szCs w:val="24"/>
              </w:rPr>
              <w:t>专项</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8,770,000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5"/>
              <w:jc w:val="right"/>
              <w:rPr>
                <w:rFonts w:ascii="宋体" w:hAnsi="宋体" w:cs="宋体" w:eastAsia="宋体" w:hint="default"/>
                <w:sz w:val="24"/>
                <w:szCs w:val="24"/>
              </w:rPr>
            </w:pPr>
            <w:r>
              <w:rPr>
                <w:rFonts w:ascii="宋体" w:hAnsi="宋体" w:cs="宋体" w:eastAsia="宋体" w:hint="default"/>
                <w:sz w:val="24"/>
                <w:szCs w:val="24"/>
              </w:rPr>
              <w:t>其他收益</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8,770,000</w:t>
            </w:r>
          </w:p>
        </w:tc>
      </w:tr>
      <w:tr>
        <w:trPr>
          <w:trHeight w:val="634"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5"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2019 </w:t>
            </w:r>
            <w:r>
              <w:rPr>
                <w:rFonts w:ascii="Times New Roman" w:hAnsi="Times New Roman" w:cs="Times New Roman" w:eastAsia="Times New Roman" w:hint="default"/>
                <w:spacing w:val="7"/>
                <w:sz w:val="24"/>
                <w:szCs w:val="24"/>
              </w:rPr>
              <w:t> </w:t>
            </w:r>
            <w:r>
              <w:rPr>
                <w:rFonts w:ascii="宋体" w:hAnsi="宋体" w:cs="宋体" w:eastAsia="宋体" w:hint="default"/>
                <w:spacing w:val="3"/>
                <w:sz w:val="24"/>
                <w:szCs w:val="24"/>
              </w:rPr>
              <w:t>年度海淀区企业研发费用</w:t>
            </w:r>
          </w:p>
          <w:p>
            <w:pPr>
              <w:pStyle w:val="TableParagraph"/>
              <w:spacing w:line="303" w:lineRule="exact"/>
              <w:ind w:left="-5" w:right="0"/>
              <w:jc w:val="left"/>
              <w:rPr>
                <w:rFonts w:ascii="宋体" w:hAnsi="宋体" w:cs="宋体" w:eastAsia="宋体" w:hint="default"/>
                <w:sz w:val="24"/>
                <w:szCs w:val="24"/>
              </w:rPr>
            </w:pPr>
            <w:r>
              <w:rPr>
                <w:rFonts w:ascii="宋体" w:hAnsi="宋体" w:cs="宋体" w:eastAsia="宋体" w:hint="default"/>
                <w:sz w:val="24"/>
                <w:szCs w:val="24"/>
              </w:rPr>
              <w:t>补贴专项资金</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4,860,000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75"/>
              <w:jc w:val="right"/>
              <w:rPr>
                <w:rFonts w:ascii="宋体" w:hAnsi="宋体" w:cs="宋体" w:eastAsia="宋体" w:hint="default"/>
                <w:sz w:val="24"/>
                <w:szCs w:val="24"/>
              </w:rPr>
            </w:pPr>
            <w:r>
              <w:rPr>
                <w:rFonts w:ascii="宋体" w:hAnsi="宋体" w:cs="宋体" w:eastAsia="宋体" w:hint="default"/>
                <w:sz w:val="24"/>
                <w:szCs w:val="24"/>
              </w:rPr>
              <w:t>其他收益</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4,860,000</w:t>
            </w:r>
          </w:p>
        </w:tc>
      </w:tr>
      <w:tr>
        <w:trPr>
          <w:trHeight w:val="631"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5" w:right="0"/>
              <w:jc w:val="left"/>
              <w:rPr>
                <w:rFonts w:ascii="宋体" w:hAnsi="宋体" w:cs="宋体" w:eastAsia="宋体" w:hint="default"/>
                <w:sz w:val="24"/>
                <w:szCs w:val="24"/>
              </w:rPr>
            </w:pPr>
            <w:r>
              <w:rPr>
                <w:rFonts w:ascii="宋体" w:hAnsi="宋体" w:cs="宋体" w:eastAsia="宋体" w:hint="default"/>
                <w:spacing w:val="12"/>
                <w:sz w:val="24"/>
                <w:szCs w:val="24"/>
              </w:rPr>
              <w:t>基于云平台的大型企业资源管</w:t>
            </w:r>
          </w:p>
          <w:p>
            <w:pPr>
              <w:pStyle w:val="TableParagraph"/>
              <w:spacing w:line="331" w:lineRule="exact"/>
              <w:ind w:left="-5" w:right="0"/>
              <w:jc w:val="left"/>
              <w:rPr>
                <w:rFonts w:ascii="宋体" w:hAnsi="宋体" w:cs="宋体" w:eastAsia="宋体" w:hint="default"/>
                <w:sz w:val="24"/>
                <w:szCs w:val="24"/>
              </w:rPr>
            </w:pPr>
            <w:r>
              <w:rPr>
                <w:rFonts w:ascii="宋体" w:hAnsi="宋体" w:cs="宋体" w:eastAsia="宋体" w:hint="default"/>
                <w:sz w:val="24"/>
                <w:szCs w:val="24"/>
              </w:rPr>
              <w:t>理系统</w:t>
            </w:r>
            <w:r>
              <w:rPr>
                <w:rFonts w:ascii="Times New Roman" w:hAnsi="Times New Roman" w:cs="Times New Roman" w:eastAsia="Times New Roman" w:hint="default"/>
                <w:sz w:val="24"/>
                <w:szCs w:val="24"/>
              </w:rPr>
              <w:t>(ERP)</w:t>
            </w:r>
            <w:r>
              <w:rPr>
                <w:rFonts w:ascii="宋体" w:hAnsi="宋体" w:cs="宋体" w:eastAsia="宋体" w:hint="default"/>
                <w:sz w:val="24"/>
                <w:szCs w:val="24"/>
              </w:rPr>
              <w:t>解决方应用推广</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3" w:right="0"/>
              <w:jc w:val="left"/>
              <w:rPr>
                <w:rFonts w:ascii="宋体" w:hAnsi="宋体" w:cs="宋体" w:eastAsia="宋体" w:hint="default"/>
                <w:sz w:val="24"/>
                <w:szCs w:val="24"/>
              </w:rPr>
            </w:pPr>
            <w:r>
              <w:rPr>
                <w:rFonts w:ascii="宋体" w:hAnsi="宋体" w:cs="宋体" w:eastAsia="宋体" w:hint="default"/>
                <w:sz w:val="24"/>
                <w:szCs w:val="24"/>
              </w:rPr>
              <w:t>其他收益</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4,000,000</w:t>
            </w:r>
          </w:p>
        </w:tc>
      </w:tr>
      <w:tr>
        <w:trPr>
          <w:trHeight w:val="634"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 w:right="0"/>
              <w:jc w:val="left"/>
              <w:rPr>
                <w:rFonts w:ascii="宋体" w:hAnsi="宋体" w:cs="宋体" w:eastAsia="宋体" w:hint="default"/>
                <w:sz w:val="24"/>
                <w:szCs w:val="24"/>
              </w:rPr>
            </w:pPr>
            <w:r>
              <w:rPr>
                <w:rFonts w:ascii="宋体" w:hAnsi="宋体" w:cs="宋体" w:eastAsia="宋体" w:hint="default"/>
                <w:spacing w:val="12"/>
                <w:sz w:val="24"/>
                <w:szCs w:val="24"/>
              </w:rPr>
              <w:t>三亚崖州湾科技城产业发展专</w:t>
            </w:r>
          </w:p>
          <w:p>
            <w:pPr>
              <w:pStyle w:val="TableParagraph"/>
              <w:spacing w:line="312" w:lineRule="exact"/>
              <w:ind w:left="-5" w:right="0"/>
              <w:jc w:val="left"/>
              <w:rPr>
                <w:rFonts w:ascii="宋体" w:hAnsi="宋体" w:cs="宋体" w:eastAsia="宋体" w:hint="default"/>
                <w:sz w:val="24"/>
                <w:szCs w:val="24"/>
              </w:rPr>
            </w:pPr>
            <w:r>
              <w:rPr>
                <w:rFonts w:ascii="宋体" w:hAnsi="宋体" w:cs="宋体" w:eastAsia="宋体" w:hint="default"/>
                <w:sz w:val="24"/>
                <w:szCs w:val="24"/>
              </w:rPr>
              <w:t>项资金</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99"/>
              <w:jc w:val="right"/>
              <w:rPr>
                <w:rFonts w:ascii="宋体" w:hAnsi="宋体" w:cs="宋体" w:eastAsia="宋体" w:hint="default"/>
                <w:sz w:val="24"/>
                <w:szCs w:val="24"/>
              </w:rPr>
            </w:pPr>
            <w:r>
              <w:rPr>
                <w:rFonts w:ascii="宋体" w:hAnsi="宋体" w:cs="宋体" w:eastAsia="宋体" w:hint="default"/>
                <w:sz w:val="24"/>
                <w:szCs w:val="24"/>
              </w:rPr>
              <w:t>其他收益</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2,000,000</w:t>
            </w:r>
          </w:p>
        </w:tc>
      </w:tr>
      <w:tr>
        <w:trPr>
          <w:trHeight w:val="634"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5" w:right="0"/>
              <w:jc w:val="left"/>
              <w:rPr>
                <w:rFonts w:ascii="宋体" w:hAnsi="宋体" w:cs="宋体" w:eastAsia="宋体" w:hint="default"/>
                <w:sz w:val="24"/>
                <w:szCs w:val="24"/>
              </w:rPr>
            </w:pPr>
            <w:r>
              <w:rPr>
                <w:rFonts w:ascii="宋体" w:hAnsi="宋体" w:cs="宋体" w:eastAsia="宋体" w:hint="default"/>
                <w:spacing w:val="6"/>
                <w:sz w:val="24"/>
                <w:szCs w:val="24"/>
              </w:rPr>
              <w:t>模式创新解决方案供应商</w:t>
            </w:r>
            <w:r>
              <w:rPr>
                <w:rFonts w:ascii="Times New Roman" w:hAnsi="Times New Roman" w:cs="Times New Roman" w:eastAsia="Times New Roman" w:hint="default"/>
                <w:spacing w:val="6"/>
                <w:sz w:val="24"/>
                <w:szCs w:val="24"/>
              </w:rPr>
              <w:t>(</w:t>
            </w:r>
            <w:r>
              <w:rPr>
                <w:rFonts w:ascii="宋体" w:hAnsi="宋体" w:cs="宋体" w:eastAsia="宋体" w:hint="default"/>
                <w:spacing w:val="6"/>
                <w:sz w:val="24"/>
                <w:szCs w:val="24"/>
              </w:rPr>
              <w:t>智能</w:t>
            </w:r>
            <w:r>
              <w:rPr>
                <w:rFonts w:ascii="宋体" w:hAnsi="宋体" w:cs="宋体" w:eastAsia="宋体" w:hint="default"/>
                <w:sz w:val="24"/>
                <w:szCs w:val="24"/>
              </w:rPr>
            </w:r>
          </w:p>
          <w:p>
            <w:pPr>
              <w:pStyle w:val="TableParagraph"/>
              <w:spacing w:line="322" w:lineRule="exact"/>
              <w:ind w:left="-5"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化生产</w:t>
            </w:r>
            <w:r>
              <w:rPr>
                <w:rFonts w:ascii="Times New Roman" w:hAnsi="Times New Roman" w:cs="Times New Roman" w:eastAsia="Times New Roman" w:hint="default"/>
                <w:sz w:val="24"/>
                <w:szCs w:val="24"/>
              </w:rPr>
              <w:t>)</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1,930,000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5"/>
              <w:jc w:val="right"/>
              <w:rPr>
                <w:rFonts w:ascii="宋体" w:hAnsi="宋体" w:cs="宋体" w:eastAsia="宋体" w:hint="default"/>
                <w:sz w:val="24"/>
                <w:szCs w:val="24"/>
              </w:rPr>
            </w:pPr>
            <w:r>
              <w:rPr>
                <w:rFonts w:ascii="宋体" w:hAnsi="宋体" w:cs="宋体" w:eastAsia="宋体" w:hint="default"/>
                <w:sz w:val="24"/>
                <w:szCs w:val="24"/>
              </w:rPr>
              <w:t>其他收益</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1,930,000</w:t>
            </w:r>
          </w:p>
        </w:tc>
      </w:tr>
      <w:tr>
        <w:trPr>
          <w:trHeight w:val="319"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 w:right="0"/>
              <w:jc w:val="left"/>
              <w:rPr>
                <w:rFonts w:ascii="宋体" w:hAnsi="宋体" w:cs="宋体" w:eastAsia="宋体" w:hint="default"/>
                <w:sz w:val="24"/>
                <w:szCs w:val="24"/>
              </w:rPr>
            </w:pPr>
            <w:r>
              <w:rPr>
                <w:rFonts w:ascii="宋体" w:hAnsi="宋体" w:cs="宋体" w:eastAsia="宋体" w:hint="default"/>
                <w:sz w:val="24"/>
                <w:szCs w:val="24"/>
              </w:rPr>
              <w:t>用友精智工业互联网平台建设</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1,429,166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5"/>
              <w:jc w:val="right"/>
              <w:rPr>
                <w:rFonts w:ascii="宋体" w:hAnsi="宋体" w:cs="宋体" w:eastAsia="宋体" w:hint="default"/>
                <w:sz w:val="24"/>
                <w:szCs w:val="24"/>
              </w:rPr>
            </w:pPr>
            <w:r>
              <w:rPr>
                <w:rFonts w:ascii="宋体" w:hAnsi="宋体" w:cs="宋体" w:eastAsia="宋体" w:hint="default"/>
                <w:sz w:val="24"/>
                <w:szCs w:val="24"/>
              </w:rPr>
              <w:t>其他收益</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1,429,166</w:t>
            </w:r>
          </w:p>
        </w:tc>
      </w:tr>
      <w:tr>
        <w:trPr>
          <w:trHeight w:val="634"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5"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2017 </w:t>
            </w:r>
            <w:r>
              <w:rPr>
                <w:rFonts w:ascii="Times New Roman" w:hAnsi="Times New Roman" w:cs="Times New Roman" w:eastAsia="Times New Roman" w:hint="default"/>
                <w:spacing w:val="7"/>
                <w:sz w:val="24"/>
                <w:szCs w:val="24"/>
              </w:rPr>
              <w:t> </w:t>
            </w:r>
            <w:r>
              <w:rPr>
                <w:rFonts w:ascii="宋体" w:hAnsi="宋体" w:cs="宋体" w:eastAsia="宋体" w:hint="default"/>
                <w:spacing w:val="3"/>
                <w:sz w:val="24"/>
                <w:szCs w:val="24"/>
              </w:rPr>
              <w:t>年海南省互联网产业发展</w:t>
            </w:r>
          </w:p>
          <w:p>
            <w:pPr>
              <w:pStyle w:val="TableParagraph"/>
              <w:spacing w:line="303" w:lineRule="exact"/>
              <w:ind w:left="-5" w:right="0"/>
              <w:jc w:val="left"/>
              <w:rPr>
                <w:rFonts w:ascii="宋体" w:hAnsi="宋体" w:cs="宋体" w:eastAsia="宋体" w:hint="default"/>
                <w:sz w:val="24"/>
                <w:szCs w:val="24"/>
              </w:rPr>
            </w:pPr>
            <w:r>
              <w:rPr>
                <w:rFonts w:ascii="宋体" w:hAnsi="宋体" w:cs="宋体" w:eastAsia="宋体" w:hint="default"/>
                <w:sz w:val="24"/>
                <w:szCs w:val="24"/>
              </w:rPr>
              <w:t>专项资金</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490,963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pacing w:val="23"/>
                <w:sz w:val="24"/>
                <w:szCs w:val="24"/>
              </w:rPr>
              <w:t>营业外收</w:t>
            </w:r>
            <w:r>
              <w:rPr>
                <w:rFonts w:ascii="宋体" w:hAnsi="宋体" w:cs="宋体" w:eastAsia="宋体" w:hint="default"/>
                <w:spacing w:val="-89"/>
                <w:sz w:val="24"/>
                <w:szCs w:val="24"/>
              </w:rPr>
              <w:t> </w:t>
            </w:r>
            <w:r>
              <w:rPr>
                <w:rFonts w:ascii="宋体" w:hAnsi="宋体" w:cs="宋体" w:eastAsia="宋体" w:hint="default"/>
                <w:sz w:val="24"/>
                <w:szCs w:val="24"/>
              </w:rPr>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入</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490,963</w:t>
            </w:r>
          </w:p>
        </w:tc>
      </w:tr>
      <w:tr>
        <w:trPr>
          <w:trHeight w:val="634"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4,437,414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27" w:right="0"/>
              <w:jc w:val="left"/>
              <w:rPr>
                <w:rFonts w:ascii="宋体" w:hAnsi="宋体" w:cs="宋体" w:eastAsia="宋体" w:hint="default"/>
                <w:sz w:val="24"/>
                <w:szCs w:val="24"/>
              </w:rPr>
            </w:pPr>
            <w:r>
              <w:rPr>
                <w:rFonts w:ascii="宋体" w:hAnsi="宋体" w:cs="宋体" w:eastAsia="宋体" w:hint="default"/>
                <w:sz w:val="24"/>
                <w:szCs w:val="24"/>
              </w:rPr>
              <w:t>营业外收</w:t>
            </w:r>
          </w:p>
          <w:p>
            <w:pPr>
              <w:pStyle w:val="TableParagraph"/>
              <w:spacing w:line="313" w:lineRule="exact"/>
              <w:ind w:left="127" w:right="0"/>
              <w:jc w:val="left"/>
              <w:rPr>
                <w:rFonts w:ascii="宋体" w:hAnsi="宋体" w:cs="宋体" w:eastAsia="宋体" w:hint="default"/>
                <w:sz w:val="24"/>
                <w:szCs w:val="24"/>
              </w:rPr>
            </w:pPr>
            <w:r>
              <w:rPr>
                <w:rFonts w:ascii="宋体" w:hAnsi="宋体" w:cs="宋体" w:eastAsia="宋体" w:hint="default"/>
                <w:sz w:val="24"/>
                <w:szCs w:val="24"/>
              </w:rPr>
              <w:t>入</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4,437,414</w:t>
            </w:r>
          </w:p>
        </w:tc>
      </w:tr>
    </w:tbl>
    <w:p>
      <w:pPr>
        <w:spacing w:line="240" w:lineRule="auto" w:before="8"/>
        <w:rPr>
          <w:rFonts w:ascii="宋体" w:hAnsi="宋体" w:cs="宋体" w:eastAsia="宋体" w:hint="default"/>
          <w:sz w:val="20"/>
          <w:szCs w:val="20"/>
        </w:rPr>
      </w:pPr>
    </w:p>
    <w:p>
      <w:pPr>
        <w:pStyle w:val="Heading2"/>
        <w:tabs>
          <w:tab w:pos="1157" w:val="left" w:leader="none"/>
        </w:tabs>
        <w:spacing w:line="240" w:lineRule="auto" w:before="26"/>
        <w:ind w:left="316" w:right="0"/>
        <w:jc w:val="left"/>
        <w:rPr>
          <w:rFonts w:ascii="宋体" w:hAnsi="宋体" w:cs="宋体" w:eastAsia="宋体" w:hint="default"/>
          <w:b w:val="0"/>
          <w:bCs w:val="0"/>
        </w:rPr>
      </w:pPr>
      <w:r>
        <w:rPr>
          <w:rFonts w:ascii="宋体" w:hAnsi="宋体" w:cs="宋体" w:eastAsia="宋体" w:hint="default"/>
        </w:rPr>
        <w:t>(2).</w:t>
        <w:tab/>
      </w:r>
      <w:r>
        <w:rPr/>
        <w:t>政府补助退回情况</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86"/>
        <w:ind w:left="316" w:right="7370"/>
        <w:jc w:val="left"/>
      </w:pPr>
      <w:r>
        <w:rPr/>
        <w:t>□适用 √不适用 其他说明：</w:t>
      </w:r>
    </w:p>
    <w:p>
      <w:pPr>
        <w:pStyle w:val="BodyText"/>
        <w:spacing w:line="283" w:lineRule="exact"/>
        <w:ind w:left="316" w:right="0"/>
        <w:jc w:val="left"/>
      </w:pPr>
      <w:r>
        <w:rPr/>
        <w:t>无。</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2"/>
          <w:szCs w:val="22"/>
        </w:rPr>
      </w:pPr>
    </w:p>
    <w:p>
      <w:pPr>
        <w:pStyle w:val="Heading2"/>
        <w:spacing w:line="240" w:lineRule="auto"/>
        <w:ind w:left="316" w:right="0"/>
        <w:jc w:val="left"/>
        <w:rPr>
          <w:rFonts w:ascii="宋体" w:hAnsi="宋体" w:cs="宋体" w:eastAsia="宋体" w:hint="default"/>
          <w:b w:val="0"/>
          <w:bCs w:val="0"/>
        </w:rPr>
      </w:pPr>
      <w:r>
        <w:rPr>
          <w:rFonts w:ascii="宋体" w:hAnsi="宋体" w:cs="宋体" w:eastAsia="宋体" w:hint="default"/>
        </w:rPr>
        <w:t>82</w:t>
      </w:r>
      <w:r>
        <w:rPr/>
        <w:t>、</w:t>
      </w:r>
      <w:r>
        <w:rPr>
          <w:spacing w:val="-102"/>
        </w:rPr>
        <w:t> </w:t>
      </w:r>
      <w:r>
        <w:rPr/>
        <w:t>套期</w:t>
      </w:r>
      <w:r>
        <w:rPr>
          <w:rFonts w:ascii="宋体" w:hAnsi="宋体" w:cs="宋体" w:eastAsia="宋体" w:hint="default"/>
          <w:w w:val="99"/>
        </w:rPr>
        <w:t> </w:t>
      </w:r>
      <w:r>
        <w:rPr>
          <w:rFonts w:ascii="宋体" w:hAnsi="宋体" w:cs="宋体" w:eastAsia="宋体" w:hint="default"/>
          <w:b w:val="0"/>
          <w:bCs w:val="0"/>
        </w:rPr>
      </w:r>
    </w:p>
    <w:p>
      <w:pPr>
        <w:pStyle w:val="BodyText"/>
        <w:spacing w:line="312" w:lineRule="exact" w:before="88"/>
        <w:ind w:left="316" w:right="0"/>
        <w:jc w:val="left"/>
      </w:pPr>
      <w:r>
        <w:rPr/>
        <w:t>√适用 □不适用 按照套期类别披露套期项目及相关套期工具、被套期风险的相关的定性和定量信息：</w:t>
      </w:r>
    </w:p>
    <w:p>
      <w:pPr>
        <w:spacing w:line="240" w:lineRule="auto" w:before="0"/>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4627"/>
        <w:gridCol w:w="1104"/>
        <w:gridCol w:w="1354"/>
        <w:gridCol w:w="1450"/>
      </w:tblGrid>
      <w:tr>
        <w:trPr>
          <w:trHeight w:val="234" w:hRule="exact"/>
        </w:trPr>
        <w:tc>
          <w:tcPr>
            <w:tcW w:w="8535" w:type="dxa"/>
            <w:gridSpan w:val="4"/>
            <w:tcBorders>
              <w:top w:val="nil" w:sz="6" w:space="0" w:color="auto"/>
              <w:left w:val="nil" w:sz="6" w:space="0" w:color="auto"/>
              <w:bottom w:val="nil" w:sz="6" w:space="0" w:color="auto"/>
              <w:right w:val="nil" w:sz="6" w:space="0" w:color="auto"/>
            </w:tcBorders>
          </w:tcPr>
          <w:p>
            <w:pPr>
              <w:pStyle w:val="TableParagraph"/>
              <w:spacing w:line="214" w:lineRule="exact"/>
              <w:ind w:right="1085"/>
              <w:jc w:val="right"/>
              <w:rPr>
                <w:rFonts w:ascii="黑体" w:hAnsi="黑体" w:cs="黑体" w:eastAsia="黑体" w:hint="default"/>
                <w:sz w:val="20"/>
                <w:szCs w:val="20"/>
              </w:rPr>
            </w:pP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400" w:hRule="exact"/>
        </w:trPr>
        <w:tc>
          <w:tcPr>
            <w:tcW w:w="4627"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
        </w:tc>
        <w:tc>
          <w:tcPr>
            <w:tcW w:w="1354" w:type="dxa"/>
            <w:tcBorders>
              <w:top w:val="single" w:sz="4" w:space="0" w:color="000000"/>
              <w:left w:val="nil" w:sz="6" w:space="0" w:color="auto"/>
              <w:bottom w:val="nil" w:sz="6" w:space="0" w:color="auto"/>
              <w:right w:val="nil" w:sz="6" w:space="0" w:color="auto"/>
            </w:tcBorders>
          </w:tcPr>
          <w:p>
            <w:pPr>
              <w:pStyle w:val="TableParagraph"/>
              <w:spacing w:line="240" w:lineRule="auto" w:before="35"/>
              <w:ind w:right="554"/>
              <w:jc w:val="right"/>
              <w:rPr>
                <w:rFonts w:ascii="黑体" w:hAnsi="黑体" w:cs="黑体" w:eastAsia="黑体" w:hint="default"/>
                <w:sz w:val="20"/>
                <w:szCs w:val="20"/>
              </w:rPr>
            </w:pPr>
            <w:r>
              <w:rPr>
                <w:rFonts w:ascii="黑体" w:hAnsi="黑体" w:cs="黑体" w:eastAsia="黑体" w:hint="default"/>
                <w:sz w:val="20"/>
                <w:szCs w:val="20"/>
              </w:rPr>
              <w:t>资产</w:t>
            </w:r>
          </w:p>
        </w:tc>
        <w:tc>
          <w:tcPr>
            <w:tcW w:w="1450" w:type="dxa"/>
            <w:tcBorders>
              <w:top w:val="single" w:sz="4" w:space="0" w:color="000000"/>
              <w:left w:val="nil" w:sz="6" w:space="0" w:color="auto"/>
              <w:bottom w:val="nil" w:sz="6" w:space="0" w:color="auto"/>
              <w:right w:val="nil" w:sz="6" w:space="0" w:color="auto"/>
            </w:tcBorders>
          </w:tcPr>
          <w:p>
            <w:pPr>
              <w:pStyle w:val="TableParagraph"/>
              <w:spacing w:line="240" w:lineRule="auto" w:before="102"/>
              <w:ind w:right="0"/>
              <w:jc w:val="right"/>
              <w:rPr>
                <w:rFonts w:ascii="黑体" w:hAnsi="黑体" w:cs="黑体" w:eastAsia="黑体" w:hint="default"/>
                <w:sz w:val="20"/>
                <w:szCs w:val="20"/>
              </w:rPr>
            </w:pPr>
            <w:r>
              <w:rPr>
                <w:rFonts w:ascii="黑体" w:hAnsi="黑体" w:cs="黑体" w:eastAsia="黑体" w:hint="default"/>
                <w:sz w:val="20"/>
                <w:szCs w:val="20"/>
              </w:rPr>
              <w:t>负债</w:t>
            </w:r>
          </w:p>
        </w:tc>
      </w:tr>
      <w:tr>
        <w:trPr>
          <w:trHeight w:val="302" w:hRule="exact"/>
        </w:trPr>
        <w:tc>
          <w:tcPr>
            <w:tcW w:w="4627" w:type="dxa"/>
            <w:tcBorders>
              <w:top w:val="nil" w:sz="6" w:space="0" w:color="auto"/>
              <w:left w:val="nil" w:sz="6" w:space="0" w:color="auto"/>
              <w:bottom w:val="nil" w:sz="6" w:space="0" w:color="auto"/>
              <w:right w:val="nil" w:sz="6" w:space="0" w:color="auto"/>
            </w:tcBorders>
          </w:tcPr>
          <w:p>
            <w:pPr>
              <w:pStyle w:val="TableParagraph"/>
              <w:spacing w:line="272" w:lineRule="exact"/>
              <w:ind w:left="200" w:right="0"/>
              <w:jc w:val="left"/>
              <w:rPr>
                <w:rFonts w:ascii="宋体" w:hAnsi="宋体" w:cs="宋体" w:eastAsia="宋体" w:hint="default"/>
                <w:sz w:val="24"/>
                <w:szCs w:val="24"/>
              </w:rPr>
            </w:pPr>
            <w:r>
              <w:rPr>
                <w:rFonts w:ascii="宋体" w:hAnsi="宋体" w:cs="宋体" w:eastAsia="宋体" w:hint="default"/>
                <w:sz w:val="24"/>
                <w:szCs w:val="24"/>
              </w:rPr>
              <w:t>套期工具</w:t>
            </w:r>
          </w:p>
        </w:tc>
        <w:tc>
          <w:tcPr>
            <w:tcW w:w="1104"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557"/>
              <w:jc w:val="right"/>
              <w:rPr>
                <w:rFonts w:ascii="Arial" w:hAnsi="Arial" w:cs="Arial" w:eastAsia="Arial" w:hint="default"/>
                <w:sz w:val="20"/>
                <w:szCs w:val="20"/>
              </w:rPr>
            </w:pPr>
            <w:r>
              <w:rPr>
                <w:rFonts w:ascii="Arial"/>
                <w:w w:val="99"/>
                <w:sz w:val="20"/>
              </w:rPr>
            </w:r>
            <w:r>
              <w:rPr>
                <w:rFonts w:ascii="Arial"/>
                <w:spacing w:val="-1"/>
                <w:sz w:val="20"/>
                <w:u w:val="thick" w:color="000000"/>
              </w:rPr>
              <w:t>384,706</w:t>
            </w:r>
            <w:r>
              <w:rPr>
                <w:rFonts w:ascii="Arial"/>
                <w:spacing w:val="-1"/>
                <w:sz w:val="20"/>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
              <w:jc w:val="right"/>
              <w:rPr>
                <w:rFonts w:ascii="Arial" w:hAnsi="Arial" w:cs="Arial" w:eastAsia="Arial" w:hint="default"/>
                <w:sz w:val="20"/>
                <w:szCs w:val="20"/>
              </w:rPr>
            </w:pPr>
            <w:r>
              <w:rPr>
                <w:rFonts w:ascii="Arial"/>
                <w:w w:val="99"/>
                <w:sz w:val="20"/>
              </w:rPr>
            </w:r>
            <w:r>
              <w:rPr>
                <w:rFonts w:ascii="Arial"/>
                <w:w w:val="95"/>
                <w:sz w:val="20"/>
                <w:u w:val="thick" w:color="000000"/>
              </w:rPr>
              <w:t>6,658,487</w:t>
            </w:r>
            <w:r>
              <w:rPr>
                <w:rFonts w:ascii="Arial"/>
                <w:w w:val="95"/>
                <w:sz w:val="20"/>
              </w:rPr>
            </w:r>
            <w:r>
              <w:rPr>
                <w:rFonts w:ascii="Arial"/>
                <w:sz w:val="20"/>
              </w:rPr>
            </w:r>
          </w:p>
        </w:tc>
      </w:tr>
    </w:tbl>
    <w:p>
      <w:pPr>
        <w:spacing w:line="240" w:lineRule="auto" w:before="8"/>
        <w:rPr>
          <w:rFonts w:ascii="宋体" w:hAnsi="宋体" w:cs="宋体" w:eastAsia="宋体" w:hint="default"/>
          <w:sz w:val="16"/>
          <w:szCs w:val="16"/>
        </w:rPr>
      </w:pPr>
    </w:p>
    <w:p>
      <w:pPr>
        <w:pStyle w:val="BodyText"/>
        <w:spacing w:line="310" w:lineRule="exact" w:before="58"/>
        <w:ind w:left="316" w:right="0"/>
        <w:jc w:val="left"/>
      </w:pPr>
      <w:r>
        <w:rPr>
          <w:spacing w:val="-2"/>
        </w:rPr>
        <w:t>本集团通过货币互换与利率互换协议来降低外汇波动、市场利率变动对本集团的影响。</w:t>
      </w:r>
      <w:r>
        <w:rPr>
          <w:spacing w:val="-92"/>
        </w:rPr>
        <w:t> </w:t>
      </w:r>
      <w:r>
        <w:rPr>
          <w:spacing w:val="-92"/>
        </w:rPr>
      </w:r>
      <w:r>
        <w:rPr/>
        <w:t>本集团签订的货币互换与利率互换协议为套期工具，无现金流套期无效部分。</w:t>
      </w:r>
    </w:p>
    <w:p>
      <w:pPr>
        <w:spacing w:line="240" w:lineRule="auto" w:before="10"/>
        <w:rPr>
          <w:rFonts w:ascii="宋体" w:hAnsi="宋体" w:cs="宋体" w:eastAsia="宋体" w:hint="default"/>
          <w:sz w:val="18"/>
          <w:szCs w:val="18"/>
        </w:rPr>
      </w:pPr>
    </w:p>
    <w:p>
      <w:pPr>
        <w:pStyle w:val="BodyText"/>
        <w:spacing w:line="240" w:lineRule="auto"/>
        <w:ind w:left="316" w:right="0"/>
        <w:jc w:val="left"/>
      </w:pPr>
      <w:r>
        <w:rPr/>
        <w:t>上述合同于</w:t>
      </w:r>
      <w:r>
        <w:rPr>
          <w:spacing w:val="-60"/>
        </w:rPr>
        <w:t> </w:t>
      </w:r>
      <w:r>
        <w:rPr>
          <w:rFonts w:ascii="Times New Roman" w:hAnsi="Times New Roman" w:cs="Times New Roman" w:eastAsia="Times New Roman" w:hint="default"/>
        </w:rPr>
        <w:t>2019 </w:t>
      </w:r>
      <w:r>
        <w:rPr/>
        <w:t>年度的公允价值变动净损失共计人民币</w:t>
      </w:r>
      <w:r>
        <w:rPr>
          <w:spacing w:val="-59"/>
        </w:rPr>
        <w:t> </w:t>
      </w:r>
      <w:r>
        <w:rPr>
          <w:rFonts w:ascii="Times New Roman" w:hAnsi="Times New Roman" w:cs="Times New Roman" w:eastAsia="Times New Roman" w:hint="default"/>
        </w:rPr>
        <w:t>6,273,781 </w:t>
      </w:r>
      <w:r>
        <w:rPr/>
        <w:t>元。</w:t>
      </w:r>
    </w:p>
    <w:p>
      <w:pPr>
        <w:spacing w:after="0" w:line="240" w:lineRule="auto"/>
        <w:jc w:val="left"/>
        <w:sectPr>
          <w:type w:val="continuous"/>
          <w:pgSz w:w="11910" w:h="16840"/>
          <w:pgMar w:top="1120" w:bottom="1380" w:left="960" w:right="1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8"/>
          <w:szCs w:val="28"/>
        </w:rPr>
      </w:pPr>
    </w:p>
    <w:p>
      <w:pPr>
        <w:pStyle w:val="Heading2"/>
        <w:spacing w:line="240" w:lineRule="auto" w:before="26"/>
        <w:ind w:left="136" w:right="0"/>
        <w:jc w:val="left"/>
        <w:rPr>
          <w:b w:val="0"/>
          <w:bCs w:val="0"/>
        </w:rPr>
      </w:pPr>
      <w:r>
        <w:rPr>
          <w:rFonts w:ascii="宋体" w:hAnsi="宋体" w:cs="宋体" w:eastAsia="宋体" w:hint="default"/>
        </w:rPr>
        <w:t>83</w:t>
      </w:r>
      <w:r>
        <w:rPr/>
        <w:t>、</w:t>
      </w:r>
      <w:r>
        <w:rPr>
          <w:spacing w:val="-99"/>
        </w:rPr>
        <w:t> </w:t>
      </w:r>
      <w:r>
        <w:rPr/>
        <w:t>其他</w:t>
      </w:r>
      <w:r>
        <w:rPr>
          <w:b w:val="0"/>
          <w:bCs w:val="0"/>
        </w:rPr>
      </w:r>
    </w:p>
    <w:p>
      <w:pPr>
        <w:pStyle w:val="BodyText"/>
        <w:spacing w:line="240" w:lineRule="auto" w:before="58"/>
        <w:ind w:right="0"/>
        <w:jc w:val="left"/>
      </w:pPr>
      <w:r>
        <w:rPr/>
        <w:t>□适用 √不适用</w:t>
      </w:r>
    </w:p>
    <w:p>
      <w:pPr>
        <w:spacing w:line="240" w:lineRule="auto" w:before="13"/>
        <w:rPr>
          <w:rFonts w:ascii="宋体" w:hAnsi="宋体" w:cs="宋体" w:eastAsia="宋体" w:hint="default"/>
          <w:sz w:val="25"/>
          <w:szCs w:val="25"/>
        </w:rPr>
      </w:pPr>
    </w:p>
    <w:p>
      <w:pPr>
        <w:spacing w:before="0"/>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八、</w:t>
      </w:r>
      <w:r>
        <w:rPr>
          <w:rFonts w:ascii="宋体" w:hAnsi="宋体" w:cs="宋体" w:eastAsia="宋体" w:hint="default"/>
          <w:b/>
          <w:bCs/>
          <w:spacing w:val="-80"/>
          <w:sz w:val="20"/>
          <w:szCs w:val="20"/>
        </w:rPr>
        <w:t> </w:t>
      </w:r>
      <w:r>
        <w:rPr>
          <w:rFonts w:ascii="宋体" w:hAnsi="宋体" w:cs="宋体" w:eastAsia="宋体" w:hint="default"/>
          <w:b/>
          <w:bCs/>
          <w:spacing w:val="-80"/>
          <w:sz w:val="20"/>
          <w:szCs w:val="20"/>
        </w:rPr>
      </w:r>
      <w:r>
        <w:rPr>
          <w:rFonts w:ascii="宋体" w:hAnsi="宋体" w:cs="宋体" w:eastAsia="宋体" w:hint="default"/>
          <w:b/>
          <w:bCs/>
          <w:sz w:val="20"/>
          <w:szCs w:val="20"/>
        </w:rPr>
        <w:t>合并范围的变更</w:t>
      </w:r>
      <w:r>
        <w:rPr>
          <w:rFonts w:ascii="宋体" w:hAnsi="宋体" w:cs="宋体" w:eastAsia="宋体" w:hint="default"/>
          <w:sz w:val="20"/>
          <w:szCs w:val="20"/>
        </w:rPr>
      </w:r>
    </w:p>
    <w:p>
      <w:pPr>
        <w:spacing w:before="57"/>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z w:val="20"/>
          <w:szCs w:val="20"/>
        </w:rPr>
        <w:t>、</w:t>
      </w:r>
      <w:r>
        <w:rPr>
          <w:rFonts w:ascii="宋体" w:hAnsi="宋体" w:cs="宋体" w:eastAsia="宋体" w:hint="default"/>
          <w:b/>
          <w:bCs/>
          <w:spacing w:val="16"/>
          <w:sz w:val="20"/>
          <w:szCs w:val="20"/>
        </w:rPr>
        <w:t> </w:t>
      </w:r>
      <w:r>
        <w:rPr>
          <w:rFonts w:ascii="宋体" w:hAnsi="宋体" w:cs="宋体" w:eastAsia="宋体" w:hint="default"/>
          <w:b/>
          <w:bCs/>
          <w:sz w:val="20"/>
          <w:szCs w:val="20"/>
        </w:rPr>
        <w:t>非同一控制下企业合并</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51"/>
        <w:ind w:right="0"/>
        <w:jc w:val="left"/>
      </w:pPr>
      <w:r>
        <w:rPr/>
        <w:t>□适用 √不适用</w:t>
      </w:r>
    </w:p>
    <w:p>
      <w:pPr>
        <w:spacing w:line="240" w:lineRule="auto" w:before="13"/>
        <w:rPr>
          <w:rFonts w:ascii="宋体" w:hAnsi="宋体" w:cs="宋体" w:eastAsia="宋体" w:hint="default"/>
          <w:sz w:val="25"/>
          <w:szCs w:val="25"/>
        </w:rPr>
      </w:pPr>
    </w:p>
    <w:p>
      <w:pPr>
        <w:spacing w:before="0"/>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w:t>
      </w:r>
      <w:r>
        <w:rPr>
          <w:rFonts w:ascii="宋体" w:hAnsi="宋体" w:cs="宋体" w:eastAsia="宋体" w:hint="default"/>
          <w:b/>
          <w:bCs/>
          <w:spacing w:val="15"/>
          <w:sz w:val="20"/>
          <w:szCs w:val="20"/>
        </w:rPr>
        <w:t> </w:t>
      </w:r>
      <w:r>
        <w:rPr>
          <w:rFonts w:ascii="宋体" w:hAnsi="宋体" w:cs="宋体" w:eastAsia="宋体" w:hint="default"/>
          <w:b/>
          <w:bCs/>
          <w:sz w:val="20"/>
          <w:szCs w:val="20"/>
        </w:rPr>
        <w:t>同一控制下企业合并</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left"/>
      </w:pPr>
      <w:r>
        <w:rPr/>
        <w:t>□适用 √不适用</w:t>
      </w:r>
    </w:p>
    <w:p>
      <w:pPr>
        <w:spacing w:line="240" w:lineRule="auto" w:before="3"/>
        <w:rPr>
          <w:rFonts w:ascii="宋体" w:hAnsi="宋体" w:cs="宋体" w:eastAsia="宋体" w:hint="default"/>
          <w:sz w:val="26"/>
          <w:szCs w:val="26"/>
        </w:rPr>
      </w:pPr>
    </w:p>
    <w:p>
      <w:pPr>
        <w:spacing w:before="0"/>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z w:val="20"/>
          <w:szCs w:val="20"/>
        </w:rPr>
        <w:t>、</w:t>
      </w:r>
      <w:r>
        <w:rPr>
          <w:rFonts w:ascii="宋体" w:hAnsi="宋体" w:cs="宋体" w:eastAsia="宋体" w:hint="default"/>
          <w:b/>
          <w:bCs/>
          <w:spacing w:val="15"/>
          <w:sz w:val="20"/>
          <w:szCs w:val="20"/>
        </w:rPr>
        <w:t> </w:t>
      </w:r>
      <w:r>
        <w:rPr>
          <w:rFonts w:ascii="宋体" w:hAnsi="宋体" w:cs="宋体" w:eastAsia="宋体" w:hint="default"/>
          <w:b/>
          <w:bCs/>
          <w:sz w:val="20"/>
          <w:szCs w:val="20"/>
        </w:rPr>
        <w:t>反向购买</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left"/>
      </w:pPr>
      <w:r>
        <w:rPr/>
        <w:t>□适用 √不适用</w:t>
      </w:r>
    </w:p>
    <w:p>
      <w:pPr>
        <w:spacing w:after="0" w:line="240" w:lineRule="auto"/>
        <w:jc w:val="left"/>
        <w:sectPr>
          <w:pgSz w:w="11910" w:h="16840"/>
          <w:pgMar w:header="882" w:footer="1195" w:top="1080" w:bottom="1380" w:left="1140" w:right="1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74"/>
          <w:footerReference w:type="default" r:id="rId75"/>
          <w:pgSz w:w="16840" w:h="11910" w:orient="landscape"/>
          <w:pgMar w:header="882" w:footer="1195" w:top="1120" w:bottom="1380" w:left="1140" w:right="1380"/>
          <w:pgNumType w:start="134"/>
        </w:sectPr>
      </w:pPr>
    </w:p>
    <w:p>
      <w:pPr>
        <w:spacing w:before="177"/>
        <w:ind w:left="300" w:right="-20"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z w:val="20"/>
          <w:szCs w:val="20"/>
        </w:rPr>
        <w:t>、</w:t>
      </w:r>
      <w:r>
        <w:rPr>
          <w:rFonts w:ascii="宋体" w:hAnsi="宋体" w:cs="宋体" w:eastAsia="宋体" w:hint="default"/>
          <w:b/>
          <w:bCs/>
          <w:spacing w:val="15"/>
          <w:sz w:val="20"/>
          <w:szCs w:val="20"/>
        </w:rPr>
        <w:t> </w:t>
      </w:r>
      <w:r>
        <w:rPr>
          <w:rFonts w:ascii="宋体" w:hAnsi="宋体" w:cs="宋体" w:eastAsia="宋体" w:hint="default"/>
          <w:b/>
          <w:bCs/>
          <w:sz w:val="20"/>
          <w:szCs w:val="20"/>
        </w:rPr>
        <w:t>处置子公司</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313" w:lineRule="exact" w:before="49"/>
        <w:ind w:left="300" w:right="-20"/>
        <w:jc w:val="left"/>
      </w:pPr>
      <w:r>
        <w:rPr/>
        <w:t>是否存在单次处置对子公司投资即丧失控制权的情形</w:t>
      </w:r>
    </w:p>
    <w:p>
      <w:pPr>
        <w:pStyle w:val="BodyText"/>
        <w:spacing w:line="313" w:lineRule="exact"/>
        <w:ind w:left="300" w:right="-2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tabs>
          <w:tab w:pos="1327" w:val="left" w:leader="none"/>
        </w:tabs>
        <w:spacing w:line="240" w:lineRule="auto" w:before="167"/>
        <w:ind w:left="300"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6840" w:h="11910" w:orient="landscape"/>
          <w:pgMar w:top="1120" w:bottom="1380" w:left="1140" w:right="1380"/>
          <w:cols w:num="2" w:equalWidth="0">
            <w:col w:w="5821" w:space="5759"/>
            <w:col w:w="2740"/>
          </w:cols>
        </w:sectPr>
      </w:pPr>
    </w:p>
    <w:tbl>
      <w:tblPr>
        <w:tblW w:w="0" w:type="auto"/>
        <w:jc w:val="left"/>
        <w:tblInd w:w="290" w:type="dxa"/>
        <w:tblLayout w:type="fixed"/>
        <w:tblCellMar>
          <w:top w:w="0" w:type="dxa"/>
          <w:left w:w="0" w:type="dxa"/>
          <w:bottom w:w="0" w:type="dxa"/>
          <w:right w:w="0" w:type="dxa"/>
        </w:tblCellMar>
        <w:tblLook w:val="01E0"/>
      </w:tblPr>
      <w:tblGrid>
        <w:gridCol w:w="850"/>
        <w:gridCol w:w="1135"/>
        <w:gridCol w:w="667"/>
        <w:gridCol w:w="960"/>
        <w:gridCol w:w="956"/>
        <w:gridCol w:w="1135"/>
        <w:gridCol w:w="1414"/>
        <w:gridCol w:w="1095"/>
        <w:gridCol w:w="1154"/>
        <w:gridCol w:w="1142"/>
        <w:gridCol w:w="1253"/>
        <w:gridCol w:w="1289"/>
        <w:gridCol w:w="852"/>
      </w:tblGrid>
      <w:tr>
        <w:trPr>
          <w:trHeight w:val="1827"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9"/>
                <w:szCs w:val="29"/>
              </w:rPr>
            </w:pPr>
          </w:p>
          <w:p>
            <w:pPr>
              <w:pStyle w:val="TableParagraph"/>
              <w:spacing w:line="260" w:lineRule="exact"/>
              <w:ind w:left="319" w:right="22" w:hanging="301"/>
              <w:jc w:val="left"/>
              <w:rPr>
                <w:rFonts w:ascii="宋体" w:hAnsi="宋体" w:cs="宋体" w:eastAsia="宋体" w:hint="default"/>
                <w:sz w:val="20"/>
                <w:szCs w:val="20"/>
              </w:rPr>
            </w:pPr>
            <w:r>
              <w:rPr>
                <w:rFonts w:ascii="宋体" w:hAnsi="宋体" w:cs="宋体" w:eastAsia="宋体" w:hint="default"/>
                <w:sz w:val="20"/>
                <w:szCs w:val="20"/>
              </w:rPr>
              <w:t>子公司名</w:t>
            </w:r>
            <w:r>
              <w:rPr>
                <w:rFonts w:ascii="宋体" w:hAnsi="宋体" w:cs="宋体" w:eastAsia="宋体" w:hint="default"/>
                <w:w w:val="99"/>
                <w:sz w:val="20"/>
                <w:szCs w:val="20"/>
              </w:rPr>
              <w:t> </w:t>
            </w:r>
            <w:r>
              <w:rPr>
                <w:rFonts w:ascii="宋体" w:hAnsi="宋体" w:cs="宋体" w:eastAsia="宋体" w:hint="default"/>
                <w:sz w:val="20"/>
                <w:szCs w:val="20"/>
              </w:rPr>
              <w:t>称</w:t>
            </w:r>
            <w:r>
              <w:rPr>
                <w:rFonts w:ascii="宋体" w:hAnsi="宋体" w:cs="宋体" w:eastAsia="宋体" w:hint="default"/>
                <w:sz w:val="20"/>
                <w:szCs w:val="20"/>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9"/>
                <w:szCs w:val="29"/>
              </w:rPr>
            </w:pPr>
          </w:p>
          <w:p>
            <w:pPr>
              <w:pStyle w:val="TableParagraph"/>
              <w:spacing w:line="260" w:lineRule="exact"/>
              <w:ind w:left="463" w:right="63" w:hanging="401"/>
              <w:jc w:val="left"/>
              <w:rPr>
                <w:rFonts w:ascii="宋体" w:hAnsi="宋体" w:cs="宋体" w:eastAsia="宋体" w:hint="default"/>
                <w:sz w:val="20"/>
                <w:szCs w:val="20"/>
              </w:rPr>
            </w:pPr>
            <w:r>
              <w:rPr>
                <w:rFonts w:ascii="宋体" w:hAnsi="宋体" w:cs="宋体" w:eastAsia="宋体" w:hint="default"/>
                <w:sz w:val="20"/>
                <w:szCs w:val="20"/>
              </w:rPr>
              <w:t>股权处置价</w:t>
            </w:r>
            <w:r>
              <w:rPr>
                <w:rFonts w:ascii="宋体" w:hAnsi="宋体" w:cs="宋体" w:eastAsia="宋体" w:hint="default"/>
                <w:w w:val="99"/>
                <w:sz w:val="20"/>
                <w:szCs w:val="20"/>
              </w:rPr>
              <w:t> </w:t>
            </w:r>
            <w:r>
              <w:rPr>
                <w:rFonts w:ascii="宋体" w:hAnsi="宋体" w:cs="宋体" w:eastAsia="宋体" w:hint="default"/>
                <w:sz w:val="20"/>
                <w:szCs w:val="20"/>
              </w:rPr>
              <w:t>款</w:t>
            </w:r>
            <w:r>
              <w:rPr>
                <w:rFonts w:ascii="宋体" w:hAnsi="宋体" w:cs="宋体" w:eastAsia="宋体" w:hint="default"/>
                <w:sz w:val="20"/>
                <w:szCs w:val="20"/>
              </w:rPr>
              <w:t> </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31" w:right="26"/>
              <w:jc w:val="left"/>
              <w:rPr>
                <w:rFonts w:ascii="宋体" w:hAnsi="宋体" w:cs="宋体" w:eastAsia="宋体" w:hint="default"/>
                <w:sz w:val="20"/>
                <w:szCs w:val="20"/>
              </w:rPr>
            </w:pPr>
            <w:r>
              <w:rPr>
                <w:rFonts w:ascii="宋体" w:hAnsi="宋体" w:cs="宋体" w:eastAsia="宋体" w:hint="default"/>
                <w:sz w:val="20"/>
                <w:szCs w:val="20"/>
              </w:rPr>
              <w:t>股权处</w:t>
            </w:r>
            <w:r>
              <w:rPr>
                <w:rFonts w:ascii="宋体" w:hAnsi="宋体" w:cs="宋体" w:eastAsia="宋体" w:hint="default"/>
                <w:w w:val="99"/>
                <w:sz w:val="20"/>
                <w:szCs w:val="20"/>
              </w:rPr>
              <w:t> </w:t>
            </w:r>
            <w:r>
              <w:rPr>
                <w:rFonts w:ascii="宋体" w:hAnsi="宋体" w:cs="宋体" w:eastAsia="宋体" w:hint="default"/>
                <w:sz w:val="20"/>
                <w:szCs w:val="20"/>
              </w:rPr>
              <w:t>置比例</w:t>
            </w:r>
          </w:p>
          <w:p>
            <w:pPr>
              <w:pStyle w:val="TableParagraph"/>
              <w:spacing w:line="259" w:lineRule="exact"/>
              <w:ind w:left="81" w:right="-23"/>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9"/>
                <w:szCs w:val="29"/>
              </w:rPr>
            </w:pPr>
          </w:p>
          <w:p>
            <w:pPr>
              <w:pStyle w:val="TableParagraph"/>
              <w:spacing w:line="260" w:lineRule="exact"/>
              <w:ind w:left="273" w:right="77" w:hanging="200"/>
              <w:jc w:val="left"/>
              <w:rPr>
                <w:rFonts w:ascii="宋体" w:hAnsi="宋体" w:cs="宋体" w:eastAsia="宋体" w:hint="default"/>
                <w:sz w:val="20"/>
                <w:szCs w:val="20"/>
              </w:rPr>
            </w:pPr>
            <w:r>
              <w:rPr>
                <w:rFonts w:ascii="宋体" w:hAnsi="宋体" w:cs="宋体" w:eastAsia="宋体" w:hint="default"/>
                <w:sz w:val="20"/>
                <w:szCs w:val="20"/>
              </w:rPr>
              <w:t>股权处置</w:t>
            </w:r>
            <w:r>
              <w:rPr>
                <w:rFonts w:ascii="宋体" w:hAnsi="宋体" w:cs="宋体" w:eastAsia="宋体" w:hint="default"/>
                <w:w w:val="99"/>
                <w:sz w:val="20"/>
                <w:szCs w:val="20"/>
              </w:rPr>
              <w:t> </w:t>
            </w:r>
            <w:r>
              <w:rPr>
                <w:rFonts w:ascii="宋体" w:hAnsi="宋体" w:cs="宋体" w:eastAsia="宋体" w:hint="default"/>
                <w:sz w:val="20"/>
                <w:szCs w:val="20"/>
              </w:rPr>
              <w:t>方式</w:t>
            </w:r>
            <w:r>
              <w:rPr>
                <w:rFonts w:ascii="宋体" w:hAnsi="宋体" w:cs="宋体" w:eastAsia="宋体" w:hint="default"/>
                <w:sz w:val="20"/>
                <w:szCs w:val="20"/>
              </w:rPr>
              <w:t> </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9"/>
                <w:szCs w:val="29"/>
              </w:rPr>
            </w:pPr>
          </w:p>
          <w:p>
            <w:pPr>
              <w:pStyle w:val="TableParagraph"/>
              <w:spacing w:line="260" w:lineRule="exact"/>
              <w:ind w:left="71" w:right="-26"/>
              <w:jc w:val="left"/>
              <w:rPr>
                <w:rFonts w:ascii="宋体" w:hAnsi="宋体" w:cs="宋体" w:eastAsia="宋体" w:hint="default"/>
                <w:sz w:val="20"/>
                <w:szCs w:val="20"/>
              </w:rPr>
            </w:pPr>
            <w:r>
              <w:rPr>
                <w:rFonts w:ascii="宋体" w:hAnsi="宋体" w:cs="宋体" w:eastAsia="宋体" w:hint="default"/>
                <w:sz w:val="20"/>
                <w:szCs w:val="20"/>
              </w:rPr>
              <w:t>丧失控制</w:t>
            </w:r>
            <w:r>
              <w:rPr>
                <w:rFonts w:ascii="宋体" w:hAnsi="宋体" w:cs="宋体" w:eastAsia="宋体" w:hint="default"/>
                <w:w w:val="99"/>
                <w:sz w:val="20"/>
                <w:szCs w:val="20"/>
              </w:rPr>
              <w:t> </w:t>
            </w:r>
            <w:r>
              <w:rPr>
                <w:rFonts w:ascii="宋体" w:hAnsi="宋体" w:cs="宋体" w:eastAsia="宋体" w:hint="default"/>
                <w:sz w:val="20"/>
                <w:szCs w:val="20"/>
              </w:rPr>
              <w:t>权的时点</w:t>
            </w:r>
            <w:r>
              <w:rPr>
                <w:rFonts w:ascii="宋体" w:hAnsi="宋体" w:cs="宋体" w:eastAsia="宋体" w:hint="default"/>
                <w:sz w:val="20"/>
                <w:szCs w:val="20"/>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37" w:lineRule="auto"/>
              <w:ind w:left="60" w:right="65"/>
              <w:jc w:val="center"/>
              <w:rPr>
                <w:rFonts w:ascii="宋体" w:hAnsi="宋体" w:cs="宋体" w:eastAsia="宋体" w:hint="default"/>
                <w:sz w:val="20"/>
                <w:szCs w:val="20"/>
              </w:rPr>
            </w:pPr>
            <w:r>
              <w:rPr>
                <w:rFonts w:ascii="宋体" w:hAnsi="宋体" w:cs="宋体" w:eastAsia="宋体" w:hint="default"/>
                <w:sz w:val="20"/>
                <w:szCs w:val="20"/>
              </w:rPr>
              <w:t>丧失控制权</w:t>
            </w:r>
            <w:r>
              <w:rPr>
                <w:rFonts w:ascii="宋体" w:hAnsi="宋体" w:cs="宋体" w:eastAsia="宋体" w:hint="default"/>
                <w:w w:val="99"/>
                <w:sz w:val="20"/>
                <w:szCs w:val="20"/>
              </w:rPr>
              <w:t> </w:t>
            </w:r>
            <w:r>
              <w:rPr>
                <w:rFonts w:ascii="宋体" w:hAnsi="宋体" w:cs="宋体" w:eastAsia="宋体" w:hint="default"/>
                <w:sz w:val="20"/>
                <w:szCs w:val="20"/>
              </w:rPr>
              <w:t>时点的确定</w:t>
            </w:r>
            <w:r>
              <w:rPr>
                <w:rFonts w:ascii="宋体" w:hAnsi="宋体" w:cs="宋体" w:eastAsia="宋体" w:hint="default"/>
                <w:w w:val="99"/>
                <w:sz w:val="20"/>
                <w:szCs w:val="20"/>
              </w:rPr>
              <w:t> </w:t>
            </w:r>
            <w:r>
              <w:rPr>
                <w:rFonts w:ascii="宋体" w:hAnsi="宋体" w:cs="宋体" w:eastAsia="宋体" w:hint="default"/>
                <w:sz w:val="20"/>
                <w:szCs w:val="20"/>
              </w:rPr>
              <w:t>依据</w:t>
            </w:r>
            <w:r>
              <w:rPr>
                <w:rFonts w:ascii="宋体" w:hAnsi="宋体" w:cs="宋体" w:eastAsia="宋体" w:hint="default"/>
                <w:sz w:val="20"/>
                <w:szCs w:val="20"/>
              </w:rPr>
              <w:t>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37" w:lineRule="auto"/>
              <w:ind w:left="2" w:right="1"/>
              <w:jc w:val="both"/>
              <w:rPr>
                <w:rFonts w:ascii="宋体" w:hAnsi="宋体" w:cs="宋体" w:eastAsia="宋体" w:hint="default"/>
                <w:sz w:val="20"/>
                <w:szCs w:val="20"/>
              </w:rPr>
            </w:pPr>
            <w:r>
              <w:rPr>
                <w:rFonts w:ascii="宋体" w:hAnsi="宋体" w:cs="宋体" w:eastAsia="宋体" w:hint="default"/>
                <w:sz w:val="20"/>
                <w:szCs w:val="20"/>
              </w:rPr>
              <w:t>处置价款与处置</w:t>
            </w:r>
            <w:r>
              <w:rPr>
                <w:rFonts w:ascii="宋体" w:hAnsi="宋体" w:cs="宋体" w:eastAsia="宋体" w:hint="default"/>
                <w:w w:val="99"/>
                <w:sz w:val="20"/>
                <w:szCs w:val="20"/>
              </w:rPr>
              <w:t> </w:t>
            </w:r>
            <w:r>
              <w:rPr>
                <w:rFonts w:ascii="宋体" w:hAnsi="宋体" w:cs="宋体" w:eastAsia="宋体" w:hint="default"/>
                <w:sz w:val="20"/>
                <w:szCs w:val="20"/>
              </w:rPr>
              <w:t>投资对应的合并</w:t>
            </w:r>
            <w:r>
              <w:rPr>
                <w:rFonts w:ascii="宋体" w:hAnsi="宋体" w:cs="宋体" w:eastAsia="宋体" w:hint="default"/>
                <w:w w:val="99"/>
                <w:sz w:val="20"/>
                <w:szCs w:val="20"/>
              </w:rPr>
              <w:t> </w:t>
            </w:r>
            <w:r>
              <w:rPr>
                <w:rFonts w:ascii="宋体" w:hAnsi="宋体" w:cs="宋体" w:eastAsia="宋体" w:hint="default"/>
                <w:sz w:val="20"/>
                <w:szCs w:val="20"/>
              </w:rPr>
              <w:t>财务报表层面享</w:t>
            </w:r>
            <w:r>
              <w:rPr>
                <w:rFonts w:ascii="宋体" w:hAnsi="宋体" w:cs="宋体" w:eastAsia="宋体" w:hint="default"/>
                <w:w w:val="99"/>
                <w:sz w:val="20"/>
                <w:szCs w:val="20"/>
              </w:rPr>
              <w:t> </w:t>
            </w:r>
            <w:r>
              <w:rPr>
                <w:rFonts w:ascii="宋体" w:hAnsi="宋体" w:cs="宋体" w:eastAsia="宋体" w:hint="default"/>
                <w:sz w:val="20"/>
                <w:szCs w:val="20"/>
              </w:rPr>
              <w:t>有该子公司净资</w:t>
            </w:r>
            <w:r>
              <w:rPr>
                <w:rFonts w:ascii="宋体" w:hAnsi="宋体" w:cs="宋体" w:eastAsia="宋体" w:hint="default"/>
                <w:w w:val="99"/>
                <w:sz w:val="20"/>
                <w:szCs w:val="20"/>
              </w:rPr>
              <w:t> </w:t>
            </w:r>
            <w:r>
              <w:rPr>
                <w:rFonts w:ascii="宋体" w:hAnsi="宋体" w:cs="宋体" w:eastAsia="宋体" w:hint="default"/>
                <w:sz w:val="20"/>
                <w:szCs w:val="20"/>
              </w:rPr>
              <w:t>产份额的差额</w:t>
            </w:r>
            <w:r>
              <w:rPr>
                <w:rFonts w:ascii="宋体" w:hAnsi="宋体" w:cs="宋体" w:eastAsia="宋体" w:hint="default"/>
                <w:sz w:val="20"/>
                <w:szCs w:val="20"/>
              </w:rPr>
              <w:t> </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37" w:lineRule="auto"/>
              <w:ind w:left="40" w:right="44"/>
              <w:jc w:val="both"/>
              <w:rPr>
                <w:rFonts w:ascii="宋体" w:hAnsi="宋体" w:cs="宋体" w:eastAsia="宋体" w:hint="default"/>
                <w:sz w:val="20"/>
                <w:szCs w:val="20"/>
              </w:rPr>
            </w:pPr>
            <w:r>
              <w:rPr>
                <w:rFonts w:ascii="宋体" w:hAnsi="宋体" w:cs="宋体" w:eastAsia="宋体" w:hint="default"/>
                <w:sz w:val="20"/>
                <w:szCs w:val="20"/>
              </w:rPr>
              <w:t>丧失控制权</w:t>
            </w:r>
            <w:r>
              <w:rPr>
                <w:rFonts w:ascii="宋体" w:hAnsi="宋体" w:cs="宋体" w:eastAsia="宋体" w:hint="default"/>
                <w:w w:val="99"/>
                <w:sz w:val="20"/>
                <w:szCs w:val="20"/>
              </w:rPr>
              <w:t> </w:t>
            </w:r>
            <w:r>
              <w:rPr>
                <w:rFonts w:ascii="宋体" w:hAnsi="宋体" w:cs="宋体" w:eastAsia="宋体" w:hint="default"/>
                <w:sz w:val="20"/>
                <w:szCs w:val="20"/>
              </w:rPr>
              <w:t>之日剩余股</w:t>
            </w:r>
            <w:r>
              <w:rPr>
                <w:rFonts w:ascii="宋体" w:hAnsi="宋体" w:cs="宋体" w:eastAsia="宋体" w:hint="default"/>
                <w:w w:val="99"/>
                <w:sz w:val="20"/>
                <w:szCs w:val="20"/>
              </w:rPr>
              <w:t> </w:t>
            </w:r>
            <w:r>
              <w:rPr>
                <w:rFonts w:ascii="宋体" w:hAnsi="宋体" w:cs="宋体" w:eastAsia="宋体" w:hint="default"/>
                <w:sz w:val="20"/>
                <w:szCs w:val="20"/>
              </w:rPr>
              <w:t>权的比例</w:t>
            </w:r>
          </w:p>
          <w:p>
            <w:pPr>
              <w:pStyle w:val="TableParagraph"/>
              <w:spacing w:line="259" w:lineRule="exact"/>
              <w:ind w:left="290" w:right="0"/>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 </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37" w:lineRule="auto"/>
              <w:ind w:left="71" w:right="72"/>
              <w:jc w:val="center"/>
              <w:rPr>
                <w:rFonts w:ascii="宋体" w:hAnsi="宋体" w:cs="宋体" w:eastAsia="宋体" w:hint="default"/>
                <w:sz w:val="20"/>
                <w:szCs w:val="20"/>
              </w:rPr>
            </w:pPr>
            <w:r>
              <w:rPr>
                <w:rFonts w:ascii="宋体" w:hAnsi="宋体" w:cs="宋体" w:eastAsia="宋体" w:hint="default"/>
                <w:sz w:val="20"/>
                <w:szCs w:val="20"/>
              </w:rPr>
              <w:t>丧失控制权</w:t>
            </w:r>
            <w:r>
              <w:rPr>
                <w:rFonts w:ascii="宋体" w:hAnsi="宋体" w:cs="宋体" w:eastAsia="宋体" w:hint="default"/>
                <w:w w:val="99"/>
                <w:sz w:val="20"/>
                <w:szCs w:val="20"/>
              </w:rPr>
              <w:t> </w:t>
            </w:r>
            <w:r>
              <w:rPr>
                <w:rFonts w:ascii="宋体" w:hAnsi="宋体" w:cs="宋体" w:eastAsia="宋体" w:hint="default"/>
                <w:sz w:val="20"/>
                <w:szCs w:val="20"/>
              </w:rPr>
              <w:t>之日剩余股</w:t>
            </w:r>
            <w:r>
              <w:rPr>
                <w:rFonts w:ascii="宋体" w:hAnsi="宋体" w:cs="宋体" w:eastAsia="宋体" w:hint="default"/>
                <w:w w:val="99"/>
                <w:sz w:val="20"/>
                <w:szCs w:val="20"/>
              </w:rPr>
              <w:t> </w:t>
            </w:r>
            <w:r>
              <w:rPr>
                <w:rFonts w:ascii="宋体" w:hAnsi="宋体" w:cs="宋体" w:eastAsia="宋体" w:hint="default"/>
                <w:sz w:val="20"/>
                <w:szCs w:val="20"/>
              </w:rPr>
              <w:t>权的账面价</w:t>
            </w:r>
            <w:r>
              <w:rPr>
                <w:rFonts w:ascii="宋体" w:hAnsi="宋体" w:cs="宋体" w:eastAsia="宋体" w:hint="default"/>
                <w:w w:val="99"/>
                <w:sz w:val="20"/>
                <w:szCs w:val="20"/>
              </w:rPr>
              <w:t> </w:t>
            </w:r>
            <w:r>
              <w:rPr>
                <w:rFonts w:ascii="宋体" w:hAnsi="宋体" w:cs="宋体" w:eastAsia="宋体" w:hint="default"/>
                <w:sz w:val="20"/>
                <w:szCs w:val="20"/>
              </w:rPr>
              <w:t>值</w:t>
            </w:r>
            <w:r>
              <w:rPr>
                <w:rFonts w:ascii="宋体" w:hAnsi="宋体" w:cs="宋体" w:eastAsia="宋体" w:hint="default"/>
                <w:sz w:val="20"/>
                <w:szCs w:val="20"/>
              </w:rPr>
              <w:t> </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37" w:lineRule="auto"/>
              <w:ind w:left="64" w:right="67"/>
              <w:jc w:val="center"/>
              <w:rPr>
                <w:rFonts w:ascii="宋体" w:hAnsi="宋体" w:cs="宋体" w:eastAsia="宋体" w:hint="default"/>
                <w:sz w:val="20"/>
                <w:szCs w:val="20"/>
              </w:rPr>
            </w:pPr>
            <w:r>
              <w:rPr>
                <w:rFonts w:ascii="宋体" w:hAnsi="宋体" w:cs="宋体" w:eastAsia="宋体" w:hint="default"/>
                <w:sz w:val="20"/>
                <w:szCs w:val="20"/>
              </w:rPr>
              <w:t>丧失控制权</w:t>
            </w:r>
            <w:r>
              <w:rPr>
                <w:rFonts w:ascii="宋体" w:hAnsi="宋体" w:cs="宋体" w:eastAsia="宋体" w:hint="default"/>
                <w:w w:val="99"/>
                <w:sz w:val="20"/>
                <w:szCs w:val="20"/>
              </w:rPr>
              <w:t> </w:t>
            </w:r>
            <w:r>
              <w:rPr>
                <w:rFonts w:ascii="宋体" w:hAnsi="宋体" w:cs="宋体" w:eastAsia="宋体" w:hint="default"/>
                <w:sz w:val="20"/>
                <w:szCs w:val="20"/>
              </w:rPr>
              <w:t>之日剩余股</w:t>
            </w:r>
            <w:r>
              <w:rPr>
                <w:rFonts w:ascii="宋体" w:hAnsi="宋体" w:cs="宋体" w:eastAsia="宋体" w:hint="default"/>
                <w:w w:val="99"/>
                <w:sz w:val="20"/>
                <w:szCs w:val="20"/>
              </w:rPr>
              <w:t> </w:t>
            </w:r>
            <w:r>
              <w:rPr>
                <w:rFonts w:ascii="宋体" w:hAnsi="宋体" w:cs="宋体" w:eastAsia="宋体" w:hint="default"/>
                <w:sz w:val="20"/>
                <w:szCs w:val="20"/>
              </w:rPr>
              <w:t>权的公允价</w:t>
            </w:r>
            <w:r>
              <w:rPr>
                <w:rFonts w:ascii="宋体" w:hAnsi="宋体" w:cs="宋体" w:eastAsia="宋体" w:hint="default"/>
                <w:w w:val="99"/>
                <w:sz w:val="20"/>
                <w:szCs w:val="20"/>
              </w:rPr>
              <w:t> </w:t>
            </w:r>
            <w:r>
              <w:rPr>
                <w:rFonts w:ascii="宋体" w:hAnsi="宋体" w:cs="宋体" w:eastAsia="宋体" w:hint="default"/>
                <w:sz w:val="20"/>
                <w:szCs w:val="20"/>
              </w:rPr>
              <w:t>值</w:t>
            </w:r>
            <w:r>
              <w:rPr>
                <w:rFonts w:ascii="宋体" w:hAnsi="宋体" w:cs="宋体" w:eastAsia="宋体" w:hint="default"/>
                <w:sz w:val="20"/>
                <w:szCs w:val="20"/>
              </w:rPr>
              <w:t>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37" w:lineRule="auto"/>
              <w:ind w:left="21" w:right="22"/>
              <w:jc w:val="center"/>
              <w:rPr>
                <w:rFonts w:ascii="宋体" w:hAnsi="宋体" w:cs="宋体" w:eastAsia="宋体" w:hint="default"/>
                <w:sz w:val="20"/>
                <w:szCs w:val="20"/>
              </w:rPr>
            </w:pPr>
            <w:r>
              <w:rPr>
                <w:rFonts w:ascii="宋体" w:hAnsi="宋体" w:cs="宋体" w:eastAsia="宋体" w:hint="default"/>
                <w:sz w:val="20"/>
                <w:szCs w:val="20"/>
              </w:rPr>
              <w:t>按照公允价值</w:t>
            </w:r>
            <w:r>
              <w:rPr>
                <w:rFonts w:ascii="宋体" w:hAnsi="宋体" w:cs="宋体" w:eastAsia="宋体" w:hint="default"/>
                <w:w w:val="99"/>
                <w:sz w:val="20"/>
                <w:szCs w:val="20"/>
              </w:rPr>
              <w:t> </w:t>
            </w:r>
            <w:r>
              <w:rPr>
                <w:rFonts w:ascii="宋体" w:hAnsi="宋体" w:cs="宋体" w:eastAsia="宋体" w:hint="default"/>
                <w:sz w:val="20"/>
                <w:szCs w:val="20"/>
              </w:rPr>
              <w:t>重新计量剩余</w:t>
            </w:r>
            <w:r>
              <w:rPr>
                <w:rFonts w:ascii="宋体" w:hAnsi="宋体" w:cs="宋体" w:eastAsia="宋体" w:hint="default"/>
                <w:w w:val="99"/>
                <w:sz w:val="20"/>
                <w:szCs w:val="20"/>
              </w:rPr>
              <w:t> </w:t>
            </w:r>
            <w:r>
              <w:rPr>
                <w:rFonts w:ascii="宋体" w:hAnsi="宋体" w:cs="宋体" w:eastAsia="宋体" w:hint="default"/>
                <w:sz w:val="20"/>
                <w:szCs w:val="20"/>
              </w:rPr>
              <w:t>股权产生的利</w:t>
            </w:r>
            <w:r>
              <w:rPr>
                <w:rFonts w:ascii="宋体" w:hAnsi="宋体" w:cs="宋体" w:eastAsia="宋体" w:hint="default"/>
                <w:w w:val="99"/>
                <w:sz w:val="20"/>
                <w:szCs w:val="20"/>
              </w:rPr>
              <w:t> </w:t>
            </w:r>
            <w:r>
              <w:rPr>
                <w:rFonts w:ascii="宋体" w:hAnsi="宋体" w:cs="宋体" w:eastAsia="宋体" w:hint="default"/>
                <w:sz w:val="20"/>
                <w:szCs w:val="20"/>
              </w:rPr>
              <w:t>得或损失</w:t>
            </w:r>
            <w:r>
              <w:rPr>
                <w:rFonts w:ascii="宋体" w:hAnsi="宋体" w:cs="宋体" w:eastAsia="宋体" w:hint="default"/>
                <w:sz w:val="20"/>
                <w:szCs w:val="20"/>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37" w:lineRule="auto"/>
              <w:ind w:left="38" w:right="41"/>
              <w:jc w:val="center"/>
              <w:rPr>
                <w:rFonts w:ascii="宋体" w:hAnsi="宋体" w:cs="宋体" w:eastAsia="宋体" w:hint="default"/>
                <w:sz w:val="20"/>
                <w:szCs w:val="20"/>
              </w:rPr>
            </w:pPr>
            <w:r>
              <w:rPr>
                <w:rFonts w:ascii="宋体" w:hAnsi="宋体" w:cs="宋体" w:eastAsia="宋体" w:hint="default"/>
                <w:sz w:val="20"/>
                <w:szCs w:val="20"/>
              </w:rPr>
              <w:t>丧失控制权之</w:t>
            </w:r>
            <w:r>
              <w:rPr>
                <w:rFonts w:ascii="宋体" w:hAnsi="宋体" w:cs="宋体" w:eastAsia="宋体" w:hint="default"/>
                <w:w w:val="99"/>
                <w:sz w:val="20"/>
                <w:szCs w:val="20"/>
              </w:rPr>
              <w:t> </w:t>
            </w:r>
            <w:r>
              <w:rPr>
                <w:rFonts w:ascii="宋体" w:hAnsi="宋体" w:cs="宋体" w:eastAsia="宋体" w:hint="default"/>
                <w:sz w:val="20"/>
                <w:szCs w:val="20"/>
              </w:rPr>
              <w:t>日剩余股权公</w:t>
            </w:r>
            <w:r>
              <w:rPr>
                <w:rFonts w:ascii="宋体" w:hAnsi="宋体" w:cs="宋体" w:eastAsia="宋体" w:hint="default"/>
                <w:w w:val="99"/>
                <w:sz w:val="20"/>
                <w:szCs w:val="20"/>
              </w:rPr>
              <w:t> </w:t>
            </w:r>
            <w:r>
              <w:rPr>
                <w:rFonts w:ascii="宋体" w:hAnsi="宋体" w:cs="宋体" w:eastAsia="宋体" w:hint="default"/>
                <w:sz w:val="20"/>
                <w:szCs w:val="20"/>
              </w:rPr>
              <w:t>允价值的确定</w:t>
            </w:r>
            <w:r>
              <w:rPr>
                <w:rFonts w:ascii="宋体" w:hAnsi="宋体" w:cs="宋体" w:eastAsia="宋体" w:hint="default"/>
                <w:w w:val="99"/>
                <w:sz w:val="20"/>
                <w:szCs w:val="20"/>
              </w:rPr>
              <w:t> </w:t>
            </w:r>
            <w:r>
              <w:rPr>
                <w:rFonts w:ascii="宋体" w:hAnsi="宋体" w:cs="宋体" w:eastAsia="宋体" w:hint="default"/>
                <w:sz w:val="20"/>
                <w:szCs w:val="20"/>
              </w:rPr>
              <w:t>方法及主要假</w:t>
            </w:r>
            <w:r>
              <w:rPr>
                <w:rFonts w:ascii="宋体" w:hAnsi="宋体" w:cs="宋体" w:eastAsia="宋体" w:hint="default"/>
                <w:w w:val="99"/>
                <w:sz w:val="20"/>
                <w:szCs w:val="20"/>
              </w:rPr>
              <w:t> </w:t>
            </w:r>
            <w:r>
              <w:rPr>
                <w:rFonts w:ascii="宋体" w:hAnsi="宋体" w:cs="宋体" w:eastAsia="宋体" w:hint="default"/>
                <w:sz w:val="20"/>
                <w:szCs w:val="20"/>
              </w:rPr>
              <w:t>设</w:t>
            </w:r>
            <w:r>
              <w:rPr>
                <w:rFonts w:ascii="宋体" w:hAnsi="宋体" w:cs="宋体" w:eastAsia="宋体" w:hint="default"/>
                <w:sz w:val="20"/>
                <w:szCs w:val="20"/>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1" w:right="0"/>
              <w:jc w:val="both"/>
              <w:rPr>
                <w:rFonts w:ascii="宋体" w:hAnsi="宋体" w:cs="宋体" w:eastAsia="宋体" w:hint="default"/>
                <w:sz w:val="20"/>
                <w:szCs w:val="20"/>
              </w:rPr>
            </w:pPr>
            <w:r>
              <w:rPr>
                <w:rFonts w:ascii="宋体" w:hAnsi="宋体" w:cs="宋体" w:eastAsia="宋体" w:hint="default"/>
                <w:sz w:val="20"/>
                <w:szCs w:val="20"/>
              </w:rPr>
              <w:t>与原子公</w:t>
            </w:r>
          </w:p>
          <w:p>
            <w:pPr>
              <w:pStyle w:val="TableParagraph"/>
              <w:spacing w:line="237" w:lineRule="auto" w:before="1"/>
              <w:ind w:left="21" w:right="18"/>
              <w:jc w:val="both"/>
              <w:rPr>
                <w:rFonts w:ascii="宋体" w:hAnsi="宋体" w:cs="宋体" w:eastAsia="宋体" w:hint="default"/>
                <w:sz w:val="20"/>
                <w:szCs w:val="20"/>
              </w:rPr>
            </w:pPr>
            <w:r>
              <w:rPr>
                <w:rFonts w:ascii="宋体" w:hAnsi="宋体" w:cs="宋体" w:eastAsia="宋体" w:hint="default"/>
                <w:sz w:val="20"/>
                <w:szCs w:val="20"/>
              </w:rPr>
              <w:t>司股权投</w:t>
            </w:r>
            <w:r>
              <w:rPr>
                <w:rFonts w:ascii="宋体" w:hAnsi="宋体" w:cs="宋体" w:eastAsia="宋体" w:hint="default"/>
                <w:w w:val="99"/>
                <w:sz w:val="20"/>
                <w:szCs w:val="20"/>
              </w:rPr>
              <w:t> </w:t>
            </w:r>
            <w:r>
              <w:rPr>
                <w:rFonts w:ascii="宋体" w:hAnsi="宋体" w:cs="宋体" w:eastAsia="宋体" w:hint="default"/>
                <w:sz w:val="20"/>
                <w:szCs w:val="20"/>
              </w:rPr>
              <w:t>资相关的</w:t>
            </w:r>
            <w:r>
              <w:rPr>
                <w:rFonts w:ascii="宋体" w:hAnsi="宋体" w:cs="宋体" w:eastAsia="宋体" w:hint="default"/>
                <w:w w:val="99"/>
                <w:sz w:val="20"/>
                <w:szCs w:val="20"/>
              </w:rPr>
              <w:t> </w:t>
            </w:r>
            <w:r>
              <w:rPr>
                <w:rFonts w:ascii="宋体" w:hAnsi="宋体" w:cs="宋体" w:eastAsia="宋体" w:hint="default"/>
                <w:sz w:val="20"/>
                <w:szCs w:val="20"/>
              </w:rPr>
              <w:t>其他综合</w:t>
            </w:r>
            <w:r>
              <w:rPr>
                <w:rFonts w:ascii="宋体" w:hAnsi="宋体" w:cs="宋体" w:eastAsia="宋体" w:hint="default"/>
                <w:w w:val="99"/>
                <w:sz w:val="20"/>
                <w:szCs w:val="20"/>
              </w:rPr>
              <w:t> </w:t>
            </w:r>
            <w:r>
              <w:rPr>
                <w:rFonts w:ascii="宋体" w:hAnsi="宋体" w:cs="宋体" w:eastAsia="宋体" w:hint="default"/>
                <w:sz w:val="20"/>
                <w:szCs w:val="20"/>
              </w:rPr>
              <w:t>收益转入</w:t>
            </w:r>
            <w:r>
              <w:rPr>
                <w:rFonts w:ascii="宋体" w:hAnsi="宋体" w:cs="宋体" w:eastAsia="宋体" w:hint="default"/>
                <w:w w:val="99"/>
                <w:sz w:val="20"/>
                <w:szCs w:val="20"/>
              </w:rPr>
              <w:t> </w:t>
            </w:r>
            <w:r>
              <w:rPr>
                <w:rFonts w:ascii="宋体" w:hAnsi="宋体" w:cs="宋体" w:eastAsia="宋体" w:hint="default"/>
                <w:sz w:val="20"/>
                <w:szCs w:val="20"/>
              </w:rPr>
              <w:t>投资损益</w:t>
            </w:r>
            <w:r>
              <w:rPr>
                <w:rFonts w:ascii="宋体" w:hAnsi="宋体" w:cs="宋体" w:eastAsia="宋体" w:hint="default"/>
                <w:w w:val="99"/>
                <w:sz w:val="20"/>
                <w:szCs w:val="20"/>
              </w:rPr>
              <w:t> </w:t>
            </w:r>
            <w:r>
              <w:rPr>
                <w:rFonts w:ascii="宋体" w:hAnsi="宋体" w:cs="宋体" w:eastAsia="宋体" w:hint="default"/>
                <w:sz w:val="20"/>
                <w:szCs w:val="20"/>
              </w:rPr>
              <w:t>的金额</w:t>
            </w:r>
            <w:r>
              <w:rPr>
                <w:rFonts w:ascii="宋体" w:hAnsi="宋体" w:cs="宋体" w:eastAsia="宋体" w:hint="default"/>
                <w:sz w:val="20"/>
                <w:szCs w:val="20"/>
              </w:rPr>
              <w:t> </w:t>
            </w:r>
          </w:p>
        </w:tc>
      </w:tr>
      <w:tr>
        <w:trPr>
          <w:trHeight w:val="528"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9" w:right="0"/>
              <w:jc w:val="left"/>
              <w:rPr>
                <w:rFonts w:ascii="宋体" w:hAnsi="宋体" w:cs="宋体" w:eastAsia="宋体" w:hint="default"/>
                <w:sz w:val="20"/>
                <w:szCs w:val="20"/>
              </w:rPr>
            </w:pPr>
            <w:r>
              <w:rPr>
                <w:rFonts w:ascii="宋体" w:hAnsi="宋体" w:cs="宋体" w:eastAsia="宋体" w:hint="default"/>
                <w:sz w:val="20"/>
                <w:szCs w:val="20"/>
              </w:rPr>
              <w:t>用友审计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62" w:right="-38"/>
              <w:jc w:val="left"/>
              <w:rPr>
                <w:rFonts w:ascii="宋体" w:hAnsi="宋体" w:cs="宋体" w:eastAsia="宋体" w:hint="default"/>
                <w:sz w:val="20"/>
                <w:szCs w:val="20"/>
              </w:rPr>
            </w:pPr>
            <w:r>
              <w:rPr>
                <w:rFonts w:ascii="宋体"/>
                <w:sz w:val="20"/>
              </w:rPr>
              <w:t>32,900,000 </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9" w:right="0"/>
              <w:jc w:val="left"/>
              <w:rPr>
                <w:rFonts w:ascii="宋体" w:hAnsi="宋体" w:cs="宋体" w:eastAsia="宋体" w:hint="default"/>
                <w:sz w:val="20"/>
                <w:szCs w:val="20"/>
              </w:rPr>
            </w:pPr>
            <w:r>
              <w:rPr>
                <w:rFonts w:ascii="宋体"/>
                <w:sz w:val="20"/>
              </w:rPr>
              <w:t>65.8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73" w:right="0"/>
              <w:jc w:val="left"/>
              <w:rPr>
                <w:rFonts w:ascii="宋体" w:hAnsi="宋体" w:cs="宋体" w:eastAsia="宋体" w:hint="default"/>
                <w:sz w:val="20"/>
                <w:szCs w:val="20"/>
              </w:rPr>
            </w:pPr>
            <w:r>
              <w:rPr>
                <w:rFonts w:ascii="宋体" w:hAnsi="宋体" w:cs="宋体" w:eastAsia="宋体" w:hint="default"/>
                <w:sz w:val="20"/>
                <w:szCs w:val="20"/>
              </w:rPr>
              <w:t>出售</w:t>
            </w:r>
            <w:r>
              <w:rPr>
                <w:rFonts w:ascii="宋体" w:hAnsi="宋体" w:cs="宋体" w:eastAsia="宋体" w:hint="default"/>
                <w:sz w:val="20"/>
                <w:szCs w:val="20"/>
              </w:rPr>
              <w:t> </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0"/>
              <w:jc w:val="center"/>
              <w:rPr>
                <w:rFonts w:ascii="宋体" w:hAnsi="宋体" w:cs="宋体" w:eastAsia="宋体" w:hint="default"/>
                <w:sz w:val="20"/>
                <w:szCs w:val="20"/>
              </w:rPr>
            </w:pPr>
            <w:r>
              <w:rPr>
                <w:rFonts w:ascii="宋体" w:hAnsi="宋体" w:cs="宋体" w:eastAsia="宋体" w:hint="default"/>
                <w:sz w:val="20"/>
                <w:szCs w:val="20"/>
              </w:rPr>
              <w:t>2019</w:t>
            </w:r>
            <w:r>
              <w:rPr>
                <w:rFonts w:ascii="宋体" w:hAnsi="宋体" w:cs="宋体" w:eastAsia="宋体" w:hint="default"/>
                <w:spacing w:val="-49"/>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10</w:t>
            </w:r>
          </w:p>
          <w:p>
            <w:pPr>
              <w:pStyle w:val="TableParagraph"/>
              <w:spacing w:line="260" w:lineRule="exact"/>
              <w:ind w:left="99" w:right="0"/>
              <w:jc w:val="center"/>
              <w:rPr>
                <w:rFonts w:ascii="宋体" w:hAnsi="宋体" w:cs="宋体" w:eastAsia="宋体" w:hint="default"/>
                <w:sz w:val="20"/>
                <w:szCs w:val="20"/>
              </w:rPr>
            </w:pP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宋体" w:hAnsi="宋体" w:cs="宋体" w:eastAsia="宋体" w:hint="default"/>
                <w:sz w:val="20"/>
                <w:szCs w:val="20"/>
              </w:rPr>
              <w:t>31</w:t>
            </w:r>
            <w:r>
              <w:rPr>
                <w:rFonts w:ascii="宋体" w:hAnsi="宋体" w:cs="宋体" w:eastAsia="宋体" w:hint="default"/>
                <w:spacing w:val="-50"/>
                <w:sz w:val="20"/>
                <w:szCs w:val="20"/>
              </w:rPr>
              <w:t> </w:t>
            </w:r>
            <w:r>
              <w:rPr>
                <w:rFonts w:ascii="宋体" w:hAnsi="宋体" w:cs="宋体" w:eastAsia="宋体" w:hint="default"/>
                <w:sz w:val="20"/>
                <w:szCs w:val="20"/>
              </w:rPr>
              <w:t>日</w:t>
            </w:r>
            <w:r>
              <w:rPr>
                <w:rFonts w:ascii="宋体" w:hAnsi="宋体" w:cs="宋体" w:eastAsia="宋体" w:hint="default"/>
                <w:sz w:val="20"/>
                <w:szCs w:val="20"/>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60" w:right="0"/>
              <w:jc w:val="left"/>
              <w:rPr>
                <w:rFonts w:ascii="宋体" w:hAnsi="宋体" w:cs="宋体" w:eastAsia="宋体" w:hint="default"/>
                <w:sz w:val="20"/>
                <w:szCs w:val="20"/>
              </w:rPr>
            </w:pPr>
            <w:r>
              <w:rPr>
                <w:rFonts w:ascii="宋体" w:hAnsi="宋体" w:cs="宋体" w:eastAsia="宋体" w:hint="default"/>
                <w:sz w:val="20"/>
                <w:szCs w:val="20"/>
              </w:rPr>
              <w:t>工商变更</w:t>
            </w:r>
            <w:r>
              <w:rPr>
                <w:rFonts w:ascii="宋体" w:hAnsi="宋体" w:cs="宋体" w:eastAsia="宋体" w:hint="default"/>
                <w:sz w:val="20"/>
                <w:szCs w:val="20"/>
              </w:rPr>
              <w:t>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01" w:right="0"/>
              <w:jc w:val="left"/>
              <w:rPr>
                <w:rFonts w:ascii="宋体" w:hAnsi="宋体" w:cs="宋体" w:eastAsia="宋体" w:hint="default"/>
                <w:sz w:val="20"/>
                <w:szCs w:val="20"/>
              </w:rPr>
            </w:pPr>
            <w:r>
              <w:rPr>
                <w:rFonts w:ascii="宋体"/>
                <w:sz w:val="20"/>
              </w:rPr>
              <w:t>17,118,734 </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95" w:right="0"/>
              <w:jc w:val="center"/>
              <w:rPr>
                <w:rFonts w:ascii="宋体" w:hAnsi="宋体" w:cs="宋体" w:eastAsia="宋体" w:hint="default"/>
                <w:sz w:val="20"/>
                <w:szCs w:val="20"/>
              </w:rPr>
            </w:pPr>
            <w:r>
              <w:rPr>
                <w:rFonts w:ascii="宋体"/>
                <w:sz w:val="20"/>
              </w:rPr>
              <w:t>8 </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2" w:right="0"/>
              <w:jc w:val="left"/>
              <w:rPr>
                <w:rFonts w:ascii="宋体" w:hAnsi="宋体" w:cs="宋体" w:eastAsia="宋体" w:hint="default"/>
                <w:sz w:val="20"/>
                <w:szCs w:val="20"/>
              </w:rPr>
            </w:pPr>
            <w:r>
              <w:rPr>
                <w:rFonts w:ascii="宋体"/>
                <w:sz w:val="20"/>
              </w:rPr>
              <w:t>4,000,000 </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15" w:right="0"/>
              <w:jc w:val="left"/>
              <w:rPr>
                <w:rFonts w:ascii="宋体" w:hAnsi="宋体" w:cs="宋体" w:eastAsia="宋体" w:hint="default"/>
                <w:sz w:val="20"/>
                <w:szCs w:val="20"/>
              </w:rPr>
            </w:pPr>
            <w:r>
              <w:rPr>
                <w:rFonts w:ascii="宋体"/>
                <w:sz w:val="20"/>
              </w:rPr>
              <w:t>4,000,000 </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0" w:right="0"/>
              <w:jc w:val="center"/>
              <w:rPr>
                <w:rFonts w:ascii="宋体" w:hAnsi="宋体" w:cs="宋体" w:eastAsia="宋体" w:hint="default"/>
                <w:sz w:val="20"/>
                <w:szCs w:val="20"/>
              </w:rPr>
            </w:pPr>
            <w:r>
              <w:rPr>
                <w:rFonts w:ascii="宋体"/>
                <w:sz w:val="20"/>
              </w:rPr>
              <w:t>0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338" w:right="0"/>
              <w:jc w:val="left"/>
              <w:rPr>
                <w:rFonts w:ascii="宋体" w:hAnsi="宋体" w:cs="宋体" w:eastAsia="宋体" w:hint="default"/>
                <w:sz w:val="20"/>
                <w:szCs w:val="20"/>
              </w:rPr>
            </w:pPr>
            <w:r>
              <w:rPr>
                <w:rFonts w:ascii="宋体" w:hAnsi="宋体" w:cs="宋体" w:eastAsia="宋体" w:hint="default"/>
                <w:sz w:val="20"/>
                <w:szCs w:val="20"/>
              </w:rPr>
              <w:t>市场法</w:t>
            </w:r>
            <w:r>
              <w:rPr>
                <w:rFonts w:ascii="宋体" w:hAnsi="宋体" w:cs="宋体" w:eastAsia="宋体" w:hint="default"/>
                <w:sz w:val="20"/>
                <w:szCs w:val="20"/>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372" w:right="0"/>
              <w:jc w:val="left"/>
              <w:rPr>
                <w:rFonts w:ascii="宋体" w:hAnsi="宋体" w:cs="宋体" w:eastAsia="宋体" w:hint="default"/>
                <w:sz w:val="20"/>
                <w:szCs w:val="20"/>
              </w:rPr>
            </w:pPr>
            <w:r>
              <w:rPr>
                <w:rFonts w:ascii="宋体"/>
                <w:sz w:val="20"/>
              </w:rPr>
              <w:t>0 </w:t>
            </w:r>
          </w:p>
        </w:tc>
      </w:tr>
      <w:tr>
        <w:trPr>
          <w:trHeight w:val="269" w:hRule="exac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0"/>
              <w:jc w:val="left"/>
              <w:rPr>
                <w:rFonts w:ascii="宋体" w:hAnsi="宋体" w:cs="宋体" w:eastAsia="宋体" w:hint="default"/>
                <w:sz w:val="20"/>
                <w:szCs w:val="20"/>
              </w:rPr>
            </w:pPr>
            <w:r>
              <w:rPr>
                <w:rFonts w:ascii="宋体"/>
                <w:w w:val="99"/>
                <w:sz w:val="20"/>
              </w:rPr>
              <w:t> </w:t>
            </w:r>
            <w:r>
              <w:rPr>
                <w:rFonts w:ascii="宋体"/>
                <w:sz w:val="20"/>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 w:right="0"/>
              <w:jc w:val="left"/>
              <w:rPr>
                <w:rFonts w:ascii="宋体" w:hAnsi="宋体" w:cs="宋体" w:eastAsia="宋体" w:hint="default"/>
                <w:sz w:val="20"/>
                <w:szCs w:val="20"/>
              </w:rPr>
            </w:pPr>
            <w:r>
              <w:rPr>
                <w:rFonts w:ascii="宋体"/>
                <w:w w:val="99"/>
                <w:sz w:val="20"/>
              </w:rPr>
              <w:t> </w:t>
            </w:r>
            <w:r>
              <w:rPr>
                <w:rFonts w:ascii="宋体"/>
                <w:sz w:val="20"/>
              </w:rPr>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 w:right="0"/>
              <w:jc w:val="left"/>
              <w:rPr>
                <w:rFonts w:ascii="宋体" w:hAnsi="宋体" w:cs="宋体" w:eastAsia="宋体" w:hint="default"/>
                <w:sz w:val="20"/>
                <w:szCs w:val="20"/>
              </w:rPr>
            </w:pPr>
            <w:r>
              <w:rPr>
                <w:rFonts w:ascii="宋体"/>
                <w:w w:val="99"/>
                <w:sz w:val="20"/>
              </w:rPr>
              <w:t> </w:t>
            </w:r>
            <w:r>
              <w:rPr>
                <w:rFonts w:ascii="宋体"/>
                <w:sz w:val="20"/>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0"/>
              <w:jc w:val="left"/>
              <w:rPr>
                <w:rFonts w:ascii="宋体" w:hAnsi="宋体" w:cs="宋体" w:eastAsia="宋体" w:hint="default"/>
                <w:sz w:val="20"/>
                <w:szCs w:val="20"/>
              </w:rPr>
            </w:pPr>
            <w:r>
              <w:rPr>
                <w:rFonts w:ascii="宋体"/>
                <w:w w:val="99"/>
                <w:sz w:val="20"/>
              </w:rPr>
              <w:t> </w:t>
            </w:r>
            <w:r>
              <w:rPr>
                <w:rFonts w:ascii="宋体"/>
                <w:sz w:val="20"/>
              </w:rPr>
            </w:r>
          </w:p>
        </w:tc>
        <w:tc>
          <w:tcPr>
            <w:tcW w:w="1414" w:type="dxa"/>
            <w:tcBorders>
              <w:top w:val="single" w:sz="4" w:space="0" w:color="000000"/>
              <w:left w:val="single" w:sz="4" w:space="0" w:color="000000"/>
              <w:bottom w:val="single" w:sz="4" w:space="0" w:color="000000"/>
              <w:right w:val="single" w:sz="4" w:space="0" w:color="000000"/>
            </w:tcBorders>
          </w:tcPr>
          <w:p>
            <w:pPr/>
          </w:p>
        </w:tc>
        <w:tc>
          <w:tcPr>
            <w:tcW w:w="1095"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4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0"/>
              <w:jc w:val="left"/>
              <w:rPr>
                <w:rFonts w:ascii="宋体" w:hAnsi="宋体" w:cs="宋体" w:eastAsia="宋体" w:hint="default"/>
                <w:sz w:val="20"/>
                <w:szCs w:val="20"/>
              </w:rPr>
            </w:pPr>
            <w:r>
              <w:rPr>
                <w:rFonts w:ascii="宋体"/>
                <w:w w:val="99"/>
                <w:sz w:val="20"/>
              </w:rPr>
              <w:t> </w:t>
            </w:r>
            <w:r>
              <w:rPr>
                <w:rFonts w:ascii="宋体"/>
                <w:sz w:val="20"/>
              </w:rPr>
            </w:r>
          </w:p>
        </w:tc>
        <w:tc>
          <w:tcPr>
            <w:tcW w:w="85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7"/>
          <w:szCs w:val="17"/>
        </w:rPr>
      </w:pPr>
    </w:p>
    <w:p>
      <w:pPr>
        <w:pStyle w:val="BodyText"/>
        <w:spacing w:line="313" w:lineRule="exact" w:before="26"/>
        <w:ind w:left="300" w:right="0"/>
        <w:jc w:val="left"/>
      </w:pPr>
      <w:r>
        <w:rPr/>
        <w:t>其他说明：</w:t>
      </w:r>
    </w:p>
    <w:p>
      <w:pPr>
        <w:spacing w:line="230" w:lineRule="auto" w:before="10"/>
        <w:ind w:left="300" w:right="0" w:firstLine="0"/>
        <w:jc w:val="left"/>
        <w:rPr>
          <w:rFonts w:ascii="黑体" w:hAnsi="黑体" w:cs="黑体" w:eastAsia="黑体" w:hint="default"/>
          <w:sz w:val="20"/>
          <w:szCs w:val="20"/>
        </w:rPr>
      </w:pPr>
      <w:r>
        <w:rPr>
          <w:rFonts w:ascii="宋体" w:hAnsi="宋体" w:cs="宋体" w:eastAsia="宋体" w:hint="default"/>
          <w:sz w:val="24"/>
          <w:szCs w:val="24"/>
        </w:rPr>
        <w:t>√适用 □不适用 </w:t>
      </w:r>
      <w:r>
        <w:rPr>
          <w:rFonts w:ascii="黑体" w:hAnsi="黑体" w:cs="黑体" w:eastAsia="黑体" w:hint="default"/>
          <w:sz w:val="20"/>
          <w:szCs w:val="20"/>
        </w:rPr>
        <w:t>本集团与北京友卫士科技中心（有限合伙）于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6</w:t>
      </w:r>
      <w:r>
        <w:rPr>
          <w:rFonts w:ascii="黑体" w:hAnsi="黑体" w:cs="黑体" w:eastAsia="黑体" w:hint="default"/>
          <w:sz w:val="20"/>
          <w:szCs w:val="20"/>
        </w:rPr>
        <w:t>月</w:t>
      </w:r>
      <w:r>
        <w:rPr>
          <w:rFonts w:ascii="Arial" w:hAnsi="Arial" w:cs="Arial" w:eastAsia="Arial" w:hint="default"/>
          <w:sz w:val="20"/>
          <w:szCs w:val="20"/>
        </w:rPr>
        <w:t>16</w:t>
      </w:r>
      <w:r>
        <w:rPr>
          <w:rFonts w:ascii="黑体" w:hAnsi="黑体" w:cs="黑体" w:eastAsia="黑体" w:hint="default"/>
          <w:sz w:val="20"/>
          <w:szCs w:val="20"/>
        </w:rPr>
        <w:t>日签订股权转让协议，以人民币</w:t>
      </w:r>
      <w:r>
        <w:rPr>
          <w:rFonts w:ascii="Arial" w:hAnsi="Arial" w:cs="Arial" w:eastAsia="Arial" w:hint="default"/>
          <w:sz w:val="20"/>
          <w:szCs w:val="20"/>
        </w:rPr>
        <w:t>32,900,000</w:t>
      </w:r>
      <w:r>
        <w:rPr>
          <w:rFonts w:ascii="黑体" w:hAnsi="黑体" w:cs="黑体" w:eastAsia="黑体" w:hint="default"/>
          <w:sz w:val="20"/>
          <w:szCs w:val="20"/>
        </w:rPr>
        <w:t>元出售其所持有用友审计的</w:t>
      </w:r>
      <w:r>
        <w:rPr>
          <w:rFonts w:ascii="Arial" w:hAnsi="Arial" w:cs="Arial" w:eastAsia="Arial" w:hint="default"/>
          <w:sz w:val="20"/>
          <w:szCs w:val="20"/>
        </w:rPr>
        <w:t>65.8%</w:t>
      </w:r>
      <w:r>
        <w:rPr>
          <w:rFonts w:ascii="黑体" w:hAnsi="黑体" w:cs="黑体" w:eastAsia="黑体" w:hint="default"/>
          <w:sz w:val="20"/>
          <w:szCs w:val="20"/>
        </w:rPr>
        <w:t>股权，处置日为</w:t>
      </w:r>
      <w:r>
        <w:rPr>
          <w:rFonts w:ascii="Arial" w:hAnsi="Arial" w:cs="Arial" w:eastAsia="Arial" w:hint="default"/>
          <w:sz w:val="20"/>
          <w:szCs w:val="20"/>
        </w:rPr>
        <w:t>2019</w:t>
      </w:r>
      <w:r>
        <w:rPr>
          <w:rFonts w:ascii="Arial" w:hAnsi="Arial" w:cs="Arial" w:eastAsia="Arial" w:hint="default"/>
          <w:spacing w:val="-8"/>
          <w:sz w:val="20"/>
          <w:szCs w:val="20"/>
        </w:rPr>
        <w:t> </w:t>
      </w:r>
      <w:r>
        <w:rPr>
          <w:rFonts w:ascii="黑体" w:hAnsi="黑体" w:cs="黑体" w:eastAsia="黑体" w:hint="default"/>
          <w:w w:val="95"/>
          <w:sz w:val="20"/>
          <w:szCs w:val="20"/>
        </w:rPr>
        <w:t>年</w:t>
      </w:r>
      <w:r>
        <w:rPr>
          <w:rFonts w:ascii="Arial" w:hAnsi="Arial" w:cs="Arial" w:eastAsia="Arial" w:hint="default"/>
          <w:w w:val="95"/>
          <w:sz w:val="20"/>
          <w:szCs w:val="20"/>
        </w:rPr>
        <w:t>10</w:t>
      </w:r>
      <w:r>
        <w:rPr>
          <w:rFonts w:ascii="黑体" w:hAnsi="黑体" w:cs="黑体" w:eastAsia="黑体" w:hint="default"/>
          <w:w w:val="95"/>
          <w:sz w:val="20"/>
          <w:szCs w:val="20"/>
        </w:rPr>
        <w:t>月</w:t>
      </w:r>
      <w:r>
        <w:rPr>
          <w:rFonts w:ascii="Arial" w:hAnsi="Arial" w:cs="Arial" w:eastAsia="Arial" w:hint="default"/>
          <w:w w:val="95"/>
          <w:sz w:val="20"/>
          <w:szCs w:val="20"/>
        </w:rPr>
        <w:t>31</w:t>
      </w:r>
      <w:r>
        <w:rPr>
          <w:rFonts w:ascii="黑体" w:hAnsi="黑体" w:cs="黑体" w:eastAsia="黑体" w:hint="default"/>
          <w:w w:val="95"/>
          <w:sz w:val="20"/>
          <w:szCs w:val="20"/>
        </w:rPr>
        <w:t>日。截至</w:t>
      </w:r>
      <w:r>
        <w:rPr>
          <w:rFonts w:ascii="Arial" w:hAnsi="Arial" w:cs="Arial" w:eastAsia="Arial" w:hint="default"/>
          <w:w w:val="95"/>
          <w:sz w:val="20"/>
          <w:szCs w:val="20"/>
        </w:rPr>
        <w:t>2019</w:t>
      </w:r>
      <w:r>
        <w:rPr>
          <w:rFonts w:ascii="黑体" w:hAnsi="黑体" w:cs="黑体" w:eastAsia="黑体" w:hint="default"/>
          <w:w w:val="95"/>
          <w:sz w:val="20"/>
          <w:szCs w:val="20"/>
        </w:rPr>
        <w:t>年</w:t>
      </w:r>
      <w:r>
        <w:rPr>
          <w:rFonts w:ascii="Arial" w:hAnsi="Arial" w:cs="Arial" w:eastAsia="Arial" w:hint="default"/>
          <w:w w:val="95"/>
          <w:sz w:val="20"/>
          <w:szCs w:val="20"/>
        </w:rPr>
        <w:t>12</w:t>
      </w:r>
      <w:r>
        <w:rPr>
          <w:rFonts w:ascii="黑体" w:hAnsi="黑体" w:cs="黑体" w:eastAsia="黑体" w:hint="default"/>
          <w:w w:val="95"/>
          <w:sz w:val="20"/>
          <w:szCs w:val="20"/>
        </w:rPr>
        <w:t>月</w:t>
      </w:r>
      <w:r>
        <w:rPr>
          <w:rFonts w:ascii="Arial" w:hAnsi="Arial" w:cs="Arial" w:eastAsia="Arial" w:hint="default"/>
          <w:w w:val="95"/>
          <w:sz w:val="20"/>
          <w:szCs w:val="20"/>
        </w:rPr>
        <w:t>31</w:t>
      </w:r>
      <w:r>
        <w:rPr>
          <w:rFonts w:ascii="黑体" w:hAnsi="黑体" w:cs="黑体" w:eastAsia="黑体" w:hint="default"/>
          <w:w w:val="95"/>
          <w:sz w:val="20"/>
          <w:szCs w:val="20"/>
        </w:rPr>
        <w:t>日，股权处置款人民币</w:t>
      </w:r>
      <w:r>
        <w:rPr>
          <w:rFonts w:ascii="Arial" w:hAnsi="Arial" w:cs="Arial" w:eastAsia="Arial" w:hint="default"/>
          <w:w w:val="95"/>
          <w:sz w:val="20"/>
          <w:szCs w:val="20"/>
        </w:rPr>
        <w:t>13,160,000</w:t>
      </w:r>
      <w:r>
        <w:rPr>
          <w:rFonts w:ascii="黑体" w:hAnsi="黑体" w:cs="黑体" w:eastAsia="黑体" w:hint="default"/>
          <w:w w:val="95"/>
          <w:sz w:val="20"/>
          <w:szCs w:val="20"/>
        </w:rPr>
        <w:t>元已收回，剩余人民币</w:t>
      </w:r>
      <w:r>
        <w:rPr>
          <w:rFonts w:ascii="Arial" w:hAnsi="Arial" w:cs="Arial" w:eastAsia="Arial" w:hint="default"/>
          <w:w w:val="95"/>
          <w:sz w:val="20"/>
          <w:szCs w:val="20"/>
        </w:rPr>
        <w:t>19,740,000</w:t>
      </w:r>
      <w:r>
        <w:rPr>
          <w:rFonts w:ascii="黑体" w:hAnsi="黑体" w:cs="黑体" w:eastAsia="黑体" w:hint="default"/>
          <w:w w:val="95"/>
          <w:sz w:val="20"/>
          <w:szCs w:val="20"/>
        </w:rPr>
        <w:t>元未取得。故自</w:t>
      </w:r>
      <w:r>
        <w:rPr>
          <w:rFonts w:ascii="Arial" w:hAnsi="Arial" w:cs="Arial" w:eastAsia="Arial" w:hint="default"/>
          <w:w w:val="95"/>
          <w:sz w:val="20"/>
          <w:szCs w:val="20"/>
        </w:rPr>
        <w:t>2019</w:t>
      </w:r>
      <w:r>
        <w:rPr>
          <w:rFonts w:ascii="黑体" w:hAnsi="黑体" w:cs="黑体" w:eastAsia="黑体" w:hint="default"/>
          <w:w w:val="95"/>
          <w:sz w:val="20"/>
          <w:szCs w:val="20"/>
        </w:rPr>
        <w:t>年</w:t>
      </w:r>
      <w:r>
        <w:rPr>
          <w:rFonts w:ascii="Arial" w:hAnsi="Arial" w:cs="Arial" w:eastAsia="Arial" w:hint="default"/>
          <w:w w:val="95"/>
          <w:sz w:val="20"/>
          <w:szCs w:val="20"/>
        </w:rPr>
        <w:t>11</w:t>
      </w:r>
      <w:r>
        <w:rPr>
          <w:rFonts w:ascii="黑体" w:hAnsi="黑体" w:cs="黑体" w:eastAsia="黑体" w:hint="default"/>
          <w:w w:val="95"/>
          <w:sz w:val="20"/>
          <w:szCs w:val="20"/>
        </w:rPr>
        <w:t>月</w:t>
      </w:r>
      <w:r>
        <w:rPr>
          <w:rFonts w:ascii="Arial" w:hAnsi="Arial" w:cs="Arial" w:eastAsia="Arial" w:hint="default"/>
          <w:w w:val="95"/>
          <w:sz w:val="20"/>
          <w:szCs w:val="20"/>
        </w:rPr>
        <w:t>1</w:t>
      </w:r>
      <w:r>
        <w:rPr>
          <w:rFonts w:ascii="黑体" w:hAnsi="黑体" w:cs="黑体" w:eastAsia="黑体" w:hint="default"/>
          <w:w w:val="95"/>
          <w:sz w:val="20"/>
          <w:szCs w:val="20"/>
        </w:rPr>
        <w:t>日起，本集团不再将用友审</w:t>
      </w:r>
      <w:r>
        <w:rPr>
          <w:rFonts w:ascii="黑体" w:hAnsi="黑体" w:cs="黑体" w:eastAsia="黑体" w:hint="default"/>
          <w:spacing w:val="61"/>
          <w:w w:val="95"/>
          <w:sz w:val="20"/>
          <w:szCs w:val="20"/>
        </w:rPr>
        <w:t> </w:t>
      </w:r>
      <w:r>
        <w:rPr>
          <w:rFonts w:ascii="黑体" w:hAnsi="黑体" w:cs="黑体" w:eastAsia="黑体" w:hint="default"/>
          <w:spacing w:val="61"/>
          <w:w w:val="95"/>
          <w:sz w:val="20"/>
          <w:szCs w:val="20"/>
        </w:rPr>
      </w:r>
      <w:r>
        <w:rPr>
          <w:rFonts w:ascii="黑体" w:hAnsi="黑体" w:cs="黑体" w:eastAsia="黑体" w:hint="default"/>
          <w:sz w:val="20"/>
          <w:szCs w:val="20"/>
        </w:rPr>
        <w:t>计纳入合并范围。用友审计的相关财务信息列示如下：</w:t>
      </w:r>
    </w:p>
    <w:p>
      <w:pPr>
        <w:spacing w:line="240" w:lineRule="auto" w:before="8"/>
        <w:rPr>
          <w:rFonts w:ascii="黑体" w:hAnsi="黑体" w:cs="黑体" w:eastAsia="黑体" w:hint="default"/>
          <w:sz w:val="22"/>
          <w:szCs w:val="22"/>
        </w:rPr>
      </w:pPr>
    </w:p>
    <w:tbl>
      <w:tblPr>
        <w:tblW w:w="0" w:type="auto"/>
        <w:jc w:val="left"/>
        <w:tblInd w:w="100" w:type="dxa"/>
        <w:tblLayout w:type="fixed"/>
        <w:tblCellMar>
          <w:top w:w="0" w:type="dxa"/>
          <w:left w:w="0" w:type="dxa"/>
          <w:bottom w:w="0" w:type="dxa"/>
          <w:right w:w="0" w:type="dxa"/>
        </w:tblCellMar>
        <w:tblLook w:val="01E0"/>
      </w:tblPr>
      <w:tblGrid>
        <w:gridCol w:w="4437"/>
        <w:gridCol w:w="4107"/>
        <w:gridCol w:w="269"/>
      </w:tblGrid>
      <w:tr>
        <w:trPr>
          <w:trHeight w:val="234" w:hRule="exact"/>
        </w:trPr>
        <w:tc>
          <w:tcPr>
            <w:tcW w:w="4437" w:type="dxa"/>
            <w:tcBorders>
              <w:top w:val="nil" w:sz="6" w:space="0" w:color="auto"/>
              <w:left w:val="nil" w:sz="6" w:space="0" w:color="auto"/>
              <w:bottom w:val="nil" w:sz="6" w:space="0" w:color="auto"/>
              <w:right w:val="nil" w:sz="6" w:space="0" w:color="auto"/>
            </w:tcBorders>
          </w:tcPr>
          <w:p>
            <w:pPr/>
          </w:p>
        </w:tc>
        <w:tc>
          <w:tcPr>
            <w:tcW w:w="4107" w:type="dxa"/>
            <w:tcBorders>
              <w:top w:val="nil" w:sz="6" w:space="0" w:color="auto"/>
              <w:left w:val="nil" w:sz="6" w:space="0" w:color="auto"/>
              <w:bottom w:val="nil" w:sz="6" w:space="0" w:color="auto"/>
              <w:right w:val="nil" w:sz="6" w:space="0" w:color="auto"/>
            </w:tcBorders>
          </w:tcPr>
          <w:p>
            <w:pPr>
              <w:pStyle w:val="TableParagraph"/>
              <w:spacing w:line="214" w:lineRule="exact"/>
              <w:ind w:right="4"/>
              <w:jc w:val="right"/>
              <w:rPr>
                <w:rFonts w:ascii="黑体" w:hAnsi="黑体" w:cs="黑体" w:eastAsia="黑体" w:hint="default"/>
                <w:sz w:val="20"/>
                <w:szCs w:val="20"/>
              </w:rPr>
            </w:pPr>
            <w:r>
              <w:rPr>
                <w:rFonts w:ascii="Arial" w:hAnsi="Arial" w:cs="Arial" w:eastAsia="Arial" w:hint="default"/>
                <w:spacing w:val="-1"/>
                <w:sz w:val="20"/>
                <w:szCs w:val="20"/>
              </w:rPr>
              <w:t>2019</w:t>
            </w:r>
            <w:r>
              <w:rPr>
                <w:rFonts w:ascii="黑体" w:hAnsi="黑体" w:cs="黑体" w:eastAsia="黑体" w:hint="default"/>
                <w:spacing w:val="-1"/>
                <w:sz w:val="20"/>
                <w:szCs w:val="20"/>
              </w:rPr>
              <w:t>年</w:t>
            </w:r>
            <w:r>
              <w:rPr>
                <w:rFonts w:ascii="Arial" w:hAnsi="Arial" w:cs="Arial" w:eastAsia="Arial" w:hint="default"/>
                <w:spacing w:val="-1"/>
                <w:sz w:val="20"/>
                <w:szCs w:val="20"/>
              </w:rPr>
              <w:t>10</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269" w:type="dxa"/>
            <w:tcBorders>
              <w:top w:val="nil" w:sz="6" w:space="0" w:color="auto"/>
              <w:left w:val="nil" w:sz="6" w:space="0" w:color="auto"/>
              <w:bottom w:val="nil" w:sz="6" w:space="0" w:color="auto"/>
              <w:right w:val="nil" w:sz="6" w:space="0" w:color="auto"/>
            </w:tcBorders>
          </w:tcPr>
          <w:p>
            <w:pPr/>
          </w:p>
        </w:tc>
      </w:tr>
      <w:tr>
        <w:trPr>
          <w:trHeight w:val="370" w:hRule="exact"/>
        </w:trPr>
        <w:tc>
          <w:tcPr>
            <w:tcW w:w="4437" w:type="dxa"/>
            <w:tcBorders>
              <w:top w:val="nil" w:sz="6" w:space="0" w:color="auto"/>
              <w:left w:val="nil" w:sz="6" w:space="0" w:color="auto"/>
              <w:bottom w:val="nil" w:sz="6" w:space="0" w:color="auto"/>
              <w:right w:val="nil" w:sz="6" w:space="0" w:color="auto"/>
            </w:tcBorders>
          </w:tcPr>
          <w:p>
            <w:pPr/>
          </w:p>
        </w:tc>
        <w:tc>
          <w:tcPr>
            <w:tcW w:w="4107" w:type="dxa"/>
            <w:tcBorders>
              <w:top w:val="nil" w:sz="6" w:space="0" w:color="auto"/>
              <w:left w:val="nil" w:sz="6" w:space="0" w:color="auto"/>
              <w:bottom w:val="nil" w:sz="6" w:space="0" w:color="auto"/>
              <w:right w:val="nil" w:sz="6" w:space="0" w:color="auto"/>
            </w:tcBorders>
          </w:tcPr>
          <w:p>
            <w:pPr>
              <w:pStyle w:val="TableParagraph"/>
              <w:spacing w:line="224" w:lineRule="exact"/>
              <w:ind w:right="0"/>
              <w:jc w:val="right"/>
              <w:rPr>
                <w:rFonts w:ascii="黑体" w:hAnsi="黑体" w:cs="黑体" w:eastAsia="黑体" w:hint="default"/>
                <w:sz w:val="20"/>
                <w:szCs w:val="20"/>
              </w:rPr>
            </w:pPr>
            <w:r>
              <w:rPr>
                <w:rFonts w:ascii="黑体" w:hAnsi="黑体" w:cs="黑体" w:eastAsia="黑体" w:hint="default"/>
                <w:w w:val="95"/>
                <w:sz w:val="20"/>
                <w:szCs w:val="20"/>
              </w:rPr>
              <w:t>账面价值</w:t>
            </w:r>
            <w:r>
              <w:rPr>
                <w:rFonts w:ascii="黑体" w:hAnsi="黑体" w:cs="黑体" w:eastAsia="黑体" w:hint="default"/>
                <w:sz w:val="20"/>
                <w:szCs w:val="20"/>
              </w:rPr>
            </w:r>
          </w:p>
        </w:tc>
        <w:tc>
          <w:tcPr>
            <w:tcW w:w="269" w:type="dxa"/>
            <w:tcBorders>
              <w:top w:val="nil" w:sz="6" w:space="0" w:color="auto"/>
              <w:left w:val="nil" w:sz="6" w:space="0" w:color="auto"/>
              <w:bottom w:val="nil" w:sz="6" w:space="0" w:color="auto"/>
              <w:right w:val="nil" w:sz="6" w:space="0" w:color="auto"/>
            </w:tcBorders>
          </w:tcPr>
          <w:p>
            <w:pPr/>
          </w:p>
        </w:tc>
      </w:tr>
      <w:tr>
        <w:trPr>
          <w:trHeight w:val="385" w:hRule="exact"/>
        </w:trPr>
        <w:tc>
          <w:tcPr>
            <w:tcW w:w="443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00" w:right="0"/>
              <w:jc w:val="left"/>
              <w:rPr>
                <w:rFonts w:ascii="黑体" w:hAnsi="黑体" w:cs="黑体" w:eastAsia="黑体" w:hint="default"/>
                <w:sz w:val="20"/>
                <w:szCs w:val="20"/>
              </w:rPr>
            </w:pPr>
            <w:r>
              <w:rPr>
                <w:rFonts w:ascii="黑体" w:hAnsi="黑体" w:cs="黑体" w:eastAsia="黑体" w:hint="default"/>
                <w:sz w:val="20"/>
                <w:szCs w:val="20"/>
              </w:rPr>
              <w:t>流动资产</w:t>
            </w:r>
          </w:p>
        </w:tc>
        <w:tc>
          <w:tcPr>
            <w:tcW w:w="4107"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0"/>
              <w:jc w:val="right"/>
              <w:rPr>
                <w:rFonts w:ascii="Arial" w:hAnsi="Arial" w:cs="Arial" w:eastAsia="Arial" w:hint="default"/>
                <w:sz w:val="20"/>
                <w:szCs w:val="20"/>
              </w:rPr>
            </w:pPr>
            <w:r>
              <w:rPr>
                <w:rFonts w:ascii="Arial"/>
                <w:w w:val="95"/>
                <w:sz w:val="20"/>
              </w:rPr>
              <w:t>37,711,156</w:t>
            </w:r>
            <w:r>
              <w:rPr>
                <w:rFonts w:ascii="Arial"/>
                <w:sz w:val="20"/>
              </w:rPr>
            </w:r>
          </w:p>
        </w:tc>
        <w:tc>
          <w:tcPr>
            <w:tcW w:w="269" w:type="dxa"/>
            <w:tcBorders>
              <w:top w:val="nil" w:sz="6" w:space="0" w:color="auto"/>
              <w:left w:val="nil" w:sz="6" w:space="0" w:color="auto"/>
              <w:bottom w:val="nil" w:sz="6" w:space="0" w:color="auto"/>
              <w:right w:val="nil" w:sz="6" w:space="0" w:color="auto"/>
            </w:tcBorders>
          </w:tcPr>
          <w:p>
            <w:pPr/>
          </w:p>
        </w:tc>
      </w:tr>
      <w:tr>
        <w:trPr>
          <w:trHeight w:val="259" w:hRule="exact"/>
        </w:trPr>
        <w:tc>
          <w:tcPr>
            <w:tcW w:w="4437"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非流动资产</w:t>
            </w:r>
          </w:p>
        </w:tc>
        <w:tc>
          <w:tcPr>
            <w:tcW w:w="410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5"/>
                <w:sz w:val="20"/>
              </w:rPr>
              <w:t>1,754,890</w:t>
            </w:r>
            <w:r>
              <w:rPr>
                <w:rFonts w:ascii="Arial"/>
                <w:sz w:val="20"/>
              </w:rPr>
            </w:r>
          </w:p>
        </w:tc>
        <w:tc>
          <w:tcPr>
            <w:tcW w:w="269" w:type="dxa"/>
            <w:tcBorders>
              <w:top w:val="nil" w:sz="6" w:space="0" w:color="auto"/>
              <w:left w:val="nil" w:sz="6" w:space="0" w:color="auto"/>
              <w:bottom w:val="nil" w:sz="6" w:space="0" w:color="auto"/>
              <w:right w:val="nil" w:sz="6" w:space="0" w:color="auto"/>
            </w:tcBorders>
          </w:tcPr>
          <w:p>
            <w:pPr/>
          </w:p>
        </w:tc>
      </w:tr>
      <w:tr>
        <w:trPr>
          <w:trHeight w:val="256" w:hRule="exact"/>
        </w:trPr>
        <w:tc>
          <w:tcPr>
            <w:tcW w:w="4437"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黑体" w:hAnsi="黑体" w:cs="黑体" w:eastAsia="黑体" w:hint="default"/>
                <w:sz w:val="20"/>
                <w:szCs w:val="20"/>
              </w:rPr>
            </w:pPr>
            <w:r>
              <w:rPr>
                <w:rFonts w:ascii="黑体" w:hAnsi="黑体" w:cs="黑体" w:eastAsia="黑体" w:hint="default"/>
                <w:sz w:val="20"/>
                <w:szCs w:val="20"/>
              </w:rPr>
              <w:t>流动负债</w:t>
            </w:r>
          </w:p>
        </w:tc>
        <w:tc>
          <w:tcPr>
            <w:tcW w:w="410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20"/>
                <w:szCs w:val="20"/>
              </w:rPr>
            </w:pPr>
            <w:r>
              <w:rPr>
                <w:rFonts w:ascii="Arial"/>
                <w:w w:val="95"/>
                <w:sz w:val="20"/>
              </w:rPr>
              <w:t>(</w:t>
            </w:r>
            <w:r>
              <w:rPr>
                <w:rFonts w:ascii="Arial"/>
                <w:w w:val="95"/>
                <w:sz w:val="20"/>
                <w:u w:val="single" w:color="000000"/>
              </w:rPr>
              <w:t>13,271,179</w:t>
            </w:r>
            <w:r>
              <w:rPr>
                <w:rFonts w:ascii="Arial"/>
                <w:w w:val="95"/>
                <w:sz w:val="20"/>
              </w:rPr>
            </w:r>
            <w:r>
              <w:rPr>
                <w:rFonts w:ascii="Arial"/>
                <w:sz w:val="20"/>
              </w:rPr>
            </w:r>
          </w:p>
        </w:tc>
        <w:tc>
          <w:tcPr>
            <w:tcW w:w="26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 w:right="0"/>
              <w:jc w:val="left"/>
              <w:rPr>
                <w:rFonts w:ascii="Arial" w:hAnsi="Arial" w:cs="Arial" w:eastAsia="Arial" w:hint="default"/>
                <w:sz w:val="20"/>
                <w:szCs w:val="20"/>
              </w:rPr>
            </w:pPr>
            <w:r>
              <w:rPr>
                <w:rFonts w:ascii="Arial"/>
                <w:w w:val="99"/>
                <w:sz w:val="20"/>
              </w:rPr>
              <w:t>)</w:t>
            </w:r>
            <w:r>
              <w:rPr>
                <w:rFonts w:ascii="Arial"/>
                <w:sz w:val="20"/>
              </w:rPr>
            </w:r>
          </w:p>
        </w:tc>
      </w:tr>
      <w:tr>
        <w:trPr>
          <w:trHeight w:val="463" w:hRule="exact"/>
        </w:trPr>
        <w:tc>
          <w:tcPr>
            <w:tcW w:w="4437" w:type="dxa"/>
            <w:tcBorders>
              <w:top w:val="nil" w:sz="6" w:space="0" w:color="auto"/>
              <w:left w:val="nil" w:sz="6" w:space="0" w:color="auto"/>
              <w:bottom w:val="nil" w:sz="6" w:space="0" w:color="auto"/>
              <w:right w:val="nil" w:sz="6" w:space="0" w:color="auto"/>
            </w:tcBorders>
          </w:tcPr>
          <w:p>
            <w:pPr/>
          </w:p>
        </w:tc>
        <w:tc>
          <w:tcPr>
            <w:tcW w:w="4107" w:type="dxa"/>
            <w:tcBorders>
              <w:top w:val="nil" w:sz="6" w:space="0" w:color="auto"/>
              <w:left w:val="nil" w:sz="6" w:space="0" w:color="auto"/>
              <w:bottom w:val="nil" w:sz="6" w:space="0" w:color="auto"/>
              <w:right w:val="nil" w:sz="6" w:space="0" w:color="auto"/>
            </w:tcBorders>
          </w:tcPr>
          <w:p>
            <w:pPr>
              <w:pStyle w:val="TableParagraph"/>
              <w:spacing w:line="219" w:lineRule="exact"/>
              <w:ind w:right="0"/>
              <w:jc w:val="right"/>
              <w:rPr>
                <w:rFonts w:ascii="Arial" w:hAnsi="Arial" w:cs="Arial" w:eastAsia="Arial" w:hint="default"/>
                <w:sz w:val="20"/>
                <w:szCs w:val="20"/>
              </w:rPr>
            </w:pPr>
            <w:r>
              <w:rPr>
                <w:rFonts w:ascii="Arial"/>
                <w:w w:val="99"/>
                <w:sz w:val="20"/>
              </w:rPr>
            </w:r>
            <w:r>
              <w:rPr>
                <w:rFonts w:ascii="Arial"/>
                <w:w w:val="95"/>
                <w:sz w:val="20"/>
                <w:u w:val="thick" w:color="000000"/>
              </w:rPr>
              <w:t>26,194,867</w:t>
            </w:r>
            <w:r>
              <w:rPr>
                <w:rFonts w:ascii="Arial"/>
                <w:w w:val="95"/>
                <w:sz w:val="20"/>
              </w:rPr>
            </w:r>
            <w:r>
              <w:rPr>
                <w:rFonts w:ascii="Arial"/>
                <w:sz w:val="20"/>
              </w:rPr>
            </w:r>
          </w:p>
        </w:tc>
        <w:tc>
          <w:tcPr>
            <w:tcW w:w="269" w:type="dxa"/>
            <w:tcBorders>
              <w:top w:val="nil" w:sz="6" w:space="0" w:color="auto"/>
              <w:left w:val="nil" w:sz="6" w:space="0" w:color="auto"/>
              <w:bottom w:val="nil" w:sz="6" w:space="0" w:color="auto"/>
              <w:right w:val="nil" w:sz="6" w:space="0" w:color="auto"/>
            </w:tcBorders>
          </w:tcPr>
          <w:p>
            <w:pPr/>
          </w:p>
        </w:tc>
      </w:tr>
      <w:tr>
        <w:trPr>
          <w:trHeight w:val="490" w:hRule="exact"/>
        </w:trPr>
        <w:tc>
          <w:tcPr>
            <w:tcW w:w="44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14"/>
                <w:szCs w:val="14"/>
              </w:rPr>
            </w:pPr>
          </w:p>
          <w:p>
            <w:pPr>
              <w:pStyle w:val="TableParagraph"/>
              <w:spacing w:line="240" w:lineRule="auto"/>
              <w:ind w:left="200" w:right="0"/>
              <w:jc w:val="left"/>
              <w:rPr>
                <w:rFonts w:ascii="黑体" w:hAnsi="黑体" w:cs="黑体" w:eastAsia="黑体" w:hint="default"/>
                <w:sz w:val="20"/>
                <w:szCs w:val="20"/>
              </w:rPr>
            </w:pPr>
            <w:r>
              <w:rPr>
                <w:rFonts w:ascii="黑体" w:hAnsi="黑体" w:cs="黑体" w:eastAsia="黑体" w:hint="default"/>
                <w:sz w:val="20"/>
                <w:szCs w:val="20"/>
              </w:rPr>
              <w:t>少数股东权益</w:t>
            </w:r>
          </w:p>
        </w:tc>
        <w:tc>
          <w:tcPr>
            <w:tcW w:w="41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8"/>
                <w:szCs w:val="18"/>
              </w:rPr>
            </w:pPr>
          </w:p>
          <w:p>
            <w:pPr>
              <w:pStyle w:val="TableParagraph"/>
              <w:spacing w:line="240" w:lineRule="auto"/>
              <w:ind w:right="0"/>
              <w:jc w:val="right"/>
              <w:rPr>
                <w:rFonts w:ascii="Arial" w:hAnsi="Arial" w:cs="Arial" w:eastAsia="Arial" w:hint="default"/>
                <w:sz w:val="20"/>
                <w:szCs w:val="20"/>
              </w:rPr>
            </w:pPr>
            <w:r>
              <w:rPr>
                <w:rFonts w:ascii="Arial"/>
                <w:spacing w:val="-1"/>
                <w:sz w:val="20"/>
              </w:rPr>
              <w:t>6,863,055</w:t>
            </w:r>
          </w:p>
        </w:tc>
        <w:tc>
          <w:tcPr>
            <w:tcW w:w="269" w:type="dxa"/>
            <w:tcBorders>
              <w:top w:val="nil" w:sz="6" w:space="0" w:color="auto"/>
              <w:left w:val="nil" w:sz="6" w:space="0" w:color="auto"/>
              <w:bottom w:val="nil" w:sz="6" w:space="0" w:color="auto"/>
              <w:right w:val="nil" w:sz="6" w:space="0" w:color="auto"/>
            </w:tcBorders>
          </w:tcPr>
          <w:p>
            <w:pPr/>
          </w:p>
        </w:tc>
      </w:tr>
      <w:tr>
        <w:trPr>
          <w:trHeight w:val="241" w:hRule="exact"/>
        </w:trPr>
        <w:tc>
          <w:tcPr>
            <w:tcW w:w="4437" w:type="dxa"/>
            <w:tcBorders>
              <w:top w:val="nil" w:sz="6" w:space="0" w:color="auto"/>
              <w:left w:val="nil" w:sz="6" w:space="0" w:color="auto"/>
              <w:bottom w:val="nil" w:sz="6" w:space="0" w:color="auto"/>
              <w:right w:val="nil" w:sz="6" w:space="0" w:color="auto"/>
            </w:tcBorders>
          </w:tcPr>
          <w:p>
            <w:pPr>
              <w:pStyle w:val="TableParagraph"/>
              <w:spacing w:line="217" w:lineRule="exact"/>
              <w:ind w:left="200" w:right="0"/>
              <w:jc w:val="left"/>
              <w:rPr>
                <w:rFonts w:ascii="黑体" w:hAnsi="黑体" w:cs="黑体" w:eastAsia="黑体" w:hint="default"/>
                <w:sz w:val="20"/>
                <w:szCs w:val="20"/>
              </w:rPr>
            </w:pPr>
            <w:r>
              <w:rPr>
                <w:rFonts w:ascii="黑体" w:hAnsi="黑体" w:cs="黑体" w:eastAsia="黑体" w:hint="default"/>
                <w:sz w:val="20"/>
                <w:szCs w:val="20"/>
              </w:rPr>
              <w:t>商誉</w:t>
            </w:r>
          </w:p>
        </w:tc>
        <w:tc>
          <w:tcPr>
            <w:tcW w:w="4107" w:type="dxa"/>
            <w:tcBorders>
              <w:top w:val="nil" w:sz="6" w:space="0" w:color="auto"/>
              <w:left w:val="nil" w:sz="6" w:space="0" w:color="auto"/>
              <w:bottom w:val="nil" w:sz="6" w:space="0" w:color="auto"/>
              <w:right w:val="nil" w:sz="6" w:space="0" w:color="auto"/>
            </w:tcBorders>
          </w:tcPr>
          <w:p>
            <w:pPr>
              <w:pStyle w:val="TableParagraph"/>
              <w:tabs>
                <w:tab w:pos="501" w:val="left" w:leader="none"/>
              </w:tabs>
              <w:spacing w:line="240" w:lineRule="auto" w:before="16"/>
              <w:ind w:right="0"/>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r>
            <w:r>
              <w:rPr>
                <w:rFonts w:ascii="Arial"/>
                <w:spacing w:val="-1"/>
                <w:sz w:val="20"/>
                <w:u w:val="single" w:color="000000"/>
              </w:rPr>
              <w:t>449,454</w:t>
            </w:r>
            <w:r>
              <w:rPr>
                <w:rFonts w:ascii="Arial"/>
                <w:spacing w:val="-1"/>
                <w:sz w:val="20"/>
              </w:rPr>
            </w:r>
          </w:p>
        </w:tc>
        <w:tc>
          <w:tcPr>
            <w:tcW w:w="269" w:type="dxa"/>
            <w:tcBorders>
              <w:top w:val="nil" w:sz="6" w:space="0" w:color="auto"/>
              <w:left w:val="nil" w:sz="6" w:space="0" w:color="auto"/>
              <w:bottom w:val="nil" w:sz="6" w:space="0" w:color="auto"/>
              <w:right w:val="nil" w:sz="6" w:space="0" w:color="auto"/>
            </w:tcBorders>
          </w:tcPr>
          <w:p>
            <w:pPr/>
          </w:p>
        </w:tc>
      </w:tr>
    </w:tbl>
    <w:p>
      <w:pPr>
        <w:spacing w:after="0"/>
        <w:sectPr>
          <w:type w:val="continuous"/>
          <w:pgSz w:w="16840" w:h="11910" w:orient="landscape"/>
          <w:pgMar w:top="1120" w:bottom="1380" w:left="1140" w:right="13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5071"/>
        <w:gridCol w:w="3671"/>
      </w:tblGrid>
      <w:tr>
        <w:trPr>
          <w:trHeight w:val="354" w:hRule="exact"/>
        </w:trPr>
        <w:tc>
          <w:tcPr>
            <w:tcW w:w="5071" w:type="dxa"/>
            <w:tcBorders>
              <w:top w:val="nil" w:sz="6" w:space="0" w:color="auto"/>
              <w:left w:val="nil" w:sz="6" w:space="0" w:color="auto"/>
              <w:bottom w:val="nil" w:sz="6" w:space="0" w:color="auto"/>
              <w:right w:val="nil" w:sz="6" w:space="0" w:color="auto"/>
            </w:tcBorders>
          </w:tcPr>
          <w:p>
            <w:pPr>
              <w:pStyle w:val="TableParagraph"/>
              <w:spacing w:line="199" w:lineRule="exact"/>
              <w:ind w:left="200" w:right="0"/>
              <w:jc w:val="left"/>
              <w:rPr>
                <w:rFonts w:ascii="黑体" w:hAnsi="黑体" w:cs="黑体" w:eastAsia="黑体" w:hint="default"/>
                <w:sz w:val="20"/>
                <w:szCs w:val="20"/>
              </w:rPr>
            </w:pPr>
            <w:r>
              <w:rPr>
                <w:rFonts w:ascii="黑体" w:hAnsi="黑体" w:cs="黑体" w:eastAsia="黑体" w:hint="default"/>
                <w:sz w:val="20"/>
                <w:szCs w:val="20"/>
              </w:rPr>
              <w:t>剩余股权的公允价值</w:t>
            </w:r>
          </w:p>
        </w:tc>
        <w:tc>
          <w:tcPr>
            <w:tcW w:w="3671" w:type="dxa"/>
            <w:tcBorders>
              <w:top w:val="nil" w:sz="6" w:space="0" w:color="auto"/>
              <w:left w:val="nil" w:sz="6" w:space="0" w:color="auto"/>
              <w:bottom w:val="nil" w:sz="6" w:space="0" w:color="auto"/>
              <w:right w:val="nil" w:sz="6" w:space="0" w:color="auto"/>
            </w:tcBorders>
          </w:tcPr>
          <w:p>
            <w:pPr>
              <w:pStyle w:val="TableParagraph"/>
              <w:spacing w:line="226" w:lineRule="exact"/>
              <w:ind w:right="198"/>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  </w:t>
            </w:r>
            <w:r>
              <w:rPr>
                <w:rFonts w:ascii="Arial"/>
                <w:spacing w:val="-21"/>
                <w:sz w:val="20"/>
                <w:u w:val="single" w:color="000000"/>
              </w:rPr>
              <w:t> </w:t>
            </w:r>
            <w:r>
              <w:rPr>
                <w:rFonts w:ascii="Arial"/>
                <w:spacing w:val="-1"/>
                <w:sz w:val="20"/>
                <w:u w:val="single" w:color="000000"/>
              </w:rPr>
              <w:t>4,000,000</w:t>
            </w:r>
            <w:r>
              <w:rPr>
                <w:rFonts w:ascii="Arial"/>
                <w:spacing w:val="-1"/>
                <w:sz w:val="20"/>
              </w:rPr>
            </w:r>
          </w:p>
        </w:tc>
      </w:tr>
      <w:tr>
        <w:trPr>
          <w:trHeight w:val="490" w:hRule="exact"/>
        </w:trPr>
        <w:tc>
          <w:tcPr>
            <w:tcW w:w="507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00" w:right="0"/>
              <w:jc w:val="left"/>
              <w:rPr>
                <w:rFonts w:ascii="黑体" w:hAnsi="黑体" w:cs="黑体" w:eastAsia="黑体" w:hint="default"/>
                <w:sz w:val="20"/>
                <w:szCs w:val="20"/>
              </w:rPr>
            </w:pPr>
            <w:r>
              <w:rPr>
                <w:rFonts w:ascii="黑体" w:hAnsi="黑体" w:cs="黑体" w:eastAsia="黑体" w:hint="default"/>
                <w:sz w:val="20"/>
                <w:szCs w:val="20"/>
              </w:rPr>
              <w:t>处置子公司产生的投资收益</w:t>
            </w:r>
          </w:p>
        </w:tc>
        <w:tc>
          <w:tcPr>
            <w:tcW w:w="367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98"/>
              <w:jc w:val="right"/>
              <w:rPr>
                <w:rFonts w:ascii="Arial" w:hAnsi="Arial" w:cs="Arial" w:eastAsia="Arial" w:hint="default"/>
                <w:sz w:val="20"/>
                <w:szCs w:val="20"/>
              </w:rPr>
            </w:pPr>
            <w:r>
              <w:rPr>
                <w:rFonts w:ascii="Arial"/>
                <w:w w:val="99"/>
                <w:sz w:val="20"/>
              </w:rPr>
            </w:r>
            <w:r>
              <w:rPr>
                <w:rFonts w:ascii="Arial"/>
                <w:w w:val="95"/>
                <w:sz w:val="20"/>
                <w:u w:val="single" w:color="000000"/>
              </w:rPr>
              <w:t>17,118,734</w:t>
            </w:r>
            <w:r>
              <w:rPr>
                <w:rFonts w:ascii="Arial"/>
                <w:w w:val="95"/>
                <w:sz w:val="20"/>
              </w:rPr>
            </w:r>
            <w:r>
              <w:rPr>
                <w:rFonts w:ascii="Arial"/>
                <w:sz w:val="20"/>
              </w:rPr>
            </w:r>
          </w:p>
        </w:tc>
      </w:tr>
      <w:tr>
        <w:trPr>
          <w:trHeight w:val="356" w:hRule="exact"/>
        </w:trPr>
        <w:tc>
          <w:tcPr>
            <w:tcW w:w="507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00" w:right="0"/>
              <w:jc w:val="left"/>
              <w:rPr>
                <w:rFonts w:ascii="黑体" w:hAnsi="黑体" w:cs="黑体" w:eastAsia="黑体" w:hint="default"/>
                <w:sz w:val="20"/>
                <w:szCs w:val="20"/>
              </w:rPr>
            </w:pPr>
            <w:r>
              <w:rPr>
                <w:rFonts w:ascii="黑体" w:hAnsi="黑体" w:cs="黑体" w:eastAsia="黑体" w:hint="default"/>
                <w:sz w:val="20"/>
                <w:szCs w:val="20"/>
              </w:rPr>
              <w:t>处置对价</w:t>
            </w:r>
          </w:p>
        </w:tc>
        <w:tc>
          <w:tcPr>
            <w:tcW w:w="367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98"/>
              <w:jc w:val="right"/>
              <w:rPr>
                <w:rFonts w:ascii="Arial" w:hAnsi="Arial" w:cs="Arial" w:eastAsia="Arial" w:hint="default"/>
                <w:sz w:val="20"/>
                <w:szCs w:val="20"/>
              </w:rPr>
            </w:pPr>
            <w:r>
              <w:rPr>
                <w:rFonts w:ascii="Arial"/>
                <w:w w:val="99"/>
                <w:sz w:val="20"/>
              </w:rPr>
            </w:r>
            <w:r>
              <w:rPr>
                <w:rFonts w:ascii="Arial"/>
                <w:w w:val="95"/>
                <w:sz w:val="20"/>
                <w:u w:val="thick" w:color="000000"/>
              </w:rPr>
              <w:t>32,900,000</w:t>
            </w:r>
            <w:r>
              <w:rPr>
                <w:rFonts w:ascii="Arial"/>
                <w:w w:val="95"/>
                <w:sz w:val="20"/>
              </w:rPr>
            </w:r>
            <w:r>
              <w:rPr>
                <w:rFonts w:ascii="Arial"/>
                <w:sz w:val="20"/>
              </w:rPr>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8"/>
          <w:szCs w:val="18"/>
        </w:rPr>
      </w:pPr>
    </w:p>
    <w:p>
      <w:pPr>
        <w:pStyle w:val="BodyText"/>
        <w:spacing w:line="240" w:lineRule="auto" w:before="26"/>
        <w:ind w:left="300" w:right="0"/>
        <w:jc w:val="left"/>
      </w:pPr>
      <w:r>
        <w:rPr/>
        <w:t>是否存在通过多次交易分步处置对子公司投资且在本期丧失控制权的情形</w:t>
      </w:r>
    </w:p>
    <w:p>
      <w:pPr>
        <w:spacing w:before="6"/>
        <w:ind w:left="300" w:right="0" w:firstLine="0"/>
        <w:jc w:val="left"/>
        <w:rPr>
          <w:rFonts w:ascii="宋体" w:hAnsi="宋体" w:cs="宋体" w:eastAsia="宋体" w:hint="default"/>
          <w:sz w:val="20"/>
          <w:szCs w:val="20"/>
        </w:rPr>
      </w:pPr>
      <w:r>
        <w:rPr>
          <w:rFonts w:ascii="宋体" w:hAnsi="宋体" w:cs="宋体" w:eastAsia="宋体" w:hint="default"/>
          <w:sz w:val="20"/>
          <w:szCs w:val="20"/>
        </w:rPr>
        <w:t>□适用</w:t>
      </w:r>
      <w:r>
        <w:rPr>
          <w:rFonts w:ascii="宋体" w:hAnsi="宋体" w:cs="宋体" w:eastAsia="宋体" w:hint="default"/>
          <w:spacing w:val="-3"/>
          <w:sz w:val="20"/>
          <w:szCs w:val="20"/>
        </w:rPr>
        <w:t> </w:t>
      </w:r>
      <w:r>
        <w:rPr>
          <w:rFonts w:ascii="宋体" w:hAnsi="宋体" w:cs="宋体" w:eastAsia="宋体" w:hint="default"/>
          <w:sz w:val="20"/>
          <w:szCs w:val="20"/>
        </w:rPr>
        <w:t>√不适用</w:t>
      </w:r>
      <w:r>
        <w:rPr>
          <w:rFonts w:ascii="宋体" w:hAnsi="宋体" w:cs="宋体" w:eastAsia="宋体" w:hint="default"/>
          <w:sz w:val="20"/>
          <w:szCs w:val="20"/>
        </w:rPr>
        <w:t> </w:t>
      </w:r>
    </w:p>
    <w:p>
      <w:pPr>
        <w:spacing w:line="240" w:lineRule="auto" w:before="1"/>
        <w:rPr>
          <w:rFonts w:ascii="宋体" w:hAnsi="宋体" w:cs="宋体" w:eastAsia="宋体" w:hint="default"/>
          <w:sz w:val="23"/>
          <w:szCs w:val="23"/>
        </w:rPr>
      </w:pPr>
    </w:p>
    <w:p>
      <w:pPr>
        <w:spacing w:before="0"/>
        <w:ind w:left="300" w:right="0"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z w:val="20"/>
          <w:szCs w:val="20"/>
        </w:rPr>
        <w:t>、</w:t>
      </w:r>
      <w:r>
        <w:rPr>
          <w:rFonts w:ascii="宋体" w:hAnsi="宋体" w:cs="宋体" w:eastAsia="宋体" w:hint="default"/>
          <w:b/>
          <w:bCs/>
          <w:spacing w:val="13"/>
          <w:sz w:val="20"/>
          <w:szCs w:val="20"/>
        </w:rPr>
        <w:t> </w:t>
      </w:r>
      <w:r>
        <w:rPr>
          <w:rFonts w:ascii="宋体" w:hAnsi="宋体" w:cs="宋体" w:eastAsia="宋体" w:hint="default"/>
          <w:b/>
          <w:bCs/>
          <w:sz w:val="20"/>
          <w:szCs w:val="20"/>
        </w:rPr>
        <w:t>其他原因的合并范围变动</w:t>
      </w:r>
      <w:r>
        <w:rPr>
          <w:rFonts w:ascii="宋体" w:hAnsi="宋体" w:cs="宋体" w:eastAsia="宋体" w:hint="default"/>
          <w:sz w:val="20"/>
          <w:szCs w:val="20"/>
        </w:rPr>
      </w:r>
    </w:p>
    <w:p>
      <w:pPr>
        <w:pStyle w:val="BodyText"/>
        <w:spacing w:line="313" w:lineRule="exact" w:before="49"/>
        <w:ind w:left="300" w:right="0"/>
        <w:jc w:val="left"/>
      </w:pPr>
      <w:r>
        <w:rPr/>
        <w:t>说明其他原因导致的合并范围变动（如，新设子公司、清算子公司等）及其相关情况：</w:t>
      </w:r>
    </w:p>
    <w:p>
      <w:pPr>
        <w:pStyle w:val="BodyText"/>
        <w:spacing w:line="311" w:lineRule="exact"/>
        <w:ind w:left="300" w:right="0"/>
        <w:jc w:val="left"/>
      </w:pPr>
      <w:r>
        <w:rPr/>
        <w:t>√适用 □不适用</w:t>
      </w:r>
    </w:p>
    <w:p>
      <w:pPr>
        <w:pStyle w:val="BodyText"/>
        <w:spacing w:line="320" w:lineRule="exact"/>
        <w:ind w:left="300" w:right="0"/>
        <w:jc w:val="left"/>
      </w:pPr>
      <w:r>
        <w:rPr/>
        <w:t>本公司之子公司用友薪福社，注册资本人民币</w:t>
      </w:r>
      <w:r>
        <w:rPr>
          <w:spacing w:val="-52"/>
        </w:rPr>
        <w:t> </w:t>
      </w:r>
      <w:r>
        <w:rPr>
          <w:rFonts w:ascii="Times New Roman" w:hAnsi="Times New Roman" w:cs="Times New Roman" w:eastAsia="Times New Roman" w:hint="default"/>
        </w:rPr>
        <w:t>50,000,000</w:t>
      </w:r>
      <w:r>
        <w:rPr>
          <w:rFonts w:ascii="Times New Roman" w:hAnsi="Times New Roman" w:cs="Times New Roman" w:eastAsia="Times New Roman" w:hint="default"/>
          <w:spacing w:val="7"/>
        </w:rPr>
        <w:t> </w:t>
      </w:r>
      <w:r>
        <w:rPr/>
        <w:t>元，本公司以持有的北京薪福社</w:t>
      </w:r>
      <w:r>
        <w:rPr>
          <w:spacing w:val="-53"/>
        </w:rPr>
        <w:t> </w:t>
      </w:r>
      <w:r>
        <w:rPr>
          <w:rFonts w:ascii="Times New Roman" w:hAnsi="Times New Roman" w:cs="Times New Roman" w:eastAsia="Times New Roman" w:hint="default"/>
        </w:rPr>
        <w:t>75%</w:t>
      </w:r>
      <w:r>
        <w:rPr/>
        <w:t>的股权作价人民币</w:t>
      </w:r>
      <w:r>
        <w:rPr>
          <w:spacing w:val="-49"/>
        </w:rPr>
        <w:t> </w:t>
      </w:r>
      <w:r>
        <w:rPr>
          <w:rFonts w:ascii="Times New Roman" w:hAnsi="Times New Roman" w:cs="Times New Roman" w:eastAsia="Times New Roman" w:hint="default"/>
        </w:rPr>
        <w:t>37,500,000</w:t>
      </w:r>
      <w:r>
        <w:rPr>
          <w:rFonts w:ascii="Times New Roman" w:hAnsi="Times New Roman" w:cs="Times New Roman" w:eastAsia="Times New Roman" w:hint="default"/>
          <w:spacing w:val="9"/>
        </w:rPr>
        <w:t> </w:t>
      </w:r>
      <w:r>
        <w:rPr/>
        <w:t>元出资，</w:t>
      </w:r>
    </w:p>
    <w:p>
      <w:pPr>
        <w:pStyle w:val="BodyText"/>
        <w:spacing w:line="312" w:lineRule="exact"/>
        <w:ind w:left="300" w:right="0"/>
        <w:jc w:val="left"/>
        <w:rPr>
          <w:rFonts w:ascii="Times New Roman" w:hAnsi="Times New Roman" w:cs="Times New Roman" w:eastAsia="Times New Roman" w:hint="default"/>
        </w:rPr>
      </w:pPr>
      <w:r>
        <w:rPr/>
        <w:t>北京聚贤汇才投资中心</w:t>
      </w:r>
      <w:r>
        <w:rPr>
          <w:rFonts w:ascii="Times New Roman" w:hAnsi="Times New Roman" w:cs="Times New Roman" w:eastAsia="Times New Roman" w:hint="default"/>
        </w:rPr>
        <w:t>(</w:t>
      </w:r>
      <w:r>
        <w:rPr/>
        <w:t>有限合伙</w:t>
      </w:r>
      <w:r>
        <w:rPr>
          <w:rFonts w:ascii="Times New Roman" w:hAnsi="Times New Roman" w:cs="Times New Roman" w:eastAsia="Times New Roman" w:hint="default"/>
        </w:rPr>
        <w:t>)</w:t>
      </w:r>
      <w:r>
        <w:rPr/>
        <w:t>、北京钜人有福投资中心</w:t>
      </w:r>
      <w:r>
        <w:rPr>
          <w:rFonts w:ascii="Times New Roman" w:hAnsi="Times New Roman" w:cs="Times New Roman" w:eastAsia="Times New Roman" w:hint="default"/>
        </w:rPr>
        <w:t>(</w:t>
      </w:r>
      <w:r>
        <w:rPr/>
        <w:t>有限合伙</w:t>
      </w:r>
      <w:r>
        <w:rPr>
          <w:rFonts w:ascii="Times New Roman" w:hAnsi="Times New Roman" w:cs="Times New Roman" w:eastAsia="Times New Roman" w:hint="default"/>
        </w:rPr>
        <w:t>)</w:t>
      </w:r>
      <w:r>
        <w:rPr/>
        <w:t>以其持有的北京薪福社合计</w:t>
      </w:r>
      <w:r>
        <w:rPr>
          <w:spacing w:val="-62"/>
        </w:rPr>
        <w:t> </w:t>
      </w:r>
      <w:r>
        <w:rPr>
          <w:rFonts w:ascii="Times New Roman" w:hAnsi="Times New Roman" w:cs="Times New Roman" w:eastAsia="Times New Roman" w:hint="default"/>
        </w:rPr>
        <w:t>25%</w:t>
      </w:r>
      <w:r>
        <w:rPr/>
        <w:t>的股权作价人民币</w:t>
      </w:r>
      <w:r>
        <w:rPr>
          <w:spacing w:val="-62"/>
        </w:rPr>
        <w:t> </w:t>
      </w:r>
      <w:r>
        <w:rPr>
          <w:rFonts w:ascii="Times New Roman" w:hAnsi="Times New Roman" w:cs="Times New Roman" w:eastAsia="Times New Roman" w:hint="default"/>
        </w:rPr>
        <w:t>12,500,000</w:t>
      </w:r>
    </w:p>
    <w:p>
      <w:pPr>
        <w:pStyle w:val="BodyText"/>
        <w:spacing w:line="322" w:lineRule="exact"/>
        <w:ind w:left="300" w:right="0"/>
        <w:jc w:val="left"/>
      </w:pPr>
      <w:r>
        <w:rPr/>
        <w:t>元出资。出资完成后，本公司持有用友薪福社</w:t>
      </w:r>
      <w:r>
        <w:rPr>
          <w:spacing w:val="-60"/>
        </w:rPr>
        <w:t> </w:t>
      </w:r>
      <w:r>
        <w:rPr>
          <w:rFonts w:ascii="Times New Roman" w:hAnsi="Times New Roman" w:cs="Times New Roman" w:eastAsia="Times New Roman" w:hint="default"/>
        </w:rPr>
        <w:t>75%</w:t>
      </w:r>
      <w:r>
        <w:rPr/>
        <w:t>的股权。原本公司之子公司北京薪福社成为用友薪福社之全资子公司。</w:t>
      </w:r>
    </w:p>
    <w:p>
      <w:pPr>
        <w:spacing w:line="240" w:lineRule="auto" w:before="9"/>
        <w:rPr>
          <w:rFonts w:ascii="宋体" w:hAnsi="宋体" w:cs="宋体" w:eastAsia="宋体" w:hint="default"/>
          <w:sz w:val="21"/>
          <w:szCs w:val="21"/>
        </w:rPr>
      </w:pPr>
    </w:p>
    <w:p>
      <w:pPr>
        <w:pStyle w:val="BodyText"/>
        <w:spacing w:line="312" w:lineRule="exact"/>
        <w:ind w:left="300" w:right="241"/>
        <w:jc w:val="left"/>
      </w:pPr>
      <w:r>
        <w:rPr/>
        <w:t>本公司与用友产投共同出资设立子公司青岛用友云创投，出资额人民币</w:t>
      </w:r>
      <w:r>
        <w:rPr>
          <w:spacing w:val="-60"/>
        </w:rPr>
        <w:t> </w:t>
      </w:r>
      <w:r>
        <w:rPr>
          <w:rFonts w:ascii="Times New Roman" w:hAnsi="Times New Roman" w:cs="Times New Roman" w:eastAsia="Times New Roman" w:hint="default"/>
        </w:rPr>
        <w:t>201,000,000</w:t>
      </w:r>
      <w:r>
        <w:rPr>
          <w:rFonts w:ascii="Times New Roman" w:hAnsi="Times New Roman" w:cs="Times New Roman" w:eastAsia="Times New Roman" w:hint="default"/>
          <w:spacing w:val="-1"/>
        </w:rPr>
        <w:t> </w:t>
      </w:r>
      <w:r>
        <w:rPr/>
        <w:t>元，本公司直接持股</w:t>
      </w:r>
      <w:r>
        <w:rPr>
          <w:spacing w:val="-61"/>
        </w:rPr>
        <w:t> </w:t>
      </w:r>
      <w:r>
        <w:rPr>
          <w:rFonts w:ascii="Times New Roman" w:hAnsi="Times New Roman" w:cs="Times New Roman" w:eastAsia="Times New Roman" w:hint="default"/>
        </w:rPr>
        <w:t>99.5%</w:t>
      </w:r>
      <w:r>
        <w:rPr/>
        <w:t>，间接持股</w:t>
      </w:r>
      <w:r>
        <w:rPr>
          <w:spacing w:val="-61"/>
        </w:rPr>
        <w:t> </w:t>
      </w:r>
      <w:r>
        <w:rPr>
          <w:rFonts w:ascii="Times New Roman" w:hAnsi="Times New Roman" w:cs="Times New Roman" w:eastAsia="Times New Roman" w:hint="default"/>
        </w:rPr>
        <w:t>0.5%</w:t>
      </w:r>
      <w:r>
        <w:rPr/>
        <w:t>。截 止</w:t>
      </w:r>
      <w:r>
        <w:rPr>
          <w:spacing w:val="-60"/>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日，本公司已实缴出资人民币</w:t>
      </w:r>
      <w:r>
        <w:rPr>
          <w:spacing w:val="-60"/>
        </w:rPr>
        <w:t> </w:t>
      </w:r>
      <w:r>
        <w:rPr>
          <w:rFonts w:ascii="Times New Roman" w:hAnsi="Times New Roman" w:cs="Times New Roman" w:eastAsia="Times New Roman" w:hint="default"/>
        </w:rPr>
        <w:t>40,000,000 </w:t>
      </w:r>
      <w:r>
        <w:rPr/>
        <w:t>元。</w:t>
      </w:r>
    </w:p>
    <w:p>
      <w:pPr>
        <w:spacing w:line="240" w:lineRule="auto" w:before="10"/>
        <w:rPr>
          <w:rFonts w:ascii="宋体" w:hAnsi="宋体" w:cs="宋体" w:eastAsia="宋体" w:hint="default"/>
          <w:sz w:val="18"/>
          <w:szCs w:val="18"/>
        </w:rPr>
      </w:pPr>
    </w:p>
    <w:p>
      <w:pPr>
        <w:pStyle w:val="BodyText"/>
        <w:spacing w:line="321" w:lineRule="exact"/>
        <w:ind w:left="300" w:right="0"/>
        <w:jc w:val="left"/>
        <w:rPr>
          <w:rFonts w:ascii="Times New Roman" w:hAnsi="Times New Roman" w:cs="Times New Roman" w:eastAsia="Times New Roman" w:hint="default"/>
        </w:rPr>
      </w:pPr>
      <w:r>
        <w:rPr/>
        <w:t>本公司之子公司用友云创投</w:t>
      </w:r>
      <w:r>
        <w:rPr>
          <w:spacing w:val="-120"/>
        </w:rPr>
        <w:t>，</w:t>
      </w:r>
      <w:r>
        <w:rPr/>
        <w:t>注册资本人民币</w:t>
      </w:r>
      <w:r>
        <w:rPr>
          <w:spacing w:val="-89"/>
        </w:rPr>
        <w:t> </w:t>
      </w:r>
      <w:r>
        <w:rPr>
          <w:rFonts w:ascii="Times New Roman" w:hAnsi="Times New Roman" w:cs="Times New Roman" w:eastAsia="Times New Roman" w:hint="default"/>
        </w:rPr>
        <w:t>201,000,000</w:t>
      </w:r>
      <w:r>
        <w:rPr>
          <w:rFonts w:ascii="Times New Roman" w:hAnsi="Times New Roman" w:cs="Times New Roman" w:eastAsia="Times New Roman" w:hint="default"/>
          <w:spacing w:val="-29"/>
        </w:rPr>
        <w:t> </w:t>
      </w:r>
      <w:r>
        <w:rPr/>
        <w:t>元</w:t>
      </w:r>
      <w:r>
        <w:rPr>
          <w:spacing w:val="-120"/>
        </w:rPr>
        <w:t>，</w:t>
      </w:r>
      <w:r>
        <w:rPr/>
        <w:t>本公司出资比例</w:t>
      </w:r>
      <w:r>
        <w:rPr>
          <w:spacing w:val="-89"/>
        </w:rPr>
        <w:t> </w:t>
      </w:r>
      <w:r>
        <w:rPr>
          <w:rFonts w:ascii="Times New Roman" w:hAnsi="Times New Roman" w:cs="Times New Roman" w:eastAsia="Times New Roman" w:hint="default"/>
        </w:rPr>
        <w:t>99.5</w:t>
      </w:r>
      <w:r>
        <w:rPr>
          <w:rFonts w:ascii="Times New Roman" w:hAnsi="Times New Roman" w:cs="Times New Roman" w:eastAsia="Times New Roman" w:hint="default"/>
          <w:spacing w:val="-1"/>
        </w:rPr>
        <w:t>%</w:t>
      </w:r>
      <w:r>
        <w:rPr>
          <w:spacing w:val="-120"/>
        </w:rPr>
        <w:t>，</w:t>
      </w:r>
      <w:r>
        <w:rPr/>
        <w:t>间接持股</w:t>
      </w:r>
      <w:r>
        <w:rPr>
          <w:spacing w:val="-89"/>
        </w:rPr>
        <w:t> </w:t>
      </w:r>
      <w:r>
        <w:rPr>
          <w:rFonts w:ascii="Times New Roman" w:hAnsi="Times New Roman" w:cs="Times New Roman" w:eastAsia="Times New Roman" w:hint="default"/>
        </w:rPr>
        <w:t>0.5</w:t>
      </w:r>
      <w:r>
        <w:rPr>
          <w:rFonts w:ascii="Times New Roman" w:hAnsi="Times New Roman" w:cs="Times New Roman" w:eastAsia="Times New Roman" w:hint="default"/>
          <w:spacing w:val="-1"/>
        </w:rPr>
        <w:t>%</w:t>
      </w:r>
      <w:r>
        <w:rPr>
          <w:spacing w:val="-120"/>
        </w:rPr>
        <w:t>。</w:t>
      </w:r>
      <w:r>
        <w:rPr/>
        <w:t>本年支付出资款人民币</w:t>
      </w:r>
      <w:r>
        <w:rPr>
          <w:spacing w:val="-89"/>
        </w:rPr>
        <w:t> </w:t>
      </w:r>
      <w:r>
        <w:rPr>
          <w:rFonts w:ascii="Times New Roman" w:hAnsi="Times New Roman" w:cs="Times New Roman" w:eastAsia="Times New Roman" w:hint="default"/>
        </w:rPr>
        <w:t>60,000,000</w:t>
      </w:r>
    </w:p>
    <w:p>
      <w:pPr>
        <w:pStyle w:val="BodyText"/>
        <w:spacing w:line="321" w:lineRule="exact"/>
        <w:ind w:left="300" w:right="0"/>
        <w:jc w:val="left"/>
      </w:pPr>
      <w:r>
        <w:rPr/>
        <w:t>元，截止</w:t>
      </w:r>
      <w:r>
        <w:rPr>
          <w:spacing w:val="-60"/>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日，本公司已实缴出资人民币</w:t>
      </w:r>
      <w:r>
        <w:rPr>
          <w:spacing w:val="-60"/>
        </w:rPr>
        <w:t> </w:t>
      </w:r>
      <w:r>
        <w:rPr>
          <w:rFonts w:ascii="Times New Roman" w:hAnsi="Times New Roman" w:cs="Times New Roman" w:eastAsia="Times New Roman" w:hint="default"/>
        </w:rPr>
        <w:t>110,000,000 </w:t>
      </w:r>
      <w:r>
        <w:rPr/>
        <w:t>元。</w:t>
      </w:r>
    </w:p>
    <w:p>
      <w:pPr>
        <w:spacing w:line="240" w:lineRule="auto" w:before="8"/>
        <w:rPr>
          <w:rFonts w:ascii="宋体" w:hAnsi="宋体" w:cs="宋体" w:eastAsia="宋体" w:hint="default"/>
          <w:sz w:val="19"/>
          <w:szCs w:val="19"/>
        </w:rPr>
      </w:pPr>
    </w:p>
    <w:p>
      <w:pPr>
        <w:pStyle w:val="BodyText"/>
        <w:spacing w:line="322" w:lineRule="exact"/>
        <w:ind w:left="300" w:right="0"/>
        <w:jc w:val="left"/>
      </w:pPr>
      <w:r>
        <w:rPr/>
        <w:t>本公司之子公司用友产投，注册资本人民币人民币</w:t>
      </w:r>
      <w:r>
        <w:rPr>
          <w:spacing w:val="-60"/>
        </w:rPr>
        <w:t> </w:t>
      </w:r>
      <w:r>
        <w:rPr>
          <w:rFonts w:ascii="Times New Roman" w:hAnsi="Times New Roman" w:cs="Times New Roman" w:eastAsia="Times New Roman" w:hint="default"/>
        </w:rPr>
        <w:t>50,000,000</w:t>
      </w:r>
      <w:r>
        <w:rPr>
          <w:rFonts w:ascii="Times New Roman" w:hAnsi="Times New Roman" w:cs="Times New Roman" w:eastAsia="Times New Roman" w:hint="default"/>
          <w:spacing w:val="-1"/>
        </w:rPr>
        <w:t> </w:t>
      </w:r>
      <w:r>
        <w:rPr/>
        <w:t>元，本公司出资比例</w:t>
      </w:r>
      <w:r>
        <w:rPr>
          <w:spacing w:val="-61"/>
        </w:rPr>
        <w:t> </w:t>
      </w:r>
      <w:r>
        <w:rPr>
          <w:rFonts w:ascii="Times New Roman" w:hAnsi="Times New Roman" w:cs="Times New Roman" w:eastAsia="Times New Roman" w:hint="default"/>
        </w:rPr>
        <w:t>70%</w:t>
      </w:r>
      <w:r>
        <w:rPr/>
        <w:t>，本年支付出资款人民币</w:t>
      </w:r>
      <w:r>
        <w:rPr>
          <w:spacing w:val="-61"/>
        </w:rPr>
        <w:t> </w:t>
      </w:r>
      <w:r>
        <w:rPr>
          <w:rFonts w:ascii="Times New Roman" w:hAnsi="Times New Roman" w:cs="Times New Roman" w:eastAsia="Times New Roman" w:hint="default"/>
        </w:rPr>
        <w:t>7,000,000</w:t>
      </w:r>
      <w:r>
        <w:rPr>
          <w:rFonts w:ascii="Times New Roman" w:hAnsi="Times New Roman" w:cs="Times New Roman" w:eastAsia="Times New Roman" w:hint="default"/>
          <w:spacing w:val="-1"/>
        </w:rPr>
        <w:t> </w:t>
      </w:r>
      <w:r>
        <w:rPr/>
        <w:t>元，截止</w:t>
      </w:r>
    </w:p>
    <w:p>
      <w:pPr>
        <w:pStyle w:val="BodyText"/>
        <w:spacing w:line="322" w:lineRule="exact"/>
        <w:ind w:left="300" w:right="0"/>
        <w:jc w:val="left"/>
      </w:pPr>
      <w:r>
        <w:rPr>
          <w:rFonts w:ascii="Times New Roman" w:hAnsi="Times New Roman" w:cs="Times New Roman" w:eastAsia="Times New Roman" w:hint="default"/>
        </w:rPr>
        <w:t>2019 </w:t>
      </w:r>
      <w:r>
        <w:rPr/>
        <w:t>年</w:t>
      </w:r>
      <w:r>
        <w:rPr>
          <w:spacing w:val="-61"/>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日，本公司已实缴出资人民币</w:t>
      </w:r>
      <w:r>
        <w:rPr>
          <w:spacing w:val="-60"/>
        </w:rPr>
        <w:t> </w:t>
      </w:r>
      <w:r>
        <w:rPr>
          <w:rFonts w:ascii="Times New Roman" w:hAnsi="Times New Roman" w:cs="Times New Roman" w:eastAsia="Times New Roman" w:hint="default"/>
        </w:rPr>
        <w:t>15,750,000 </w:t>
      </w:r>
      <w:r>
        <w:rPr/>
        <w:t>元。</w:t>
      </w:r>
    </w:p>
    <w:p>
      <w:pPr>
        <w:spacing w:line="240" w:lineRule="auto" w:before="5"/>
        <w:rPr>
          <w:rFonts w:ascii="宋体" w:hAnsi="宋体" w:cs="宋体" w:eastAsia="宋体" w:hint="default"/>
          <w:sz w:val="19"/>
          <w:szCs w:val="19"/>
        </w:rPr>
      </w:pPr>
    </w:p>
    <w:p>
      <w:pPr>
        <w:pStyle w:val="BodyText"/>
        <w:spacing w:line="240" w:lineRule="auto"/>
        <w:ind w:left="300" w:right="0"/>
        <w:jc w:val="left"/>
      </w:pPr>
      <w:r>
        <w:rPr/>
        <w:t>本公司出资设立子公司幸福创新二期，出资额人民币</w:t>
      </w:r>
      <w:r>
        <w:rPr>
          <w:spacing w:val="-52"/>
        </w:rPr>
        <w:t> </w:t>
      </w:r>
      <w:r>
        <w:rPr>
          <w:rFonts w:ascii="Times New Roman" w:hAnsi="Times New Roman" w:cs="Times New Roman" w:eastAsia="Times New Roman" w:hint="default"/>
        </w:rPr>
        <w:t>200,000,000</w:t>
      </w:r>
      <w:r>
        <w:rPr>
          <w:rFonts w:ascii="Times New Roman" w:hAnsi="Times New Roman" w:cs="Times New Roman" w:eastAsia="Times New Roman" w:hint="default"/>
          <w:spacing w:val="7"/>
        </w:rPr>
        <w:t> </w:t>
      </w:r>
      <w:r>
        <w:rPr/>
        <w:t>元，本公司出资比例</w:t>
      </w:r>
      <w:r>
        <w:rPr>
          <w:spacing w:val="-53"/>
        </w:rPr>
        <w:t> </w:t>
      </w:r>
      <w:r>
        <w:rPr>
          <w:rFonts w:ascii="Times New Roman" w:hAnsi="Times New Roman" w:cs="Times New Roman" w:eastAsia="Times New Roman" w:hint="default"/>
        </w:rPr>
        <w:t>99%</w:t>
      </w:r>
      <w:r>
        <w:rPr/>
        <w:t>，本年支付出资额人民币</w:t>
      </w:r>
      <w:r>
        <w:rPr>
          <w:spacing w:val="-48"/>
        </w:rPr>
        <w:t> </w:t>
      </w:r>
      <w:r>
        <w:rPr>
          <w:rFonts w:ascii="Times New Roman" w:hAnsi="Times New Roman" w:cs="Times New Roman" w:eastAsia="Times New Roman" w:hint="default"/>
        </w:rPr>
        <w:t>198,000,000</w:t>
      </w:r>
      <w:r>
        <w:rPr>
          <w:rFonts w:ascii="Times New Roman" w:hAnsi="Times New Roman" w:cs="Times New Roman" w:eastAsia="Times New Roman" w:hint="default"/>
          <w:spacing w:val="9"/>
        </w:rPr>
        <w:t> </w:t>
      </w:r>
      <w:r>
        <w:rPr/>
        <w:t>元。</w:t>
      </w:r>
    </w:p>
    <w:p>
      <w:pPr>
        <w:spacing w:after="0" w:line="240" w:lineRule="auto"/>
        <w:jc w:val="left"/>
        <w:sectPr>
          <w:pgSz w:w="16840" w:h="11910" w:orient="landscape"/>
          <w:pgMar w:header="882" w:footer="1195" w:top="1120" w:bottom="1380" w:left="1140" w:right="130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p>
      <w:pPr>
        <w:pStyle w:val="BodyText"/>
        <w:spacing w:line="422" w:lineRule="auto" w:before="26"/>
        <w:ind w:left="140" w:right="0"/>
        <w:jc w:val="left"/>
      </w:pPr>
      <w:r>
        <w:rPr/>
        <w:t>本公司之子公司创新投资，注册资本人民币</w:t>
      </w:r>
      <w:r>
        <w:rPr>
          <w:spacing w:val="-39"/>
        </w:rPr>
        <w:t> </w:t>
      </w:r>
      <w:r>
        <w:rPr>
          <w:rFonts w:ascii="Times New Roman" w:hAnsi="Times New Roman" w:cs="Times New Roman" w:eastAsia="Times New Roman" w:hint="default"/>
        </w:rPr>
        <w:t>230,000,000</w:t>
      </w:r>
      <w:r>
        <w:rPr/>
        <w:t>，持股比例</w:t>
      </w:r>
      <w:r>
        <w:rPr>
          <w:spacing w:val="-38"/>
        </w:rPr>
        <w:t> </w:t>
      </w:r>
      <w:r>
        <w:rPr>
          <w:rFonts w:ascii="Times New Roman" w:hAnsi="Times New Roman" w:cs="Times New Roman" w:eastAsia="Times New Roman" w:hint="default"/>
        </w:rPr>
        <w:t>99%</w:t>
      </w:r>
      <w:r>
        <w:rPr/>
        <w:t>，本年向其股东进行出资返还，共计人民币</w:t>
      </w:r>
      <w:r>
        <w:rPr>
          <w:spacing w:val="-37"/>
        </w:rPr>
        <w:t> </w:t>
      </w:r>
      <w:r>
        <w:rPr>
          <w:rFonts w:ascii="Times New Roman" w:hAnsi="Times New Roman" w:cs="Times New Roman" w:eastAsia="Times New Roman" w:hint="default"/>
        </w:rPr>
        <w:t>227,700,000</w:t>
      </w:r>
      <w:r>
        <w:rPr>
          <w:rFonts w:ascii="Times New Roman" w:hAnsi="Times New Roman" w:cs="Times New Roman" w:eastAsia="Times New Roman" w:hint="default"/>
          <w:spacing w:val="22"/>
        </w:rPr>
        <w:t> </w:t>
      </w:r>
      <w:r>
        <w:rPr/>
        <w:t>元。</w:t>
      </w:r>
      <w:r>
        <w:rPr>
          <w:spacing w:val="-113"/>
        </w:rPr>
        <w:t> </w:t>
      </w:r>
      <w:r>
        <w:rPr/>
        <w:t>本公司之子公司滨海用友，本年已注销。</w:t>
      </w:r>
    </w:p>
    <w:p>
      <w:pPr>
        <w:pStyle w:val="BodyText"/>
        <w:spacing w:line="240" w:lineRule="auto" w:before="91"/>
        <w:ind w:left="140" w:right="0"/>
        <w:jc w:val="left"/>
      </w:pPr>
      <w:r>
        <w:rPr/>
        <w:t>本公司之子公司用友审计，本年已处置。</w:t>
      </w:r>
    </w:p>
    <w:p>
      <w:pPr>
        <w:spacing w:line="240" w:lineRule="auto" w:before="6"/>
        <w:rPr>
          <w:rFonts w:ascii="宋体" w:hAnsi="宋体" w:cs="宋体" w:eastAsia="宋体" w:hint="default"/>
          <w:sz w:val="27"/>
          <w:szCs w:val="27"/>
        </w:rPr>
      </w:pPr>
    </w:p>
    <w:p>
      <w:pPr>
        <w:spacing w:before="0"/>
        <w:ind w:left="140" w:right="0" w:firstLine="0"/>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z w:val="20"/>
          <w:szCs w:val="20"/>
        </w:rPr>
        <w:t>、</w:t>
      </w:r>
      <w:r>
        <w:rPr>
          <w:rFonts w:ascii="宋体" w:hAnsi="宋体" w:cs="宋体" w:eastAsia="宋体" w:hint="default"/>
          <w:b/>
          <w:bCs/>
          <w:spacing w:val="15"/>
          <w:sz w:val="20"/>
          <w:szCs w:val="20"/>
        </w:rPr>
        <w:t> </w:t>
      </w:r>
      <w:r>
        <w:rPr>
          <w:rFonts w:ascii="宋体" w:hAnsi="宋体" w:cs="宋体" w:eastAsia="宋体" w:hint="default"/>
          <w:b/>
          <w:bCs/>
          <w:sz w:val="20"/>
          <w:szCs w:val="20"/>
        </w:rPr>
        <w:t>其他</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00" w:val="left" w:leader="none"/>
        </w:tabs>
        <w:spacing w:line="240" w:lineRule="auto" w:before="49"/>
        <w:ind w:left="140" w:right="0"/>
        <w:jc w:val="left"/>
      </w:pPr>
      <w:r>
        <w:rPr/>
        <w:t>□适用</w:t>
        <w:tab/>
        <w:t>√不适用</w:t>
      </w:r>
    </w:p>
    <w:p>
      <w:pPr>
        <w:spacing w:after="0" w:line="240" w:lineRule="auto"/>
        <w:jc w:val="left"/>
        <w:sectPr>
          <w:pgSz w:w="16840" w:h="11910" w:orient="landscape"/>
          <w:pgMar w:header="882" w:footer="1195" w:top="1120" w:bottom="1380" w:left="1300" w:right="130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spacing w:line="292" w:lineRule="auto" w:before="37"/>
        <w:ind w:left="218" w:right="6141" w:firstLine="0"/>
        <w:jc w:val="left"/>
        <w:rPr>
          <w:rFonts w:ascii="宋体" w:hAnsi="宋体" w:cs="宋体" w:eastAsia="宋体" w:hint="default"/>
          <w:sz w:val="20"/>
          <w:szCs w:val="20"/>
        </w:rPr>
      </w:pPr>
      <w:r>
        <w:rPr>
          <w:rFonts w:ascii="宋体" w:hAnsi="宋体" w:cs="宋体" w:eastAsia="宋体" w:hint="default"/>
          <w:b/>
          <w:bCs/>
          <w:sz w:val="20"/>
          <w:szCs w:val="20"/>
        </w:rPr>
        <w:t>九、</w:t>
      </w:r>
      <w:r>
        <w:rPr>
          <w:rFonts w:ascii="宋体" w:hAnsi="宋体" w:cs="宋体" w:eastAsia="宋体" w:hint="default"/>
          <w:b/>
          <w:bCs/>
          <w:spacing w:val="-78"/>
          <w:sz w:val="20"/>
          <w:szCs w:val="20"/>
        </w:rPr>
        <w:t> </w:t>
      </w:r>
      <w:r>
        <w:rPr>
          <w:rFonts w:ascii="宋体" w:hAnsi="宋体" w:cs="宋体" w:eastAsia="宋体" w:hint="default"/>
          <w:b/>
          <w:bCs/>
          <w:spacing w:val="-78"/>
          <w:sz w:val="20"/>
          <w:szCs w:val="20"/>
        </w:rPr>
      </w:r>
      <w:r>
        <w:rPr>
          <w:rFonts w:ascii="宋体" w:hAnsi="宋体" w:cs="宋体" w:eastAsia="宋体" w:hint="default"/>
          <w:b/>
          <w:bCs/>
          <w:sz w:val="20"/>
          <w:szCs w:val="20"/>
        </w:rPr>
        <w:t>在其他主体中的权益</w:t>
      </w:r>
      <w:r>
        <w:rPr>
          <w:rFonts w:ascii="宋体" w:hAnsi="宋体" w:cs="宋体" w:eastAsia="宋体" w:hint="default"/>
          <w:b/>
          <w:bCs/>
          <w:w w:val="98"/>
          <w:sz w:val="20"/>
          <w:szCs w:val="20"/>
        </w:rPr>
        <w:t> </w:t>
      </w:r>
      <w:r>
        <w:rPr>
          <w:rFonts w:ascii="宋体" w:hAnsi="宋体" w:cs="宋体" w:eastAsia="宋体" w:hint="default"/>
          <w:b/>
          <w:bCs/>
          <w:sz w:val="20"/>
          <w:szCs w:val="20"/>
        </w:rPr>
        <w:t>1</w:t>
      </w:r>
      <w:r>
        <w:rPr>
          <w:rFonts w:ascii="宋体" w:hAnsi="宋体" w:cs="宋体" w:eastAsia="宋体" w:hint="default"/>
          <w:b/>
          <w:bCs/>
          <w:sz w:val="20"/>
          <w:szCs w:val="20"/>
        </w:rPr>
        <w:t>、</w:t>
      </w:r>
      <w:r>
        <w:rPr>
          <w:rFonts w:ascii="宋体" w:hAnsi="宋体" w:cs="宋体" w:eastAsia="宋体" w:hint="default"/>
          <w:b/>
          <w:bCs/>
          <w:spacing w:val="15"/>
          <w:sz w:val="20"/>
          <w:szCs w:val="20"/>
        </w:rPr>
        <w:t> </w:t>
      </w:r>
      <w:r>
        <w:rPr>
          <w:rFonts w:ascii="宋体" w:hAnsi="宋体" w:cs="宋体" w:eastAsia="宋体" w:hint="default"/>
          <w:b/>
          <w:bCs/>
          <w:sz w:val="20"/>
          <w:szCs w:val="20"/>
        </w:rPr>
        <w:t>在子公司中的权益</w:t>
      </w:r>
      <w:r>
        <w:rPr>
          <w:rFonts w:ascii="宋体" w:hAnsi="宋体" w:cs="宋体" w:eastAsia="宋体" w:hint="default"/>
          <w:b/>
          <w:bCs/>
          <w:w w:val="99"/>
          <w:sz w:val="20"/>
          <w:szCs w:val="20"/>
        </w:rPr>
        <w:t> </w:t>
      </w:r>
      <w:r>
        <w:rPr>
          <w:rFonts w:ascii="宋体" w:hAnsi="宋体" w:cs="宋体" w:eastAsia="宋体" w:hint="default"/>
          <w:b/>
          <w:bCs/>
          <w:sz w:val="20"/>
          <w:szCs w:val="20"/>
        </w:rPr>
        <w:t>(1).</w:t>
      </w:r>
      <w:r>
        <w:rPr>
          <w:rFonts w:ascii="宋体" w:hAnsi="宋体" w:cs="宋体" w:eastAsia="宋体" w:hint="default"/>
          <w:b/>
          <w:bCs/>
          <w:spacing w:val="-21"/>
          <w:sz w:val="20"/>
          <w:szCs w:val="20"/>
        </w:rPr>
        <w:t> </w:t>
      </w:r>
      <w:r>
        <w:rPr>
          <w:rFonts w:ascii="宋体" w:hAnsi="宋体" w:cs="宋体" w:eastAsia="宋体" w:hint="default"/>
          <w:b/>
          <w:bCs/>
          <w:sz w:val="20"/>
          <w:szCs w:val="20"/>
        </w:rPr>
        <w:t>企业集团的构成</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5"/>
        <w:ind w:left="218" w:right="6141"/>
        <w:jc w:val="left"/>
      </w:pPr>
      <w:r>
        <w:rPr/>
        <w:t>√适用</w:t>
      </w:r>
      <w:r>
        <w:rPr>
          <w:spacing w:val="-1"/>
        </w:rPr>
        <w:t> </w:t>
      </w:r>
      <w:r>
        <w:rPr/>
        <w:t>□不适用</w:t>
      </w:r>
    </w:p>
    <w:p>
      <w:pPr>
        <w:spacing w:line="240" w:lineRule="auto" w:before="12"/>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552"/>
        <w:gridCol w:w="974"/>
        <w:gridCol w:w="962"/>
        <w:gridCol w:w="989"/>
        <w:gridCol w:w="977"/>
        <w:gridCol w:w="977"/>
        <w:gridCol w:w="1099"/>
      </w:tblGrid>
      <w:tr>
        <w:trPr>
          <w:trHeight w:val="322" w:hRule="exact"/>
        </w:trPr>
        <w:tc>
          <w:tcPr>
            <w:tcW w:w="2552" w:type="dxa"/>
            <w:vMerge w:val="restart"/>
            <w:tcBorders>
              <w:top w:val="single" w:sz="4" w:space="0" w:color="000000"/>
              <w:left w:val="single" w:sz="4" w:space="0" w:color="000000"/>
              <w:right w:val="single" w:sz="4" w:space="0" w:color="000000"/>
            </w:tcBorders>
          </w:tcPr>
          <w:p>
            <w:pPr>
              <w:pStyle w:val="TableParagraph"/>
              <w:spacing w:line="278" w:lineRule="exact"/>
              <w:ind w:right="1"/>
              <w:jc w:val="center"/>
              <w:rPr>
                <w:rFonts w:ascii="宋体" w:hAnsi="宋体" w:cs="宋体" w:eastAsia="宋体" w:hint="default"/>
                <w:sz w:val="24"/>
                <w:szCs w:val="24"/>
              </w:rPr>
            </w:pPr>
            <w:r>
              <w:rPr>
                <w:rFonts w:ascii="宋体" w:hAnsi="宋体" w:cs="宋体" w:eastAsia="宋体" w:hint="default"/>
                <w:sz w:val="24"/>
                <w:szCs w:val="24"/>
              </w:rPr>
              <w:t>子公司</w:t>
            </w:r>
          </w:p>
          <w:p>
            <w:pPr>
              <w:pStyle w:val="TableParagraph"/>
              <w:spacing w:line="313" w:lineRule="exact"/>
              <w:ind w:right="1"/>
              <w:jc w:val="center"/>
              <w:rPr>
                <w:rFonts w:ascii="宋体" w:hAnsi="宋体" w:cs="宋体" w:eastAsia="宋体" w:hint="default"/>
                <w:sz w:val="24"/>
                <w:szCs w:val="24"/>
              </w:rPr>
            </w:pPr>
            <w:r>
              <w:rPr>
                <w:rFonts w:ascii="宋体" w:hAnsi="宋体" w:cs="宋体" w:eastAsia="宋体" w:hint="default"/>
                <w:sz w:val="24"/>
                <w:szCs w:val="24"/>
              </w:rPr>
              <w:t>名称</w:t>
            </w:r>
          </w:p>
        </w:tc>
        <w:tc>
          <w:tcPr>
            <w:tcW w:w="974" w:type="dxa"/>
            <w:vMerge w:val="restart"/>
            <w:tcBorders>
              <w:top w:val="single" w:sz="4" w:space="0" w:color="000000"/>
              <w:left w:val="single" w:sz="4" w:space="0" w:color="000000"/>
              <w:right w:val="single" w:sz="4" w:space="0" w:color="000000"/>
            </w:tcBorders>
          </w:tcPr>
          <w:p>
            <w:pPr>
              <w:pStyle w:val="TableParagraph"/>
              <w:spacing w:line="278" w:lineRule="exact"/>
              <w:ind w:right="0"/>
              <w:jc w:val="center"/>
              <w:rPr>
                <w:rFonts w:ascii="宋体" w:hAnsi="宋体" w:cs="宋体" w:eastAsia="宋体" w:hint="default"/>
                <w:sz w:val="24"/>
                <w:szCs w:val="24"/>
              </w:rPr>
            </w:pPr>
            <w:r>
              <w:rPr>
                <w:rFonts w:ascii="宋体" w:hAnsi="宋体" w:cs="宋体" w:eastAsia="宋体" w:hint="default"/>
                <w:sz w:val="24"/>
                <w:szCs w:val="24"/>
              </w:rPr>
              <w:t>主要经</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营地</w:t>
            </w:r>
          </w:p>
        </w:tc>
        <w:tc>
          <w:tcPr>
            <w:tcW w:w="962" w:type="dxa"/>
            <w:vMerge w:val="restart"/>
            <w:tcBorders>
              <w:top w:val="single" w:sz="4" w:space="0" w:color="000000"/>
              <w:left w:val="single" w:sz="4" w:space="0" w:color="000000"/>
              <w:right w:val="single" w:sz="4" w:space="0" w:color="000000"/>
            </w:tcBorders>
          </w:tcPr>
          <w:p>
            <w:pPr>
              <w:pStyle w:val="TableParagraph"/>
              <w:spacing w:line="240" w:lineRule="auto" w:before="120"/>
              <w:ind w:left="115" w:right="0"/>
              <w:jc w:val="left"/>
              <w:rPr>
                <w:rFonts w:ascii="宋体" w:hAnsi="宋体" w:cs="宋体" w:eastAsia="宋体" w:hint="default"/>
                <w:sz w:val="24"/>
                <w:szCs w:val="24"/>
              </w:rPr>
            </w:pPr>
            <w:r>
              <w:rPr>
                <w:rFonts w:ascii="宋体" w:hAnsi="宋体" w:cs="宋体" w:eastAsia="宋体" w:hint="default"/>
                <w:sz w:val="24"/>
                <w:szCs w:val="24"/>
              </w:rPr>
              <w:t>注册地</w:t>
            </w:r>
          </w:p>
        </w:tc>
        <w:tc>
          <w:tcPr>
            <w:tcW w:w="989" w:type="dxa"/>
            <w:vMerge w:val="restart"/>
            <w:tcBorders>
              <w:top w:val="single" w:sz="4" w:space="0" w:color="000000"/>
              <w:left w:val="single" w:sz="4" w:space="0" w:color="000000"/>
              <w:right w:val="single" w:sz="4" w:space="0" w:color="000000"/>
            </w:tcBorders>
          </w:tcPr>
          <w:p>
            <w:pPr>
              <w:pStyle w:val="TableParagraph"/>
              <w:spacing w:line="278" w:lineRule="exact"/>
              <w:ind w:right="0"/>
              <w:jc w:val="center"/>
              <w:rPr>
                <w:rFonts w:ascii="宋体" w:hAnsi="宋体" w:cs="宋体" w:eastAsia="宋体" w:hint="default"/>
                <w:sz w:val="24"/>
                <w:szCs w:val="24"/>
              </w:rPr>
            </w:pPr>
            <w:r>
              <w:rPr>
                <w:rFonts w:ascii="宋体" w:hAnsi="宋体" w:cs="宋体" w:eastAsia="宋体" w:hint="default"/>
                <w:sz w:val="24"/>
                <w:szCs w:val="24"/>
              </w:rPr>
              <w:t>业务性</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质</w:t>
            </w:r>
          </w:p>
        </w:tc>
        <w:tc>
          <w:tcPr>
            <w:tcW w:w="19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312"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持股比例</w:t>
            </w:r>
            <w:r>
              <w:rPr>
                <w:rFonts w:ascii="Times New Roman" w:hAnsi="Times New Roman" w:cs="Times New Roman" w:eastAsia="Times New Roman" w:hint="default"/>
                <w:sz w:val="24"/>
                <w:szCs w:val="24"/>
              </w:rPr>
              <w:t>(%)</w:t>
            </w:r>
          </w:p>
        </w:tc>
        <w:tc>
          <w:tcPr>
            <w:tcW w:w="1099" w:type="dxa"/>
            <w:vMerge w:val="restart"/>
            <w:tcBorders>
              <w:top w:val="single" w:sz="4" w:space="0" w:color="000000"/>
              <w:left w:val="single" w:sz="4" w:space="0" w:color="000000"/>
              <w:right w:val="single" w:sz="4" w:space="0" w:color="000000"/>
            </w:tcBorders>
          </w:tcPr>
          <w:p>
            <w:pPr>
              <w:pStyle w:val="TableParagraph"/>
              <w:spacing w:line="278" w:lineRule="exact"/>
              <w:ind w:left="304" w:right="0"/>
              <w:jc w:val="left"/>
              <w:rPr>
                <w:rFonts w:ascii="宋体" w:hAnsi="宋体" w:cs="宋体" w:eastAsia="宋体" w:hint="default"/>
                <w:sz w:val="24"/>
                <w:szCs w:val="24"/>
              </w:rPr>
            </w:pPr>
            <w:r>
              <w:rPr>
                <w:rFonts w:ascii="宋体" w:hAnsi="宋体" w:cs="宋体" w:eastAsia="宋体" w:hint="default"/>
                <w:sz w:val="24"/>
                <w:szCs w:val="24"/>
              </w:rPr>
              <w:t>取得</w:t>
            </w:r>
          </w:p>
          <w:p>
            <w:pPr>
              <w:pStyle w:val="TableParagraph"/>
              <w:spacing w:line="313" w:lineRule="exact"/>
              <w:ind w:left="304" w:right="0"/>
              <w:jc w:val="left"/>
              <w:rPr>
                <w:rFonts w:ascii="宋体" w:hAnsi="宋体" w:cs="宋体" w:eastAsia="宋体" w:hint="default"/>
                <w:sz w:val="24"/>
                <w:szCs w:val="24"/>
              </w:rPr>
            </w:pPr>
            <w:r>
              <w:rPr>
                <w:rFonts w:ascii="宋体" w:hAnsi="宋体" w:cs="宋体" w:eastAsia="宋体" w:hint="default"/>
                <w:sz w:val="24"/>
                <w:szCs w:val="24"/>
              </w:rPr>
              <w:t>方式</w:t>
            </w:r>
          </w:p>
        </w:tc>
      </w:tr>
      <w:tr>
        <w:trPr>
          <w:trHeight w:val="322" w:hRule="exact"/>
        </w:trPr>
        <w:tc>
          <w:tcPr>
            <w:tcW w:w="2552" w:type="dxa"/>
            <w:vMerge/>
            <w:tcBorders>
              <w:left w:val="single" w:sz="4" w:space="0" w:color="000000"/>
              <w:bottom w:val="single" w:sz="4" w:space="0" w:color="000000"/>
              <w:right w:val="single" w:sz="4" w:space="0" w:color="000000"/>
            </w:tcBorders>
          </w:tcPr>
          <w:p>
            <w:pPr/>
          </w:p>
        </w:tc>
        <w:tc>
          <w:tcPr>
            <w:tcW w:w="974" w:type="dxa"/>
            <w:vMerge/>
            <w:tcBorders>
              <w:left w:val="single" w:sz="4" w:space="0" w:color="000000"/>
              <w:bottom w:val="single" w:sz="4" w:space="0" w:color="000000"/>
              <w:right w:val="single" w:sz="4" w:space="0" w:color="000000"/>
            </w:tcBorders>
          </w:tcPr>
          <w:p>
            <w:pPr/>
          </w:p>
        </w:tc>
        <w:tc>
          <w:tcPr>
            <w:tcW w:w="962" w:type="dxa"/>
            <w:vMerge/>
            <w:tcBorders>
              <w:left w:val="single" w:sz="4" w:space="0" w:color="000000"/>
              <w:bottom w:val="single" w:sz="4" w:space="0" w:color="000000"/>
              <w:right w:val="single" w:sz="4" w:space="0" w:color="000000"/>
            </w:tcBorders>
          </w:tcPr>
          <w:p>
            <w:pPr/>
          </w:p>
        </w:tc>
        <w:tc>
          <w:tcPr>
            <w:tcW w:w="989" w:type="dxa"/>
            <w:vMerge/>
            <w:tcBorders>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2" w:right="0"/>
              <w:jc w:val="left"/>
              <w:rPr>
                <w:rFonts w:ascii="宋体" w:hAnsi="宋体" w:cs="宋体" w:eastAsia="宋体" w:hint="default"/>
                <w:sz w:val="24"/>
                <w:szCs w:val="24"/>
              </w:rPr>
            </w:pPr>
            <w:r>
              <w:rPr>
                <w:rFonts w:ascii="宋体" w:hAnsi="宋体" w:cs="宋体" w:eastAsia="宋体" w:hint="default"/>
                <w:sz w:val="24"/>
                <w:szCs w:val="24"/>
              </w:rPr>
              <w:t>直接</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2" w:right="0"/>
              <w:jc w:val="left"/>
              <w:rPr>
                <w:rFonts w:ascii="宋体" w:hAnsi="宋体" w:cs="宋体" w:eastAsia="宋体" w:hint="default"/>
                <w:sz w:val="24"/>
                <w:szCs w:val="24"/>
              </w:rPr>
            </w:pPr>
            <w:r>
              <w:rPr>
                <w:rFonts w:ascii="宋体" w:hAnsi="宋体" w:cs="宋体" w:eastAsia="宋体" w:hint="default"/>
                <w:sz w:val="24"/>
                <w:szCs w:val="24"/>
              </w:rPr>
              <w:t>间接</w:t>
            </w:r>
          </w:p>
        </w:tc>
        <w:tc>
          <w:tcPr>
            <w:tcW w:w="1099" w:type="dxa"/>
            <w:vMerge/>
            <w:tcBorders>
              <w:left w:val="single" w:sz="4" w:space="0" w:color="000000"/>
              <w:bottom w:val="single" w:sz="4" w:space="0" w:color="000000"/>
              <w:right w:val="single" w:sz="4" w:space="0" w:color="000000"/>
            </w:tcBorders>
          </w:tcPr>
          <w:p>
            <w:pPr/>
          </w:p>
        </w:tc>
      </w:tr>
      <w:tr>
        <w:trPr>
          <w:trHeight w:val="94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重庆用友软件有限公</w:t>
            </w:r>
          </w:p>
          <w:p>
            <w:pPr>
              <w:pStyle w:val="TableParagraph"/>
              <w:spacing w:line="312" w:lineRule="exact" w:before="28"/>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以下简称“重庆用 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重庆市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重庆市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312" w:lineRule="exact" w:before="28"/>
              <w:ind w:left="103" w:right="154"/>
              <w:jc w:val="left"/>
              <w:rPr>
                <w:rFonts w:ascii="宋体" w:hAnsi="宋体" w:cs="宋体" w:eastAsia="宋体" w:hint="default"/>
                <w:sz w:val="24"/>
                <w:szCs w:val="24"/>
              </w:rPr>
            </w:pPr>
            <w:r>
              <w:rPr>
                <w:rFonts w:ascii="宋体" w:hAnsi="宋体" w:cs="宋体" w:eastAsia="宋体" w:hint="default"/>
                <w:sz w:val="24"/>
                <w:szCs w:val="24"/>
              </w:rPr>
              <w:t>软、硬 件</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81.88</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18.12</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944"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深圳巿灏麓梵科技有</w:t>
            </w:r>
          </w:p>
          <w:p>
            <w:pPr>
              <w:pStyle w:val="TableParagraph"/>
              <w:spacing w:line="310" w:lineRule="exact" w:before="31"/>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以下简称“灏 麓梵科技”</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深圳市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深圳市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310" w:lineRule="exact" w:before="31"/>
              <w:ind w:left="103" w:right="154"/>
              <w:jc w:val="left"/>
              <w:rPr>
                <w:rFonts w:ascii="宋体" w:hAnsi="宋体" w:cs="宋体" w:eastAsia="宋体" w:hint="default"/>
                <w:sz w:val="24"/>
                <w:szCs w:val="24"/>
              </w:rPr>
            </w:pPr>
            <w:r>
              <w:rPr>
                <w:rFonts w:ascii="宋体" w:hAnsi="宋体" w:cs="宋体" w:eastAsia="宋体" w:hint="default"/>
                <w:sz w:val="24"/>
                <w:szCs w:val="24"/>
              </w:rPr>
              <w:t>软件行 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2189"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广东用友软件有限公</w:t>
            </w:r>
          </w:p>
          <w:p>
            <w:pPr>
              <w:pStyle w:val="TableParagraph"/>
              <w:spacing w:line="312" w:lineRule="exact" w:before="29"/>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以下简称”广东用 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广州市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广州市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7"/>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网 络、技 术咨询 及电子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87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天津用友软件技术有</w:t>
            </w:r>
          </w:p>
          <w:p>
            <w:pPr>
              <w:pStyle w:val="TableParagraph"/>
              <w:spacing w:line="312" w:lineRule="exact" w:before="29"/>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以下简称“天 津用友”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天津市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天津市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5" w:lineRule="auto" w:before="4"/>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件、技 术咨询 及电子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240" w:lineRule="auto"/>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安徽用友软件有限公</w:t>
            </w:r>
          </w:p>
          <w:p>
            <w:pPr>
              <w:pStyle w:val="TableParagraph"/>
              <w:spacing w:line="312" w:lineRule="exact" w:before="28"/>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以下简称“安徽用 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合肥市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27"/>
              <w:jc w:val="right"/>
              <w:rPr>
                <w:rFonts w:ascii="宋体" w:hAnsi="宋体" w:cs="宋体" w:eastAsia="宋体" w:hint="default"/>
                <w:sz w:val="24"/>
                <w:szCs w:val="24"/>
              </w:rPr>
            </w:pPr>
            <w:r>
              <w:rPr>
                <w:rFonts w:ascii="宋体" w:hAnsi="宋体" w:cs="宋体" w:eastAsia="宋体" w:hint="default"/>
                <w:sz w:val="24"/>
                <w:szCs w:val="24"/>
              </w:rPr>
              <w:t>合肥市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6"/>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件、技 术咨询 及电子</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82</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18</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87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491"/>
              <w:jc w:val="left"/>
              <w:rPr>
                <w:rFonts w:ascii="Times New Roman" w:hAnsi="Times New Roman" w:cs="Times New Roman" w:eastAsia="Times New Roman" w:hint="default"/>
                <w:sz w:val="24"/>
                <w:szCs w:val="24"/>
              </w:rPr>
            </w:pPr>
            <w:r>
              <w:rPr>
                <w:rFonts w:ascii="Times New Roman"/>
                <w:sz w:val="24"/>
              </w:rPr>
              <w:t>YONYOU</w:t>
            </w:r>
            <w:r>
              <w:rPr>
                <w:rFonts w:ascii="Times New Roman"/>
                <w:spacing w:val="-1"/>
                <w:w w:val="99"/>
                <w:sz w:val="24"/>
              </w:rPr>
              <w:t> </w:t>
            </w:r>
            <w:r>
              <w:rPr>
                <w:rFonts w:ascii="Times New Roman"/>
                <w:sz w:val="24"/>
              </w:rPr>
              <w:t>INTERNATIONAL</w:t>
            </w:r>
            <w:r>
              <w:rPr>
                <w:rFonts w:ascii="Times New Roman"/>
                <w:sz w:val="24"/>
              </w:rPr>
              <w:t> HOLDINGS.,LTD.</w:t>
            </w:r>
          </w:p>
          <w:p>
            <w:pPr>
              <w:pStyle w:val="TableParagraph"/>
              <w:spacing w:line="290" w:lineRule="exact"/>
              <w:ind w:left="103" w:right="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w:t>
            </w:r>
            <w:r>
              <w:rPr>
                <w:rFonts w:ascii="Times New Roman" w:hAnsi="Times New Roman" w:cs="Times New Roman" w:eastAsia="Times New Roman" w:hint="default"/>
                <w:sz w:val="24"/>
                <w:szCs w:val="24"/>
              </w:rPr>
              <w:t>YONYOU</w:t>
            </w:r>
          </w:p>
          <w:p>
            <w:pPr>
              <w:pStyle w:val="TableParagraph"/>
              <w:spacing w:line="322" w:lineRule="exact"/>
              <w:ind w:left="103" w:right="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INTERNATIONAL</w:t>
            </w:r>
            <w:r>
              <w:rPr>
                <w:rFonts w:ascii="宋体" w:hAnsi="宋体" w:cs="宋体" w:eastAsia="宋体" w:hint="default"/>
                <w:sz w:val="24"/>
                <w:szCs w:val="24"/>
              </w:rPr>
              <w:t>”</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英属维</w:t>
            </w:r>
          </w:p>
          <w:p>
            <w:pPr>
              <w:pStyle w:val="TableParagraph"/>
              <w:spacing w:line="310" w:lineRule="exact" w:before="31"/>
              <w:ind w:left="103" w:right="139"/>
              <w:jc w:val="left"/>
              <w:rPr>
                <w:rFonts w:ascii="宋体" w:hAnsi="宋体" w:cs="宋体" w:eastAsia="宋体" w:hint="default"/>
                <w:sz w:val="24"/>
                <w:szCs w:val="24"/>
              </w:rPr>
            </w:pPr>
            <w:r>
              <w:rPr>
                <w:rFonts w:ascii="宋体" w:hAnsi="宋体" w:cs="宋体" w:eastAsia="宋体" w:hint="default"/>
                <w:sz w:val="24"/>
                <w:szCs w:val="24"/>
              </w:rPr>
              <w:t>尔京群 岛</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英属维</w:t>
            </w:r>
          </w:p>
          <w:p>
            <w:pPr>
              <w:pStyle w:val="TableParagraph"/>
              <w:spacing w:line="310" w:lineRule="exact" w:before="31"/>
              <w:ind w:left="103" w:right="127"/>
              <w:jc w:val="left"/>
              <w:rPr>
                <w:rFonts w:ascii="宋体" w:hAnsi="宋体" w:cs="宋体" w:eastAsia="宋体" w:hint="default"/>
                <w:sz w:val="24"/>
                <w:szCs w:val="24"/>
              </w:rPr>
            </w:pPr>
            <w:r>
              <w:rPr>
                <w:rFonts w:ascii="宋体" w:hAnsi="宋体" w:cs="宋体" w:eastAsia="宋体" w:hint="default"/>
                <w:sz w:val="24"/>
                <w:szCs w:val="24"/>
              </w:rPr>
              <w:t>尔京群 岛</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投资控</w:t>
            </w:r>
          </w:p>
          <w:p>
            <w:pPr>
              <w:pStyle w:val="TableParagraph"/>
              <w:spacing w:line="237" w:lineRule="auto" w:before="1"/>
              <w:ind w:left="103" w:right="154"/>
              <w:jc w:val="both"/>
              <w:rPr>
                <w:rFonts w:ascii="宋体" w:hAnsi="宋体" w:cs="宋体" w:eastAsia="宋体" w:hint="default"/>
                <w:sz w:val="24"/>
                <w:szCs w:val="24"/>
              </w:rPr>
            </w:pPr>
            <w:r>
              <w:rPr>
                <w:rFonts w:ascii="宋体" w:hAnsi="宋体" w:cs="宋体" w:eastAsia="宋体" w:hint="default"/>
                <w:sz w:val="24"/>
                <w:szCs w:val="24"/>
              </w:rPr>
              <w:t>股、计 算机软 件开发 及技术 咨询</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内蒙古用友软件技术</w:t>
            </w:r>
          </w:p>
          <w:p>
            <w:pPr>
              <w:pStyle w:val="TableParagraph"/>
              <w:spacing w:line="312" w:lineRule="exact" w:before="29"/>
              <w:ind w:left="103" w:right="437"/>
              <w:jc w:val="left"/>
              <w:rPr>
                <w:rFonts w:ascii="Times New Roman" w:hAnsi="Times New Roman" w:cs="Times New Roman" w:eastAsia="Times New Roman" w:hint="default"/>
                <w:sz w:val="24"/>
                <w:szCs w:val="24"/>
              </w:rPr>
            </w:pPr>
            <w:r>
              <w:rPr>
                <w:rFonts w:ascii="宋体" w:hAnsi="宋体" w:cs="宋体" w:eastAsia="宋体" w:hint="default"/>
                <w:sz w:val="24"/>
                <w:szCs w:val="24"/>
              </w:rPr>
              <w:t>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 “内蒙古用友”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呼和浩</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特市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呼和浩</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特市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25" w:lineRule="auto" w:before="15"/>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咨 询行业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用友艾福斯</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0" w:lineRule="auto" w:before="10"/>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件、技 术咨询</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240" w:lineRule="auto"/>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bl>
    <w:p>
      <w:pPr>
        <w:spacing w:after="0" w:line="240" w:lineRule="auto"/>
        <w:jc w:val="left"/>
        <w:rPr>
          <w:rFonts w:ascii="宋体" w:hAnsi="宋体" w:cs="宋体" w:eastAsia="宋体" w:hint="default"/>
          <w:sz w:val="24"/>
          <w:szCs w:val="24"/>
        </w:rPr>
        <w:sectPr>
          <w:headerReference w:type="default" r:id="rId76"/>
          <w:footerReference w:type="default" r:id="rId77"/>
          <w:pgSz w:w="11910" w:h="16850"/>
          <w:pgMar w:header="745" w:footer="0" w:top="980" w:bottom="280" w:left="1580" w:right="156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5" w:type="dxa"/>
        <w:tblLayout w:type="fixed"/>
        <w:tblCellMar>
          <w:top w:w="0" w:type="dxa"/>
          <w:left w:w="0" w:type="dxa"/>
          <w:bottom w:w="0" w:type="dxa"/>
          <w:right w:w="0" w:type="dxa"/>
        </w:tblCellMar>
        <w:tblLook w:val="01E0"/>
      </w:tblPr>
      <w:tblGrid>
        <w:gridCol w:w="2552"/>
        <w:gridCol w:w="974"/>
        <w:gridCol w:w="962"/>
        <w:gridCol w:w="989"/>
        <w:gridCol w:w="977"/>
        <w:gridCol w:w="977"/>
        <w:gridCol w:w="1099"/>
      </w:tblGrid>
      <w:tr>
        <w:trPr>
          <w:trHeight w:val="634" w:hRule="exact"/>
        </w:trPr>
        <w:tc>
          <w:tcPr>
            <w:tcW w:w="2552"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及电子</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行业</w:t>
            </w:r>
          </w:p>
        </w:tc>
        <w:tc>
          <w:tcPr>
            <w:tcW w:w="977"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
        </w:tc>
      </w:tr>
      <w:tr>
        <w:trPr>
          <w:trHeight w:val="187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用友政务</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5" w:lineRule="auto" w:before="3"/>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件、技 术咨询 及电子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77.49</w:t>
            </w: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2189"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用友金融</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7"/>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网 络、技 术咨询 及电子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76.98</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2189"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浙江用友软件有限公</w:t>
            </w:r>
          </w:p>
          <w:p>
            <w:pPr>
              <w:pStyle w:val="TableParagraph"/>
              <w:spacing w:line="310" w:lineRule="exact" w:before="31"/>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以下简称“浙江用 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杭州市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杭州市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7"/>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网 络、技 术咨询 及电子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87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沈阳用友软件有限公</w:t>
            </w:r>
          </w:p>
          <w:p>
            <w:pPr>
              <w:pStyle w:val="TableParagraph"/>
              <w:spacing w:line="310" w:lineRule="exact" w:before="31"/>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以下简称“沈阳用 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沈阳市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沈阳市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0" w:lineRule="auto" w:before="10"/>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技 术咨询 及电子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87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大连用友软件有限公</w:t>
            </w:r>
          </w:p>
          <w:p>
            <w:pPr>
              <w:pStyle w:val="TableParagraph"/>
              <w:spacing w:line="312" w:lineRule="exact" w:before="29"/>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以下简称“大连用 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大连市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大连市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0" w:lineRule="auto" w:before="10"/>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技 术咨询 及电子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广西用友软件有限公</w:t>
            </w:r>
          </w:p>
          <w:p>
            <w:pPr>
              <w:pStyle w:val="TableParagraph"/>
              <w:spacing w:line="312" w:lineRule="exact" w:before="28"/>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以下简称“广西用 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南宁市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27"/>
              <w:jc w:val="right"/>
              <w:rPr>
                <w:rFonts w:ascii="宋体" w:hAnsi="宋体" w:cs="宋体" w:eastAsia="宋体" w:hint="default"/>
                <w:sz w:val="24"/>
                <w:szCs w:val="24"/>
              </w:rPr>
            </w:pPr>
            <w:r>
              <w:rPr>
                <w:rFonts w:ascii="宋体" w:hAnsi="宋体" w:cs="宋体" w:eastAsia="宋体" w:hint="default"/>
                <w:sz w:val="24"/>
                <w:szCs w:val="24"/>
              </w:rPr>
              <w:t>南宁市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28" w:lineRule="auto" w:before="11"/>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咨 询及电 子行业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90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厦门烟草</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厦门市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厦门市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25" w:lineRule="auto" w:before="15"/>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电 子行业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73</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32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深圳用友软件有限公</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深圳市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深圳市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tc>
      </w:tr>
    </w:tbl>
    <w:p>
      <w:pPr>
        <w:spacing w:after="0" w:line="274" w:lineRule="exact"/>
        <w:jc w:val="left"/>
        <w:rPr>
          <w:rFonts w:ascii="宋体" w:hAnsi="宋体" w:cs="宋体" w:eastAsia="宋体" w:hint="default"/>
          <w:sz w:val="24"/>
          <w:szCs w:val="24"/>
        </w:rPr>
        <w:sectPr>
          <w:footerReference w:type="default" r:id="rId78"/>
          <w:pgSz w:w="11910" w:h="16850"/>
          <w:pgMar w:footer="921" w:header="745" w:top="980" w:bottom="1120" w:left="1580" w:right="1560"/>
          <w:pgNumType w:start="138"/>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5" w:type="dxa"/>
        <w:tblLayout w:type="fixed"/>
        <w:tblCellMar>
          <w:top w:w="0" w:type="dxa"/>
          <w:left w:w="0" w:type="dxa"/>
          <w:bottom w:w="0" w:type="dxa"/>
          <w:right w:w="0" w:type="dxa"/>
        </w:tblCellMar>
        <w:tblLook w:val="01E0"/>
      </w:tblPr>
      <w:tblGrid>
        <w:gridCol w:w="2552"/>
        <w:gridCol w:w="974"/>
        <w:gridCol w:w="962"/>
        <w:gridCol w:w="989"/>
        <w:gridCol w:w="977"/>
        <w:gridCol w:w="977"/>
        <w:gridCol w:w="1099"/>
      </w:tblGrid>
      <w:tr>
        <w:trPr>
          <w:trHeight w:val="125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宋体" w:hAnsi="宋体" w:cs="宋体" w:eastAsia="宋体" w:hint="default"/>
                <w:sz w:val="24"/>
                <w:szCs w:val="24"/>
              </w:rPr>
            </w:pPr>
            <w:r>
              <w:rPr>
                <w:rFonts w:ascii="宋体" w:hAnsi="宋体" w:cs="宋体" w:eastAsia="宋体" w:hint="default"/>
                <w:sz w:val="24"/>
                <w:szCs w:val="24"/>
              </w:rPr>
              <w:t>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以下简称“深圳用</w:t>
            </w:r>
          </w:p>
          <w:p>
            <w:pPr>
              <w:pStyle w:val="TableParagraph"/>
              <w:spacing w:line="32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w:t>
            </w:r>
          </w:p>
          <w:p>
            <w:pPr>
              <w:pStyle w:val="TableParagraph"/>
              <w:spacing w:line="230" w:lineRule="auto" w:before="1"/>
              <w:ind w:left="103" w:right="154"/>
              <w:jc w:val="left"/>
              <w:rPr>
                <w:rFonts w:ascii="宋体" w:hAnsi="宋体" w:cs="宋体" w:eastAsia="宋体" w:hint="default"/>
                <w:sz w:val="24"/>
                <w:szCs w:val="24"/>
              </w:rPr>
            </w:pPr>
            <w:r>
              <w:rPr>
                <w:rFonts w:ascii="宋体" w:hAnsi="宋体" w:cs="宋体" w:eastAsia="宋体" w:hint="default"/>
                <w:sz w:val="24"/>
                <w:szCs w:val="24"/>
              </w:rPr>
              <w:t>件</w:t>
            </w:r>
            <w:r>
              <w:rPr>
                <w:rFonts w:ascii="Times New Roman" w:hAnsi="Times New Roman" w:cs="Times New Roman" w:eastAsia="Times New Roman" w:hint="default"/>
                <w:sz w:val="24"/>
                <w:szCs w:val="24"/>
              </w:rPr>
              <w:t>/</w:t>
            </w:r>
            <w:r>
              <w:rPr>
                <w:rFonts w:ascii="宋体" w:hAnsi="宋体" w:cs="宋体" w:eastAsia="宋体" w:hint="default"/>
                <w:sz w:val="24"/>
                <w:szCs w:val="24"/>
              </w:rPr>
              <w:t>耗 材、电 子行业</w:t>
            </w:r>
          </w:p>
        </w:tc>
        <w:tc>
          <w:tcPr>
            <w:tcW w:w="977"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投资等</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方式</w:t>
            </w:r>
          </w:p>
        </w:tc>
      </w:tr>
      <w:tr>
        <w:trPr>
          <w:trHeight w:val="2189"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山东用友软件技术有</w:t>
            </w:r>
          </w:p>
          <w:p>
            <w:pPr>
              <w:pStyle w:val="TableParagraph"/>
              <w:spacing w:line="310" w:lineRule="exact" w:before="31"/>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以下简称“山 东用友”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济南市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济南市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7"/>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耗 材、技 术咨 询、电 子行业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8"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江西用友软件有限责</w:t>
            </w:r>
          </w:p>
          <w:p>
            <w:pPr>
              <w:pStyle w:val="TableParagraph"/>
              <w:spacing w:line="310" w:lineRule="exact" w:before="31"/>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任公司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以下简称“江 西用友”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南昌市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南昌市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28" w:lineRule="auto" w:before="13"/>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耗 材、电 子行业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湖南用友软件有限公</w:t>
            </w:r>
          </w:p>
          <w:p>
            <w:pPr>
              <w:pStyle w:val="TableParagraph"/>
              <w:spacing w:line="312" w:lineRule="exact" w:before="28"/>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以下简称“湖南用 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长沙市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长沙市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312" w:lineRule="exact" w:before="28"/>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咨 询行业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8"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用友医疗</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0" w:lineRule="auto" w:before="9"/>
              <w:ind w:left="103" w:right="154"/>
              <w:jc w:val="left"/>
              <w:rPr>
                <w:rFonts w:ascii="宋体" w:hAnsi="宋体" w:cs="宋体" w:eastAsia="宋体" w:hint="default"/>
                <w:sz w:val="24"/>
                <w:szCs w:val="24"/>
              </w:rPr>
            </w:pPr>
            <w:r>
              <w:rPr>
                <w:rFonts w:ascii="宋体" w:hAnsi="宋体" w:cs="宋体" w:eastAsia="宋体" w:hint="default"/>
                <w:sz w:val="24"/>
                <w:szCs w:val="24"/>
              </w:rPr>
              <w:t>软件</w:t>
            </w:r>
            <w:r>
              <w:rPr>
                <w:rFonts w:ascii="Times New Roman" w:hAnsi="Times New Roman" w:cs="Times New Roman" w:eastAsia="Times New Roman" w:hint="default"/>
                <w:sz w:val="24"/>
                <w:szCs w:val="24"/>
              </w:rPr>
              <w:t>/ </w:t>
            </w:r>
            <w:r>
              <w:rPr>
                <w:rFonts w:ascii="宋体" w:hAnsi="宋体" w:cs="宋体" w:eastAsia="宋体" w:hint="default"/>
                <w:sz w:val="24"/>
                <w:szCs w:val="24"/>
              </w:rPr>
              <w:t>系统集 成</w:t>
            </w:r>
            <w:r>
              <w:rPr>
                <w:rFonts w:ascii="Times New Roman" w:hAnsi="Times New Roman" w:cs="Times New Roman" w:eastAsia="Times New Roman" w:hint="default"/>
                <w:sz w:val="24"/>
                <w:szCs w:val="24"/>
              </w:rPr>
              <w:t>/</w:t>
            </w:r>
            <w:r>
              <w:rPr>
                <w:rFonts w:ascii="宋体" w:hAnsi="宋体" w:cs="宋体" w:eastAsia="宋体" w:hint="default"/>
                <w:sz w:val="24"/>
                <w:szCs w:val="24"/>
              </w:rPr>
              <w:t>咨 询行业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80</w:t>
            </w: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2811"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用友</w:t>
            </w:r>
            <w:r>
              <w:rPr>
                <w:rFonts w:ascii="Times New Roman" w:hAnsi="Times New Roman" w:cs="Times New Roman" w:eastAsia="Times New Roman" w:hint="default"/>
                <w:sz w:val="24"/>
                <w:szCs w:val="24"/>
              </w:rPr>
              <w:t>(</w:t>
            </w:r>
            <w:r>
              <w:rPr>
                <w:rFonts w:ascii="宋体" w:hAnsi="宋体" w:cs="宋体" w:eastAsia="宋体" w:hint="default"/>
                <w:sz w:val="24"/>
                <w:szCs w:val="24"/>
              </w:rPr>
              <w:t>南昌</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南昌市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南昌市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房地产</w:t>
            </w:r>
          </w:p>
          <w:p>
            <w:pPr>
              <w:pStyle w:val="TableParagraph"/>
              <w:spacing w:line="235" w:lineRule="auto" w:before="4"/>
              <w:ind w:left="103" w:right="154"/>
              <w:jc w:val="left"/>
              <w:rPr>
                <w:rFonts w:ascii="宋体" w:hAnsi="宋体" w:cs="宋体" w:eastAsia="宋体" w:hint="default"/>
                <w:sz w:val="24"/>
                <w:szCs w:val="24"/>
              </w:rPr>
            </w:pPr>
            <w:r>
              <w:rPr>
                <w:rFonts w:ascii="宋体" w:hAnsi="宋体" w:cs="宋体" w:eastAsia="宋体" w:hint="default"/>
                <w:sz w:val="24"/>
                <w:szCs w:val="24"/>
              </w:rPr>
              <w:t>业</w:t>
            </w:r>
            <w:r>
              <w:rPr>
                <w:rFonts w:ascii="Times New Roman" w:hAnsi="Times New Roman" w:cs="Times New Roman" w:eastAsia="Times New Roman" w:hint="default"/>
                <w:sz w:val="24"/>
                <w:szCs w:val="24"/>
              </w:rPr>
              <w:t>/</w:t>
            </w:r>
            <w:r>
              <w:rPr>
                <w:rFonts w:ascii="宋体" w:hAnsi="宋体" w:cs="宋体" w:eastAsia="宋体" w:hint="default"/>
                <w:sz w:val="24"/>
                <w:szCs w:val="24"/>
              </w:rPr>
              <w:t>金 融投资 业</w:t>
            </w:r>
            <w:r>
              <w:rPr>
                <w:rFonts w:ascii="Times New Roman" w:hAnsi="Times New Roman" w:cs="Times New Roman" w:eastAsia="Times New Roman" w:hint="default"/>
                <w:sz w:val="24"/>
                <w:szCs w:val="24"/>
              </w:rPr>
              <w:t>/</w:t>
            </w:r>
            <w:r>
              <w:rPr>
                <w:rFonts w:ascii="宋体" w:hAnsi="宋体" w:cs="宋体" w:eastAsia="宋体" w:hint="default"/>
                <w:sz w:val="24"/>
                <w:szCs w:val="24"/>
              </w:rPr>
              <w:t>计 算机 软、硬 件和耗 材、电 子行业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2189"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三亚用友</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三亚市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27"/>
              <w:jc w:val="right"/>
              <w:rPr>
                <w:rFonts w:ascii="宋体" w:hAnsi="宋体" w:cs="宋体" w:eastAsia="宋体" w:hint="default"/>
                <w:sz w:val="24"/>
                <w:szCs w:val="24"/>
              </w:rPr>
            </w:pPr>
            <w:r>
              <w:rPr>
                <w:rFonts w:ascii="宋体" w:hAnsi="宋体" w:cs="宋体" w:eastAsia="宋体" w:hint="default"/>
                <w:sz w:val="24"/>
                <w:szCs w:val="24"/>
              </w:rPr>
              <w:t>三亚市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both"/>
              <w:rPr>
                <w:rFonts w:ascii="宋体" w:hAnsi="宋体" w:cs="宋体" w:eastAsia="宋体" w:hint="default"/>
                <w:sz w:val="24"/>
                <w:szCs w:val="24"/>
              </w:rPr>
            </w:pPr>
            <w:r>
              <w:rPr>
                <w:rFonts w:ascii="宋体" w:hAnsi="宋体" w:cs="宋体" w:eastAsia="宋体" w:hint="default"/>
                <w:sz w:val="24"/>
                <w:szCs w:val="24"/>
              </w:rPr>
              <w:t>软件研</w:t>
            </w:r>
          </w:p>
          <w:p>
            <w:pPr>
              <w:pStyle w:val="TableParagraph"/>
              <w:spacing w:line="235" w:lineRule="auto" w:before="3"/>
              <w:ind w:left="103" w:right="154"/>
              <w:jc w:val="both"/>
              <w:rPr>
                <w:rFonts w:ascii="宋体" w:hAnsi="宋体" w:cs="宋体" w:eastAsia="宋体" w:hint="default"/>
                <w:sz w:val="24"/>
                <w:szCs w:val="24"/>
              </w:rPr>
            </w:pPr>
            <w:r>
              <w:rPr>
                <w:rFonts w:ascii="宋体" w:hAnsi="宋体" w:cs="宋体" w:eastAsia="宋体" w:hint="default"/>
                <w:sz w:val="24"/>
                <w:szCs w:val="24"/>
              </w:rPr>
              <w:t>发和销 </w:t>
            </w:r>
            <w:r>
              <w:rPr>
                <w:rFonts w:ascii="宋体" w:hAnsi="宋体" w:cs="宋体" w:eastAsia="宋体" w:hint="default"/>
                <w:spacing w:val="-3"/>
                <w:sz w:val="24"/>
                <w:szCs w:val="24"/>
              </w:rPr>
              <w:t>售，</w:t>
            </w:r>
            <w:r>
              <w:rPr>
                <w:rFonts w:ascii="Times New Roman" w:hAnsi="Times New Roman" w:cs="Times New Roman" w:eastAsia="Times New Roman" w:hint="default"/>
                <w:spacing w:val="-3"/>
                <w:sz w:val="24"/>
                <w:szCs w:val="24"/>
              </w:rPr>
              <w:t>IT</w:t>
            </w:r>
            <w:r>
              <w:rPr>
                <w:rFonts w:ascii="Times New Roman" w:hAnsi="Times New Roman" w:cs="Times New Roman" w:eastAsia="Times New Roman" w:hint="default"/>
                <w:spacing w:val="-58"/>
                <w:sz w:val="24"/>
                <w:szCs w:val="24"/>
              </w:rPr>
              <w:t> </w:t>
            </w:r>
            <w:r>
              <w:rPr>
                <w:rFonts w:ascii="宋体" w:hAnsi="宋体" w:cs="宋体" w:eastAsia="宋体" w:hint="default"/>
                <w:sz w:val="24"/>
                <w:szCs w:val="24"/>
              </w:rPr>
              <w:t>服务， 技术交 流和培 训</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94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北京用友幸福投资管</w:t>
            </w:r>
          </w:p>
          <w:p>
            <w:pPr>
              <w:pStyle w:val="TableParagraph"/>
              <w:spacing w:line="312" w:lineRule="exact" w:before="28"/>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理有限公司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 “幸福投资”</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投资管</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理</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60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bl>
    <w:p>
      <w:pPr>
        <w:spacing w:after="0" w:line="312" w:lineRule="exact"/>
        <w:jc w:val="left"/>
        <w:rPr>
          <w:rFonts w:ascii="宋体" w:hAnsi="宋体" w:cs="宋体" w:eastAsia="宋体" w:hint="default"/>
          <w:sz w:val="24"/>
          <w:szCs w:val="24"/>
        </w:rPr>
        <w:sectPr>
          <w:pgSz w:w="11910" w:h="16850"/>
          <w:pgMar w:header="745" w:footer="921" w:top="980" w:bottom="1120" w:left="1580" w:right="156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5" w:type="dxa"/>
        <w:tblLayout w:type="fixed"/>
        <w:tblCellMar>
          <w:top w:w="0" w:type="dxa"/>
          <w:left w:w="0" w:type="dxa"/>
          <w:bottom w:w="0" w:type="dxa"/>
          <w:right w:w="0" w:type="dxa"/>
        </w:tblCellMar>
        <w:tblLook w:val="01E0"/>
      </w:tblPr>
      <w:tblGrid>
        <w:gridCol w:w="2552"/>
        <w:gridCol w:w="974"/>
        <w:gridCol w:w="962"/>
        <w:gridCol w:w="989"/>
        <w:gridCol w:w="977"/>
        <w:gridCol w:w="977"/>
        <w:gridCol w:w="1099"/>
      </w:tblGrid>
      <w:tr>
        <w:trPr>
          <w:trHeight w:val="1568"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畅捷通</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28" w:lineRule="auto" w:before="13"/>
              <w:ind w:left="103" w:right="154"/>
              <w:jc w:val="left"/>
              <w:rPr>
                <w:rFonts w:ascii="宋体" w:hAnsi="宋体" w:cs="宋体" w:eastAsia="宋体" w:hint="default"/>
                <w:sz w:val="24"/>
                <w:szCs w:val="24"/>
              </w:rPr>
            </w:pPr>
            <w:r>
              <w:rPr>
                <w:rFonts w:ascii="宋体" w:hAnsi="宋体" w:cs="宋体" w:eastAsia="宋体" w:hint="default"/>
                <w:sz w:val="24"/>
                <w:szCs w:val="24"/>
              </w:rPr>
              <w:t>软</w:t>
            </w:r>
            <w:r>
              <w:rPr>
                <w:rFonts w:ascii="Times New Roman" w:hAnsi="Times New Roman" w:cs="Times New Roman" w:eastAsia="Times New Roman" w:hint="default"/>
                <w:sz w:val="24"/>
                <w:szCs w:val="24"/>
              </w:rPr>
              <w:t>/</w:t>
            </w:r>
            <w:r>
              <w:rPr>
                <w:rFonts w:ascii="宋体" w:hAnsi="宋体" w:cs="宋体" w:eastAsia="宋体" w:hint="default"/>
                <w:sz w:val="24"/>
                <w:szCs w:val="24"/>
              </w:rPr>
              <w:t>硬 件</w:t>
            </w:r>
            <w:r>
              <w:rPr>
                <w:rFonts w:ascii="Times New Roman" w:hAnsi="Times New Roman" w:cs="Times New Roman" w:eastAsia="Times New Roman" w:hint="default"/>
                <w:sz w:val="24"/>
                <w:szCs w:val="24"/>
              </w:rPr>
              <w:t>/</w:t>
            </w:r>
            <w:r>
              <w:rPr>
                <w:rFonts w:ascii="宋体" w:hAnsi="宋体" w:cs="宋体" w:eastAsia="宋体" w:hint="default"/>
                <w:sz w:val="24"/>
                <w:szCs w:val="24"/>
              </w:rPr>
              <w:t>耗 材、电 子行业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69.88</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3.11</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2499"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用友长伴管理咨询</w:t>
            </w:r>
            <w:r>
              <w:rPr>
                <w:rFonts w:ascii="Times New Roman" w:hAnsi="Times New Roman" w:cs="Times New Roman" w:eastAsia="Times New Roman" w:hint="default"/>
                <w:sz w:val="24"/>
                <w:szCs w:val="24"/>
              </w:rPr>
              <w:t>(</w:t>
            </w:r>
            <w:r>
              <w:rPr>
                <w:rFonts w:ascii="宋体" w:hAnsi="宋体" w:cs="宋体" w:eastAsia="宋体" w:hint="default"/>
                <w:sz w:val="24"/>
                <w:szCs w:val="24"/>
              </w:rPr>
              <w:t>上</w:t>
            </w:r>
          </w:p>
          <w:p>
            <w:pPr>
              <w:pStyle w:val="TableParagraph"/>
              <w:spacing w:line="312" w:lineRule="exact" w:before="19"/>
              <w:ind w:left="103" w:right="118"/>
              <w:jc w:val="left"/>
              <w:rPr>
                <w:rFonts w:ascii="Times New Roman" w:hAnsi="Times New Roman" w:cs="Times New Roman" w:eastAsia="Times New Roman" w:hint="default"/>
                <w:sz w:val="24"/>
                <w:szCs w:val="24"/>
              </w:rPr>
            </w:pPr>
            <w:r>
              <w:rPr>
                <w:rFonts w:ascii="宋体" w:hAnsi="宋体" w:cs="宋体" w:eastAsia="宋体" w:hint="default"/>
                <w:sz w:val="24"/>
                <w:szCs w:val="24"/>
              </w:rPr>
              <w:t>海</w:t>
            </w:r>
            <w:r>
              <w:rPr>
                <w:rFonts w:ascii="Times New Roman" w:hAnsi="Times New Roman" w:cs="Times New Roman" w:eastAsia="Times New Roman" w:hint="default"/>
                <w:sz w:val="24"/>
                <w:szCs w:val="24"/>
              </w:rPr>
              <w:t>)</w:t>
            </w:r>
            <w:r>
              <w:rPr>
                <w:rFonts w:ascii="宋体" w:hAnsi="宋体" w:cs="宋体" w:eastAsia="宋体" w:hint="default"/>
                <w:sz w:val="24"/>
                <w:szCs w:val="24"/>
              </w:rPr>
              <w:t>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 “长伴咨询”</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上海市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企业管</w:t>
            </w:r>
          </w:p>
          <w:p>
            <w:pPr>
              <w:pStyle w:val="TableParagraph"/>
              <w:spacing w:line="311" w:lineRule="exact"/>
              <w:ind w:left="103" w:right="0"/>
              <w:jc w:val="left"/>
              <w:rPr>
                <w:rFonts w:ascii="宋体" w:hAnsi="宋体" w:cs="宋体" w:eastAsia="宋体" w:hint="default"/>
                <w:sz w:val="24"/>
                <w:szCs w:val="24"/>
              </w:rPr>
            </w:pPr>
            <w:r>
              <w:rPr>
                <w:rFonts w:ascii="宋体" w:hAnsi="宋体" w:cs="宋体" w:eastAsia="宋体" w:hint="default"/>
                <w:sz w:val="24"/>
                <w:szCs w:val="24"/>
              </w:rPr>
              <w:t>理咨询</w:t>
            </w:r>
          </w:p>
          <w:p>
            <w:pPr>
              <w:pStyle w:val="TableParagraph"/>
              <w:spacing w:line="235" w:lineRule="auto" w:before="4"/>
              <w:ind w:left="103" w:right="154"/>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计算 机应用 系统的 规划、 集成和 开发</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新道科技</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三亚市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三亚市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312" w:lineRule="exact" w:before="29"/>
              <w:ind w:left="103" w:right="154"/>
              <w:jc w:val="left"/>
              <w:rPr>
                <w:rFonts w:ascii="宋体" w:hAnsi="宋体" w:cs="宋体" w:eastAsia="宋体" w:hint="default"/>
                <w:sz w:val="24"/>
                <w:szCs w:val="24"/>
              </w:rPr>
            </w:pPr>
            <w:r>
              <w:rPr>
                <w:rFonts w:ascii="宋体" w:hAnsi="宋体" w:cs="宋体" w:eastAsia="宋体" w:hint="default"/>
                <w:sz w:val="24"/>
                <w:szCs w:val="24"/>
              </w:rPr>
              <w:t>软件</w:t>
            </w:r>
            <w:r>
              <w:rPr>
                <w:rFonts w:ascii="Times New Roman" w:hAnsi="Times New Roman" w:cs="Times New Roman" w:eastAsia="Times New Roman" w:hint="default"/>
                <w:sz w:val="24"/>
                <w:szCs w:val="24"/>
              </w:rPr>
              <w:t>/ </w:t>
            </w:r>
            <w:r>
              <w:rPr>
                <w:rFonts w:ascii="宋体" w:hAnsi="宋体" w:cs="宋体" w:eastAsia="宋体" w:hint="default"/>
                <w:sz w:val="24"/>
                <w:szCs w:val="24"/>
              </w:rPr>
              <w:t>管理培 训</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57.84</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8"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用友云达信息技术服</w:t>
            </w:r>
          </w:p>
          <w:p>
            <w:pPr>
              <w:pStyle w:val="TableParagraph"/>
              <w:spacing w:line="235" w:lineRule="auto" w:before="4"/>
              <w:ind w:left="103" w:right="103"/>
              <w:jc w:val="left"/>
              <w:rPr>
                <w:rFonts w:ascii="Times New Roman" w:hAnsi="Times New Roman" w:cs="Times New Roman" w:eastAsia="Times New Roman" w:hint="default"/>
                <w:sz w:val="24"/>
                <w:szCs w:val="24"/>
              </w:rPr>
            </w:pPr>
            <w:r>
              <w:rPr>
                <w:rFonts w:ascii="宋体" w:hAnsi="宋体" w:cs="宋体" w:eastAsia="宋体" w:hint="default"/>
                <w:sz w:val="24"/>
                <w:szCs w:val="24"/>
              </w:rPr>
              <w:t>务</w:t>
            </w:r>
            <w:r>
              <w:rPr>
                <w:rFonts w:ascii="Times New Roman" w:hAnsi="Times New Roman" w:cs="Times New Roman" w:eastAsia="Times New Roman" w:hint="default"/>
                <w:sz w:val="24"/>
                <w:szCs w:val="24"/>
              </w:rPr>
              <w:t>(</w:t>
            </w:r>
            <w:r>
              <w:rPr>
                <w:rFonts w:ascii="宋体" w:hAnsi="宋体" w:cs="宋体" w:eastAsia="宋体" w:hint="default"/>
                <w:sz w:val="24"/>
                <w:szCs w:val="24"/>
              </w:rPr>
              <w:t>南昌</w:t>
            </w:r>
            <w:r>
              <w:rPr>
                <w:rFonts w:ascii="Times New Roman" w:hAnsi="Times New Roman" w:cs="Times New Roman" w:eastAsia="Times New Roman" w:hint="default"/>
                <w:sz w:val="24"/>
                <w:szCs w:val="24"/>
              </w:rPr>
              <w:t>)</w:t>
            </w:r>
            <w:r>
              <w:rPr>
                <w:rFonts w:ascii="宋体" w:hAnsi="宋体" w:cs="宋体" w:eastAsia="宋体" w:hint="default"/>
                <w:sz w:val="24"/>
                <w:szCs w:val="24"/>
              </w:rPr>
              <w:t>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 </w:t>
            </w:r>
            <w:r>
              <w:rPr>
                <w:rFonts w:ascii="宋体" w:hAnsi="宋体" w:cs="宋体" w:eastAsia="宋体" w:hint="default"/>
                <w:spacing w:val="-19"/>
                <w:sz w:val="24"/>
                <w:szCs w:val="24"/>
              </w:rPr>
              <w:t>下简称”用友云达”</w:t>
            </w:r>
            <w:r>
              <w:rPr>
                <w:rFonts w:ascii="Times New Roman" w:hAnsi="Times New Roman" w:cs="Times New Roman" w:eastAsia="Times New Roman" w:hint="default"/>
                <w:spacing w:val="-19"/>
                <w:sz w:val="24"/>
                <w:szCs w:val="24"/>
              </w:rPr>
              <w:t>)(</w:t>
            </w:r>
            <w:r>
              <w:rPr>
                <w:rFonts w:ascii="宋体" w:hAnsi="宋体" w:cs="宋体" w:eastAsia="宋体" w:hint="default"/>
                <w:spacing w:val="-19"/>
                <w:sz w:val="24"/>
                <w:szCs w:val="24"/>
              </w:rPr>
              <w:t>注</w:t>
            </w:r>
            <w:r>
              <w:rPr>
                <w:rFonts w:ascii="宋体" w:hAnsi="宋体" w:cs="宋体" w:eastAsia="宋体" w:hint="default"/>
                <w:sz w:val="24"/>
                <w:szCs w:val="24"/>
              </w:rPr>
              <w:t> </w:t>
            </w:r>
            <w:r>
              <w:rPr>
                <w:rFonts w:ascii="Times New Roman" w:hAnsi="Times New Roman" w:cs="Times New Roman" w:eastAsia="Times New Roman" w:hint="default"/>
                <w:sz w:val="24"/>
                <w:szCs w:val="24"/>
              </w:rPr>
              <w:t>1)</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南昌市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南昌市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28" w:lineRule="auto" w:before="13"/>
              <w:ind w:left="103" w:right="154"/>
              <w:jc w:val="left"/>
              <w:rPr>
                <w:rFonts w:ascii="宋体" w:hAnsi="宋体" w:cs="宋体" w:eastAsia="宋体" w:hint="default"/>
                <w:sz w:val="24"/>
                <w:szCs w:val="24"/>
              </w:rPr>
            </w:pPr>
            <w:r>
              <w:rPr>
                <w:rFonts w:ascii="宋体" w:hAnsi="宋体" w:cs="宋体" w:eastAsia="宋体" w:hint="default"/>
                <w:sz w:val="24"/>
                <w:szCs w:val="24"/>
              </w:rPr>
              <w:t>软件</w:t>
            </w:r>
            <w:r>
              <w:rPr>
                <w:rFonts w:ascii="Times New Roman" w:hAnsi="Times New Roman" w:cs="Times New Roman" w:eastAsia="Times New Roman" w:hint="default"/>
                <w:sz w:val="24"/>
                <w:szCs w:val="24"/>
              </w:rPr>
              <w:t>/ </w:t>
            </w:r>
            <w:r>
              <w:rPr>
                <w:rFonts w:ascii="宋体" w:hAnsi="宋体" w:cs="宋体" w:eastAsia="宋体" w:hint="default"/>
                <w:sz w:val="24"/>
                <w:szCs w:val="24"/>
              </w:rPr>
              <w:t>系统集 成</w:t>
            </w:r>
            <w:r>
              <w:rPr>
                <w:rFonts w:ascii="Times New Roman" w:hAnsi="Times New Roman" w:cs="Times New Roman" w:eastAsia="Times New Roman" w:hint="default"/>
                <w:sz w:val="24"/>
                <w:szCs w:val="24"/>
              </w:rPr>
              <w:t>/</w:t>
            </w:r>
            <w:r>
              <w:rPr>
                <w:rFonts w:ascii="宋体" w:hAnsi="宋体" w:cs="宋体" w:eastAsia="宋体" w:hint="default"/>
                <w:sz w:val="24"/>
                <w:szCs w:val="24"/>
              </w:rPr>
              <w:t>咨 询行业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用友优普</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计算软</w:t>
            </w:r>
          </w:p>
          <w:p>
            <w:pPr>
              <w:pStyle w:val="TableParagraph"/>
              <w:spacing w:line="310" w:lineRule="exact" w:before="31"/>
              <w:ind w:left="103" w:right="154"/>
              <w:jc w:val="left"/>
              <w:rPr>
                <w:rFonts w:ascii="宋体" w:hAnsi="宋体" w:cs="宋体" w:eastAsia="宋体" w:hint="default"/>
                <w:sz w:val="24"/>
                <w:szCs w:val="24"/>
              </w:rPr>
            </w:pPr>
            <w:r>
              <w:rPr>
                <w:rFonts w:ascii="宋体" w:hAnsi="宋体" w:cs="宋体" w:eastAsia="宋体" w:hint="default"/>
                <w:sz w:val="24"/>
                <w:szCs w:val="24"/>
              </w:rPr>
              <w:t>件</w:t>
            </w:r>
            <w:r>
              <w:rPr>
                <w:rFonts w:ascii="Times New Roman" w:hAnsi="Times New Roman" w:cs="Times New Roman" w:eastAsia="Times New Roman" w:hint="default"/>
                <w:sz w:val="24"/>
                <w:szCs w:val="24"/>
              </w:rPr>
              <w:t>/</w:t>
            </w:r>
            <w:r>
              <w:rPr>
                <w:rFonts w:ascii="宋体" w:hAnsi="宋体" w:cs="宋体" w:eastAsia="宋体" w:hint="default"/>
                <w:sz w:val="24"/>
                <w:szCs w:val="24"/>
              </w:rPr>
              <w:t>系 统集成</w:t>
            </w:r>
          </w:p>
          <w:p>
            <w:pPr>
              <w:pStyle w:val="TableParagraph"/>
              <w:spacing w:line="312" w:lineRule="exact"/>
              <w:ind w:left="103" w:right="327"/>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咨询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用友力合</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深圳市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27"/>
              <w:jc w:val="right"/>
              <w:rPr>
                <w:rFonts w:ascii="宋体" w:hAnsi="宋体" w:cs="宋体" w:eastAsia="宋体" w:hint="default"/>
                <w:sz w:val="24"/>
                <w:szCs w:val="24"/>
              </w:rPr>
            </w:pPr>
            <w:r>
              <w:rPr>
                <w:rFonts w:ascii="宋体" w:hAnsi="宋体" w:cs="宋体" w:eastAsia="宋体" w:hint="default"/>
                <w:sz w:val="24"/>
                <w:szCs w:val="24"/>
              </w:rPr>
              <w:t>深圳市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咨询管</w:t>
            </w:r>
          </w:p>
          <w:p>
            <w:pPr>
              <w:pStyle w:val="TableParagraph"/>
              <w:spacing w:line="312" w:lineRule="exact" w:before="28"/>
              <w:ind w:left="103" w:right="154"/>
              <w:jc w:val="left"/>
              <w:rPr>
                <w:rFonts w:ascii="宋体" w:hAnsi="宋体" w:cs="宋体" w:eastAsia="宋体" w:hint="default"/>
                <w:sz w:val="24"/>
                <w:szCs w:val="24"/>
              </w:rPr>
            </w:pPr>
            <w:r>
              <w:rPr>
                <w:rFonts w:ascii="宋体" w:hAnsi="宋体" w:cs="宋体" w:eastAsia="宋体" w:hint="default"/>
                <w:sz w:val="24"/>
                <w:szCs w:val="24"/>
              </w:rPr>
              <w:t>理</w:t>
            </w:r>
            <w:r>
              <w:rPr>
                <w:rFonts w:ascii="Times New Roman" w:hAnsi="Times New Roman" w:cs="Times New Roman" w:eastAsia="Times New Roman" w:hint="default"/>
                <w:sz w:val="24"/>
                <w:szCs w:val="24"/>
              </w:rPr>
              <w:t>/</w:t>
            </w:r>
            <w:r>
              <w:rPr>
                <w:rFonts w:ascii="宋体" w:hAnsi="宋体" w:cs="宋体" w:eastAsia="宋体" w:hint="default"/>
                <w:sz w:val="24"/>
                <w:szCs w:val="24"/>
              </w:rPr>
              <w:t>计 算机软 件</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51.13</w:t>
            </w: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用友移动</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312" w:lineRule="exact" w:before="30"/>
              <w:ind w:left="103" w:right="154"/>
              <w:jc w:val="both"/>
              <w:rPr>
                <w:rFonts w:ascii="宋体" w:hAnsi="宋体" w:cs="宋体" w:eastAsia="宋体" w:hint="default"/>
                <w:sz w:val="24"/>
                <w:szCs w:val="24"/>
              </w:rPr>
            </w:pPr>
            <w:r>
              <w:rPr>
                <w:rFonts w:ascii="宋体" w:hAnsi="宋体" w:cs="宋体" w:eastAsia="宋体" w:hint="default"/>
                <w:sz w:val="24"/>
                <w:szCs w:val="24"/>
              </w:rPr>
              <w:t>软硬件 及设备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30.2</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49.8</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30"/>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用友能源 </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2)</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7"/>
              <w:ind w:left="103" w:right="154"/>
              <w:jc w:val="left"/>
              <w:rPr>
                <w:rFonts w:ascii="宋体" w:hAnsi="宋体" w:cs="宋体" w:eastAsia="宋体" w:hint="default"/>
                <w:sz w:val="24"/>
                <w:szCs w:val="24"/>
              </w:rPr>
            </w:pPr>
            <w:r>
              <w:rPr>
                <w:rFonts w:ascii="宋体" w:hAnsi="宋体" w:cs="宋体" w:eastAsia="宋体" w:hint="default"/>
                <w:sz w:val="24"/>
                <w:szCs w:val="24"/>
              </w:rPr>
              <w:t>技术及 产品</w:t>
            </w:r>
            <w:r>
              <w:rPr>
                <w:rFonts w:ascii="Times New Roman" w:hAnsi="Times New Roman" w:cs="Times New Roman" w:eastAsia="Times New Roman" w:hint="default"/>
                <w:sz w:val="24"/>
                <w:szCs w:val="24"/>
              </w:rPr>
              <w:t>/ </w:t>
            </w:r>
            <w:r>
              <w:rPr>
                <w:rFonts w:ascii="宋体" w:hAnsi="宋体" w:cs="宋体" w:eastAsia="宋体" w:hint="default"/>
                <w:sz w:val="24"/>
                <w:szCs w:val="24"/>
              </w:rPr>
              <w:t>咨询行 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用友广信</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0" w:lineRule="auto" w:before="10"/>
              <w:ind w:left="103" w:right="154"/>
              <w:jc w:val="left"/>
              <w:rPr>
                <w:rFonts w:ascii="宋体" w:hAnsi="宋体" w:cs="宋体" w:eastAsia="宋体" w:hint="default"/>
                <w:sz w:val="24"/>
                <w:szCs w:val="24"/>
              </w:rPr>
            </w:pPr>
            <w:r>
              <w:rPr>
                <w:rFonts w:ascii="宋体" w:hAnsi="宋体" w:cs="宋体" w:eastAsia="宋体" w:hint="default"/>
                <w:sz w:val="24"/>
                <w:szCs w:val="24"/>
              </w:rPr>
              <w:t>技术及 产品</w:t>
            </w:r>
            <w:r>
              <w:rPr>
                <w:rFonts w:ascii="Times New Roman" w:hAnsi="Times New Roman" w:cs="Times New Roman" w:eastAsia="Times New Roman" w:hint="default"/>
                <w:sz w:val="24"/>
                <w:szCs w:val="24"/>
              </w:rPr>
              <w:t>/ </w:t>
            </w:r>
            <w:r>
              <w:rPr>
                <w:rFonts w:ascii="宋体" w:hAnsi="宋体" w:cs="宋体" w:eastAsia="宋体" w:hint="default"/>
                <w:sz w:val="24"/>
                <w:szCs w:val="24"/>
              </w:rPr>
              <w:t>咨询行</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75</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bl>
    <w:p>
      <w:pPr>
        <w:spacing w:after="0" w:line="310" w:lineRule="exact"/>
        <w:jc w:val="left"/>
        <w:rPr>
          <w:rFonts w:ascii="宋体" w:hAnsi="宋体" w:cs="宋体" w:eastAsia="宋体" w:hint="default"/>
          <w:sz w:val="24"/>
          <w:szCs w:val="24"/>
        </w:rPr>
        <w:sectPr>
          <w:footerReference w:type="default" r:id="rId79"/>
          <w:pgSz w:w="11910" w:h="16850"/>
          <w:pgMar w:footer="921" w:header="745" w:top="980" w:bottom="1120" w:left="1580" w:right="156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5" w:type="dxa"/>
        <w:tblLayout w:type="fixed"/>
        <w:tblCellMar>
          <w:top w:w="0" w:type="dxa"/>
          <w:left w:w="0" w:type="dxa"/>
          <w:bottom w:w="0" w:type="dxa"/>
          <w:right w:w="0" w:type="dxa"/>
        </w:tblCellMar>
        <w:tblLook w:val="01E0"/>
      </w:tblPr>
      <w:tblGrid>
        <w:gridCol w:w="2552"/>
        <w:gridCol w:w="974"/>
        <w:gridCol w:w="962"/>
        <w:gridCol w:w="989"/>
        <w:gridCol w:w="977"/>
        <w:gridCol w:w="977"/>
        <w:gridCol w:w="1099"/>
      </w:tblGrid>
      <w:tr>
        <w:trPr>
          <w:trHeight w:val="322" w:hRule="exact"/>
        </w:trPr>
        <w:tc>
          <w:tcPr>
            <w:tcW w:w="2552"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业</w:t>
            </w:r>
          </w:p>
        </w:tc>
        <w:tc>
          <w:tcPr>
            <w:tcW w:w="977"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
        </w:tc>
      </w:tr>
      <w:tr>
        <w:trPr>
          <w:trHeight w:val="156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红火台餐饮云服务有</w:t>
            </w:r>
          </w:p>
          <w:p>
            <w:pPr>
              <w:pStyle w:val="TableParagraph"/>
              <w:spacing w:line="310" w:lineRule="exact" w:before="31"/>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以下简称“红 火台”</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3)</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7"/>
              <w:ind w:left="103" w:right="154"/>
              <w:jc w:val="left"/>
              <w:rPr>
                <w:rFonts w:ascii="宋体" w:hAnsi="宋体" w:cs="宋体" w:eastAsia="宋体" w:hint="default"/>
                <w:sz w:val="24"/>
                <w:szCs w:val="24"/>
              </w:rPr>
            </w:pPr>
            <w:r>
              <w:rPr>
                <w:rFonts w:ascii="宋体" w:hAnsi="宋体" w:cs="宋体" w:eastAsia="宋体" w:hint="default"/>
                <w:sz w:val="24"/>
                <w:szCs w:val="24"/>
              </w:rPr>
              <w:t>技术及 产品</w:t>
            </w:r>
            <w:r>
              <w:rPr>
                <w:rFonts w:ascii="Times New Roman" w:hAnsi="Times New Roman" w:cs="Times New Roman" w:eastAsia="Times New Roman" w:hint="default"/>
                <w:sz w:val="24"/>
                <w:szCs w:val="24"/>
              </w:rPr>
              <w:t>/ </w:t>
            </w:r>
            <w:r>
              <w:rPr>
                <w:rFonts w:ascii="宋体" w:hAnsi="宋体" w:cs="宋体" w:eastAsia="宋体" w:hint="default"/>
                <w:sz w:val="24"/>
                <w:szCs w:val="24"/>
              </w:rPr>
              <w:t>咨询行 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55</w:t>
            </w: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用友超客网络科技有</w:t>
            </w:r>
          </w:p>
          <w:p>
            <w:pPr>
              <w:pStyle w:val="TableParagraph"/>
              <w:spacing w:line="312" w:lineRule="exact" w:before="28"/>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以下简称“用 友超客”</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6"/>
              <w:ind w:left="103" w:right="154"/>
              <w:jc w:val="left"/>
              <w:rPr>
                <w:rFonts w:ascii="宋体" w:hAnsi="宋体" w:cs="宋体" w:eastAsia="宋体" w:hint="default"/>
                <w:sz w:val="24"/>
                <w:szCs w:val="24"/>
              </w:rPr>
            </w:pPr>
            <w:r>
              <w:rPr>
                <w:rFonts w:ascii="宋体" w:hAnsi="宋体" w:cs="宋体" w:eastAsia="宋体" w:hint="default"/>
                <w:sz w:val="24"/>
                <w:szCs w:val="24"/>
              </w:rPr>
              <w:t>技术及 产品</w:t>
            </w:r>
            <w:r>
              <w:rPr>
                <w:rFonts w:ascii="Times New Roman" w:hAnsi="Times New Roman" w:cs="Times New Roman" w:eastAsia="Times New Roman" w:hint="default"/>
                <w:sz w:val="24"/>
                <w:szCs w:val="24"/>
              </w:rPr>
              <w:t>/ </w:t>
            </w:r>
            <w:r>
              <w:rPr>
                <w:rFonts w:ascii="宋体" w:hAnsi="宋体" w:cs="宋体" w:eastAsia="宋体" w:hint="default"/>
                <w:sz w:val="24"/>
                <w:szCs w:val="24"/>
              </w:rPr>
              <w:t>咨询行 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65.45</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34.55</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8"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用友薪福社 </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4)</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7"/>
              <w:ind w:left="103" w:right="154"/>
              <w:jc w:val="left"/>
              <w:rPr>
                <w:rFonts w:ascii="宋体" w:hAnsi="宋体" w:cs="宋体" w:eastAsia="宋体" w:hint="default"/>
                <w:sz w:val="24"/>
                <w:szCs w:val="24"/>
              </w:rPr>
            </w:pPr>
            <w:r>
              <w:rPr>
                <w:rFonts w:ascii="宋体" w:hAnsi="宋体" w:cs="宋体" w:eastAsia="宋体" w:hint="default"/>
                <w:sz w:val="24"/>
                <w:szCs w:val="24"/>
              </w:rPr>
              <w:t>技术及 产品</w:t>
            </w:r>
            <w:r>
              <w:rPr>
                <w:rFonts w:ascii="Times New Roman" w:hAnsi="Times New Roman" w:cs="Times New Roman" w:eastAsia="Times New Roman" w:hint="default"/>
                <w:sz w:val="24"/>
                <w:szCs w:val="24"/>
              </w:rPr>
              <w:t>/ </w:t>
            </w:r>
            <w:r>
              <w:rPr>
                <w:rFonts w:ascii="宋体" w:hAnsi="宋体" w:cs="宋体" w:eastAsia="宋体" w:hint="default"/>
                <w:sz w:val="24"/>
                <w:szCs w:val="24"/>
              </w:rPr>
              <w:t>咨询行 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75</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用友薪福社云科技有</w:t>
            </w:r>
          </w:p>
          <w:p>
            <w:pPr>
              <w:pStyle w:val="TableParagraph"/>
              <w:spacing w:line="310" w:lineRule="exact" w:before="31"/>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以下简称“用 友薪福社”</w:t>
            </w:r>
            <w:r>
              <w:rPr>
                <w:rFonts w:ascii="Times New Roman" w:hAnsi="Times New Roman" w:cs="Times New Roman" w:eastAsia="Times New Roman" w:hint="default"/>
                <w:sz w:val="24"/>
                <w:szCs w:val="24"/>
              </w:rPr>
              <w:t>) (</w:t>
            </w:r>
            <w:r>
              <w:rPr>
                <w:rFonts w:ascii="宋体" w:hAnsi="宋体" w:cs="宋体" w:eastAsia="宋体" w:hint="default"/>
                <w:sz w:val="24"/>
                <w:szCs w:val="24"/>
              </w:rPr>
              <w:t>注</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4)</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南昌市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南昌市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软件和</w:t>
            </w:r>
          </w:p>
          <w:p>
            <w:pPr>
              <w:pStyle w:val="TableParagraph"/>
              <w:spacing w:line="237" w:lineRule="auto" w:before="1"/>
              <w:ind w:left="103" w:right="154"/>
              <w:jc w:val="both"/>
              <w:rPr>
                <w:rFonts w:ascii="宋体" w:hAnsi="宋体" w:cs="宋体" w:eastAsia="宋体" w:hint="default"/>
                <w:sz w:val="24"/>
                <w:szCs w:val="24"/>
              </w:rPr>
            </w:pPr>
            <w:r>
              <w:rPr>
                <w:rFonts w:ascii="宋体" w:hAnsi="宋体" w:cs="宋体" w:eastAsia="宋体" w:hint="default"/>
                <w:sz w:val="24"/>
                <w:szCs w:val="24"/>
              </w:rPr>
              <w:t>信息技 术服务 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75</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用友建筑云服务有限</w:t>
            </w:r>
          </w:p>
          <w:p>
            <w:pPr>
              <w:pStyle w:val="TableParagraph"/>
              <w:spacing w:line="312" w:lineRule="exact" w:before="28"/>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以下简称“用友 建筑”</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312" w:lineRule="exact" w:before="28"/>
              <w:ind w:left="103" w:right="154"/>
              <w:jc w:val="left"/>
              <w:rPr>
                <w:rFonts w:ascii="宋体" w:hAnsi="宋体" w:cs="宋体" w:eastAsia="宋体" w:hint="default"/>
                <w:sz w:val="24"/>
                <w:szCs w:val="24"/>
              </w:rPr>
            </w:pPr>
            <w:r>
              <w:rPr>
                <w:rFonts w:ascii="宋体" w:hAnsi="宋体" w:cs="宋体" w:eastAsia="宋体" w:hint="default"/>
                <w:sz w:val="24"/>
                <w:szCs w:val="24"/>
              </w:rPr>
              <w:t>技术及 产品</w:t>
            </w:r>
            <w:r>
              <w:rPr>
                <w:rFonts w:ascii="Times New Roman" w:hAnsi="Times New Roman" w:cs="Times New Roman" w:eastAsia="Times New Roman" w:hint="default"/>
                <w:sz w:val="24"/>
                <w:szCs w:val="24"/>
              </w:rPr>
              <w:t>/ </w:t>
            </w:r>
            <w:r>
              <w:rPr>
                <w:rFonts w:ascii="宋体" w:hAnsi="宋体" w:cs="宋体" w:eastAsia="宋体" w:hint="default"/>
                <w:sz w:val="24"/>
                <w:szCs w:val="24"/>
              </w:rPr>
              <w:t>咨询行 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55</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畅捷支付</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互联网</w:t>
            </w:r>
          </w:p>
          <w:p>
            <w:pPr>
              <w:pStyle w:val="TableParagraph"/>
              <w:spacing w:line="237" w:lineRule="auto" w:before="1"/>
              <w:ind w:left="103" w:right="154"/>
              <w:jc w:val="both"/>
              <w:rPr>
                <w:rFonts w:ascii="宋体" w:hAnsi="宋体" w:cs="宋体" w:eastAsia="宋体" w:hint="default"/>
                <w:sz w:val="24"/>
                <w:szCs w:val="24"/>
              </w:rPr>
            </w:pPr>
            <w:r>
              <w:rPr>
                <w:rFonts w:ascii="宋体" w:hAnsi="宋体" w:cs="宋体" w:eastAsia="宋体" w:hint="default"/>
                <w:sz w:val="24"/>
                <w:szCs w:val="24"/>
              </w:rPr>
              <w:t>支付、 银行卡 收单</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80.72</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19.28</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6"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青岛用友云服务创业</w:t>
            </w:r>
          </w:p>
          <w:p>
            <w:pPr>
              <w:pStyle w:val="TableParagraph"/>
              <w:spacing w:line="225" w:lineRule="auto" w:before="15"/>
              <w:ind w:left="103" w:right="101"/>
              <w:jc w:val="left"/>
              <w:rPr>
                <w:rFonts w:ascii="Times New Roman" w:hAnsi="Times New Roman" w:cs="Times New Roman" w:eastAsia="Times New Roman" w:hint="default"/>
                <w:sz w:val="24"/>
                <w:szCs w:val="24"/>
              </w:rPr>
            </w:pPr>
            <w:r>
              <w:rPr>
                <w:rFonts w:ascii="宋体" w:hAnsi="宋体" w:cs="宋体" w:eastAsia="宋体" w:hint="default"/>
                <w:sz w:val="24"/>
                <w:szCs w:val="24"/>
              </w:rPr>
              <w:t>投资合伙企业</w:t>
            </w:r>
            <w:r>
              <w:rPr>
                <w:rFonts w:ascii="Times New Roman" w:hAnsi="Times New Roman" w:cs="Times New Roman" w:eastAsia="Times New Roman" w:hint="default"/>
                <w:sz w:val="24"/>
                <w:szCs w:val="24"/>
              </w:rPr>
              <w:t>(</w:t>
            </w:r>
            <w:r>
              <w:rPr>
                <w:rFonts w:ascii="宋体" w:hAnsi="宋体" w:cs="宋体" w:eastAsia="宋体" w:hint="default"/>
                <w:sz w:val="24"/>
                <w:szCs w:val="24"/>
              </w:rPr>
              <w:t>有限合 伙</w:t>
            </w:r>
            <w:r>
              <w:rPr>
                <w:rFonts w:ascii="Times New Roman" w:hAnsi="Times New Roman" w:cs="Times New Roman" w:eastAsia="Times New Roman" w:hint="default"/>
                <w:sz w:val="24"/>
                <w:szCs w:val="24"/>
              </w:rPr>
              <w:t>)</w:t>
            </w:r>
            <w:r>
              <w:rPr>
                <w:rFonts w:ascii="Times New Roman" w:hAnsi="Times New Roman" w:cs="Times New Roman" w:eastAsia="Times New Roman" w:hint="default"/>
                <w:spacing w:val="5"/>
                <w:sz w:val="24"/>
                <w:szCs w:val="24"/>
              </w:rPr>
              <w:t> </w:t>
            </w:r>
            <w:r>
              <w:rPr>
                <w:rFonts w:ascii="Times New Roman" w:hAnsi="Times New Roman" w:cs="Times New Roman" w:eastAsia="Times New Roman" w:hint="default"/>
                <w:spacing w:val="-6"/>
                <w:sz w:val="24"/>
                <w:szCs w:val="24"/>
              </w:rPr>
              <w:t>(</w:t>
            </w:r>
            <w:r>
              <w:rPr>
                <w:rFonts w:ascii="宋体" w:hAnsi="宋体" w:cs="宋体" w:eastAsia="宋体" w:hint="default"/>
                <w:spacing w:val="-6"/>
                <w:sz w:val="24"/>
                <w:szCs w:val="24"/>
              </w:rPr>
              <w:t>以下简称“青岛用</w:t>
            </w:r>
            <w:r>
              <w:rPr>
                <w:rFonts w:ascii="宋体" w:hAnsi="宋体" w:cs="宋体" w:eastAsia="宋体" w:hint="default"/>
                <w:sz w:val="24"/>
                <w:szCs w:val="24"/>
              </w:rPr>
              <w:t> 友云创投”</w:t>
            </w:r>
            <w:r>
              <w:rPr>
                <w:rFonts w:ascii="Times New Roman" w:hAnsi="Times New Roman" w:cs="Times New Roman" w:eastAsia="Times New Roman" w:hint="default"/>
                <w:sz w:val="24"/>
                <w:szCs w:val="24"/>
              </w:rPr>
              <w:t>) (</w:t>
            </w:r>
            <w:r>
              <w:rPr>
                <w:rFonts w:ascii="宋体" w:hAnsi="宋体" w:cs="宋体" w:eastAsia="宋体" w:hint="default"/>
                <w:sz w:val="24"/>
                <w:szCs w:val="24"/>
              </w:rPr>
              <w:t>注</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5)</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青岛市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青岛市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理</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99.5</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0.5</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用友汽车</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上海市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28" w:lineRule="auto" w:before="13"/>
              <w:ind w:left="103" w:right="154"/>
              <w:jc w:val="left"/>
              <w:rPr>
                <w:rFonts w:ascii="宋体" w:hAnsi="宋体" w:cs="宋体" w:eastAsia="宋体" w:hint="default"/>
                <w:sz w:val="24"/>
                <w:szCs w:val="24"/>
              </w:rPr>
            </w:pPr>
            <w:r>
              <w:rPr>
                <w:rFonts w:ascii="宋体" w:hAnsi="宋体" w:cs="宋体" w:eastAsia="宋体" w:hint="default"/>
                <w:sz w:val="24"/>
                <w:szCs w:val="24"/>
              </w:rPr>
              <w:t>软件</w:t>
            </w:r>
            <w:r>
              <w:rPr>
                <w:rFonts w:ascii="Times New Roman" w:hAnsi="Times New Roman" w:cs="Times New Roman" w:eastAsia="Times New Roman" w:hint="default"/>
                <w:sz w:val="24"/>
                <w:szCs w:val="24"/>
              </w:rPr>
              <w:t>/ </w:t>
            </w:r>
            <w:r>
              <w:rPr>
                <w:rFonts w:ascii="宋体" w:hAnsi="宋体" w:cs="宋体" w:eastAsia="宋体" w:hint="default"/>
                <w:sz w:val="24"/>
                <w:szCs w:val="24"/>
              </w:rPr>
              <w:t>系统集 成</w:t>
            </w:r>
            <w:r>
              <w:rPr>
                <w:rFonts w:ascii="Times New Roman" w:hAnsi="Times New Roman" w:cs="Times New Roman" w:eastAsia="Times New Roman" w:hint="default"/>
                <w:sz w:val="24"/>
                <w:szCs w:val="24"/>
              </w:rPr>
              <w:t>/</w:t>
            </w:r>
            <w:r>
              <w:rPr>
                <w:rFonts w:ascii="宋体" w:hAnsi="宋体" w:cs="宋体" w:eastAsia="宋体" w:hint="default"/>
                <w:sz w:val="24"/>
                <w:szCs w:val="24"/>
              </w:rPr>
              <w:t>咨 询行业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76.88</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0.78</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秉钧网络</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上海市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312" w:lineRule="exact" w:before="28"/>
              <w:ind w:left="103" w:right="154"/>
              <w:jc w:val="left"/>
              <w:rPr>
                <w:rFonts w:ascii="宋体" w:hAnsi="宋体" w:cs="宋体" w:eastAsia="宋体" w:hint="default"/>
                <w:sz w:val="24"/>
                <w:szCs w:val="24"/>
              </w:rPr>
            </w:pPr>
            <w:r>
              <w:rPr>
                <w:rFonts w:ascii="宋体" w:hAnsi="宋体" w:cs="宋体" w:eastAsia="宋体" w:hint="default"/>
                <w:sz w:val="24"/>
                <w:szCs w:val="24"/>
              </w:rPr>
              <w:t>软件</w:t>
            </w:r>
            <w:r>
              <w:rPr>
                <w:rFonts w:ascii="Times New Roman" w:hAnsi="Times New Roman" w:cs="Times New Roman" w:eastAsia="Times New Roman" w:hint="default"/>
                <w:sz w:val="24"/>
                <w:szCs w:val="24"/>
              </w:rPr>
              <w:t>/ </w:t>
            </w:r>
            <w:r>
              <w:rPr>
                <w:rFonts w:ascii="宋体" w:hAnsi="宋体" w:cs="宋体" w:eastAsia="宋体" w:hint="default"/>
                <w:sz w:val="24"/>
                <w:szCs w:val="24"/>
              </w:rPr>
              <w:t>系统集 成</w:t>
            </w:r>
            <w:r>
              <w:rPr>
                <w:rFonts w:ascii="Times New Roman" w:hAnsi="Times New Roman" w:cs="Times New Roman" w:eastAsia="Times New Roman" w:hint="default"/>
                <w:sz w:val="24"/>
                <w:szCs w:val="24"/>
              </w:rPr>
              <w:t>/</w:t>
            </w:r>
            <w:r>
              <w:rPr>
                <w:rFonts w:ascii="宋体" w:hAnsi="宋体" w:cs="宋体" w:eastAsia="宋体" w:hint="default"/>
                <w:sz w:val="24"/>
                <w:szCs w:val="24"/>
              </w:rPr>
              <w:t>咨 询行业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322"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友太安保险</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深圳市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深圳市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保险、</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tc>
      </w:tr>
    </w:tbl>
    <w:p>
      <w:pPr>
        <w:spacing w:after="0" w:line="274" w:lineRule="exact"/>
        <w:jc w:val="left"/>
        <w:rPr>
          <w:rFonts w:ascii="宋体" w:hAnsi="宋体" w:cs="宋体" w:eastAsia="宋体" w:hint="default"/>
          <w:sz w:val="24"/>
          <w:szCs w:val="24"/>
        </w:rPr>
        <w:sectPr>
          <w:footerReference w:type="default" r:id="rId80"/>
          <w:pgSz w:w="11910" w:h="16850"/>
          <w:pgMar w:footer="921" w:header="745" w:top="980" w:bottom="1120" w:left="1580" w:right="1560"/>
          <w:pgNumType w:start="141"/>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5" w:type="dxa"/>
        <w:tblLayout w:type="fixed"/>
        <w:tblCellMar>
          <w:top w:w="0" w:type="dxa"/>
          <w:left w:w="0" w:type="dxa"/>
          <w:bottom w:w="0" w:type="dxa"/>
          <w:right w:w="0" w:type="dxa"/>
        </w:tblCellMar>
        <w:tblLook w:val="01E0"/>
      </w:tblPr>
      <w:tblGrid>
        <w:gridCol w:w="2552"/>
        <w:gridCol w:w="974"/>
        <w:gridCol w:w="962"/>
        <w:gridCol w:w="989"/>
        <w:gridCol w:w="977"/>
        <w:gridCol w:w="977"/>
        <w:gridCol w:w="1099"/>
      </w:tblGrid>
      <w:tr>
        <w:trPr>
          <w:trHeight w:val="634" w:hRule="exact"/>
        </w:trPr>
        <w:tc>
          <w:tcPr>
            <w:tcW w:w="2552"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咨询</w:t>
            </w:r>
          </w:p>
        </w:tc>
        <w:tc>
          <w:tcPr>
            <w:tcW w:w="977"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投资等</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方式</w:t>
            </w:r>
          </w:p>
        </w:tc>
      </w:tr>
      <w:tr>
        <w:trPr>
          <w:trHeight w:val="2189"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宁波用友网络科技有</w:t>
            </w:r>
          </w:p>
          <w:p>
            <w:pPr>
              <w:pStyle w:val="TableParagraph"/>
              <w:spacing w:line="312" w:lineRule="exact" w:before="28"/>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以下简称“宁 波用友”</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宁波市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宁波市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both"/>
              <w:rPr>
                <w:rFonts w:ascii="宋体" w:hAnsi="宋体" w:cs="宋体" w:eastAsia="宋体" w:hint="default"/>
                <w:sz w:val="24"/>
                <w:szCs w:val="24"/>
              </w:rPr>
            </w:pPr>
            <w:r>
              <w:rPr>
                <w:rFonts w:ascii="宋体" w:hAnsi="宋体" w:cs="宋体" w:eastAsia="宋体" w:hint="default"/>
                <w:sz w:val="24"/>
                <w:szCs w:val="24"/>
              </w:rPr>
              <w:t>软件研</w:t>
            </w:r>
          </w:p>
          <w:p>
            <w:pPr>
              <w:pStyle w:val="TableParagraph"/>
              <w:spacing w:line="235" w:lineRule="auto" w:before="3"/>
              <w:ind w:left="103" w:right="154"/>
              <w:jc w:val="both"/>
              <w:rPr>
                <w:rFonts w:ascii="宋体" w:hAnsi="宋体" w:cs="宋体" w:eastAsia="宋体" w:hint="default"/>
                <w:sz w:val="24"/>
                <w:szCs w:val="24"/>
              </w:rPr>
            </w:pPr>
            <w:r>
              <w:rPr>
                <w:rFonts w:ascii="宋体" w:hAnsi="宋体" w:cs="宋体" w:eastAsia="宋体" w:hint="default"/>
                <w:sz w:val="24"/>
                <w:szCs w:val="24"/>
              </w:rPr>
              <w:t>发和销 </w:t>
            </w:r>
            <w:r>
              <w:rPr>
                <w:rFonts w:ascii="宋体" w:hAnsi="宋体" w:cs="宋体" w:eastAsia="宋体" w:hint="default"/>
                <w:spacing w:val="-3"/>
                <w:sz w:val="24"/>
                <w:szCs w:val="24"/>
              </w:rPr>
              <w:t>售，</w:t>
            </w:r>
            <w:r>
              <w:rPr>
                <w:rFonts w:ascii="Times New Roman" w:hAnsi="Times New Roman" w:cs="Times New Roman" w:eastAsia="Times New Roman" w:hint="default"/>
                <w:spacing w:val="-3"/>
                <w:sz w:val="24"/>
                <w:szCs w:val="24"/>
              </w:rPr>
              <w:t>IT</w:t>
            </w:r>
            <w:r>
              <w:rPr>
                <w:rFonts w:ascii="Times New Roman" w:hAnsi="Times New Roman" w:cs="Times New Roman" w:eastAsia="Times New Roman" w:hint="default"/>
                <w:spacing w:val="-58"/>
                <w:sz w:val="24"/>
                <w:szCs w:val="24"/>
              </w:rPr>
              <w:t> </w:t>
            </w:r>
            <w:r>
              <w:rPr>
                <w:rFonts w:ascii="宋体" w:hAnsi="宋体" w:cs="宋体" w:eastAsia="宋体" w:hint="default"/>
                <w:sz w:val="24"/>
                <w:szCs w:val="24"/>
              </w:rPr>
              <w:t>服务， 技术交 流和培 训</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944"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w:t>
            </w:r>
            <w:r>
              <w:rPr>
                <w:rFonts w:ascii="Times New Roman" w:hAnsi="Times New Roman" w:cs="Times New Roman" w:eastAsia="Times New Roman" w:hint="default"/>
                <w:sz w:val="24"/>
                <w:szCs w:val="24"/>
              </w:rPr>
              <w:t>(</w:t>
            </w:r>
            <w:r>
              <w:rPr>
                <w:rFonts w:ascii="宋体" w:hAnsi="宋体" w:cs="宋体" w:eastAsia="宋体" w:hint="default"/>
                <w:sz w:val="24"/>
                <w:szCs w:val="24"/>
              </w:rPr>
              <w:t>上海</w:t>
            </w:r>
            <w:r>
              <w:rPr>
                <w:rFonts w:ascii="Times New Roman" w:hAnsi="Times New Roman" w:cs="Times New Roman" w:eastAsia="Times New Roman" w:hint="default"/>
                <w:sz w:val="24"/>
                <w:szCs w:val="24"/>
              </w:rPr>
              <w:t>)</w:t>
            </w:r>
            <w:r>
              <w:rPr>
                <w:rFonts w:ascii="宋体" w:hAnsi="宋体" w:cs="宋体" w:eastAsia="宋体" w:hint="default"/>
                <w:sz w:val="24"/>
                <w:szCs w:val="24"/>
              </w:rPr>
              <w:t>工业互联科</w:t>
            </w:r>
          </w:p>
          <w:p>
            <w:pPr>
              <w:pStyle w:val="TableParagraph"/>
              <w:spacing w:line="312" w:lineRule="exact" w:before="19"/>
              <w:ind w:left="103" w:right="100"/>
              <w:jc w:val="left"/>
              <w:rPr>
                <w:rFonts w:ascii="Times New Roman" w:hAnsi="Times New Roman" w:cs="Times New Roman" w:eastAsia="Times New Roman" w:hint="default"/>
                <w:sz w:val="24"/>
                <w:szCs w:val="24"/>
              </w:rPr>
            </w:pPr>
            <w:r>
              <w:rPr>
                <w:rFonts w:ascii="宋体" w:hAnsi="宋体" w:cs="宋体" w:eastAsia="宋体" w:hint="default"/>
                <w:sz w:val="24"/>
                <w:szCs w:val="24"/>
              </w:rPr>
              <w:t>技发展有限公司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 </w:t>
            </w:r>
            <w:r>
              <w:rPr>
                <w:rFonts w:ascii="宋体" w:hAnsi="宋体" w:cs="宋体" w:eastAsia="宋体" w:hint="default"/>
                <w:spacing w:val="-14"/>
                <w:sz w:val="24"/>
                <w:szCs w:val="24"/>
              </w:rPr>
              <w:t>简称“用友工业互联”</w:t>
            </w:r>
            <w:r>
              <w:rPr>
                <w:rFonts w:ascii="Times New Roman" w:hAnsi="Times New Roman" w:cs="Times New Roman" w:eastAsia="Times New Roman" w:hint="default"/>
                <w:spacing w:val="-14"/>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上海市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互联网</w:t>
            </w:r>
          </w:p>
          <w:p>
            <w:pPr>
              <w:pStyle w:val="TableParagraph"/>
              <w:spacing w:line="312" w:lineRule="exact" w:before="28"/>
              <w:ind w:left="103" w:right="154"/>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计算 机软件</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上海用友云服务创业</w:t>
            </w:r>
          </w:p>
          <w:p>
            <w:pPr>
              <w:pStyle w:val="TableParagraph"/>
              <w:spacing w:line="225" w:lineRule="auto" w:before="15"/>
              <w:ind w:left="103" w:right="118"/>
              <w:jc w:val="both"/>
              <w:rPr>
                <w:rFonts w:ascii="Times New Roman" w:hAnsi="Times New Roman" w:cs="Times New Roman" w:eastAsia="Times New Roman" w:hint="default"/>
                <w:sz w:val="24"/>
                <w:szCs w:val="24"/>
              </w:rPr>
            </w:pPr>
            <w:r>
              <w:rPr>
                <w:rFonts w:ascii="宋体" w:hAnsi="宋体" w:cs="宋体" w:eastAsia="宋体" w:hint="default"/>
                <w:sz w:val="24"/>
                <w:szCs w:val="24"/>
              </w:rPr>
              <w:t>投资合伙企业</w:t>
            </w:r>
            <w:r>
              <w:rPr>
                <w:rFonts w:ascii="Times New Roman" w:hAnsi="Times New Roman" w:cs="Times New Roman" w:eastAsia="Times New Roman" w:hint="default"/>
                <w:sz w:val="24"/>
                <w:szCs w:val="24"/>
              </w:rPr>
              <w:t>(</w:t>
            </w:r>
            <w:r>
              <w:rPr>
                <w:rFonts w:ascii="宋体" w:hAnsi="宋体" w:cs="宋体" w:eastAsia="宋体" w:hint="default"/>
                <w:sz w:val="24"/>
                <w:szCs w:val="24"/>
              </w:rPr>
              <w:t>有限合 伙</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以下简称“用友云 创投”</w:t>
            </w:r>
            <w:r>
              <w:rPr>
                <w:rFonts w:ascii="Times New Roman" w:hAnsi="Times New Roman" w:cs="Times New Roman" w:eastAsia="Times New Roman" w:hint="default"/>
                <w:sz w:val="24"/>
                <w:szCs w:val="24"/>
              </w:rPr>
              <w:t>) (</w:t>
            </w:r>
            <w:r>
              <w:rPr>
                <w:rFonts w:ascii="宋体" w:hAnsi="宋体" w:cs="宋体" w:eastAsia="宋体" w:hint="default"/>
                <w:sz w:val="24"/>
                <w:szCs w:val="24"/>
              </w:rPr>
              <w:t>注</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6)</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上海市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投资</w:t>
            </w:r>
            <w:r>
              <w:rPr>
                <w:rFonts w:ascii="Times New Roman" w:hAnsi="Times New Roman" w:cs="Times New Roman" w:eastAsia="Times New Roman" w:hint="default"/>
                <w:sz w:val="24"/>
                <w:szCs w:val="24"/>
              </w:rPr>
              <w:t>/</w:t>
            </w:r>
          </w:p>
          <w:p>
            <w:pPr>
              <w:pStyle w:val="TableParagraph"/>
              <w:spacing w:line="304" w:lineRule="exact"/>
              <w:ind w:left="103" w:right="0"/>
              <w:jc w:val="left"/>
              <w:rPr>
                <w:rFonts w:ascii="宋体" w:hAnsi="宋体" w:cs="宋体" w:eastAsia="宋体" w:hint="default"/>
                <w:sz w:val="24"/>
                <w:szCs w:val="24"/>
              </w:rPr>
            </w:pPr>
            <w:r>
              <w:rPr>
                <w:rFonts w:ascii="宋体" w:hAnsi="宋体" w:cs="宋体" w:eastAsia="宋体" w:hint="default"/>
                <w:sz w:val="24"/>
                <w:szCs w:val="24"/>
              </w:rPr>
              <w:t>咨询</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99.5</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0.5</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北京点点亮科技有限</w:t>
            </w:r>
          </w:p>
          <w:p>
            <w:pPr>
              <w:pStyle w:val="TableParagraph"/>
              <w:spacing w:line="310" w:lineRule="exact" w:before="31"/>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以下简称“点点 亮科技”</w:t>
            </w:r>
            <w:r>
              <w:rPr>
                <w:rFonts w:ascii="Times New Roman" w:hAnsi="Times New Roman" w:cs="Times New Roman" w:eastAsia="Times New Roman" w:hint="default"/>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0" w:lineRule="auto" w:before="10"/>
              <w:ind w:left="103" w:right="154"/>
              <w:jc w:val="left"/>
              <w:rPr>
                <w:rFonts w:ascii="宋体" w:hAnsi="宋体" w:cs="宋体" w:eastAsia="宋体" w:hint="default"/>
                <w:sz w:val="24"/>
                <w:szCs w:val="24"/>
              </w:rPr>
            </w:pPr>
            <w:r>
              <w:rPr>
                <w:rFonts w:ascii="宋体" w:hAnsi="宋体" w:cs="宋体" w:eastAsia="宋体" w:hint="default"/>
                <w:sz w:val="24"/>
                <w:szCs w:val="24"/>
              </w:rPr>
              <w:t>软件</w:t>
            </w:r>
            <w:r>
              <w:rPr>
                <w:rFonts w:ascii="Times New Roman" w:hAnsi="Times New Roman" w:cs="Times New Roman" w:eastAsia="Times New Roman" w:hint="default"/>
                <w:sz w:val="24"/>
                <w:szCs w:val="24"/>
              </w:rPr>
              <w:t>/ </w:t>
            </w:r>
            <w:r>
              <w:rPr>
                <w:rFonts w:ascii="宋体" w:hAnsi="宋体" w:cs="宋体" w:eastAsia="宋体" w:hint="default"/>
                <w:sz w:val="24"/>
                <w:szCs w:val="24"/>
              </w:rPr>
              <w:t>咨询行 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944"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上海用友产业投资管</w:t>
            </w:r>
          </w:p>
          <w:p>
            <w:pPr>
              <w:pStyle w:val="TableParagraph"/>
              <w:spacing w:line="312" w:lineRule="exact" w:before="28"/>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理有限公司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 “用友产投”</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7)</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上海市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咨询</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70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8"/>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255"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both"/>
              <w:rPr>
                <w:rFonts w:ascii="宋体" w:hAnsi="宋体" w:cs="宋体" w:eastAsia="宋体" w:hint="default"/>
                <w:sz w:val="24"/>
                <w:szCs w:val="24"/>
              </w:rPr>
            </w:pPr>
            <w:r>
              <w:rPr>
                <w:rFonts w:ascii="宋体" w:hAnsi="宋体" w:cs="宋体" w:eastAsia="宋体" w:hint="default"/>
                <w:sz w:val="24"/>
                <w:szCs w:val="24"/>
              </w:rPr>
              <w:t>北京用友幸福创新二</w:t>
            </w:r>
          </w:p>
          <w:p>
            <w:pPr>
              <w:pStyle w:val="TableParagraph"/>
              <w:spacing w:line="225" w:lineRule="auto" w:before="15"/>
              <w:ind w:left="103" w:right="117"/>
              <w:jc w:val="both"/>
              <w:rPr>
                <w:rFonts w:ascii="Times New Roman" w:hAnsi="Times New Roman" w:cs="Times New Roman" w:eastAsia="Times New Roman" w:hint="default"/>
                <w:sz w:val="24"/>
                <w:szCs w:val="24"/>
              </w:rPr>
            </w:pPr>
            <w:r>
              <w:rPr>
                <w:rFonts w:ascii="宋体" w:hAnsi="宋体" w:cs="宋体" w:eastAsia="宋体" w:hint="default"/>
                <w:sz w:val="24"/>
                <w:szCs w:val="24"/>
              </w:rPr>
              <w:t>期投资中心</w:t>
            </w:r>
            <w:r>
              <w:rPr>
                <w:rFonts w:ascii="Times New Roman" w:hAnsi="Times New Roman" w:cs="Times New Roman" w:eastAsia="Times New Roman" w:hint="default"/>
                <w:sz w:val="24"/>
                <w:szCs w:val="24"/>
              </w:rPr>
              <w:t>(</w:t>
            </w:r>
            <w:r>
              <w:rPr>
                <w:rFonts w:ascii="宋体" w:hAnsi="宋体" w:cs="宋体" w:eastAsia="宋体" w:hint="default"/>
                <w:sz w:val="24"/>
                <w:szCs w:val="24"/>
              </w:rPr>
              <w:t>有限合伙</w:t>
            </w:r>
            <w:r>
              <w:rPr>
                <w:rFonts w:ascii="Times New Roman" w:hAnsi="Times New Roman" w:cs="Times New Roman" w:eastAsia="Times New Roman" w:hint="default"/>
                <w:sz w:val="24"/>
                <w:szCs w:val="24"/>
              </w:rPr>
              <w:t>) (</w:t>
            </w:r>
            <w:r>
              <w:rPr>
                <w:rFonts w:ascii="宋体" w:hAnsi="宋体" w:cs="宋体" w:eastAsia="宋体" w:hint="default"/>
                <w:sz w:val="24"/>
                <w:szCs w:val="24"/>
              </w:rPr>
              <w:t>以下简称“幸福创新 二期”</w:t>
            </w:r>
            <w:r>
              <w:rPr>
                <w:rFonts w:ascii="Times New Roman" w:hAnsi="Times New Roman" w:cs="Times New Roman" w:eastAsia="Times New Roman" w:hint="default"/>
                <w:sz w:val="24"/>
                <w:szCs w:val="24"/>
              </w:rPr>
              <w:t>) (</w:t>
            </w:r>
            <w:r>
              <w:rPr>
                <w:rFonts w:ascii="宋体" w:hAnsi="宋体" w:cs="宋体" w:eastAsia="宋体" w:hint="default"/>
                <w:sz w:val="24"/>
                <w:szCs w:val="24"/>
              </w:rPr>
              <w:t>注</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8)</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理</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99</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94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北京用友创新投资中</w:t>
            </w:r>
          </w:p>
          <w:p>
            <w:pPr>
              <w:pStyle w:val="TableParagraph"/>
              <w:spacing w:line="310" w:lineRule="exact" w:before="31"/>
              <w:ind w:left="103" w:right="102"/>
              <w:jc w:val="left"/>
              <w:rPr>
                <w:rFonts w:ascii="Times New Roman" w:hAnsi="Times New Roman" w:cs="Times New Roman" w:eastAsia="Times New Roman" w:hint="default"/>
                <w:sz w:val="24"/>
                <w:szCs w:val="24"/>
              </w:rPr>
            </w:pPr>
            <w:r>
              <w:rPr>
                <w:rFonts w:ascii="宋体" w:hAnsi="宋体" w:cs="宋体" w:eastAsia="宋体" w:hint="default"/>
                <w:sz w:val="24"/>
                <w:szCs w:val="24"/>
              </w:rPr>
              <w:t>心</w:t>
            </w:r>
            <w:r>
              <w:rPr>
                <w:rFonts w:ascii="Times New Roman" w:hAnsi="Times New Roman" w:cs="Times New Roman" w:eastAsia="Times New Roman" w:hint="default"/>
                <w:sz w:val="24"/>
                <w:szCs w:val="24"/>
              </w:rPr>
              <w:t>(</w:t>
            </w:r>
            <w:r>
              <w:rPr>
                <w:rFonts w:ascii="宋体" w:hAnsi="宋体" w:cs="宋体" w:eastAsia="宋体" w:hint="default"/>
                <w:sz w:val="24"/>
                <w:szCs w:val="24"/>
              </w:rPr>
              <w:t>有限合伙</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 称“创新投资”</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8"/>
                <w:sz w:val="24"/>
                <w:szCs w:val="24"/>
              </w:rPr>
              <w:t> </w:t>
            </w:r>
            <w:r>
              <w:rPr>
                <w:rFonts w:ascii="Times New Roman" w:hAnsi="Times New Roman" w:cs="Times New Roman" w:eastAsia="Times New Roman" w:hint="default"/>
                <w:sz w:val="24"/>
                <w:szCs w:val="24"/>
              </w:rPr>
              <w:t>9)</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理</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99</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0" w:lineRule="exact" w:before="31"/>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944"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天津滨海用友软件有</w:t>
            </w:r>
          </w:p>
          <w:p>
            <w:pPr>
              <w:pStyle w:val="TableParagraph"/>
              <w:spacing w:line="312" w:lineRule="exact" w:before="29"/>
              <w:ind w:left="103" w:right="197"/>
              <w:jc w:val="left"/>
              <w:rPr>
                <w:rFonts w:ascii="Times New Roman" w:hAnsi="Times New Roman" w:cs="Times New Roman" w:eastAsia="Times New Roman" w:hint="default"/>
                <w:sz w:val="24"/>
                <w:szCs w:val="24"/>
              </w:rPr>
            </w:pPr>
            <w:r>
              <w:rPr>
                <w:rFonts w:ascii="宋体" w:hAnsi="宋体" w:cs="宋体" w:eastAsia="宋体" w:hint="default"/>
                <w:sz w:val="24"/>
                <w:szCs w:val="24"/>
              </w:rPr>
              <w:t>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以下简称“滨 海用友”</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3"/>
                <w:sz w:val="24"/>
                <w:szCs w:val="24"/>
              </w:rPr>
              <w:t> </w:t>
            </w:r>
            <w:r>
              <w:rPr>
                <w:rFonts w:ascii="Times New Roman" w:hAnsi="Times New Roman" w:cs="Times New Roman" w:eastAsia="Times New Roman" w:hint="default"/>
                <w:sz w:val="24"/>
                <w:szCs w:val="24"/>
              </w:rPr>
              <w:t>10)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天津市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天津市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40" w:lineRule="auto"/>
              <w:ind w:left="103" w:right="154"/>
              <w:jc w:val="left"/>
              <w:rPr>
                <w:rFonts w:ascii="宋体" w:hAnsi="宋体" w:cs="宋体" w:eastAsia="宋体" w:hint="default"/>
                <w:sz w:val="24"/>
                <w:szCs w:val="24"/>
              </w:rPr>
            </w:pPr>
            <w:r>
              <w:rPr>
                <w:rFonts w:ascii="宋体" w:hAnsi="宋体" w:cs="宋体" w:eastAsia="宋体" w:hint="default"/>
                <w:sz w:val="24"/>
                <w:szCs w:val="24"/>
              </w:rPr>
              <w:t>技术及 产品</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240" w:lineRule="auto"/>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r>
        <w:trPr>
          <w:trHeight w:val="1567"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用友审计</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11)</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27"/>
              <w:jc w:val="right"/>
              <w:rPr>
                <w:rFonts w:ascii="宋体" w:hAnsi="宋体" w:cs="宋体" w:eastAsia="宋体" w:hint="default"/>
                <w:sz w:val="24"/>
                <w:szCs w:val="24"/>
              </w:rPr>
            </w:pPr>
            <w:r>
              <w:rPr>
                <w:rFonts w:ascii="宋体" w:hAnsi="宋体" w:cs="宋体" w:eastAsia="宋体" w:hint="default"/>
                <w:sz w:val="24"/>
                <w:szCs w:val="24"/>
              </w:rPr>
              <w:t>北京市</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w:t>
            </w:r>
          </w:p>
          <w:p>
            <w:pPr>
              <w:pStyle w:val="TableParagraph"/>
              <w:spacing w:line="232" w:lineRule="auto" w:before="7"/>
              <w:ind w:left="103" w:right="154"/>
              <w:jc w:val="left"/>
              <w:rPr>
                <w:rFonts w:ascii="宋体" w:hAnsi="宋体" w:cs="宋体" w:eastAsia="宋体" w:hint="default"/>
                <w:sz w:val="24"/>
                <w:szCs w:val="24"/>
              </w:rPr>
            </w:pPr>
            <w:r>
              <w:rPr>
                <w:rFonts w:ascii="宋体" w:hAnsi="宋体" w:cs="宋体" w:eastAsia="宋体" w:hint="default"/>
                <w:sz w:val="24"/>
                <w:szCs w:val="24"/>
              </w:rPr>
              <w:t>软、硬 件</w:t>
            </w:r>
            <w:r>
              <w:rPr>
                <w:rFonts w:ascii="Times New Roman" w:hAnsi="Times New Roman" w:cs="Times New Roman" w:eastAsia="Times New Roman" w:hint="default"/>
                <w:sz w:val="24"/>
                <w:szCs w:val="24"/>
              </w:rPr>
              <w:t>/</w:t>
            </w:r>
            <w:r>
              <w:rPr>
                <w:rFonts w:ascii="宋体" w:hAnsi="宋体" w:cs="宋体" w:eastAsia="宋体" w:hint="default"/>
                <w:sz w:val="24"/>
                <w:szCs w:val="24"/>
              </w:rPr>
              <w:t>系 统集成 行业</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设立或</w:t>
            </w:r>
          </w:p>
          <w:p>
            <w:pPr>
              <w:pStyle w:val="TableParagraph"/>
              <w:spacing w:line="312" w:lineRule="exact" w:before="29"/>
              <w:ind w:left="103" w:right="264"/>
              <w:jc w:val="left"/>
              <w:rPr>
                <w:rFonts w:ascii="宋体" w:hAnsi="宋体" w:cs="宋体" w:eastAsia="宋体" w:hint="default"/>
                <w:sz w:val="24"/>
                <w:szCs w:val="24"/>
              </w:rPr>
            </w:pPr>
            <w:r>
              <w:rPr>
                <w:rFonts w:ascii="宋体" w:hAnsi="宋体" w:cs="宋体" w:eastAsia="宋体" w:hint="default"/>
                <w:sz w:val="24"/>
                <w:szCs w:val="24"/>
              </w:rPr>
              <w:t>投资等 方式</w:t>
            </w:r>
          </w:p>
        </w:tc>
      </w:tr>
    </w:tbl>
    <w:p>
      <w:pPr>
        <w:pStyle w:val="BodyText"/>
        <w:spacing w:line="273" w:lineRule="exact"/>
        <w:ind w:left="218" w:right="0"/>
        <w:jc w:val="left"/>
      </w:pPr>
      <w:r>
        <w:rPr/>
        <w:t>在子公司的持股比例不同于表决权比例的说明：</w:t>
      </w:r>
    </w:p>
    <w:p>
      <w:pPr>
        <w:pStyle w:val="BodyText"/>
        <w:spacing w:line="313" w:lineRule="exact"/>
        <w:ind w:left="218" w:right="6141"/>
        <w:jc w:val="left"/>
      </w:pPr>
      <w:r>
        <w:rPr/>
        <w:t>无。</w:t>
      </w:r>
    </w:p>
    <w:p>
      <w:pPr>
        <w:spacing w:line="240" w:lineRule="auto" w:before="1"/>
        <w:rPr>
          <w:rFonts w:ascii="宋体" w:hAnsi="宋体" w:cs="宋体" w:eastAsia="宋体" w:hint="default"/>
          <w:sz w:val="23"/>
          <w:szCs w:val="23"/>
        </w:rPr>
      </w:pPr>
    </w:p>
    <w:p>
      <w:pPr>
        <w:pStyle w:val="BodyText"/>
        <w:spacing w:line="312" w:lineRule="exact"/>
        <w:ind w:left="218" w:right="0"/>
        <w:jc w:val="left"/>
      </w:pPr>
      <w:r>
        <w:rPr>
          <w:spacing w:val="-3"/>
        </w:rPr>
        <w:t>持有半数或以下表决权但仍控制被投资单位、以及持有半数以上表决权但不控制</w:t>
      </w:r>
      <w:r>
        <w:rPr>
          <w:spacing w:val="-102"/>
        </w:rPr>
        <w:t> </w:t>
      </w:r>
      <w:r>
        <w:rPr>
          <w:spacing w:val="-102"/>
        </w:rPr>
      </w:r>
      <w:r>
        <w:rPr/>
        <w:t>被投资单位的依据：</w:t>
      </w:r>
    </w:p>
    <w:p>
      <w:pPr>
        <w:pStyle w:val="BodyText"/>
        <w:spacing w:line="284" w:lineRule="exact"/>
        <w:ind w:left="218" w:right="6141"/>
        <w:jc w:val="left"/>
      </w:pPr>
      <w:r>
        <w:rPr/>
        <w:t>无。</w:t>
      </w:r>
    </w:p>
    <w:p>
      <w:pPr>
        <w:spacing w:after="0" w:line="284" w:lineRule="exact"/>
        <w:jc w:val="left"/>
        <w:sectPr>
          <w:pgSz w:w="11910" w:h="16850"/>
          <w:pgMar w:header="745" w:footer="921" w:top="980" w:bottom="1120" w:left="158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12" w:lineRule="exact" w:before="194"/>
        <w:ind w:left="138" w:right="2768"/>
        <w:jc w:val="left"/>
      </w:pPr>
      <w:r>
        <w:rPr/>
        <w:t>对于纳入合并范围的重要的结构化主体，控制的依据： 无。</w:t>
      </w:r>
    </w:p>
    <w:p>
      <w:pPr>
        <w:spacing w:line="240" w:lineRule="auto" w:before="12"/>
        <w:rPr>
          <w:rFonts w:ascii="宋体" w:hAnsi="宋体" w:cs="宋体" w:eastAsia="宋体" w:hint="default"/>
          <w:sz w:val="20"/>
          <w:szCs w:val="20"/>
        </w:rPr>
      </w:pPr>
    </w:p>
    <w:p>
      <w:pPr>
        <w:pStyle w:val="BodyText"/>
        <w:spacing w:line="312" w:lineRule="exact"/>
        <w:ind w:left="138" w:right="4448"/>
        <w:jc w:val="left"/>
      </w:pPr>
      <w:r>
        <w:rPr/>
        <w:t>确定公司是代理人还是委托人的依据： 无。</w:t>
      </w:r>
    </w:p>
    <w:p>
      <w:pPr>
        <w:spacing w:line="240" w:lineRule="auto" w:before="10"/>
        <w:rPr>
          <w:rFonts w:ascii="宋体" w:hAnsi="宋体" w:cs="宋体" w:eastAsia="宋体" w:hint="default"/>
          <w:sz w:val="18"/>
          <w:szCs w:val="18"/>
        </w:rPr>
      </w:pPr>
    </w:p>
    <w:p>
      <w:pPr>
        <w:pStyle w:val="BodyText"/>
        <w:spacing w:line="312" w:lineRule="exact"/>
        <w:ind w:left="138" w:right="0"/>
        <w:jc w:val="both"/>
      </w:pPr>
      <w:r>
        <w:rPr/>
        <w:t>其他说明：</w:t>
      </w:r>
    </w:p>
    <w:p>
      <w:pPr>
        <w:pStyle w:val="BodyText"/>
        <w:spacing w:line="312" w:lineRule="exact" w:before="28"/>
        <w:ind w:left="138" w:right="217"/>
        <w:jc w:val="left"/>
      </w:pPr>
      <w:r>
        <w:rPr/>
        <w:t>注</w:t>
      </w:r>
      <w:r>
        <w:rPr>
          <w:spacing w:val="-61"/>
        </w:rPr>
        <w:t> </w:t>
      </w:r>
      <w:r>
        <w:rPr>
          <w:rFonts w:ascii="Times New Roman" w:hAnsi="Times New Roman" w:cs="Times New Roman" w:eastAsia="Times New Roman" w:hint="default"/>
        </w:rPr>
        <w:t>1</w:t>
      </w:r>
      <w:r>
        <w:rPr/>
        <w:t>．</w:t>
      </w:r>
      <w:r>
        <w:rPr>
          <w:spacing w:val="60"/>
        </w:rPr>
        <w:t> </w:t>
      </w:r>
      <w:r>
        <w:rPr/>
        <w:t>本公司之子公司用友云达，注册资本人民币</w:t>
      </w:r>
      <w:r>
        <w:rPr>
          <w:spacing w:val="-59"/>
        </w:rPr>
        <w:t> </w:t>
      </w:r>
      <w:r>
        <w:rPr>
          <w:rFonts w:ascii="Times New Roman" w:hAnsi="Times New Roman" w:cs="Times New Roman" w:eastAsia="Times New Roman" w:hint="default"/>
        </w:rPr>
        <w:t>28,600,000 </w:t>
      </w:r>
      <w:r>
        <w:rPr/>
        <w:t>元，本公司出资 比例</w:t>
      </w:r>
      <w:r>
        <w:rPr>
          <w:spacing w:val="-60"/>
        </w:rPr>
        <w:t> </w:t>
      </w:r>
      <w:r>
        <w:rPr>
          <w:rFonts w:ascii="Times New Roman" w:hAnsi="Times New Roman" w:cs="Times New Roman" w:eastAsia="Times New Roman" w:hint="default"/>
          <w:spacing w:val="-3"/>
        </w:rPr>
        <w:t>100%</w:t>
      </w:r>
      <w:r>
        <w:rPr>
          <w:spacing w:val="-3"/>
        </w:rPr>
        <w:t>，本年新增持资本人民币</w:t>
      </w:r>
      <w:r>
        <w:rPr>
          <w:spacing w:val="-59"/>
        </w:rPr>
        <w:t> </w:t>
      </w:r>
      <w:r>
        <w:rPr>
          <w:rFonts w:ascii="Times New Roman" w:hAnsi="Times New Roman" w:cs="Times New Roman" w:eastAsia="Times New Roman" w:hint="default"/>
        </w:rPr>
        <w:t>18,600,000</w:t>
      </w:r>
      <w:r>
        <w:rPr>
          <w:rFonts w:ascii="Times New Roman" w:hAnsi="Times New Roman" w:cs="Times New Roman" w:eastAsia="Times New Roman" w:hint="default"/>
          <w:spacing w:val="1"/>
        </w:rPr>
        <w:t> </w:t>
      </w:r>
      <w:r>
        <w:rPr>
          <w:spacing w:val="-9"/>
        </w:rPr>
        <w:t>元。截止</w:t>
      </w:r>
      <w:r>
        <w:rPr>
          <w:spacing w:val="-59"/>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12"/>
        </w:rPr>
        <w:t>日，本</w:t>
      </w:r>
    </w:p>
    <w:p>
      <w:pPr>
        <w:pStyle w:val="BodyText"/>
        <w:spacing w:line="302" w:lineRule="exact"/>
        <w:ind w:left="138" w:right="0"/>
        <w:jc w:val="both"/>
      </w:pPr>
      <w:r>
        <w:rPr/>
        <w:t>公司已实缴出资人民币</w:t>
      </w:r>
      <w:r>
        <w:rPr>
          <w:spacing w:val="-60"/>
        </w:rPr>
        <w:t> </w:t>
      </w:r>
      <w:r>
        <w:rPr>
          <w:rFonts w:ascii="Times New Roman" w:hAnsi="Times New Roman" w:cs="Times New Roman" w:eastAsia="Times New Roman" w:hint="default"/>
        </w:rPr>
        <w:t>28,600,000 </w:t>
      </w:r>
      <w:r>
        <w:rPr/>
        <w:t>元。</w:t>
      </w:r>
    </w:p>
    <w:p>
      <w:pPr>
        <w:spacing w:line="240" w:lineRule="auto" w:before="10"/>
        <w:rPr>
          <w:rFonts w:ascii="宋体" w:hAnsi="宋体" w:cs="宋体" w:eastAsia="宋体" w:hint="default"/>
          <w:sz w:val="21"/>
          <w:szCs w:val="21"/>
        </w:rPr>
      </w:pPr>
    </w:p>
    <w:p>
      <w:pPr>
        <w:pStyle w:val="BodyText"/>
        <w:spacing w:line="312" w:lineRule="exact"/>
        <w:ind w:left="138" w:right="246"/>
        <w:jc w:val="both"/>
      </w:pPr>
      <w:r>
        <w:rPr/>
        <w:t>注</w:t>
      </w:r>
      <w:r>
        <w:rPr>
          <w:spacing w:val="-61"/>
        </w:rPr>
        <w:t> </w:t>
      </w:r>
      <w:r>
        <w:rPr>
          <w:rFonts w:ascii="Times New Roman" w:hAnsi="Times New Roman" w:cs="Times New Roman" w:eastAsia="Times New Roman" w:hint="default"/>
        </w:rPr>
        <w:t>2</w:t>
      </w:r>
      <w:r>
        <w:rPr/>
        <w:t>．</w:t>
      </w:r>
      <w:r>
        <w:rPr>
          <w:spacing w:val="60"/>
        </w:rPr>
        <w:t> </w:t>
      </w:r>
      <w:r>
        <w:rPr/>
        <w:t>本公司之子公司用友能源，注册资本人民币</w:t>
      </w:r>
      <w:r>
        <w:rPr>
          <w:spacing w:val="-59"/>
        </w:rPr>
        <w:t> </w:t>
      </w:r>
      <w:r>
        <w:rPr>
          <w:rFonts w:ascii="Times New Roman" w:hAnsi="Times New Roman" w:cs="Times New Roman" w:eastAsia="Times New Roman" w:hint="default"/>
        </w:rPr>
        <w:t>50,000,000 </w:t>
      </w:r>
      <w:r>
        <w:rPr/>
        <w:t>元，本公司出资 比例</w:t>
      </w:r>
      <w:r>
        <w:rPr>
          <w:spacing w:val="-62"/>
        </w:rPr>
        <w:t> </w:t>
      </w:r>
      <w:r>
        <w:rPr>
          <w:rFonts w:ascii="Times New Roman" w:hAnsi="Times New Roman" w:cs="Times New Roman" w:eastAsia="Times New Roman" w:hint="default"/>
        </w:rPr>
        <w:t>100%</w:t>
      </w:r>
      <w:r>
        <w:rPr/>
        <w:t>，本年以</w:t>
      </w:r>
      <w:r>
        <w:rPr>
          <w:spacing w:val="-61"/>
        </w:rPr>
        <w:t> </w:t>
      </w:r>
      <w:r>
        <w:rPr>
          <w:rFonts w:ascii="Times New Roman" w:hAnsi="Times New Roman" w:cs="Times New Roman" w:eastAsia="Times New Roman" w:hint="default"/>
        </w:rPr>
        <w:t>47,000,000</w:t>
      </w:r>
      <w:r>
        <w:rPr>
          <w:rFonts w:ascii="Times New Roman" w:hAnsi="Times New Roman" w:cs="Times New Roman" w:eastAsia="Times New Roman" w:hint="default"/>
          <w:spacing w:val="-1"/>
        </w:rPr>
        <w:t> </w:t>
      </w:r>
      <w:r>
        <w:rPr/>
        <w:t>元收购北京中能合创投资中心（有限合伙）持有 的用友能源</w:t>
      </w:r>
      <w:r>
        <w:rPr>
          <w:spacing w:val="-62"/>
        </w:rPr>
        <w:t> </w:t>
      </w:r>
      <w:r>
        <w:rPr>
          <w:rFonts w:ascii="Times New Roman" w:hAnsi="Times New Roman" w:cs="Times New Roman" w:eastAsia="Times New Roman" w:hint="default"/>
        </w:rPr>
        <w:t>20%</w:t>
      </w:r>
      <w:r>
        <w:rPr/>
        <w:t>的股权。截止</w:t>
      </w:r>
      <w:r>
        <w:rPr>
          <w:spacing w:val="-6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日，本公司已实缴出资人民币</w:t>
      </w:r>
    </w:p>
    <w:p>
      <w:pPr>
        <w:pStyle w:val="BodyText"/>
        <w:spacing w:line="302" w:lineRule="exact"/>
        <w:ind w:left="138" w:right="0"/>
        <w:jc w:val="both"/>
      </w:pPr>
      <w:r>
        <w:rPr>
          <w:rFonts w:ascii="Times New Roman" w:hAnsi="Times New Roman" w:cs="Times New Roman" w:eastAsia="Times New Roman" w:hint="default"/>
        </w:rPr>
        <w:t>40,000,000</w:t>
      </w:r>
      <w:r>
        <w:rPr>
          <w:rFonts w:ascii="Times New Roman" w:hAnsi="Times New Roman" w:cs="Times New Roman" w:eastAsia="Times New Roman" w:hint="default"/>
          <w:spacing w:val="-1"/>
        </w:rPr>
        <w:t> </w:t>
      </w:r>
      <w:r>
        <w:rPr/>
        <w:t>元。</w:t>
      </w:r>
    </w:p>
    <w:p>
      <w:pPr>
        <w:spacing w:line="240" w:lineRule="auto" w:before="9"/>
        <w:rPr>
          <w:rFonts w:ascii="宋体" w:hAnsi="宋体" w:cs="宋体" w:eastAsia="宋体" w:hint="default"/>
          <w:sz w:val="21"/>
          <w:szCs w:val="21"/>
        </w:rPr>
      </w:pPr>
    </w:p>
    <w:p>
      <w:pPr>
        <w:pStyle w:val="BodyText"/>
        <w:spacing w:line="312" w:lineRule="exact"/>
        <w:ind w:left="138" w:right="238"/>
        <w:jc w:val="left"/>
      </w:pPr>
      <w:r>
        <w:rPr/>
        <w:t>注</w:t>
      </w:r>
      <w:r>
        <w:rPr>
          <w:spacing w:val="-61"/>
        </w:rPr>
        <w:t> </w:t>
      </w:r>
      <w:r>
        <w:rPr>
          <w:rFonts w:ascii="Times New Roman" w:hAnsi="Times New Roman" w:cs="Times New Roman" w:eastAsia="Times New Roman" w:hint="default"/>
        </w:rPr>
        <w:t>3</w:t>
      </w:r>
      <w:r>
        <w:rPr/>
        <w:t>．</w:t>
      </w:r>
      <w:r>
        <w:rPr>
          <w:spacing w:val="60"/>
        </w:rPr>
        <w:t> </w:t>
      </w:r>
      <w:r>
        <w:rPr/>
        <w:t>本公司之子公司红火台，注册资本人民币</w:t>
      </w:r>
      <w:r>
        <w:rPr>
          <w:spacing w:val="-59"/>
        </w:rPr>
        <w:t> </w:t>
      </w:r>
      <w:r>
        <w:rPr>
          <w:rFonts w:ascii="Times New Roman" w:hAnsi="Times New Roman" w:cs="Times New Roman" w:eastAsia="Times New Roman" w:hint="default"/>
        </w:rPr>
        <w:t>70,000,000 </w:t>
      </w:r>
      <w:r>
        <w:rPr/>
        <w:t>元，本公司出资比 例</w:t>
      </w:r>
      <w:r>
        <w:rPr>
          <w:spacing w:val="-62"/>
        </w:rPr>
        <w:t> </w:t>
      </w:r>
      <w:r>
        <w:rPr>
          <w:rFonts w:ascii="Times New Roman" w:hAnsi="Times New Roman" w:cs="Times New Roman" w:eastAsia="Times New Roman" w:hint="default"/>
        </w:rPr>
        <w:t>55%</w:t>
      </w:r>
      <w:r>
        <w:rPr/>
        <w:t>，本年新增持资本人民币</w:t>
      </w:r>
      <w:r>
        <w:rPr>
          <w:spacing w:val="-61"/>
        </w:rPr>
        <w:t> </w:t>
      </w:r>
      <w:r>
        <w:rPr>
          <w:rFonts w:ascii="Times New Roman" w:hAnsi="Times New Roman" w:cs="Times New Roman" w:eastAsia="Times New Roman" w:hint="default"/>
        </w:rPr>
        <w:t>11,000,000</w:t>
      </w:r>
      <w:r>
        <w:rPr>
          <w:rFonts w:ascii="Times New Roman" w:hAnsi="Times New Roman" w:cs="Times New Roman" w:eastAsia="Times New Roman" w:hint="default"/>
          <w:spacing w:val="-1"/>
        </w:rPr>
        <w:t> </w:t>
      </w:r>
      <w:r>
        <w:rPr/>
        <w:t>元。截止</w:t>
      </w:r>
      <w:r>
        <w:rPr>
          <w:spacing w:val="-6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w:t>
      </w:r>
    </w:p>
    <w:p>
      <w:pPr>
        <w:pStyle w:val="BodyText"/>
        <w:spacing w:line="302" w:lineRule="exact"/>
        <w:ind w:left="138" w:right="0"/>
        <w:jc w:val="both"/>
      </w:pPr>
      <w:r>
        <w:rPr/>
        <w:t>司已实缴出资人民币</w:t>
      </w:r>
      <w:r>
        <w:rPr>
          <w:spacing w:val="-60"/>
        </w:rPr>
        <w:t> </w:t>
      </w:r>
      <w:r>
        <w:rPr>
          <w:rFonts w:ascii="Times New Roman" w:hAnsi="Times New Roman" w:cs="Times New Roman" w:eastAsia="Times New Roman" w:hint="default"/>
        </w:rPr>
        <w:t>38,500,000 </w:t>
      </w:r>
      <w:r>
        <w:rPr/>
        <w:t>元。</w:t>
      </w:r>
    </w:p>
    <w:p>
      <w:pPr>
        <w:spacing w:line="240" w:lineRule="auto" w:before="8"/>
        <w:rPr>
          <w:rFonts w:ascii="宋体" w:hAnsi="宋体" w:cs="宋体" w:eastAsia="宋体" w:hint="default"/>
          <w:sz w:val="20"/>
          <w:szCs w:val="20"/>
        </w:rPr>
      </w:pPr>
    </w:p>
    <w:p>
      <w:pPr>
        <w:pStyle w:val="BodyText"/>
        <w:spacing w:line="225" w:lineRule="auto"/>
        <w:ind w:left="138" w:right="232"/>
        <w:jc w:val="both"/>
      </w:pPr>
      <w:r>
        <w:rPr/>
        <w:t>注</w:t>
      </w:r>
      <w:r>
        <w:rPr>
          <w:spacing w:val="-61"/>
        </w:rPr>
        <w:t> </w:t>
      </w:r>
      <w:r>
        <w:rPr>
          <w:rFonts w:ascii="Times New Roman" w:hAnsi="Times New Roman" w:cs="Times New Roman" w:eastAsia="Times New Roman" w:hint="default"/>
        </w:rPr>
        <w:t>4</w:t>
      </w:r>
      <w:r>
        <w:rPr/>
        <w:t>．</w:t>
      </w:r>
      <w:r>
        <w:rPr>
          <w:spacing w:val="60"/>
        </w:rPr>
        <w:t> </w:t>
      </w:r>
      <w:r>
        <w:rPr/>
        <w:t>本公司之子公司用友薪福社，注册资本人民币</w:t>
      </w:r>
      <w:r>
        <w:rPr>
          <w:spacing w:val="-59"/>
        </w:rPr>
        <w:t> </w:t>
      </w:r>
      <w:r>
        <w:rPr>
          <w:rFonts w:ascii="Times New Roman" w:hAnsi="Times New Roman" w:cs="Times New Roman" w:eastAsia="Times New Roman" w:hint="default"/>
        </w:rPr>
        <w:t>50,000,000 </w:t>
      </w:r>
      <w:r>
        <w:rPr/>
        <w:t>元，本公司以 持有的北京薪福社</w:t>
      </w:r>
      <w:r>
        <w:rPr>
          <w:spacing w:val="-58"/>
        </w:rPr>
        <w:t> </w:t>
      </w:r>
      <w:r>
        <w:rPr>
          <w:rFonts w:ascii="Times New Roman" w:hAnsi="Times New Roman" w:cs="Times New Roman" w:eastAsia="Times New Roman" w:hint="default"/>
          <w:spacing w:val="-1"/>
        </w:rPr>
        <w:t>75%</w:t>
      </w:r>
      <w:r>
        <w:rPr>
          <w:spacing w:val="-1"/>
        </w:rPr>
        <w:t>的股权作价人民币</w:t>
      </w:r>
      <w:r>
        <w:rPr>
          <w:spacing w:val="-57"/>
        </w:rPr>
        <w:t> </w:t>
      </w:r>
      <w:r>
        <w:rPr>
          <w:rFonts w:ascii="Times New Roman" w:hAnsi="Times New Roman" w:cs="Times New Roman" w:eastAsia="Times New Roman" w:hint="default"/>
        </w:rPr>
        <w:t>37,500,000</w:t>
      </w:r>
      <w:r>
        <w:rPr>
          <w:rFonts w:ascii="Times New Roman" w:hAnsi="Times New Roman" w:cs="Times New Roman" w:eastAsia="Times New Roman" w:hint="default"/>
          <w:spacing w:val="3"/>
        </w:rPr>
        <w:t> </w:t>
      </w:r>
      <w:r>
        <w:rPr>
          <w:spacing w:val="-9"/>
        </w:rPr>
        <w:t>元出资，北京聚贤汇才投资</w:t>
      </w:r>
      <w:r>
        <w:rPr/>
        <w:t> 中心</w:t>
      </w:r>
      <w:r>
        <w:rPr>
          <w:rFonts w:ascii="Times New Roman" w:hAnsi="Times New Roman" w:cs="Times New Roman" w:eastAsia="Times New Roman" w:hint="default"/>
        </w:rPr>
        <w:t>(</w:t>
      </w:r>
      <w:r>
        <w:rPr/>
        <w:t>有限合伙</w:t>
      </w:r>
      <w:r>
        <w:rPr>
          <w:rFonts w:ascii="Times New Roman" w:hAnsi="Times New Roman" w:cs="Times New Roman" w:eastAsia="Times New Roman" w:hint="default"/>
        </w:rPr>
        <w:t>)</w:t>
      </w:r>
      <w:r>
        <w:rPr/>
        <w:t>、北京钜人有福投资中心</w:t>
      </w:r>
      <w:r>
        <w:rPr>
          <w:rFonts w:ascii="Times New Roman" w:hAnsi="Times New Roman" w:cs="Times New Roman" w:eastAsia="Times New Roman" w:hint="default"/>
        </w:rPr>
        <w:t>(</w:t>
      </w:r>
      <w:r>
        <w:rPr/>
        <w:t>有限合伙</w:t>
      </w:r>
      <w:r>
        <w:rPr>
          <w:rFonts w:ascii="Times New Roman" w:hAnsi="Times New Roman" w:cs="Times New Roman" w:eastAsia="Times New Roman" w:hint="default"/>
        </w:rPr>
        <w:t>)</w:t>
      </w:r>
      <w:r>
        <w:rPr/>
        <w:t>以其持有的北京薪福社合计 </w:t>
      </w:r>
      <w:r>
        <w:rPr>
          <w:rFonts w:ascii="Times New Roman" w:hAnsi="Times New Roman" w:cs="Times New Roman" w:eastAsia="Times New Roman" w:hint="default"/>
        </w:rPr>
        <w:t>25%</w:t>
      </w:r>
      <w:r>
        <w:rPr/>
        <w:t>的股权作价人民币</w:t>
      </w:r>
      <w:r>
        <w:rPr>
          <w:spacing w:val="-55"/>
        </w:rPr>
        <w:t> </w:t>
      </w:r>
      <w:r>
        <w:rPr>
          <w:rFonts w:ascii="Times New Roman" w:hAnsi="Times New Roman" w:cs="Times New Roman" w:eastAsia="Times New Roman" w:hint="default"/>
        </w:rPr>
        <w:t>12,500,000</w:t>
      </w:r>
      <w:r>
        <w:rPr>
          <w:rFonts w:ascii="Times New Roman" w:hAnsi="Times New Roman" w:cs="Times New Roman" w:eastAsia="Times New Roman" w:hint="default"/>
          <w:spacing w:val="5"/>
        </w:rPr>
        <w:t> </w:t>
      </w:r>
      <w:r>
        <w:rPr>
          <w:spacing w:val="-3"/>
        </w:rPr>
        <w:t>元出资。出资完成后，本公司持有用友薪福社</w:t>
      </w:r>
    </w:p>
    <w:p>
      <w:pPr>
        <w:pStyle w:val="BodyText"/>
        <w:spacing w:line="315" w:lineRule="exact"/>
        <w:ind w:left="138" w:right="0"/>
        <w:jc w:val="both"/>
      </w:pPr>
      <w:r>
        <w:rPr>
          <w:rFonts w:ascii="Times New Roman" w:hAnsi="Times New Roman" w:cs="Times New Roman" w:eastAsia="Times New Roman" w:hint="default"/>
        </w:rPr>
        <w:t>75%</w:t>
      </w:r>
      <w:r>
        <w:rPr/>
        <w:t>的股权。原本公司之子公司北京薪福社成为用友薪福社之全资子公司。</w:t>
      </w:r>
    </w:p>
    <w:p>
      <w:pPr>
        <w:spacing w:line="240" w:lineRule="auto" w:before="0"/>
        <w:rPr>
          <w:rFonts w:ascii="宋体" w:hAnsi="宋体" w:cs="宋体" w:eastAsia="宋体" w:hint="default"/>
          <w:sz w:val="22"/>
          <w:szCs w:val="22"/>
        </w:rPr>
      </w:pPr>
    </w:p>
    <w:p>
      <w:pPr>
        <w:pStyle w:val="BodyText"/>
        <w:tabs>
          <w:tab w:pos="1157" w:val="left" w:leader="none"/>
        </w:tabs>
        <w:spacing w:line="310" w:lineRule="exact"/>
        <w:ind w:left="138" w:right="233"/>
        <w:jc w:val="left"/>
      </w:pPr>
      <w:r>
        <w:rPr/>
        <w:t>注</w:t>
      </w:r>
      <w:r>
        <w:rPr>
          <w:spacing w:val="-61"/>
        </w:rPr>
        <w:t> </w:t>
      </w:r>
      <w:r>
        <w:rPr>
          <w:rFonts w:ascii="Times New Roman" w:hAnsi="Times New Roman" w:cs="Times New Roman" w:eastAsia="Times New Roman" w:hint="default"/>
        </w:rPr>
        <w:t>5</w:t>
      </w:r>
      <w:r>
        <w:rPr/>
        <w:t>．</w:t>
        <w:tab/>
        <w:t>本公司与用友产投共同出资设立子公司青岛用友云创投，出资额人民 币</w:t>
      </w:r>
      <w:r>
        <w:rPr>
          <w:spacing w:val="-63"/>
        </w:rPr>
        <w:t> </w:t>
      </w:r>
      <w:r>
        <w:rPr>
          <w:rFonts w:ascii="Times New Roman" w:hAnsi="Times New Roman" w:cs="Times New Roman" w:eastAsia="Times New Roman" w:hint="default"/>
        </w:rPr>
        <w:t>201,000,000</w:t>
      </w:r>
      <w:r>
        <w:rPr>
          <w:rFonts w:ascii="Times New Roman" w:hAnsi="Times New Roman" w:cs="Times New Roman" w:eastAsia="Times New Roman" w:hint="default"/>
          <w:spacing w:val="-2"/>
        </w:rPr>
        <w:t> </w:t>
      </w:r>
      <w:r>
        <w:rPr/>
        <w:t>元，本公司直接持股</w:t>
      </w:r>
      <w:r>
        <w:rPr>
          <w:spacing w:val="-62"/>
        </w:rPr>
        <w:t> </w:t>
      </w:r>
      <w:r>
        <w:rPr>
          <w:rFonts w:ascii="Times New Roman" w:hAnsi="Times New Roman" w:cs="Times New Roman" w:eastAsia="Times New Roman" w:hint="default"/>
        </w:rPr>
        <w:t>99.5%</w:t>
      </w:r>
      <w:r>
        <w:rPr/>
        <w:t>，间接持股</w:t>
      </w:r>
      <w:r>
        <w:rPr>
          <w:spacing w:val="-62"/>
        </w:rPr>
        <w:t> </w:t>
      </w:r>
      <w:r>
        <w:rPr>
          <w:rFonts w:ascii="Times New Roman" w:hAnsi="Times New Roman" w:cs="Times New Roman" w:eastAsia="Times New Roman" w:hint="default"/>
        </w:rPr>
        <w:t>0.5%</w:t>
      </w:r>
      <w:r>
        <w:rPr/>
        <w:t>。截止</w:t>
      </w:r>
      <w:r>
        <w:rPr>
          <w:spacing w:val="-6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p>
    <w:p>
      <w:pPr>
        <w:pStyle w:val="BodyText"/>
        <w:spacing w:line="302" w:lineRule="exact"/>
        <w:ind w:left="138" w:right="0"/>
        <w:jc w:val="both"/>
      </w:pP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日，本公司已实缴出资人民币</w:t>
      </w:r>
      <w:r>
        <w:rPr>
          <w:spacing w:val="-60"/>
        </w:rPr>
        <w:t> </w:t>
      </w:r>
      <w:r>
        <w:rPr>
          <w:rFonts w:ascii="Times New Roman" w:hAnsi="Times New Roman" w:cs="Times New Roman" w:eastAsia="Times New Roman" w:hint="default"/>
        </w:rPr>
        <w:t>40,000,000 </w:t>
      </w:r>
      <w:r>
        <w:rPr/>
        <w:t>元。</w:t>
      </w:r>
    </w:p>
    <w:p>
      <w:pPr>
        <w:spacing w:line="240" w:lineRule="auto" w:before="11"/>
        <w:rPr>
          <w:rFonts w:ascii="宋体" w:hAnsi="宋体" w:cs="宋体" w:eastAsia="宋体" w:hint="default"/>
          <w:sz w:val="20"/>
          <w:szCs w:val="20"/>
        </w:rPr>
      </w:pPr>
    </w:p>
    <w:p>
      <w:pPr>
        <w:pStyle w:val="BodyText"/>
        <w:spacing w:line="225" w:lineRule="auto"/>
        <w:ind w:left="138" w:right="325"/>
        <w:jc w:val="both"/>
      </w:pPr>
      <w:r>
        <w:rPr/>
        <w:t>注</w:t>
      </w:r>
      <w:r>
        <w:rPr>
          <w:spacing w:val="-61"/>
        </w:rPr>
        <w:t> </w:t>
      </w:r>
      <w:r>
        <w:rPr>
          <w:rFonts w:ascii="Times New Roman" w:hAnsi="Times New Roman" w:cs="Times New Roman" w:eastAsia="Times New Roman" w:hint="default"/>
        </w:rPr>
        <w:t>6</w:t>
      </w:r>
      <w:r>
        <w:rPr/>
        <w:t>． 本总司之子公司用友云创投，注册资本人民币</w:t>
      </w:r>
      <w:r>
        <w:rPr>
          <w:spacing w:val="-59"/>
        </w:rPr>
        <w:t> </w:t>
      </w:r>
      <w:r>
        <w:rPr>
          <w:rFonts w:ascii="Times New Roman" w:hAnsi="Times New Roman" w:cs="Times New Roman" w:eastAsia="Times New Roman" w:hint="default"/>
        </w:rPr>
        <w:t>201,000,000 </w:t>
      </w:r>
      <w:r>
        <w:rPr/>
        <w:t>元，本公司 出资比例</w:t>
      </w:r>
      <w:r>
        <w:rPr>
          <w:spacing w:val="-62"/>
        </w:rPr>
        <w:t> </w:t>
      </w:r>
      <w:r>
        <w:rPr>
          <w:rFonts w:ascii="Times New Roman" w:hAnsi="Times New Roman" w:cs="Times New Roman" w:eastAsia="Times New Roman" w:hint="default"/>
        </w:rPr>
        <w:t>99.5%</w:t>
      </w:r>
      <w:r>
        <w:rPr/>
        <w:t>，间接持股</w:t>
      </w:r>
      <w:r>
        <w:rPr>
          <w:spacing w:val="-61"/>
        </w:rPr>
        <w:t> </w:t>
      </w:r>
      <w:r>
        <w:rPr>
          <w:rFonts w:ascii="Times New Roman" w:hAnsi="Times New Roman" w:cs="Times New Roman" w:eastAsia="Times New Roman" w:hint="default"/>
        </w:rPr>
        <w:t>0.5%</w:t>
      </w:r>
      <w:r>
        <w:rPr/>
        <w:t>。本年支付出资款人民币</w:t>
      </w:r>
      <w:r>
        <w:rPr>
          <w:spacing w:val="-61"/>
        </w:rPr>
        <w:t> </w:t>
      </w:r>
      <w:r>
        <w:rPr>
          <w:rFonts w:ascii="Times New Roman" w:hAnsi="Times New Roman" w:cs="Times New Roman" w:eastAsia="Times New Roman" w:hint="default"/>
        </w:rPr>
        <w:t>60,000,000</w:t>
      </w:r>
      <w:r>
        <w:rPr>
          <w:rFonts w:ascii="Times New Roman" w:hAnsi="Times New Roman" w:cs="Times New Roman" w:eastAsia="Times New Roman" w:hint="default"/>
          <w:spacing w:val="-1"/>
        </w:rPr>
        <w:t> </w:t>
      </w:r>
      <w:r>
        <w:rPr/>
        <w:t>元，截止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日，本公司已实缴出资人民币</w:t>
      </w:r>
      <w:r>
        <w:rPr>
          <w:spacing w:val="-59"/>
        </w:rPr>
        <w:t> </w:t>
      </w:r>
      <w:r>
        <w:rPr>
          <w:rFonts w:ascii="Times New Roman" w:hAnsi="Times New Roman" w:cs="Times New Roman" w:eastAsia="Times New Roman" w:hint="default"/>
        </w:rPr>
        <w:t>110,000,000 </w:t>
      </w:r>
      <w:r>
        <w:rPr/>
        <w:t>元。</w:t>
      </w:r>
    </w:p>
    <w:p>
      <w:pPr>
        <w:spacing w:line="240" w:lineRule="auto" w:before="3"/>
        <w:rPr>
          <w:rFonts w:ascii="宋体" w:hAnsi="宋体" w:cs="宋体" w:eastAsia="宋体" w:hint="default"/>
          <w:sz w:val="22"/>
          <w:szCs w:val="22"/>
        </w:rPr>
      </w:pPr>
    </w:p>
    <w:p>
      <w:pPr>
        <w:pStyle w:val="BodyText"/>
        <w:tabs>
          <w:tab w:pos="1157" w:val="left" w:leader="none"/>
        </w:tabs>
        <w:spacing w:line="310" w:lineRule="exact"/>
        <w:ind w:left="138" w:right="231"/>
        <w:jc w:val="left"/>
        <w:rPr>
          <w:rFonts w:ascii="Times New Roman" w:hAnsi="Times New Roman" w:cs="Times New Roman" w:eastAsia="Times New Roman" w:hint="default"/>
        </w:rPr>
      </w:pPr>
      <w:r>
        <w:rPr/>
        <w:t>注</w:t>
      </w:r>
      <w:r>
        <w:rPr>
          <w:spacing w:val="-61"/>
        </w:rPr>
        <w:t> </w:t>
      </w:r>
      <w:r>
        <w:rPr>
          <w:rFonts w:ascii="Times New Roman" w:hAnsi="Times New Roman" w:cs="Times New Roman" w:eastAsia="Times New Roman" w:hint="default"/>
        </w:rPr>
        <w:t>7</w:t>
      </w:r>
      <w:r>
        <w:rPr/>
        <w:t>．</w:t>
        <w:tab/>
        <w:t>本公司之子公司用友产投，注册资本人民币人民币</w:t>
      </w:r>
      <w:r>
        <w:rPr>
          <w:spacing w:val="-59"/>
        </w:rPr>
        <w:t> </w:t>
      </w:r>
      <w:r>
        <w:rPr>
          <w:rFonts w:ascii="Times New Roman" w:hAnsi="Times New Roman" w:cs="Times New Roman" w:eastAsia="Times New Roman" w:hint="default"/>
        </w:rPr>
        <w:t>50,000,000 </w:t>
      </w:r>
      <w:r>
        <w:rPr/>
        <w:t>元，本 公司出资比例</w:t>
      </w:r>
      <w:r>
        <w:rPr>
          <w:spacing w:val="-64"/>
        </w:rPr>
        <w:t> </w:t>
      </w:r>
      <w:r>
        <w:rPr>
          <w:rFonts w:ascii="Times New Roman" w:hAnsi="Times New Roman" w:cs="Times New Roman" w:eastAsia="Times New Roman" w:hint="default"/>
        </w:rPr>
        <w:t>70%</w:t>
      </w:r>
      <w:r>
        <w:rPr/>
        <w:t>，本年支付出资款人民币</w:t>
      </w:r>
      <w:r>
        <w:rPr>
          <w:spacing w:val="-63"/>
        </w:rPr>
        <w:t> </w:t>
      </w:r>
      <w:r>
        <w:rPr>
          <w:rFonts w:ascii="Times New Roman" w:hAnsi="Times New Roman" w:cs="Times New Roman" w:eastAsia="Times New Roman" w:hint="default"/>
        </w:rPr>
        <w:t>7,000,000</w:t>
      </w:r>
      <w:r>
        <w:rPr>
          <w:rFonts w:ascii="Times New Roman" w:hAnsi="Times New Roman" w:cs="Times New Roman" w:eastAsia="Times New Roman" w:hint="default"/>
          <w:spacing w:val="-3"/>
        </w:rPr>
        <w:t> </w:t>
      </w:r>
      <w:r>
        <w:rPr>
          <w:spacing w:val="-6"/>
        </w:rPr>
        <w:t>元，截止</w:t>
      </w:r>
      <w:r>
        <w:rPr>
          <w:spacing w:val="-6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31</w:t>
      </w:r>
    </w:p>
    <w:p>
      <w:pPr>
        <w:pStyle w:val="BodyText"/>
        <w:spacing w:line="302" w:lineRule="exact"/>
        <w:ind w:left="138" w:right="0"/>
        <w:jc w:val="both"/>
      </w:pPr>
      <w:r>
        <w:rPr/>
        <w:t>日，本公司已实缴出资人民币</w:t>
      </w:r>
      <w:r>
        <w:rPr>
          <w:spacing w:val="-60"/>
        </w:rPr>
        <w:t> </w:t>
      </w:r>
      <w:r>
        <w:rPr>
          <w:rFonts w:ascii="Times New Roman" w:hAnsi="Times New Roman" w:cs="Times New Roman" w:eastAsia="Times New Roman" w:hint="default"/>
        </w:rPr>
        <w:t>15,750,000 </w:t>
      </w:r>
      <w:r>
        <w:rPr/>
        <w:t>元。</w:t>
      </w:r>
    </w:p>
    <w:p>
      <w:pPr>
        <w:spacing w:line="240" w:lineRule="auto" w:before="12"/>
        <w:rPr>
          <w:rFonts w:ascii="宋体" w:hAnsi="宋体" w:cs="宋体" w:eastAsia="宋体" w:hint="default"/>
          <w:sz w:val="21"/>
          <w:szCs w:val="21"/>
        </w:rPr>
      </w:pPr>
    </w:p>
    <w:p>
      <w:pPr>
        <w:pStyle w:val="BodyText"/>
        <w:tabs>
          <w:tab w:pos="1165" w:val="left" w:leader="none"/>
        </w:tabs>
        <w:spacing w:line="312" w:lineRule="exact"/>
        <w:ind w:left="138" w:right="111"/>
        <w:jc w:val="left"/>
      </w:pPr>
      <w:r>
        <w:rPr/>
        <w:t>注</w:t>
      </w:r>
      <w:r>
        <w:rPr>
          <w:spacing w:val="-61"/>
        </w:rPr>
        <w:t> </w:t>
      </w:r>
      <w:r>
        <w:rPr>
          <w:rFonts w:ascii="Times New Roman" w:hAnsi="Times New Roman" w:cs="Times New Roman" w:eastAsia="Times New Roman" w:hint="default"/>
        </w:rPr>
        <w:t>8</w:t>
      </w:r>
      <w:r>
        <w:rPr/>
        <w:t>．</w:t>
        <w:tab/>
        <w:t>本公司出资设立子公司幸福创新二期，出资额人民币 </w:t>
      </w:r>
      <w:r>
        <w:rPr>
          <w:rFonts w:ascii="Times New Roman" w:hAnsi="Times New Roman" w:cs="Times New Roman" w:eastAsia="Times New Roman" w:hint="default"/>
        </w:rPr>
        <w:t>200,000,000</w:t>
      </w:r>
      <w:r>
        <w:rPr>
          <w:rFonts w:ascii="Times New Roman" w:hAnsi="Times New Roman" w:cs="Times New Roman" w:eastAsia="Times New Roman" w:hint="default"/>
          <w:spacing w:val="13"/>
        </w:rPr>
        <w:t> </w:t>
      </w:r>
      <w:r>
        <w:rPr/>
        <w:t>元，</w:t>
      </w:r>
      <w:r>
        <w:rPr>
          <w:spacing w:val="2"/>
        </w:rPr>
        <w:t> </w:t>
      </w:r>
      <w:r>
        <w:rPr/>
        <w:t>本公司出资比例</w:t>
      </w:r>
      <w:r>
        <w:rPr>
          <w:spacing w:val="-62"/>
        </w:rPr>
        <w:t> </w:t>
      </w:r>
      <w:r>
        <w:rPr>
          <w:rFonts w:ascii="Times New Roman" w:hAnsi="Times New Roman" w:cs="Times New Roman" w:eastAsia="Times New Roman" w:hint="default"/>
        </w:rPr>
        <w:t>99%</w:t>
      </w:r>
      <w:r>
        <w:rPr/>
        <w:t>，本年支付出资额人民币</w:t>
      </w:r>
      <w:r>
        <w:rPr>
          <w:spacing w:val="-61"/>
        </w:rPr>
        <w:t> </w:t>
      </w:r>
      <w:r>
        <w:rPr>
          <w:rFonts w:ascii="Times New Roman" w:hAnsi="Times New Roman" w:cs="Times New Roman" w:eastAsia="Times New Roman" w:hint="default"/>
        </w:rPr>
        <w:t>198,000,000</w:t>
      </w:r>
      <w:r>
        <w:rPr>
          <w:rFonts w:ascii="Times New Roman" w:hAnsi="Times New Roman" w:cs="Times New Roman" w:eastAsia="Times New Roman" w:hint="default"/>
          <w:spacing w:val="-1"/>
        </w:rPr>
        <w:t> </w:t>
      </w:r>
      <w:r>
        <w:rPr/>
        <w:t>元。</w:t>
      </w:r>
    </w:p>
    <w:p>
      <w:pPr>
        <w:spacing w:line="240" w:lineRule="auto" w:before="12"/>
        <w:rPr>
          <w:rFonts w:ascii="宋体" w:hAnsi="宋体" w:cs="宋体" w:eastAsia="宋体" w:hint="default"/>
          <w:sz w:val="20"/>
          <w:szCs w:val="20"/>
        </w:rPr>
      </w:pPr>
    </w:p>
    <w:p>
      <w:pPr>
        <w:pStyle w:val="BodyText"/>
        <w:tabs>
          <w:tab w:pos="1042" w:val="left" w:leader="none"/>
        </w:tabs>
        <w:spacing w:line="312" w:lineRule="exact"/>
        <w:ind w:left="138" w:right="111"/>
        <w:jc w:val="left"/>
      </w:pPr>
      <w:r>
        <w:rPr/>
        <w:t>注</w:t>
      </w:r>
      <w:r>
        <w:rPr>
          <w:spacing w:val="-61"/>
        </w:rPr>
        <w:t> </w:t>
      </w:r>
      <w:r>
        <w:rPr>
          <w:rFonts w:ascii="Times New Roman" w:hAnsi="Times New Roman" w:cs="Times New Roman" w:eastAsia="Times New Roman" w:hint="default"/>
        </w:rPr>
        <w:t>9</w:t>
      </w:r>
      <w:r>
        <w:rPr/>
        <w:t>．</w:t>
        <w:tab/>
      </w:r>
      <w:r>
        <w:rPr>
          <w:spacing w:val="-7"/>
        </w:rPr>
        <w:t>本公司之子公司创新投资，注册资本人民币</w:t>
      </w:r>
      <w:r>
        <w:rPr/>
        <w:t> </w:t>
      </w:r>
      <w:r>
        <w:rPr>
          <w:rFonts w:ascii="Times New Roman" w:hAnsi="Times New Roman" w:cs="Times New Roman" w:eastAsia="Times New Roman" w:hint="default"/>
          <w:spacing w:val="-8"/>
        </w:rPr>
        <w:t>230,000,000</w:t>
      </w:r>
      <w:r>
        <w:rPr>
          <w:spacing w:val="-8"/>
        </w:rPr>
        <w:t>，持股比例</w:t>
      </w:r>
      <w:r>
        <w:rPr>
          <w:spacing w:val="-87"/>
        </w:rPr>
        <w:t> </w:t>
      </w:r>
      <w:r>
        <w:rPr>
          <w:rFonts w:ascii="Times New Roman" w:hAnsi="Times New Roman" w:cs="Times New Roman" w:eastAsia="Times New Roman" w:hint="default"/>
          <w:spacing w:val="-1"/>
        </w:rPr>
        <w:t>99%</w:t>
      </w:r>
      <w:r>
        <w:rPr>
          <w:spacing w:val="-1"/>
        </w:rPr>
        <w:t>，</w:t>
      </w:r>
      <w:r>
        <w:rPr/>
        <w:t> 本年向其股东进行出资返还，共计人民币</w:t>
      </w:r>
      <w:r>
        <w:rPr>
          <w:spacing w:val="-60"/>
        </w:rPr>
        <w:t> </w:t>
      </w:r>
      <w:r>
        <w:rPr>
          <w:rFonts w:ascii="Times New Roman" w:hAnsi="Times New Roman" w:cs="Times New Roman" w:eastAsia="Times New Roman" w:hint="default"/>
        </w:rPr>
        <w:t>227,700,000 </w:t>
      </w:r>
      <w:r>
        <w:rPr/>
        <w:t>元。</w:t>
      </w:r>
    </w:p>
    <w:p>
      <w:pPr>
        <w:spacing w:line="240" w:lineRule="auto" w:before="10"/>
        <w:rPr>
          <w:rFonts w:ascii="宋体" w:hAnsi="宋体" w:cs="宋体" w:eastAsia="宋体" w:hint="default"/>
          <w:sz w:val="18"/>
          <w:szCs w:val="18"/>
        </w:rPr>
      </w:pPr>
    </w:p>
    <w:p>
      <w:pPr>
        <w:pStyle w:val="BodyText"/>
        <w:spacing w:line="240" w:lineRule="auto"/>
        <w:ind w:left="138" w:right="0"/>
        <w:jc w:val="both"/>
      </w:pPr>
      <w:r>
        <w:rPr/>
        <w:t>注 </w:t>
      </w:r>
      <w:r>
        <w:rPr>
          <w:rFonts w:ascii="Times New Roman" w:hAnsi="Times New Roman" w:cs="Times New Roman" w:eastAsia="Times New Roman" w:hint="default"/>
        </w:rPr>
        <w:t>10</w:t>
      </w:r>
      <w:r>
        <w:rPr/>
        <w:t>．</w:t>
      </w:r>
      <w:r>
        <w:rPr>
          <w:spacing w:val="-61"/>
        </w:rPr>
        <w:t> </w:t>
      </w:r>
      <w:r>
        <w:rPr/>
        <w:t>本公司之子公司滨海用友，本年已注销。</w:t>
      </w:r>
    </w:p>
    <w:p>
      <w:pPr>
        <w:spacing w:after="0" w:line="240" w:lineRule="auto"/>
        <w:jc w:val="both"/>
        <w:sectPr>
          <w:pgSz w:w="11910" w:h="16850"/>
          <w:pgMar w:header="745" w:footer="921" w:top="980" w:bottom="1120" w:left="166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4"/>
        <w:ind w:left="798" w:right="0"/>
        <w:jc w:val="left"/>
      </w:pPr>
      <w:r>
        <w:rPr/>
        <w:t>注 </w:t>
      </w:r>
      <w:r>
        <w:rPr>
          <w:rFonts w:ascii="Times New Roman" w:hAnsi="Times New Roman" w:cs="Times New Roman" w:eastAsia="Times New Roman" w:hint="default"/>
        </w:rPr>
        <w:t>11</w:t>
      </w:r>
      <w:r>
        <w:rPr/>
        <w:t>．</w:t>
      </w:r>
      <w:r>
        <w:rPr>
          <w:spacing w:val="-61"/>
        </w:rPr>
        <w:t> </w:t>
      </w:r>
      <w:r>
        <w:rPr/>
        <w:t>本公司之子公司用友审计，本年已处置。</w:t>
      </w:r>
    </w:p>
    <w:p>
      <w:pPr>
        <w:spacing w:line="240" w:lineRule="auto" w:before="12"/>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50"/>
          <w:pgMar w:header="745" w:footer="921" w:top="980" w:bottom="1120" w:left="1000" w:right="1560"/>
        </w:sectPr>
      </w:pPr>
    </w:p>
    <w:p>
      <w:pPr>
        <w:spacing w:before="37"/>
        <w:ind w:left="798" w:right="0"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22"/>
          <w:sz w:val="20"/>
          <w:szCs w:val="20"/>
        </w:rPr>
        <w:t> </w:t>
      </w:r>
      <w:r>
        <w:rPr>
          <w:rFonts w:ascii="宋体" w:hAnsi="宋体" w:cs="宋体" w:eastAsia="宋体" w:hint="default"/>
          <w:b/>
          <w:bCs/>
          <w:sz w:val="20"/>
          <w:szCs w:val="20"/>
        </w:rPr>
        <w:t>重要的非全资子公司</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798" w:right="0"/>
        <w:jc w:val="left"/>
      </w:pPr>
      <w:r>
        <w:rPr/>
        <w:t>√适用</w:t>
      </w:r>
      <w:r>
        <w:rPr>
          <w:spacing w:val="-1"/>
        </w:rPr>
        <w:t> </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4"/>
        <w:rPr>
          <w:rFonts w:ascii="宋体" w:hAnsi="宋体" w:cs="宋体" w:eastAsia="宋体" w:hint="default"/>
          <w:sz w:val="26"/>
          <w:szCs w:val="26"/>
        </w:rPr>
      </w:pPr>
    </w:p>
    <w:p>
      <w:pPr>
        <w:pStyle w:val="BodyText"/>
        <w:tabs>
          <w:tab w:pos="1825" w:val="left" w:leader="none"/>
        </w:tabs>
        <w:spacing w:line="240" w:lineRule="auto"/>
        <w:ind w:left="798"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50"/>
          <w:pgMar w:top="1120" w:bottom="1380" w:left="1000" w:right="1560"/>
          <w:cols w:num="2" w:equalWidth="0">
            <w:col w:w="3191" w:space="2829"/>
            <w:col w:w="3330"/>
          </w:cols>
        </w:sectPr>
      </w:pPr>
    </w:p>
    <w:tbl>
      <w:tblPr>
        <w:tblW w:w="0" w:type="auto"/>
        <w:jc w:val="left"/>
        <w:tblInd w:w="685" w:type="dxa"/>
        <w:tblLayout w:type="fixed"/>
        <w:tblCellMar>
          <w:top w:w="0" w:type="dxa"/>
          <w:left w:w="0" w:type="dxa"/>
          <w:bottom w:w="0" w:type="dxa"/>
          <w:right w:w="0" w:type="dxa"/>
        </w:tblCellMar>
        <w:tblLook w:val="01E0"/>
      </w:tblPr>
      <w:tblGrid>
        <w:gridCol w:w="1519"/>
        <w:gridCol w:w="1709"/>
        <w:gridCol w:w="1827"/>
        <w:gridCol w:w="1831"/>
        <w:gridCol w:w="1645"/>
      </w:tblGrid>
      <w:tr>
        <w:trPr>
          <w:trHeight w:val="943" w:hRule="exact"/>
        </w:trPr>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53" w:right="0"/>
              <w:jc w:val="left"/>
              <w:rPr>
                <w:rFonts w:ascii="宋体" w:hAnsi="宋体" w:cs="宋体" w:eastAsia="宋体" w:hint="default"/>
                <w:sz w:val="24"/>
                <w:szCs w:val="24"/>
              </w:rPr>
            </w:pPr>
            <w:r>
              <w:rPr>
                <w:rFonts w:ascii="宋体" w:hAnsi="宋体" w:cs="宋体" w:eastAsia="宋体" w:hint="default"/>
                <w:sz w:val="24"/>
                <w:szCs w:val="24"/>
              </w:rPr>
              <w:t>子公司名称</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609" w:right="128" w:hanging="480"/>
              <w:jc w:val="left"/>
              <w:rPr>
                <w:rFonts w:ascii="宋体" w:hAnsi="宋体" w:cs="宋体" w:eastAsia="宋体" w:hint="default"/>
                <w:sz w:val="24"/>
                <w:szCs w:val="24"/>
              </w:rPr>
            </w:pPr>
            <w:r>
              <w:rPr>
                <w:rFonts w:ascii="宋体" w:hAnsi="宋体" w:cs="宋体" w:eastAsia="宋体" w:hint="default"/>
                <w:sz w:val="24"/>
                <w:szCs w:val="24"/>
              </w:rPr>
              <w:t>少数股东持股 比例</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87" w:right="189"/>
              <w:jc w:val="left"/>
              <w:rPr>
                <w:rFonts w:ascii="宋体" w:hAnsi="宋体" w:cs="宋体" w:eastAsia="宋体" w:hint="default"/>
                <w:sz w:val="24"/>
                <w:szCs w:val="24"/>
              </w:rPr>
            </w:pPr>
            <w:r>
              <w:rPr>
                <w:rFonts w:ascii="宋体" w:hAnsi="宋体" w:cs="宋体" w:eastAsia="宋体" w:hint="default"/>
                <w:sz w:val="24"/>
                <w:szCs w:val="24"/>
              </w:rPr>
              <w:t>本期归属于少 数股东的损益</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89" w:right="0"/>
              <w:jc w:val="left"/>
              <w:rPr>
                <w:rFonts w:ascii="宋体" w:hAnsi="宋体" w:cs="宋体" w:eastAsia="宋体" w:hint="default"/>
                <w:sz w:val="24"/>
                <w:szCs w:val="24"/>
              </w:rPr>
            </w:pPr>
            <w:r>
              <w:rPr>
                <w:rFonts w:ascii="宋体" w:hAnsi="宋体" w:cs="宋体" w:eastAsia="宋体" w:hint="default"/>
                <w:sz w:val="24"/>
                <w:szCs w:val="24"/>
              </w:rPr>
              <w:t>本期向少数股</w:t>
            </w:r>
          </w:p>
          <w:p>
            <w:pPr>
              <w:pStyle w:val="TableParagraph"/>
              <w:spacing w:line="312" w:lineRule="exact" w:before="29"/>
              <w:ind w:left="669" w:right="191" w:hanging="480"/>
              <w:jc w:val="left"/>
              <w:rPr>
                <w:rFonts w:ascii="宋体" w:hAnsi="宋体" w:cs="宋体" w:eastAsia="宋体" w:hint="default"/>
                <w:sz w:val="24"/>
                <w:szCs w:val="24"/>
              </w:rPr>
            </w:pPr>
            <w:r>
              <w:rPr>
                <w:rFonts w:ascii="宋体" w:hAnsi="宋体" w:cs="宋体" w:eastAsia="宋体" w:hint="default"/>
                <w:sz w:val="24"/>
                <w:szCs w:val="24"/>
              </w:rPr>
              <w:t>东宣告分派的 股利</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343" w:right="89" w:hanging="240"/>
              <w:jc w:val="left"/>
              <w:rPr>
                <w:rFonts w:ascii="宋体" w:hAnsi="宋体" w:cs="宋体" w:eastAsia="宋体" w:hint="default"/>
                <w:sz w:val="24"/>
                <w:szCs w:val="24"/>
              </w:rPr>
            </w:pPr>
            <w:r>
              <w:rPr>
                <w:rFonts w:ascii="宋体" w:hAnsi="宋体" w:cs="宋体" w:eastAsia="宋体" w:hint="default"/>
                <w:sz w:val="24"/>
                <w:szCs w:val="24"/>
              </w:rPr>
              <w:t>期末少数股东 权益余额</w:t>
            </w:r>
          </w:p>
        </w:tc>
      </w:tr>
      <w:tr>
        <w:trPr>
          <w:trHeight w:val="322" w:hRule="exact"/>
        </w:trPr>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畅捷通</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0"/>
              <w:jc w:val="right"/>
              <w:rPr>
                <w:rFonts w:ascii="Times New Roman" w:hAnsi="Times New Roman" w:cs="Times New Roman" w:eastAsia="Times New Roman" w:hint="default"/>
                <w:sz w:val="24"/>
                <w:szCs w:val="24"/>
              </w:rPr>
            </w:pPr>
            <w:r>
              <w:rPr>
                <w:rFonts w:ascii="Times New Roman"/>
                <w:w w:val="95"/>
                <w:sz w:val="24"/>
              </w:rPr>
              <w:t>27.01%</w:t>
            </w:r>
            <w:r>
              <w:rPr>
                <w:rFonts w:ascii="Times New Roman"/>
                <w:sz w:val="24"/>
              </w:rPr>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24,951,372</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26,183,373</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356,223,312</w:t>
            </w:r>
          </w:p>
        </w:tc>
      </w:tr>
      <w:tr>
        <w:trPr>
          <w:trHeight w:val="322" w:hRule="exact"/>
        </w:trPr>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用友政务</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5"/>
                <w:sz w:val="24"/>
              </w:rPr>
              <w:t>22.51%</w:t>
            </w:r>
            <w:r>
              <w:rPr>
                <w:rFonts w:ascii="Times New Roman"/>
                <w:sz w:val="24"/>
              </w:rPr>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46,230,313</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31,739,777</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191,691,499</w:t>
            </w:r>
          </w:p>
        </w:tc>
      </w:tr>
      <w:tr>
        <w:trPr>
          <w:trHeight w:val="322" w:hRule="exact"/>
        </w:trPr>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用友汽车</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0"/>
              <w:jc w:val="right"/>
              <w:rPr>
                <w:rFonts w:ascii="Times New Roman" w:hAnsi="Times New Roman" w:cs="Times New Roman" w:eastAsia="Times New Roman" w:hint="default"/>
                <w:sz w:val="24"/>
                <w:szCs w:val="24"/>
              </w:rPr>
            </w:pPr>
            <w:r>
              <w:rPr>
                <w:rFonts w:ascii="Times New Roman"/>
                <w:sz w:val="24"/>
              </w:rPr>
              <w:t>22.35%</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13,565,369</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15,000,000</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99,274,781</w:t>
            </w:r>
          </w:p>
        </w:tc>
      </w:tr>
      <w:tr>
        <w:trPr>
          <w:trHeight w:val="322" w:hRule="exact"/>
        </w:trPr>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用友金融</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sz w:val="24"/>
              </w:rPr>
              <w:t>23.02%</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13,282,190</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9"/>
                <w:sz w:val="24"/>
              </w:rPr>
              <w:t>-</w:t>
            </w:r>
            <w:r>
              <w:rPr>
                <w:rFonts w:ascii="Times New Roman"/>
                <w:sz w:val="24"/>
              </w:rPr>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62,643,955</w:t>
            </w:r>
          </w:p>
        </w:tc>
      </w:tr>
      <w:tr>
        <w:trPr>
          <w:trHeight w:val="425" w:hRule="exact"/>
        </w:trPr>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新道科技</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right="98"/>
              <w:jc w:val="right"/>
              <w:rPr>
                <w:rFonts w:ascii="Times New Roman" w:hAnsi="Times New Roman" w:cs="Times New Roman" w:eastAsia="Times New Roman" w:hint="default"/>
                <w:sz w:val="23"/>
                <w:szCs w:val="23"/>
              </w:rPr>
            </w:pPr>
            <w:r>
              <w:rPr>
                <w:rFonts w:ascii="Times New Roman"/>
                <w:sz w:val="23"/>
              </w:rPr>
              <w:t>42.16%</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right="99"/>
              <w:jc w:val="right"/>
              <w:rPr>
                <w:rFonts w:ascii="Times New Roman" w:hAnsi="Times New Roman" w:cs="Times New Roman" w:eastAsia="Times New Roman" w:hint="default"/>
                <w:sz w:val="23"/>
                <w:szCs w:val="23"/>
              </w:rPr>
            </w:pPr>
            <w:r>
              <w:rPr>
                <w:rFonts w:ascii="Times New Roman"/>
                <w:sz w:val="23"/>
              </w:rPr>
              <w:t>36,080,344</w:t>
            </w:r>
          </w:p>
        </w:tc>
        <w:tc>
          <w:tcPr>
            <w:tcW w:w="1831"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right="98"/>
              <w:jc w:val="right"/>
              <w:rPr>
                <w:rFonts w:ascii="Times New Roman" w:hAnsi="Times New Roman" w:cs="Times New Roman" w:eastAsia="Times New Roman" w:hint="default"/>
                <w:sz w:val="23"/>
                <w:szCs w:val="23"/>
              </w:rPr>
            </w:pPr>
            <w:r>
              <w:rPr>
                <w:rFonts w:ascii="Times New Roman"/>
                <w:sz w:val="23"/>
              </w:rPr>
              <w:t>35,340,151</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right="99"/>
              <w:jc w:val="right"/>
              <w:rPr>
                <w:rFonts w:ascii="Times New Roman" w:hAnsi="Times New Roman" w:cs="Times New Roman" w:eastAsia="Times New Roman" w:hint="default"/>
                <w:sz w:val="23"/>
                <w:szCs w:val="23"/>
              </w:rPr>
            </w:pPr>
            <w:r>
              <w:rPr>
                <w:rFonts w:ascii="Times New Roman"/>
                <w:sz w:val="23"/>
              </w:rPr>
              <w:t>201,878,494</w:t>
            </w:r>
          </w:p>
        </w:tc>
      </w:tr>
    </w:tbl>
    <w:p>
      <w:pPr>
        <w:pStyle w:val="BodyText"/>
        <w:spacing w:line="292" w:lineRule="exact"/>
        <w:ind w:left="798" w:right="0"/>
        <w:jc w:val="left"/>
      </w:pPr>
      <w:r>
        <w:rPr/>
        <w:t>子公司少数股东的持股比例不同于表决权比例的说明：</w:t>
      </w:r>
    </w:p>
    <w:p>
      <w:pPr>
        <w:pStyle w:val="BodyText"/>
        <w:spacing w:line="312" w:lineRule="exact"/>
        <w:ind w:left="798" w:right="0"/>
        <w:jc w:val="left"/>
      </w:pPr>
      <w:r>
        <w:rPr/>
        <w:t>□适用</w:t>
      </w:r>
      <w:r>
        <w:rPr>
          <w:spacing w:val="-1"/>
        </w:rPr>
        <w:t> </w:t>
      </w:r>
      <w:r>
        <w:rPr/>
        <w:t>√不适用</w:t>
      </w:r>
    </w:p>
    <w:p>
      <w:pPr>
        <w:spacing w:line="240" w:lineRule="auto" w:before="12"/>
        <w:rPr>
          <w:rFonts w:ascii="宋体" w:hAnsi="宋体" w:cs="宋体" w:eastAsia="宋体" w:hint="default"/>
          <w:sz w:val="20"/>
          <w:szCs w:val="20"/>
        </w:rPr>
      </w:pPr>
    </w:p>
    <w:p>
      <w:pPr>
        <w:pStyle w:val="BodyText"/>
        <w:spacing w:line="313" w:lineRule="exact"/>
        <w:ind w:left="798" w:right="0"/>
        <w:jc w:val="left"/>
      </w:pPr>
      <w:r>
        <w:rPr/>
        <w:t>其他说明：</w:t>
      </w:r>
    </w:p>
    <w:p>
      <w:pPr>
        <w:pStyle w:val="BodyText"/>
        <w:spacing w:line="313" w:lineRule="exact"/>
        <w:ind w:left="798" w:right="0"/>
        <w:jc w:val="left"/>
      </w:pPr>
      <w:r>
        <w:rPr/>
        <w:t>□适用</w:t>
      </w:r>
      <w:r>
        <w:rPr>
          <w:spacing w:val="-1"/>
        </w:rPr>
        <w:t> </w:t>
      </w:r>
      <w:r>
        <w:rPr/>
        <w:t>√不适用</w:t>
      </w:r>
    </w:p>
    <w:p>
      <w:pPr>
        <w:spacing w:line="240" w:lineRule="auto" w:before="1"/>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50"/>
          <w:pgMar w:top="1120" w:bottom="1380" w:left="1000" w:right="1560"/>
        </w:sectPr>
      </w:pPr>
    </w:p>
    <w:p>
      <w:pPr>
        <w:spacing w:before="37"/>
        <w:ind w:left="798" w:right="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pacing w:val="-23"/>
          <w:sz w:val="20"/>
          <w:szCs w:val="20"/>
        </w:rPr>
        <w:t> </w:t>
      </w:r>
      <w:r>
        <w:rPr>
          <w:rFonts w:ascii="宋体" w:hAnsi="宋体" w:cs="宋体" w:eastAsia="宋体" w:hint="default"/>
          <w:b/>
          <w:bCs/>
          <w:sz w:val="20"/>
          <w:szCs w:val="20"/>
        </w:rPr>
        <w:t>重要非全资子公司的主要财务信息</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798" w:right="0"/>
        <w:jc w:val="left"/>
      </w:pPr>
      <w:r>
        <w:rPr/>
        <w:t>√适用</w:t>
      </w:r>
      <w:r>
        <w:rPr>
          <w:spacing w:val="-1"/>
        </w:rPr>
        <w:t> </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7"/>
        <w:rPr>
          <w:rFonts w:ascii="宋体" w:hAnsi="宋体" w:cs="宋体" w:eastAsia="宋体" w:hint="default"/>
          <w:sz w:val="26"/>
          <w:szCs w:val="26"/>
        </w:rPr>
      </w:pPr>
    </w:p>
    <w:p>
      <w:pPr>
        <w:pStyle w:val="BodyText"/>
        <w:tabs>
          <w:tab w:pos="1825" w:val="left" w:leader="none"/>
        </w:tabs>
        <w:spacing w:line="240" w:lineRule="auto"/>
        <w:ind w:left="798"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50"/>
          <w:pgMar w:top="1120" w:bottom="1380" w:left="1000" w:right="1560"/>
          <w:cols w:num="2" w:equalWidth="0">
            <w:col w:w="4396" w:space="1625"/>
            <w:col w:w="3329"/>
          </w:cols>
        </w:sectPr>
      </w:pPr>
    </w:p>
    <w:tbl>
      <w:tblPr>
        <w:tblW w:w="0" w:type="auto"/>
        <w:jc w:val="left"/>
        <w:tblInd w:w="113" w:type="dxa"/>
        <w:tblLayout w:type="fixed"/>
        <w:tblCellMar>
          <w:top w:w="0" w:type="dxa"/>
          <w:left w:w="0" w:type="dxa"/>
          <w:bottom w:w="0" w:type="dxa"/>
          <w:right w:w="0" w:type="dxa"/>
        </w:tblCellMar>
        <w:tblLook w:val="01E0"/>
      </w:tblPr>
      <w:tblGrid>
        <w:gridCol w:w="332"/>
        <w:gridCol w:w="799"/>
        <w:gridCol w:w="725"/>
        <w:gridCol w:w="797"/>
        <w:gridCol w:w="723"/>
        <w:gridCol w:w="622"/>
        <w:gridCol w:w="722"/>
        <w:gridCol w:w="797"/>
        <w:gridCol w:w="722"/>
        <w:gridCol w:w="797"/>
        <w:gridCol w:w="722"/>
        <w:gridCol w:w="622"/>
        <w:gridCol w:w="722"/>
      </w:tblGrid>
      <w:tr>
        <w:trPr>
          <w:trHeight w:val="281" w:hRule="exact"/>
        </w:trPr>
        <w:tc>
          <w:tcPr>
            <w:tcW w:w="332" w:type="dxa"/>
            <w:vMerge w:val="restart"/>
            <w:tcBorders>
              <w:top w:val="single" w:sz="4" w:space="0" w:color="000000"/>
              <w:left w:val="single" w:sz="4" w:space="0" w:color="000000"/>
              <w:right w:val="single" w:sz="4"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z w:val="24"/>
                <w:szCs w:val="24"/>
              </w:rPr>
              <w:t>子</w:t>
            </w:r>
          </w:p>
          <w:p>
            <w:pPr>
              <w:pStyle w:val="TableParagraph"/>
              <w:spacing w:line="237" w:lineRule="auto" w:before="1"/>
              <w:ind w:left="100" w:right="-19"/>
              <w:jc w:val="both"/>
              <w:rPr>
                <w:rFonts w:ascii="宋体" w:hAnsi="宋体" w:cs="宋体" w:eastAsia="宋体" w:hint="default"/>
                <w:sz w:val="24"/>
                <w:szCs w:val="24"/>
              </w:rPr>
            </w:pPr>
            <w:r>
              <w:rPr>
                <w:rFonts w:ascii="宋体" w:hAnsi="宋体" w:cs="宋体" w:eastAsia="宋体" w:hint="default"/>
                <w:sz w:val="24"/>
                <w:szCs w:val="24"/>
              </w:rPr>
              <w:t>公 司 名 称</w:t>
            </w:r>
          </w:p>
        </w:tc>
        <w:tc>
          <w:tcPr>
            <w:tcW w:w="438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6"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4383"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1284" w:hRule="exact"/>
        </w:trPr>
        <w:tc>
          <w:tcPr>
            <w:tcW w:w="332" w:type="dxa"/>
            <w:vMerge/>
            <w:tcBorders>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84" w:right="180"/>
              <w:jc w:val="left"/>
              <w:rPr>
                <w:rFonts w:ascii="宋体" w:hAnsi="宋体" w:cs="宋体" w:eastAsia="宋体" w:hint="default"/>
                <w:sz w:val="21"/>
                <w:szCs w:val="21"/>
              </w:rPr>
            </w:pPr>
            <w:r>
              <w:rPr>
                <w:rFonts w:ascii="宋体" w:hAnsi="宋体" w:cs="宋体" w:eastAsia="宋体" w:hint="default"/>
                <w:sz w:val="21"/>
                <w:szCs w:val="21"/>
              </w:rPr>
              <w:t>流动</w:t>
            </w:r>
            <w:r>
              <w:rPr>
                <w:rFonts w:ascii="宋体" w:hAnsi="宋体" w:cs="宋体" w:eastAsia="宋体" w:hint="default"/>
                <w:spacing w:val="-103"/>
                <w:sz w:val="21"/>
                <w:szCs w:val="21"/>
              </w:rPr>
              <w:t> </w:t>
            </w:r>
            <w:r>
              <w:rPr>
                <w:rFonts w:ascii="宋体" w:hAnsi="宋体" w:cs="宋体" w:eastAsia="宋体" w:hint="default"/>
                <w:sz w:val="21"/>
                <w:szCs w:val="21"/>
              </w:rPr>
              <w:t>资产</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75" w:right="11" w:hanging="106"/>
              <w:jc w:val="left"/>
              <w:rPr>
                <w:rFonts w:ascii="宋体" w:hAnsi="宋体" w:cs="宋体" w:eastAsia="宋体" w:hint="default"/>
                <w:sz w:val="21"/>
                <w:szCs w:val="21"/>
              </w:rPr>
            </w:pPr>
            <w:r>
              <w:rPr>
                <w:rFonts w:ascii="宋体" w:hAnsi="宋体" w:cs="宋体" w:eastAsia="宋体" w:hint="default"/>
                <w:sz w:val="21"/>
                <w:szCs w:val="21"/>
              </w:rPr>
              <w:t>非流动</w:t>
            </w:r>
            <w:r>
              <w:rPr>
                <w:rFonts w:ascii="宋体" w:hAnsi="宋体" w:cs="宋体" w:eastAsia="宋体" w:hint="default"/>
                <w:spacing w:val="-102"/>
                <w:sz w:val="21"/>
                <w:szCs w:val="21"/>
              </w:rPr>
              <w:t> </w:t>
            </w:r>
            <w:r>
              <w:rPr>
                <w:rFonts w:ascii="宋体" w:hAnsi="宋体" w:cs="宋体" w:eastAsia="宋体" w:hint="default"/>
                <w:sz w:val="21"/>
                <w:szCs w:val="21"/>
              </w:rPr>
              <w:t>资产</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82" w:right="180"/>
              <w:jc w:val="left"/>
              <w:rPr>
                <w:rFonts w:ascii="宋体" w:hAnsi="宋体" w:cs="宋体" w:eastAsia="宋体" w:hint="default"/>
                <w:sz w:val="21"/>
                <w:szCs w:val="21"/>
              </w:rPr>
            </w:pPr>
            <w:r>
              <w:rPr>
                <w:rFonts w:ascii="宋体" w:hAnsi="宋体" w:cs="宋体" w:eastAsia="宋体" w:hint="default"/>
                <w:sz w:val="21"/>
                <w:szCs w:val="21"/>
              </w:rPr>
              <w:t>资产</w:t>
            </w:r>
            <w:r>
              <w:rPr>
                <w:rFonts w:ascii="宋体" w:hAnsi="宋体" w:cs="宋体" w:eastAsia="宋体" w:hint="default"/>
                <w:spacing w:val="-103"/>
                <w:sz w:val="21"/>
                <w:szCs w:val="21"/>
              </w:rPr>
              <w:t> </w:t>
            </w:r>
            <w:r>
              <w:rPr>
                <w:rFonts w:ascii="宋体" w:hAnsi="宋体" w:cs="宋体" w:eastAsia="宋体" w:hint="default"/>
                <w:sz w:val="21"/>
                <w:szCs w:val="21"/>
              </w:rPr>
              <w:t>合计</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46" w:right="143"/>
              <w:jc w:val="left"/>
              <w:rPr>
                <w:rFonts w:ascii="宋体" w:hAnsi="宋体" w:cs="宋体" w:eastAsia="宋体" w:hint="default"/>
                <w:sz w:val="21"/>
                <w:szCs w:val="21"/>
              </w:rPr>
            </w:pPr>
            <w:r>
              <w:rPr>
                <w:rFonts w:ascii="宋体" w:hAnsi="宋体" w:cs="宋体" w:eastAsia="宋体" w:hint="default"/>
                <w:sz w:val="21"/>
                <w:szCs w:val="21"/>
              </w:rPr>
              <w:t>流动</w:t>
            </w:r>
            <w:r>
              <w:rPr>
                <w:rFonts w:ascii="宋体" w:hAnsi="宋体" w:cs="宋体" w:eastAsia="宋体" w:hint="default"/>
                <w:spacing w:val="-103"/>
                <w:sz w:val="21"/>
                <w:szCs w:val="21"/>
              </w:rPr>
              <w:t> </w:t>
            </w:r>
            <w:r>
              <w:rPr>
                <w:rFonts w:ascii="宋体" w:hAnsi="宋体" w:cs="宋体" w:eastAsia="宋体" w:hint="default"/>
                <w:sz w:val="21"/>
                <w:szCs w:val="21"/>
              </w:rPr>
              <w:t>负债</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37" w:lineRule="auto"/>
              <w:ind w:left="122" w:right="65"/>
              <w:jc w:val="both"/>
              <w:rPr>
                <w:rFonts w:ascii="宋体" w:hAnsi="宋体" w:cs="宋体" w:eastAsia="宋体" w:hint="default"/>
                <w:sz w:val="21"/>
                <w:szCs w:val="21"/>
              </w:rPr>
            </w:pPr>
            <w:r>
              <w:rPr>
                <w:rFonts w:ascii="宋体" w:hAnsi="宋体" w:cs="宋体" w:eastAsia="宋体" w:hint="default"/>
                <w:sz w:val="21"/>
                <w:szCs w:val="21"/>
              </w:rPr>
              <w:t>非流</w:t>
            </w:r>
            <w:r>
              <w:rPr>
                <w:rFonts w:ascii="宋体" w:hAnsi="宋体" w:cs="宋体" w:eastAsia="宋体" w:hint="default"/>
                <w:spacing w:val="-103"/>
                <w:sz w:val="21"/>
                <w:szCs w:val="21"/>
              </w:rPr>
              <w:t> </w:t>
            </w:r>
            <w:r>
              <w:rPr>
                <w:rFonts w:ascii="宋体" w:hAnsi="宋体" w:cs="宋体" w:eastAsia="宋体" w:hint="default"/>
                <w:sz w:val="21"/>
                <w:szCs w:val="21"/>
              </w:rPr>
              <w:t>动负</w:t>
            </w:r>
            <w:r>
              <w:rPr>
                <w:rFonts w:ascii="宋体" w:hAnsi="宋体" w:cs="宋体" w:eastAsia="宋体" w:hint="default"/>
                <w:spacing w:val="-103"/>
                <w:sz w:val="21"/>
                <w:szCs w:val="21"/>
              </w:rPr>
              <w:t> </w:t>
            </w:r>
            <w:r>
              <w:rPr>
                <w:rFonts w:ascii="宋体" w:hAnsi="宋体" w:cs="宋体" w:eastAsia="宋体" w:hint="default"/>
                <w:sz w:val="21"/>
                <w:szCs w:val="21"/>
              </w:rPr>
              <w:t>债</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43" w:right="144"/>
              <w:jc w:val="left"/>
              <w:rPr>
                <w:rFonts w:ascii="宋体" w:hAnsi="宋体" w:cs="宋体" w:eastAsia="宋体" w:hint="default"/>
                <w:sz w:val="21"/>
                <w:szCs w:val="21"/>
              </w:rPr>
            </w:pPr>
            <w:r>
              <w:rPr>
                <w:rFonts w:ascii="宋体" w:hAnsi="宋体" w:cs="宋体" w:eastAsia="宋体" w:hint="default"/>
                <w:sz w:val="21"/>
                <w:szCs w:val="21"/>
              </w:rPr>
              <w:t>负债</w:t>
            </w:r>
            <w:r>
              <w:rPr>
                <w:rFonts w:ascii="宋体" w:hAnsi="宋体" w:cs="宋体" w:eastAsia="宋体" w:hint="default"/>
                <w:spacing w:val="-103"/>
                <w:sz w:val="21"/>
                <w:szCs w:val="21"/>
              </w:rPr>
              <w:t> </w:t>
            </w:r>
            <w:r>
              <w:rPr>
                <w:rFonts w:ascii="宋体" w:hAnsi="宋体" w:cs="宋体" w:eastAsia="宋体" w:hint="default"/>
                <w:sz w:val="21"/>
                <w:szCs w:val="21"/>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82" w:right="180"/>
              <w:jc w:val="left"/>
              <w:rPr>
                <w:rFonts w:ascii="宋体" w:hAnsi="宋体" w:cs="宋体" w:eastAsia="宋体" w:hint="default"/>
                <w:sz w:val="21"/>
                <w:szCs w:val="21"/>
              </w:rPr>
            </w:pPr>
            <w:r>
              <w:rPr>
                <w:rFonts w:ascii="宋体" w:hAnsi="宋体" w:cs="宋体" w:eastAsia="宋体" w:hint="default"/>
                <w:sz w:val="21"/>
                <w:szCs w:val="21"/>
              </w:rPr>
              <w:t>流动</w:t>
            </w:r>
            <w:r>
              <w:rPr>
                <w:rFonts w:ascii="宋体" w:hAnsi="宋体" w:cs="宋体" w:eastAsia="宋体" w:hint="default"/>
                <w:spacing w:val="-103"/>
                <w:sz w:val="21"/>
                <w:szCs w:val="21"/>
              </w:rPr>
              <w:t> </w:t>
            </w:r>
            <w:r>
              <w:rPr>
                <w:rFonts w:ascii="宋体" w:hAnsi="宋体" w:cs="宋体" w:eastAsia="宋体" w:hint="default"/>
                <w:sz w:val="21"/>
                <w:szCs w:val="21"/>
              </w:rPr>
              <w:t>资产</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72" w:right="11" w:hanging="106"/>
              <w:jc w:val="left"/>
              <w:rPr>
                <w:rFonts w:ascii="宋体" w:hAnsi="宋体" w:cs="宋体" w:eastAsia="宋体" w:hint="default"/>
                <w:sz w:val="21"/>
                <w:szCs w:val="21"/>
              </w:rPr>
            </w:pPr>
            <w:r>
              <w:rPr>
                <w:rFonts w:ascii="宋体" w:hAnsi="宋体" w:cs="宋体" w:eastAsia="宋体" w:hint="default"/>
                <w:sz w:val="21"/>
                <w:szCs w:val="21"/>
              </w:rPr>
              <w:t>非流动</w:t>
            </w:r>
            <w:r>
              <w:rPr>
                <w:rFonts w:ascii="宋体" w:hAnsi="宋体" w:cs="宋体" w:eastAsia="宋体" w:hint="default"/>
                <w:spacing w:val="-102"/>
                <w:sz w:val="21"/>
                <w:szCs w:val="21"/>
              </w:rPr>
              <w:t> </w:t>
            </w:r>
            <w:r>
              <w:rPr>
                <w:rFonts w:ascii="宋体" w:hAnsi="宋体" w:cs="宋体" w:eastAsia="宋体" w:hint="default"/>
                <w:sz w:val="21"/>
                <w:szCs w:val="21"/>
              </w:rPr>
              <w:t>资产</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84" w:right="179"/>
              <w:jc w:val="left"/>
              <w:rPr>
                <w:rFonts w:ascii="宋体" w:hAnsi="宋体" w:cs="宋体" w:eastAsia="宋体" w:hint="default"/>
                <w:sz w:val="21"/>
                <w:szCs w:val="21"/>
              </w:rPr>
            </w:pPr>
            <w:r>
              <w:rPr>
                <w:rFonts w:ascii="宋体" w:hAnsi="宋体" w:cs="宋体" w:eastAsia="宋体" w:hint="default"/>
                <w:sz w:val="21"/>
                <w:szCs w:val="21"/>
              </w:rPr>
              <w:t>资产</w:t>
            </w:r>
            <w:r>
              <w:rPr>
                <w:rFonts w:ascii="宋体" w:hAnsi="宋体" w:cs="宋体" w:eastAsia="宋体" w:hint="default"/>
                <w:spacing w:val="-103"/>
                <w:sz w:val="21"/>
                <w:szCs w:val="21"/>
              </w:rPr>
              <w:t> </w:t>
            </w:r>
            <w:r>
              <w:rPr>
                <w:rFonts w:ascii="宋体" w:hAnsi="宋体" w:cs="宋体" w:eastAsia="宋体" w:hint="default"/>
                <w:sz w:val="21"/>
                <w:szCs w:val="21"/>
              </w:rPr>
              <w:t>合计</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46" w:right="143"/>
              <w:jc w:val="left"/>
              <w:rPr>
                <w:rFonts w:ascii="宋体" w:hAnsi="宋体" w:cs="宋体" w:eastAsia="宋体" w:hint="default"/>
                <w:sz w:val="21"/>
                <w:szCs w:val="21"/>
              </w:rPr>
            </w:pPr>
            <w:r>
              <w:rPr>
                <w:rFonts w:ascii="宋体" w:hAnsi="宋体" w:cs="宋体" w:eastAsia="宋体" w:hint="default"/>
                <w:sz w:val="21"/>
                <w:szCs w:val="21"/>
              </w:rPr>
              <w:t>流动</w:t>
            </w:r>
            <w:r>
              <w:rPr>
                <w:rFonts w:ascii="宋体" w:hAnsi="宋体" w:cs="宋体" w:eastAsia="宋体" w:hint="default"/>
                <w:spacing w:val="-103"/>
                <w:sz w:val="21"/>
                <w:szCs w:val="21"/>
              </w:rPr>
              <w:t> </w:t>
            </w:r>
            <w:r>
              <w:rPr>
                <w:rFonts w:ascii="宋体" w:hAnsi="宋体" w:cs="宋体" w:eastAsia="宋体" w:hint="default"/>
                <w:sz w:val="21"/>
                <w:szCs w:val="21"/>
              </w:rPr>
              <w:t>负债</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37" w:lineRule="auto"/>
              <w:ind w:left="122" w:right="65"/>
              <w:jc w:val="both"/>
              <w:rPr>
                <w:rFonts w:ascii="宋体" w:hAnsi="宋体" w:cs="宋体" w:eastAsia="宋体" w:hint="default"/>
                <w:sz w:val="21"/>
                <w:szCs w:val="21"/>
              </w:rPr>
            </w:pPr>
            <w:r>
              <w:rPr>
                <w:rFonts w:ascii="宋体" w:hAnsi="宋体" w:cs="宋体" w:eastAsia="宋体" w:hint="default"/>
                <w:sz w:val="21"/>
                <w:szCs w:val="21"/>
              </w:rPr>
              <w:t>非流</w:t>
            </w:r>
            <w:r>
              <w:rPr>
                <w:rFonts w:ascii="宋体" w:hAnsi="宋体" w:cs="宋体" w:eastAsia="宋体" w:hint="default"/>
                <w:spacing w:val="-103"/>
                <w:sz w:val="21"/>
                <w:szCs w:val="21"/>
              </w:rPr>
              <w:t> </w:t>
            </w:r>
            <w:r>
              <w:rPr>
                <w:rFonts w:ascii="宋体" w:hAnsi="宋体" w:cs="宋体" w:eastAsia="宋体" w:hint="default"/>
                <w:sz w:val="21"/>
                <w:szCs w:val="21"/>
              </w:rPr>
              <w:t>动负</w:t>
            </w:r>
            <w:r>
              <w:rPr>
                <w:rFonts w:ascii="宋体" w:hAnsi="宋体" w:cs="宋体" w:eastAsia="宋体" w:hint="default"/>
                <w:spacing w:val="-103"/>
                <w:sz w:val="21"/>
                <w:szCs w:val="21"/>
              </w:rPr>
              <w:t> </w:t>
            </w:r>
            <w:r>
              <w:rPr>
                <w:rFonts w:ascii="宋体" w:hAnsi="宋体" w:cs="宋体" w:eastAsia="宋体" w:hint="default"/>
                <w:sz w:val="21"/>
                <w:szCs w:val="21"/>
              </w:rPr>
              <w:t>债</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46" w:right="143"/>
              <w:jc w:val="left"/>
              <w:rPr>
                <w:rFonts w:ascii="宋体" w:hAnsi="宋体" w:cs="宋体" w:eastAsia="宋体" w:hint="default"/>
                <w:sz w:val="21"/>
                <w:szCs w:val="21"/>
              </w:rPr>
            </w:pPr>
            <w:r>
              <w:rPr>
                <w:rFonts w:ascii="宋体" w:hAnsi="宋体" w:cs="宋体" w:eastAsia="宋体" w:hint="default"/>
                <w:sz w:val="21"/>
                <w:szCs w:val="21"/>
              </w:rPr>
              <w:t>负债</w:t>
            </w:r>
            <w:r>
              <w:rPr>
                <w:rFonts w:ascii="宋体" w:hAnsi="宋体" w:cs="宋体" w:eastAsia="宋体" w:hint="default"/>
                <w:spacing w:val="-103"/>
                <w:sz w:val="21"/>
                <w:szCs w:val="21"/>
              </w:rPr>
              <w:t> </w:t>
            </w:r>
            <w:r>
              <w:rPr>
                <w:rFonts w:ascii="宋体" w:hAnsi="宋体" w:cs="宋体" w:eastAsia="宋体" w:hint="default"/>
                <w:sz w:val="21"/>
                <w:szCs w:val="21"/>
              </w:rPr>
              <w:t>合计</w:t>
            </w:r>
          </w:p>
        </w:tc>
      </w:tr>
      <w:tr>
        <w:trPr>
          <w:trHeight w:val="946" w:hRule="exact"/>
        </w:trPr>
        <w:tc>
          <w:tcPr>
            <w:tcW w:w="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19"/>
              <w:jc w:val="left"/>
              <w:rPr>
                <w:rFonts w:ascii="宋体" w:hAnsi="宋体" w:cs="宋体" w:eastAsia="宋体" w:hint="default"/>
                <w:sz w:val="24"/>
                <w:szCs w:val="24"/>
              </w:rPr>
            </w:pPr>
            <w:r>
              <w:rPr>
                <w:rFonts w:ascii="宋体" w:hAnsi="宋体" w:cs="宋体" w:eastAsia="宋体" w:hint="default"/>
                <w:sz w:val="24"/>
                <w:szCs w:val="24"/>
              </w:rPr>
              <w:t>畅</w:t>
            </w:r>
          </w:p>
          <w:p>
            <w:pPr>
              <w:pStyle w:val="TableParagraph"/>
              <w:spacing w:line="312" w:lineRule="exact" w:before="28"/>
              <w:ind w:left="100" w:right="-19"/>
              <w:jc w:val="left"/>
              <w:rPr>
                <w:rFonts w:ascii="宋体" w:hAnsi="宋体" w:cs="宋体" w:eastAsia="宋体" w:hint="default"/>
                <w:sz w:val="24"/>
                <w:szCs w:val="24"/>
              </w:rPr>
            </w:pPr>
            <w:r>
              <w:rPr>
                <w:rFonts w:ascii="宋体" w:hAnsi="宋体" w:cs="宋体" w:eastAsia="宋体" w:hint="default"/>
                <w:sz w:val="24"/>
                <w:szCs w:val="24"/>
              </w:rPr>
              <w:t>捷 通</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1,409,</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270,55</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6</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1"/>
              <w:jc w:val="right"/>
              <w:rPr>
                <w:rFonts w:ascii="Times New Roman" w:hAnsi="Times New Roman" w:cs="Times New Roman" w:eastAsia="Times New Roman" w:hint="default"/>
                <w:sz w:val="21"/>
                <w:szCs w:val="21"/>
              </w:rPr>
            </w:pPr>
            <w:r>
              <w:rPr>
                <w:rFonts w:ascii="Times New Roman"/>
                <w:sz w:val="21"/>
              </w:rPr>
              <w:t>175,6</w:t>
            </w:r>
          </w:p>
          <w:p>
            <w:pPr>
              <w:pStyle w:val="TableParagraph"/>
              <w:spacing w:line="241" w:lineRule="exact"/>
              <w:ind w:right="101"/>
              <w:jc w:val="right"/>
              <w:rPr>
                <w:rFonts w:ascii="Times New Roman" w:hAnsi="Times New Roman" w:cs="Times New Roman" w:eastAsia="Times New Roman" w:hint="default"/>
                <w:sz w:val="21"/>
                <w:szCs w:val="21"/>
              </w:rPr>
            </w:pPr>
            <w:r>
              <w:rPr>
                <w:rFonts w:ascii="Times New Roman"/>
                <w:sz w:val="21"/>
              </w:rPr>
              <w:t>96,70</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1,584,</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967,25</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6</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266,1</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10,12</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1</w:t>
            </w:r>
          </w:p>
        </w:tc>
        <w:tc>
          <w:tcPr>
            <w:tcW w:w="622"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1"/>
              <w:jc w:val="right"/>
              <w:rPr>
                <w:rFonts w:ascii="Times New Roman" w:hAnsi="Times New Roman" w:cs="Times New Roman" w:eastAsia="Times New Roman" w:hint="default"/>
                <w:sz w:val="21"/>
                <w:szCs w:val="21"/>
              </w:rPr>
            </w:pPr>
            <w:r>
              <w:rPr>
                <w:rFonts w:ascii="Times New Roman"/>
                <w:sz w:val="21"/>
              </w:rPr>
              <w:t>266,1</w:t>
            </w:r>
          </w:p>
          <w:p>
            <w:pPr>
              <w:pStyle w:val="TableParagraph"/>
              <w:spacing w:line="241" w:lineRule="exact"/>
              <w:ind w:right="101"/>
              <w:jc w:val="right"/>
              <w:rPr>
                <w:rFonts w:ascii="Times New Roman" w:hAnsi="Times New Roman" w:cs="Times New Roman" w:eastAsia="Times New Roman" w:hint="default"/>
                <w:sz w:val="21"/>
                <w:szCs w:val="21"/>
              </w:rPr>
            </w:pPr>
            <w:r>
              <w:rPr>
                <w:rFonts w:ascii="Times New Roman"/>
                <w:sz w:val="21"/>
              </w:rPr>
              <w:t>10,12</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9"/>
              <w:jc w:val="right"/>
              <w:rPr>
                <w:rFonts w:ascii="Times New Roman" w:hAnsi="Times New Roman" w:cs="Times New Roman" w:eastAsia="Times New Roman" w:hint="default"/>
                <w:sz w:val="21"/>
                <w:szCs w:val="21"/>
              </w:rPr>
            </w:pPr>
            <w:r>
              <w:rPr>
                <w:rFonts w:ascii="Times New Roman"/>
                <w:sz w:val="21"/>
              </w:rPr>
              <w:t>1,318,</w:t>
            </w:r>
          </w:p>
          <w:p>
            <w:pPr>
              <w:pStyle w:val="TableParagraph"/>
              <w:spacing w:line="241" w:lineRule="exact"/>
              <w:ind w:right="99"/>
              <w:jc w:val="right"/>
              <w:rPr>
                <w:rFonts w:ascii="Times New Roman" w:hAnsi="Times New Roman" w:cs="Times New Roman" w:eastAsia="Times New Roman" w:hint="default"/>
                <w:sz w:val="21"/>
                <w:szCs w:val="21"/>
              </w:rPr>
            </w:pPr>
            <w:r>
              <w:rPr>
                <w:rFonts w:ascii="Times New Roman"/>
                <w:sz w:val="21"/>
              </w:rPr>
              <w:t>181,03</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2</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159,5</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13,34</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6"/>
              <w:jc w:val="right"/>
              <w:rPr>
                <w:rFonts w:ascii="Times New Roman" w:hAnsi="Times New Roman" w:cs="Times New Roman" w:eastAsia="Times New Roman" w:hint="default"/>
                <w:sz w:val="21"/>
                <w:szCs w:val="21"/>
              </w:rPr>
            </w:pPr>
            <w:r>
              <w:rPr>
                <w:rFonts w:ascii="Times New Roman"/>
                <w:sz w:val="21"/>
              </w:rPr>
              <w:t>1,477,</w:t>
            </w:r>
          </w:p>
          <w:p>
            <w:pPr>
              <w:pStyle w:val="TableParagraph"/>
              <w:spacing w:line="241" w:lineRule="exact"/>
              <w:ind w:right="96"/>
              <w:jc w:val="right"/>
              <w:rPr>
                <w:rFonts w:ascii="Times New Roman" w:hAnsi="Times New Roman" w:cs="Times New Roman" w:eastAsia="Times New Roman" w:hint="default"/>
                <w:sz w:val="21"/>
                <w:szCs w:val="21"/>
              </w:rPr>
            </w:pPr>
            <w:r>
              <w:rPr>
                <w:rFonts w:ascii="Times New Roman"/>
                <w:sz w:val="21"/>
              </w:rPr>
              <w:t>694,38</w:t>
            </w:r>
          </w:p>
          <w:p>
            <w:pPr>
              <w:pStyle w:val="TableParagraph"/>
              <w:spacing w:line="240" w:lineRule="auto" w:before="1"/>
              <w:ind w:right="98"/>
              <w:jc w:val="right"/>
              <w:rPr>
                <w:rFonts w:ascii="Times New Roman" w:hAnsi="Times New Roman" w:cs="Times New Roman" w:eastAsia="Times New Roman" w:hint="default"/>
                <w:sz w:val="21"/>
                <w:szCs w:val="21"/>
              </w:rPr>
            </w:pPr>
            <w:r>
              <w:rPr>
                <w:rFonts w:ascii="Times New Roman"/>
                <w:w w:val="100"/>
                <w:sz w:val="21"/>
              </w:rPr>
              <w:t>1</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200,0</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98,27</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8</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200,0</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98,27</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8</w:t>
            </w:r>
          </w:p>
        </w:tc>
      </w:tr>
      <w:tr>
        <w:trPr>
          <w:trHeight w:val="1256" w:hRule="exact"/>
        </w:trPr>
        <w:tc>
          <w:tcPr>
            <w:tcW w:w="33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0" w:right="0"/>
              <w:jc w:val="both"/>
              <w:rPr>
                <w:rFonts w:ascii="宋体" w:hAnsi="宋体" w:cs="宋体" w:eastAsia="宋体" w:hint="default"/>
                <w:sz w:val="24"/>
                <w:szCs w:val="24"/>
              </w:rPr>
            </w:pPr>
            <w:r>
              <w:rPr>
                <w:rFonts w:ascii="宋体" w:hAnsi="宋体" w:cs="宋体" w:eastAsia="宋体" w:hint="default"/>
                <w:sz w:val="24"/>
                <w:szCs w:val="24"/>
              </w:rPr>
              <w:t>用</w:t>
            </w:r>
          </w:p>
          <w:p>
            <w:pPr>
              <w:pStyle w:val="TableParagraph"/>
              <w:spacing w:line="312" w:lineRule="exact" w:before="28"/>
              <w:ind w:left="100" w:right="-19"/>
              <w:jc w:val="both"/>
              <w:rPr>
                <w:rFonts w:ascii="宋体" w:hAnsi="宋体" w:cs="宋体" w:eastAsia="宋体" w:hint="default"/>
                <w:sz w:val="24"/>
                <w:szCs w:val="24"/>
              </w:rPr>
            </w:pPr>
            <w:r>
              <w:rPr>
                <w:rFonts w:ascii="宋体" w:hAnsi="宋体" w:cs="宋体" w:eastAsia="宋体" w:hint="default"/>
                <w:sz w:val="24"/>
                <w:szCs w:val="24"/>
              </w:rPr>
              <w:t>友 政 务</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7" w:right="0"/>
              <w:jc w:val="center"/>
              <w:rPr>
                <w:rFonts w:ascii="Times New Roman" w:hAnsi="Times New Roman" w:cs="Times New Roman" w:eastAsia="Times New Roman" w:hint="default"/>
                <w:sz w:val="21"/>
                <w:szCs w:val="21"/>
              </w:rPr>
            </w:pPr>
            <w:r>
              <w:rPr>
                <w:rFonts w:ascii="Times New Roman"/>
                <w:sz w:val="21"/>
              </w:rPr>
              <w:t>987,62</w:t>
            </w:r>
          </w:p>
          <w:p>
            <w:pPr>
              <w:pStyle w:val="TableParagraph"/>
              <w:spacing w:line="241" w:lineRule="exact"/>
              <w:ind w:left="112" w:right="0"/>
              <w:jc w:val="center"/>
              <w:rPr>
                <w:rFonts w:ascii="Times New Roman" w:hAnsi="Times New Roman" w:cs="Times New Roman" w:eastAsia="Times New Roman" w:hint="default"/>
                <w:sz w:val="21"/>
                <w:szCs w:val="21"/>
              </w:rPr>
            </w:pPr>
            <w:r>
              <w:rPr>
                <w:rFonts w:ascii="Times New Roman"/>
                <w:sz w:val="21"/>
              </w:rPr>
              <w:t>4,571</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1"/>
              <w:jc w:val="right"/>
              <w:rPr>
                <w:rFonts w:ascii="Times New Roman" w:hAnsi="Times New Roman" w:cs="Times New Roman" w:eastAsia="Times New Roman" w:hint="default"/>
                <w:sz w:val="21"/>
                <w:szCs w:val="21"/>
              </w:rPr>
            </w:pPr>
            <w:r>
              <w:rPr>
                <w:rFonts w:ascii="Times New Roman"/>
                <w:sz w:val="21"/>
              </w:rPr>
              <w:t>359,1</w:t>
            </w:r>
          </w:p>
          <w:p>
            <w:pPr>
              <w:pStyle w:val="TableParagraph"/>
              <w:spacing w:line="241" w:lineRule="exact"/>
              <w:ind w:right="101"/>
              <w:jc w:val="right"/>
              <w:rPr>
                <w:rFonts w:ascii="Times New Roman" w:hAnsi="Times New Roman" w:cs="Times New Roman" w:eastAsia="Times New Roman" w:hint="default"/>
                <w:sz w:val="21"/>
                <w:szCs w:val="21"/>
              </w:rPr>
            </w:pPr>
            <w:r>
              <w:rPr>
                <w:rFonts w:ascii="Times New Roman"/>
                <w:sz w:val="21"/>
              </w:rPr>
              <w:t>18,43</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1,346,</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743,00</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4</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493,7</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06,56</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8</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41" w:right="0"/>
              <w:jc w:val="left"/>
              <w:rPr>
                <w:rFonts w:ascii="Times New Roman" w:hAnsi="Times New Roman" w:cs="Times New Roman" w:eastAsia="Times New Roman" w:hint="default"/>
                <w:sz w:val="21"/>
                <w:szCs w:val="21"/>
              </w:rPr>
            </w:pPr>
            <w:r>
              <w:rPr>
                <w:rFonts w:ascii="Times New Roman"/>
                <w:sz w:val="21"/>
              </w:rPr>
              <w:t>1,45</w:t>
            </w:r>
          </w:p>
          <w:p>
            <w:pPr>
              <w:pStyle w:val="TableParagraph"/>
              <w:spacing w:line="241" w:lineRule="exact"/>
              <w:ind w:left="141" w:right="0"/>
              <w:jc w:val="left"/>
              <w:rPr>
                <w:rFonts w:ascii="Times New Roman" w:hAnsi="Times New Roman" w:cs="Times New Roman" w:eastAsia="Times New Roman" w:hint="default"/>
                <w:sz w:val="21"/>
                <w:szCs w:val="21"/>
              </w:rPr>
            </w:pPr>
            <w:r>
              <w:rPr>
                <w:rFonts w:ascii="Times New Roman"/>
                <w:sz w:val="21"/>
              </w:rPr>
              <w:t>2,70</w:t>
            </w:r>
          </w:p>
          <w:p>
            <w:pPr>
              <w:pStyle w:val="TableParagraph"/>
              <w:spacing w:line="240" w:lineRule="auto" w:before="1"/>
              <w:ind w:left="403" w:right="0"/>
              <w:jc w:val="left"/>
              <w:rPr>
                <w:rFonts w:ascii="Times New Roman" w:hAnsi="Times New Roman" w:cs="Times New Roman" w:eastAsia="Times New Roman" w:hint="default"/>
                <w:sz w:val="21"/>
                <w:szCs w:val="21"/>
              </w:rPr>
            </w:pPr>
            <w:r>
              <w:rPr>
                <w:rFonts w:ascii="Times New Roman"/>
                <w:w w:val="100"/>
                <w:sz w:val="21"/>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1"/>
              <w:jc w:val="right"/>
              <w:rPr>
                <w:rFonts w:ascii="Times New Roman" w:hAnsi="Times New Roman" w:cs="Times New Roman" w:eastAsia="Times New Roman" w:hint="default"/>
                <w:sz w:val="21"/>
                <w:szCs w:val="21"/>
              </w:rPr>
            </w:pPr>
            <w:r>
              <w:rPr>
                <w:rFonts w:ascii="Times New Roman"/>
                <w:sz w:val="21"/>
              </w:rPr>
              <w:t>495,1</w:t>
            </w:r>
          </w:p>
          <w:p>
            <w:pPr>
              <w:pStyle w:val="TableParagraph"/>
              <w:spacing w:line="241" w:lineRule="exact"/>
              <w:ind w:right="101"/>
              <w:jc w:val="right"/>
              <w:rPr>
                <w:rFonts w:ascii="Times New Roman" w:hAnsi="Times New Roman" w:cs="Times New Roman" w:eastAsia="Times New Roman" w:hint="default"/>
                <w:sz w:val="21"/>
                <w:szCs w:val="21"/>
              </w:rPr>
            </w:pPr>
            <w:r>
              <w:rPr>
                <w:rFonts w:ascii="Times New Roman"/>
                <w:sz w:val="21"/>
              </w:rPr>
              <w:t>59,26</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4" w:right="0"/>
              <w:jc w:val="center"/>
              <w:rPr>
                <w:rFonts w:ascii="Times New Roman" w:hAnsi="Times New Roman" w:cs="Times New Roman" w:eastAsia="Times New Roman" w:hint="default"/>
                <w:sz w:val="21"/>
                <w:szCs w:val="21"/>
              </w:rPr>
            </w:pPr>
            <w:r>
              <w:rPr>
                <w:rFonts w:ascii="Times New Roman"/>
                <w:sz w:val="21"/>
              </w:rPr>
              <w:t>894,85</w:t>
            </w:r>
          </w:p>
          <w:p>
            <w:pPr>
              <w:pStyle w:val="TableParagraph"/>
              <w:spacing w:line="241" w:lineRule="exact"/>
              <w:ind w:left="110" w:right="0"/>
              <w:jc w:val="center"/>
              <w:rPr>
                <w:rFonts w:ascii="Times New Roman" w:hAnsi="Times New Roman" w:cs="Times New Roman" w:eastAsia="Times New Roman" w:hint="default"/>
                <w:sz w:val="21"/>
                <w:szCs w:val="21"/>
              </w:rPr>
            </w:pPr>
            <w:r>
              <w:rPr>
                <w:rFonts w:ascii="Times New Roman"/>
                <w:sz w:val="21"/>
              </w:rPr>
              <w:t>0,822</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358,9</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84,61</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6"/>
              <w:jc w:val="right"/>
              <w:rPr>
                <w:rFonts w:ascii="Times New Roman" w:hAnsi="Times New Roman" w:cs="Times New Roman" w:eastAsia="Times New Roman" w:hint="default"/>
                <w:sz w:val="21"/>
                <w:szCs w:val="21"/>
              </w:rPr>
            </w:pPr>
            <w:r>
              <w:rPr>
                <w:rFonts w:ascii="Times New Roman"/>
                <w:sz w:val="21"/>
              </w:rPr>
              <w:t>1,253,</w:t>
            </w:r>
          </w:p>
          <w:p>
            <w:pPr>
              <w:pStyle w:val="TableParagraph"/>
              <w:spacing w:line="241" w:lineRule="exact"/>
              <w:ind w:right="96"/>
              <w:jc w:val="right"/>
              <w:rPr>
                <w:rFonts w:ascii="Times New Roman" w:hAnsi="Times New Roman" w:cs="Times New Roman" w:eastAsia="Times New Roman" w:hint="default"/>
                <w:sz w:val="21"/>
                <w:szCs w:val="21"/>
              </w:rPr>
            </w:pPr>
            <w:r>
              <w:rPr>
                <w:rFonts w:ascii="Times New Roman"/>
                <w:sz w:val="21"/>
              </w:rPr>
              <w:t>835,44</w:t>
            </w:r>
          </w:p>
          <w:p>
            <w:pPr>
              <w:pStyle w:val="TableParagraph"/>
              <w:spacing w:line="240" w:lineRule="auto" w:before="1"/>
              <w:ind w:right="98"/>
              <w:jc w:val="right"/>
              <w:rPr>
                <w:rFonts w:ascii="Times New Roman" w:hAnsi="Times New Roman" w:cs="Times New Roman" w:eastAsia="Times New Roman" w:hint="default"/>
                <w:sz w:val="21"/>
                <w:szCs w:val="21"/>
              </w:rPr>
            </w:pPr>
            <w:r>
              <w:rPr>
                <w:rFonts w:ascii="Times New Roman"/>
                <w:w w:val="100"/>
                <w:sz w:val="21"/>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497,6</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35,97</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9</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41" w:right="0"/>
              <w:jc w:val="left"/>
              <w:rPr>
                <w:rFonts w:ascii="Times New Roman" w:hAnsi="Times New Roman" w:cs="Times New Roman" w:eastAsia="Times New Roman" w:hint="default"/>
                <w:sz w:val="21"/>
                <w:szCs w:val="21"/>
              </w:rPr>
            </w:pPr>
            <w:r>
              <w:rPr>
                <w:rFonts w:ascii="Times New Roman"/>
                <w:sz w:val="21"/>
              </w:rPr>
              <w:t>1,15</w:t>
            </w:r>
          </w:p>
          <w:p>
            <w:pPr>
              <w:pStyle w:val="TableParagraph"/>
              <w:spacing w:line="241" w:lineRule="exact"/>
              <w:ind w:left="141" w:right="0"/>
              <w:jc w:val="left"/>
              <w:rPr>
                <w:rFonts w:ascii="Times New Roman" w:hAnsi="Times New Roman" w:cs="Times New Roman" w:eastAsia="Times New Roman" w:hint="default"/>
                <w:sz w:val="21"/>
                <w:szCs w:val="21"/>
              </w:rPr>
            </w:pPr>
            <w:r>
              <w:rPr>
                <w:rFonts w:ascii="Times New Roman"/>
                <w:sz w:val="21"/>
              </w:rPr>
              <w:t>5,80</w:t>
            </w:r>
          </w:p>
          <w:p>
            <w:pPr>
              <w:pStyle w:val="TableParagraph"/>
              <w:spacing w:line="240" w:lineRule="auto" w:before="1"/>
              <w:ind w:left="403" w:right="0"/>
              <w:jc w:val="left"/>
              <w:rPr>
                <w:rFonts w:ascii="Times New Roman" w:hAnsi="Times New Roman" w:cs="Times New Roman" w:eastAsia="Times New Roman" w:hint="default"/>
                <w:sz w:val="21"/>
                <w:szCs w:val="21"/>
              </w:rPr>
            </w:pPr>
            <w:r>
              <w:rPr>
                <w:rFonts w:ascii="Times New Roman"/>
                <w:w w:val="100"/>
                <w:sz w:val="21"/>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498,7</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91,77</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9</w:t>
            </w:r>
          </w:p>
        </w:tc>
      </w:tr>
      <w:tr>
        <w:trPr>
          <w:trHeight w:val="1253" w:hRule="exact"/>
        </w:trPr>
        <w:tc>
          <w:tcPr>
            <w:tcW w:w="33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0" w:right="0"/>
              <w:jc w:val="both"/>
              <w:rPr>
                <w:rFonts w:ascii="宋体" w:hAnsi="宋体" w:cs="宋体" w:eastAsia="宋体" w:hint="default"/>
                <w:sz w:val="24"/>
                <w:szCs w:val="24"/>
              </w:rPr>
            </w:pPr>
            <w:r>
              <w:rPr>
                <w:rFonts w:ascii="宋体" w:hAnsi="宋体" w:cs="宋体" w:eastAsia="宋体" w:hint="default"/>
                <w:sz w:val="24"/>
                <w:szCs w:val="24"/>
              </w:rPr>
              <w:t>用</w:t>
            </w:r>
          </w:p>
          <w:p>
            <w:pPr>
              <w:pStyle w:val="TableParagraph"/>
              <w:spacing w:line="312" w:lineRule="exact" w:before="28"/>
              <w:ind w:left="100" w:right="-19"/>
              <w:jc w:val="both"/>
              <w:rPr>
                <w:rFonts w:ascii="宋体" w:hAnsi="宋体" w:cs="宋体" w:eastAsia="宋体" w:hint="default"/>
                <w:sz w:val="24"/>
                <w:szCs w:val="24"/>
              </w:rPr>
            </w:pPr>
            <w:r>
              <w:rPr>
                <w:rFonts w:ascii="宋体" w:hAnsi="宋体" w:cs="宋体" w:eastAsia="宋体" w:hint="default"/>
                <w:sz w:val="24"/>
                <w:szCs w:val="24"/>
              </w:rPr>
              <w:t>友 汽 车</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7" w:right="0"/>
              <w:jc w:val="center"/>
              <w:rPr>
                <w:rFonts w:ascii="Times New Roman" w:hAnsi="Times New Roman" w:cs="Times New Roman" w:eastAsia="Times New Roman" w:hint="default"/>
                <w:sz w:val="21"/>
                <w:szCs w:val="21"/>
              </w:rPr>
            </w:pPr>
            <w:r>
              <w:rPr>
                <w:rFonts w:ascii="Times New Roman"/>
                <w:sz w:val="21"/>
              </w:rPr>
              <w:t>623,12</w:t>
            </w:r>
          </w:p>
          <w:p>
            <w:pPr>
              <w:pStyle w:val="TableParagraph"/>
              <w:spacing w:line="241" w:lineRule="exact"/>
              <w:ind w:left="112" w:right="0"/>
              <w:jc w:val="center"/>
              <w:rPr>
                <w:rFonts w:ascii="Times New Roman" w:hAnsi="Times New Roman" w:cs="Times New Roman" w:eastAsia="Times New Roman" w:hint="default"/>
                <w:sz w:val="21"/>
                <w:szCs w:val="21"/>
              </w:rPr>
            </w:pPr>
            <w:r>
              <w:rPr>
                <w:rFonts w:ascii="Times New Roman"/>
                <w:sz w:val="21"/>
              </w:rPr>
              <w:t>8,611</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36" w:right="0"/>
              <w:jc w:val="left"/>
              <w:rPr>
                <w:rFonts w:ascii="Times New Roman" w:hAnsi="Times New Roman" w:cs="Times New Roman" w:eastAsia="Times New Roman" w:hint="default"/>
                <w:sz w:val="21"/>
                <w:szCs w:val="21"/>
              </w:rPr>
            </w:pPr>
            <w:r>
              <w:rPr>
                <w:rFonts w:ascii="Times New Roman"/>
                <w:sz w:val="21"/>
              </w:rPr>
              <w:t>14,75</w:t>
            </w:r>
          </w:p>
          <w:p>
            <w:pPr>
              <w:pStyle w:val="TableParagraph"/>
              <w:spacing w:line="241" w:lineRule="exact"/>
              <w:ind w:left="136" w:right="0"/>
              <w:jc w:val="left"/>
              <w:rPr>
                <w:rFonts w:ascii="Times New Roman" w:hAnsi="Times New Roman" w:cs="Times New Roman" w:eastAsia="Times New Roman" w:hint="default"/>
                <w:sz w:val="21"/>
                <w:szCs w:val="21"/>
              </w:rPr>
            </w:pPr>
            <w:r>
              <w:rPr>
                <w:rFonts w:ascii="Times New Roman"/>
                <w:sz w:val="21"/>
              </w:rPr>
              <w:t>8,343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4" w:right="0"/>
              <w:jc w:val="center"/>
              <w:rPr>
                <w:rFonts w:ascii="Times New Roman" w:hAnsi="Times New Roman" w:cs="Times New Roman" w:eastAsia="Times New Roman" w:hint="default"/>
                <w:sz w:val="21"/>
                <w:szCs w:val="21"/>
              </w:rPr>
            </w:pPr>
            <w:r>
              <w:rPr>
                <w:rFonts w:ascii="Times New Roman"/>
                <w:sz w:val="21"/>
              </w:rPr>
              <w:t>637,88</w:t>
            </w:r>
          </w:p>
          <w:p>
            <w:pPr>
              <w:pStyle w:val="TableParagraph"/>
              <w:spacing w:line="241" w:lineRule="exact"/>
              <w:ind w:left="110" w:right="0"/>
              <w:jc w:val="center"/>
              <w:rPr>
                <w:rFonts w:ascii="Times New Roman" w:hAnsi="Times New Roman" w:cs="Times New Roman" w:eastAsia="Times New Roman" w:hint="default"/>
                <w:sz w:val="21"/>
                <w:szCs w:val="21"/>
              </w:rPr>
            </w:pPr>
            <w:r>
              <w:rPr>
                <w:rFonts w:ascii="Times New Roman"/>
                <w:sz w:val="21"/>
              </w:rPr>
              <w:t>6,954</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98"/>
              <w:jc w:val="right"/>
              <w:rPr>
                <w:rFonts w:ascii="Times New Roman" w:hAnsi="Times New Roman" w:cs="Times New Roman" w:eastAsia="Times New Roman" w:hint="default"/>
                <w:sz w:val="21"/>
                <w:szCs w:val="21"/>
              </w:rPr>
            </w:pPr>
            <w:r>
              <w:rPr>
                <w:rFonts w:ascii="Times New Roman"/>
                <w:sz w:val="21"/>
              </w:rPr>
              <w:t>192,9</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84,48</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7</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41" w:right="0"/>
              <w:jc w:val="left"/>
              <w:rPr>
                <w:rFonts w:ascii="Times New Roman" w:hAnsi="Times New Roman" w:cs="Times New Roman" w:eastAsia="Times New Roman" w:hint="default"/>
                <w:sz w:val="21"/>
                <w:szCs w:val="21"/>
              </w:rPr>
            </w:pPr>
            <w:r>
              <w:rPr>
                <w:rFonts w:ascii="Times New Roman"/>
                <w:sz w:val="21"/>
              </w:rPr>
              <w:t>720,</w:t>
            </w:r>
          </w:p>
          <w:p>
            <w:pPr>
              <w:pStyle w:val="TableParagraph"/>
              <w:spacing w:line="241" w:lineRule="exact"/>
              <w:ind w:left="194" w:right="0"/>
              <w:jc w:val="left"/>
              <w:rPr>
                <w:rFonts w:ascii="Times New Roman" w:hAnsi="Times New Roman" w:cs="Times New Roman" w:eastAsia="Times New Roman" w:hint="default"/>
                <w:sz w:val="21"/>
                <w:szCs w:val="21"/>
              </w:rPr>
            </w:pPr>
            <w:r>
              <w:rPr>
                <w:rFonts w:ascii="Times New Roman"/>
                <w:sz w:val="21"/>
              </w:rPr>
              <w:t>000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101"/>
              <w:jc w:val="right"/>
              <w:rPr>
                <w:rFonts w:ascii="Times New Roman" w:hAnsi="Times New Roman" w:cs="Times New Roman" w:eastAsia="Times New Roman" w:hint="default"/>
                <w:sz w:val="21"/>
                <w:szCs w:val="21"/>
              </w:rPr>
            </w:pPr>
            <w:r>
              <w:rPr>
                <w:rFonts w:ascii="Times New Roman"/>
                <w:sz w:val="21"/>
              </w:rPr>
              <w:t>193,7</w:t>
            </w:r>
          </w:p>
          <w:p>
            <w:pPr>
              <w:pStyle w:val="TableParagraph"/>
              <w:spacing w:line="241" w:lineRule="exact"/>
              <w:ind w:right="101"/>
              <w:jc w:val="right"/>
              <w:rPr>
                <w:rFonts w:ascii="Times New Roman" w:hAnsi="Times New Roman" w:cs="Times New Roman" w:eastAsia="Times New Roman" w:hint="default"/>
                <w:sz w:val="21"/>
                <w:szCs w:val="21"/>
              </w:rPr>
            </w:pPr>
            <w:r>
              <w:rPr>
                <w:rFonts w:ascii="Times New Roman"/>
                <w:sz w:val="21"/>
              </w:rPr>
              <w:t>04,48</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4" w:right="0"/>
              <w:jc w:val="center"/>
              <w:rPr>
                <w:rFonts w:ascii="Times New Roman" w:hAnsi="Times New Roman" w:cs="Times New Roman" w:eastAsia="Times New Roman" w:hint="default"/>
                <w:sz w:val="21"/>
                <w:szCs w:val="21"/>
              </w:rPr>
            </w:pPr>
            <w:r>
              <w:rPr>
                <w:rFonts w:ascii="Times New Roman"/>
                <w:sz w:val="21"/>
              </w:rPr>
              <w:t>561,99</w:t>
            </w:r>
          </w:p>
          <w:p>
            <w:pPr>
              <w:pStyle w:val="TableParagraph"/>
              <w:spacing w:line="241" w:lineRule="exact"/>
              <w:ind w:left="110" w:right="0"/>
              <w:jc w:val="center"/>
              <w:rPr>
                <w:rFonts w:ascii="Times New Roman" w:hAnsi="Times New Roman" w:cs="Times New Roman" w:eastAsia="Times New Roman" w:hint="default"/>
                <w:sz w:val="21"/>
                <w:szCs w:val="21"/>
              </w:rPr>
            </w:pPr>
            <w:r>
              <w:rPr>
                <w:rFonts w:ascii="Times New Roman"/>
                <w:sz w:val="21"/>
              </w:rPr>
              <w:t>6,085</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35" w:right="0"/>
              <w:jc w:val="center"/>
              <w:rPr>
                <w:rFonts w:ascii="Times New Roman" w:hAnsi="Times New Roman" w:cs="Times New Roman" w:eastAsia="Times New Roman" w:hint="default"/>
                <w:sz w:val="21"/>
                <w:szCs w:val="21"/>
              </w:rPr>
            </w:pPr>
            <w:r>
              <w:rPr>
                <w:rFonts w:ascii="Times New Roman"/>
                <w:sz w:val="21"/>
              </w:rPr>
              <w:t>9,670</w:t>
            </w:r>
          </w:p>
          <w:p>
            <w:pPr>
              <w:pStyle w:val="TableParagraph"/>
              <w:spacing w:line="241" w:lineRule="exact"/>
              <w:ind w:left="141" w:right="0"/>
              <w:jc w:val="center"/>
              <w:rPr>
                <w:rFonts w:ascii="Times New Roman" w:hAnsi="Times New Roman" w:cs="Times New Roman" w:eastAsia="Times New Roman" w:hint="default"/>
                <w:sz w:val="21"/>
                <w:szCs w:val="21"/>
              </w:rPr>
            </w:pPr>
            <w:r>
              <w:rPr>
                <w:rFonts w:ascii="Times New Roman"/>
                <w:sz w:val="21"/>
              </w:rPr>
              <w:t>,335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9" w:right="0"/>
              <w:jc w:val="center"/>
              <w:rPr>
                <w:rFonts w:ascii="Times New Roman" w:hAnsi="Times New Roman" w:cs="Times New Roman" w:eastAsia="Times New Roman" w:hint="default"/>
                <w:sz w:val="21"/>
                <w:szCs w:val="21"/>
              </w:rPr>
            </w:pPr>
            <w:r>
              <w:rPr>
                <w:rFonts w:ascii="Times New Roman"/>
                <w:sz w:val="21"/>
              </w:rPr>
              <w:t>571,66</w:t>
            </w:r>
          </w:p>
          <w:p>
            <w:pPr>
              <w:pStyle w:val="TableParagraph"/>
              <w:spacing w:line="241" w:lineRule="exact"/>
              <w:ind w:left="115" w:right="0"/>
              <w:jc w:val="center"/>
              <w:rPr>
                <w:rFonts w:ascii="Times New Roman" w:hAnsi="Times New Roman" w:cs="Times New Roman" w:eastAsia="Times New Roman" w:hint="default"/>
                <w:sz w:val="21"/>
                <w:szCs w:val="21"/>
              </w:rPr>
            </w:pPr>
            <w:r>
              <w:rPr>
                <w:rFonts w:ascii="Times New Roman"/>
                <w:sz w:val="21"/>
              </w:rPr>
              <w:t>6,420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98"/>
              <w:jc w:val="right"/>
              <w:rPr>
                <w:rFonts w:ascii="Times New Roman" w:hAnsi="Times New Roman" w:cs="Times New Roman" w:eastAsia="Times New Roman" w:hint="default"/>
                <w:sz w:val="21"/>
                <w:szCs w:val="21"/>
              </w:rPr>
            </w:pPr>
            <w:r>
              <w:rPr>
                <w:rFonts w:ascii="Times New Roman"/>
                <w:sz w:val="21"/>
              </w:rPr>
              <w:t>157,6</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26,40</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3</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41" w:right="0"/>
              <w:jc w:val="left"/>
              <w:rPr>
                <w:rFonts w:ascii="Times New Roman" w:hAnsi="Times New Roman" w:cs="Times New Roman" w:eastAsia="Times New Roman" w:hint="default"/>
                <w:sz w:val="21"/>
                <w:szCs w:val="21"/>
              </w:rPr>
            </w:pPr>
            <w:r>
              <w:rPr>
                <w:rFonts w:ascii="Times New Roman"/>
                <w:sz w:val="21"/>
              </w:rPr>
              <w:t>720,</w:t>
            </w:r>
          </w:p>
          <w:p>
            <w:pPr>
              <w:pStyle w:val="TableParagraph"/>
              <w:spacing w:line="241" w:lineRule="exact"/>
              <w:ind w:left="195" w:right="0"/>
              <w:jc w:val="left"/>
              <w:rPr>
                <w:rFonts w:ascii="Times New Roman" w:hAnsi="Times New Roman" w:cs="Times New Roman" w:eastAsia="Times New Roman" w:hint="default"/>
                <w:sz w:val="21"/>
                <w:szCs w:val="21"/>
              </w:rPr>
            </w:pPr>
            <w:r>
              <w:rPr>
                <w:rFonts w:ascii="Times New Roman"/>
                <w:sz w:val="21"/>
              </w:rPr>
              <w:t>000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98"/>
              <w:jc w:val="right"/>
              <w:rPr>
                <w:rFonts w:ascii="Times New Roman" w:hAnsi="Times New Roman" w:cs="Times New Roman" w:eastAsia="Times New Roman" w:hint="default"/>
                <w:sz w:val="21"/>
                <w:szCs w:val="21"/>
              </w:rPr>
            </w:pPr>
            <w:r>
              <w:rPr>
                <w:rFonts w:ascii="Times New Roman"/>
                <w:sz w:val="21"/>
              </w:rPr>
              <w:t>158,3</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46,40</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3</w:t>
            </w:r>
          </w:p>
        </w:tc>
      </w:tr>
      <w:tr>
        <w:trPr>
          <w:trHeight w:val="1256" w:hRule="exact"/>
        </w:trPr>
        <w:tc>
          <w:tcPr>
            <w:tcW w:w="33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both"/>
              <w:rPr>
                <w:rFonts w:ascii="宋体" w:hAnsi="宋体" w:cs="宋体" w:eastAsia="宋体" w:hint="default"/>
                <w:sz w:val="24"/>
                <w:szCs w:val="24"/>
              </w:rPr>
            </w:pPr>
            <w:r>
              <w:rPr>
                <w:rFonts w:ascii="宋体" w:hAnsi="宋体" w:cs="宋体" w:eastAsia="宋体" w:hint="default"/>
                <w:sz w:val="24"/>
                <w:szCs w:val="24"/>
              </w:rPr>
              <w:t>用</w:t>
            </w:r>
          </w:p>
          <w:p>
            <w:pPr>
              <w:pStyle w:val="TableParagraph"/>
              <w:spacing w:line="237" w:lineRule="auto"/>
              <w:ind w:left="100" w:right="-19"/>
              <w:jc w:val="both"/>
              <w:rPr>
                <w:rFonts w:ascii="宋体" w:hAnsi="宋体" w:cs="宋体" w:eastAsia="宋体" w:hint="default"/>
                <w:sz w:val="24"/>
                <w:szCs w:val="24"/>
              </w:rPr>
            </w:pPr>
            <w:r>
              <w:rPr>
                <w:rFonts w:ascii="宋体" w:hAnsi="宋体" w:cs="宋体" w:eastAsia="宋体" w:hint="default"/>
                <w:sz w:val="24"/>
                <w:szCs w:val="24"/>
              </w:rPr>
              <w:t>友 金 融</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7" w:right="0"/>
              <w:jc w:val="center"/>
              <w:rPr>
                <w:rFonts w:ascii="Times New Roman" w:hAnsi="Times New Roman" w:cs="Times New Roman" w:eastAsia="Times New Roman" w:hint="default"/>
                <w:sz w:val="21"/>
                <w:szCs w:val="21"/>
              </w:rPr>
            </w:pPr>
            <w:r>
              <w:rPr>
                <w:rFonts w:ascii="Times New Roman"/>
                <w:sz w:val="21"/>
              </w:rPr>
              <w:t>291,30</w:t>
            </w:r>
          </w:p>
          <w:p>
            <w:pPr>
              <w:pStyle w:val="TableParagraph"/>
              <w:spacing w:line="241" w:lineRule="exact"/>
              <w:ind w:left="112" w:right="0"/>
              <w:jc w:val="center"/>
              <w:rPr>
                <w:rFonts w:ascii="Times New Roman" w:hAnsi="Times New Roman" w:cs="Times New Roman" w:eastAsia="Times New Roman" w:hint="default"/>
                <w:sz w:val="21"/>
                <w:szCs w:val="21"/>
              </w:rPr>
            </w:pPr>
            <w:r>
              <w:rPr>
                <w:rFonts w:ascii="Times New Roman"/>
                <w:sz w:val="21"/>
              </w:rPr>
              <w:t>9,233</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6" w:right="0"/>
              <w:jc w:val="left"/>
              <w:rPr>
                <w:rFonts w:ascii="Times New Roman" w:hAnsi="Times New Roman" w:cs="Times New Roman" w:eastAsia="Times New Roman" w:hint="default"/>
                <w:sz w:val="21"/>
                <w:szCs w:val="21"/>
              </w:rPr>
            </w:pPr>
            <w:r>
              <w:rPr>
                <w:rFonts w:ascii="Times New Roman"/>
                <w:sz w:val="21"/>
              </w:rPr>
              <w:t>87,99</w:t>
            </w:r>
          </w:p>
          <w:p>
            <w:pPr>
              <w:pStyle w:val="TableParagraph"/>
              <w:spacing w:line="241" w:lineRule="exact"/>
              <w:ind w:left="136" w:right="0"/>
              <w:jc w:val="left"/>
              <w:rPr>
                <w:rFonts w:ascii="Times New Roman" w:hAnsi="Times New Roman" w:cs="Times New Roman" w:eastAsia="Times New Roman" w:hint="default"/>
                <w:sz w:val="21"/>
                <w:szCs w:val="21"/>
              </w:rPr>
            </w:pPr>
            <w:r>
              <w:rPr>
                <w:rFonts w:ascii="Times New Roman"/>
                <w:sz w:val="21"/>
              </w:rPr>
              <w:t>1,287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4" w:right="0"/>
              <w:jc w:val="center"/>
              <w:rPr>
                <w:rFonts w:ascii="Times New Roman" w:hAnsi="Times New Roman" w:cs="Times New Roman" w:eastAsia="Times New Roman" w:hint="default"/>
                <w:sz w:val="21"/>
                <w:szCs w:val="21"/>
              </w:rPr>
            </w:pPr>
            <w:r>
              <w:rPr>
                <w:rFonts w:ascii="Times New Roman"/>
                <w:sz w:val="21"/>
              </w:rPr>
              <w:t>379,30</w:t>
            </w:r>
          </w:p>
          <w:p>
            <w:pPr>
              <w:pStyle w:val="TableParagraph"/>
              <w:spacing w:line="241" w:lineRule="exact"/>
              <w:ind w:left="110" w:right="0"/>
              <w:jc w:val="center"/>
              <w:rPr>
                <w:rFonts w:ascii="Times New Roman" w:hAnsi="Times New Roman" w:cs="Times New Roman" w:eastAsia="Times New Roman" w:hint="default"/>
                <w:sz w:val="21"/>
                <w:szCs w:val="21"/>
              </w:rPr>
            </w:pPr>
            <w:r>
              <w:rPr>
                <w:rFonts w:ascii="Times New Roman"/>
                <w:sz w:val="21"/>
              </w:rPr>
              <w:t>0,520</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107,1</w:t>
            </w:r>
          </w:p>
          <w:p>
            <w:pPr>
              <w:pStyle w:val="TableParagraph"/>
              <w:spacing w:line="241" w:lineRule="exact"/>
              <w:ind w:right="98"/>
              <w:jc w:val="right"/>
              <w:rPr>
                <w:rFonts w:ascii="Times New Roman" w:hAnsi="Times New Roman" w:cs="Times New Roman" w:eastAsia="Times New Roman" w:hint="default"/>
                <w:sz w:val="21"/>
                <w:szCs w:val="21"/>
              </w:rPr>
            </w:pPr>
            <w:r>
              <w:rPr>
                <w:rFonts w:ascii="Times New Roman"/>
                <w:sz w:val="21"/>
              </w:rPr>
              <w:t>72,13</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1</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1"/>
              <w:jc w:val="right"/>
              <w:rPr>
                <w:rFonts w:ascii="Times New Roman" w:hAnsi="Times New Roman" w:cs="Times New Roman" w:eastAsia="Times New Roman" w:hint="default"/>
                <w:sz w:val="21"/>
                <w:szCs w:val="21"/>
              </w:rPr>
            </w:pPr>
            <w:r>
              <w:rPr>
                <w:rFonts w:ascii="Times New Roman"/>
                <w:sz w:val="21"/>
              </w:rPr>
              <w:t>107,1</w:t>
            </w:r>
          </w:p>
          <w:p>
            <w:pPr>
              <w:pStyle w:val="TableParagraph"/>
              <w:spacing w:line="241" w:lineRule="exact"/>
              <w:ind w:right="101"/>
              <w:jc w:val="right"/>
              <w:rPr>
                <w:rFonts w:ascii="Times New Roman" w:hAnsi="Times New Roman" w:cs="Times New Roman" w:eastAsia="Times New Roman" w:hint="default"/>
                <w:sz w:val="21"/>
                <w:szCs w:val="21"/>
              </w:rPr>
            </w:pPr>
            <w:r>
              <w:rPr>
                <w:rFonts w:ascii="Times New Roman"/>
                <w:sz w:val="21"/>
              </w:rPr>
              <w:t>72,13</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4" w:right="0"/>
              <w:jc w:val="center"/>
              <w:rPr>
                <w:rFonts w:ascii="Times New Roman" w:hAnsi="Times New Roman" w:cs="Times New Roman" w:eastAsia="Times New Roman" w:hint="default"/>
                <w:sz w:val="21"/>
                <w:szCs w:val="21"/>
              </w:rPr>
            </w:pPr>
            <w:r>
              <w:rPr>
                <w:rFonts w:ascii="Times New Roman"/>
                <w:sz w:val="21"/>
              </w:rPr>
              <w:t>213,36</w:t>
            </w:r>
          </w:p>
          <w:p>
            <w:pPr>
              <w:pStyle w:val="TableParagraph"/>
              <w:spacing w:line="241" w:lineRule="exact"/>
              <w:ind w:left="110" w:right="0"/>
              <w:jc w:val="center"/>
              <w:rPr>
                <w:rFonts w:ascii="Times New Roman" w:hAnsi="Times New Roman" w:cs="Times New Roman" w:eastAsia="Times New Roman" w:hint="default"/>
                <w:sz w:val="21"/>
                <w:szCs w:val="21"/>
              </w:rPr>
            </w:pPr>
            <w:r>
              <w:rPr>
                <w:rFonts w:ascii="Times New Roman"/>
                <w:sz w:val="21"/>
              </w:rPr>
              <w:t>4,525</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6" w:right="0"/>
              <w:jc w:val="left"/>
              <w:rPr>
                <w:rFonts w:ascii="Times New Roman" w:hAnsi="Times New Roman" w:cs="Times New Roman" w:eastAsia="Times New Roman" w:hint="default"/>
                <w:sz w:val="21"/>
                <w:szCs w:val="21"/>
              </w:rPr>
            </w:pPr>
            <w:r>
              <w:rPr>
                <w:rFonts w:ascii="Times New Roman"/>
                <w:sz w:val="21"/>
              </w:rPr>
              <w:t>89,14</w:t>
            </w:r>
          </w:p>
          <w:p>
            <w:pPr>
              <w:pStyle w:val="TableParagraph"/>
              <w:spacing w:line="241" w:lineRule="exact"/>
              <w:ind w:left="136" w:right="0"/>
              <w:jc w:val="left"/>
              <w:rPr>
                <w:rFonts w:ascii="Times New Roman" w:hAnsi="Times New Roman" w:cs="Times New Roman" w:eastAsia="Times New Roman" w:hint="default"/>
                <w:sz w:val="21"/>
                <w:szCs w:val="21"/>
              </w:rPr>
            </w:pPr>
            <w:r>
              <w:rPr>
                <w:rFonts w:ascii="Times New Roman"/>
                <w:sz w:val="21"/>
              </w:rPr>
              <w:t>5,804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9" w:right="0"/>
              <w:jc w:val="center"/>
              <w:rPr>
                <w:rFonts w:ascii="Times New Roman" w:hAnsi="Times New Roman" w:cs="Times New Roman" w:eastAsia="Times New Roman" w:hint="default"/>
                <w:sz w:val="21"/>
                <w:szCs w:val="21"/>
              </w:rPr>
            </w:pPr>
            <w:r>
              <w:rPr>
                <w:rFonts w:ascii="Times New Roman"/>
                <w:sz w:val="21"/>
              </w:rPr>
              <w:t>302,51</w:t>
            </w:r>
          </w:p>
          <w:p>
            <w:pPr>
              <w:pStyle w:val="TableParagraph"/>
              <w:spacing w:line="241" w:lineRule="exact"/>
              <w:ind w:left="115" w:right="0"/>
              <w:jc w:val="center"/>
              <w:rPr>
                <w:rFonts w:ascii="Times New Roman" w:hAnsi="Times New Roman" w:cs="Times New Roman" w:eastAsia="Times New Roman" w:hint="default"/>
                <w:sz w:val="21"/>
                <w:szCs w:val="21"/>
              </w:rPr>
            </w:pPr>
            <w:r>
              <w:rPr>
                <w:rFonts w:ascii="Times New Roman"/>
                <w:sz w:val="21"/>
              </w:rPr>
              <w:t>0,329</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6" w:right="0"/>
              <w:jc w:val="left"/>
              <w:rPr>
                <w:rFonts w:ascii="Times New Roman" w:hAnsi="Times New Roman" w:cs="Times New Roman" w:eastAsia="Times New Roman" w:hint="default"/>
                <w:sz w:val="21"/>
                <w:szCs w:val="21"/>
              </w:rPr>
            </w:pPr>
            <w:r>
              <w:rPr>
                <w:rFonts w:ascii="Times New Roman"/>
                <w:sz w:val="21"/>
              </w:rPr>
              <w:t>82,28</w:t>
            </w:r>
          </w:p>
          <w:p>
            <w:pPr>
              <w:pStyle w:val="TableParagraph"/>
              <w:spacing w:line="241" w:lineRule="exact"/>
              <w:ind w:left="136" w:right="0"/>
              <w:jc w:val="left"/>
              <w:rPr>
                <w:rFonts w:ascii="Times New Roman" w:hAnsi="Times New Roman" w:cs="Times New Roman" w:eastAsia="Times New Roman" w:hint="default"/>
                <w:sz w:val="21"/>
                <w:szCs w:val="21"/>
              </w:rPr>
            </w:pPr>
            <w:r>
              <w:rPr>
                <w:rFonts w:ascii="Times New Roman"/>
                <w:sz w:val="21"/>
              </w:rPr>
              <w:t>7,256</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6" w:right="0"/>
              <w:jc w:val="left"/>
              <w:rPr>
                <w:rFonts w:ascii="Times New Roman" w:hAnsi="Times New Roman" w:cs="Times New Roman" w:eastAsia="Times New Roman" w:hint="default"/>
                <w:sz w:val="21"/>
                <w:szCs w:val="21"/>
              </w:rPr>
            </w:pPr>
            <w:r>
              <w:rPr>
                <w:rFonts w:ascii="Times New Roman"/>
                <w:sz w:val="21"/>
              </w:rPr>
              <w:t>82,28</w:t>
            </w:r>
          </w:p>
          <w:p>
            <w:pPr>
              <w:pStyle w:val="TableParagraph"/>
              <w:spacing w:line="241" w:lineRule="exact"/>
              <w:ind w:left="136" w:right="0"/>
              <w:jc w:val="left"/>
              <w:rPr>
                <w:rFonts w:ascii="Times New Roman" w:hAnsi="Times New Roman" w:cs="Times New Roman" w:eastAsia="Times New Roman" w:hint="default"/>
                <w:sz w:val="21"/>
                <w:szCs w:val="21"/>
              </w:rPr>
            </w:pPr>
            <w:r>
              <w:rPr>
                <w:rFonts w:ascii="Times New Roman"/>
                <w:sz w:val="21"/>
              </w:rPr>
              <w:t>7,256</w:t>
            </w:r>
          </w:p>
        </w:tc>
      </w:tr>
      <w:tr>
        <w:trPr>
          <w:trHeight w:val="322" w:hRule="exact"/>
        </w:trPr>
        <w:tc>
          <w:tcPr>
            <w:tcW w:w="332"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0" w:right="-19"/>
              <w:jc w:val="left"/>
              <w:rPr>
                <w:rFonts w:ascii="宋体" w:hAnsi="宋体" w:cs="宋体" w:eastAsia="宋体" w:hint="default"/>
                <w:sz w:val="24"/>
                <w:szCs w:val="24"/>
              </w:rPr>
            </w:pPr>
            <w:r>
              <w:rPr>
                <w:rFonts w:ascii="宋体" w:hAnsi="宋体" w:cs="宋体" w:eastAsia="宋体" w:hint="default"/>
                <w:sz w:val="24"/>
                <w:szCs w:val="24"/>
              </w:rPr>
              <w:t>新</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8" w:right="0"/>
              <w:jc w:val="left"/>
              <w:rPr>
                <w:rFonts w:ascii="Times New Roman" w:hAnsi="Times New Roman" w:cs="Times New Roman" w:eastAsia="Times New Roman" w:hint="default"/>
                <w:sz w:val="21"/>
                <w:szCs w:val="21"/>
              </w:rPr>
            </w:pPr>
            <w:r>
              <w:rPr>
                <w:rFonts w:ascii="Times New Roman"/>
                <w:sz w:val="21"/>
              </w:rPr>
              <w:t>550,08</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6" w:right="0"/>
              <w:jc w:val="left"/>
              <w:rPr>
                <w:rFonts w:ascii="Times New Roman" w:hAnsi="Times New Roman" w:cs="Times New Roman" w:eastAsia="Times New Roman" w:hint="default"/>
                <w:sz w:val="21"/>
                <w:szCs w:val="21"/>
              </w:rPr>
            </w:pPr>
            <w:r>
              <w:rPr>
                <w:rFonts w:ascii="Times New Roman"/>
                <w:sz w:val="21"/>
              </w:rPr>
              <w:t>75,96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Times New Roman" w:hAnsi="Times New Roman" w:cs="Times New Roman" w:eastAsia="Times New Roman" w:hint="default"/>
                <w:sz w:val="21"/>
                <w:szCs w:val="21"/>
              </w:rPr>
            </w:pPr>
            <w:r>
              <w:rPr>
                <w:rFonts w:ascii="Times New Roman"/>
                <w:sz w:val="21"/>
              </w:rPr>
              <w:t>626,05</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7" w:right="0"/>
              <w:jc w:val="left"/>
              <w:rPr>
                <w:rFonts w:ascii="Times New Roman" w:hAnsi="Times New Roman" w:cs="Times New Roman" w:eastAsia="Times New Roman" w:hint="default"/>
                <w:sz w:val="21"/>
                <w:szCs w:val="21"/>
              </w:rPr>
            </w:pPr>
            <w:r>
              <w:rPr>
                <w:rFonts w:ascii="Times New Roman"/>
                <w:sz w:val="21"/>
              </w:rPr>
              <w:t>147,0</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204,</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4" w:right="0"/>
              <w:jc w:val="left"/>
              <w:rPr>
                <w:rFonts w:ascii="Times New Roman" w:hAnsi="Times New Roman" w:cs="Times New Roman" w:eastAsia="Times New Roman" w:hint="default"/>
                <w:sz w:val="21"/>
                <w:szCs w:val="21"/>
              </w:rPr>
            </w:pPr>
            <w:r>
              <w:rPr>
                <w:rFonts w:ascii="Times New Roman"/>
                <w:sz w:val="21"/>
              </w:rPr>
              <w:t>147,2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5" w:right="0"/>
              <w:jc w:val="left"/>
              <w:rPr>
                <w:rFonts w:ascii="Times New Roman" w:hAnsi="Times New Roman" w:cs="Times New Roman" w:eastAsia="Times New Roman" w:hint="default"/>
                <w:sz w:val="21"/>
                <w:szCs w:val="21"/>
              </w:rPr>
            </w:pPr>
            <w:r>
              <w:rPr>
                <w:rFonts w:ascii="Times New Roman"/>
                <w:sz w:val="21"/>
              </w:rPr>
              <w:t>586,04</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6" w:right="0"/>
              <w:jc w:val="left"/>
              <w:rPr>
                <w:rFonts w:ascii="Times New Roman" w:hAnsi="Times New Roman" w:cs="Times New Roman" w:eastAsia="Times New Roman" w:hint="default"/>
                <w:sz w:val="21"/>
                <w:szCs w:val="21"/>
              </w:rPr>
            </w:pPr>
            <w:r>
              <w:rPr>
                <w:rFonts w:ascii="Times New Roman"/>
                <w:sz w:val="21"/>
              </w:rPr>
              <w:t>65,98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07" w:right="0"/>
              <w:jc w:val="left"/>
              <w:rPr>
                <w:rFonts w:ascii="Times New Roman" w:hAnsi="Times New Roman" w:cs="Times New Roman" w:eastAsia="Times New Roman" w:hint="default"/>
                <w:sz w:val="21"/>
                <w:szCs w:val="21"/>
              </w:rPr>
            </w:pPr>
            <w:r>
              <w:rPr>
                <w:rFonts w:ascii="Times New Roman"/>
                <w:sz w:val="21"/>
              </w:rPr>
              <w:t>652,02</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6" w:right="0"/>
              <w:jc w:val="left"/>
              <w:rPr>
                <w:rFonts w:ascii="Times New Roman" w:hAnsi="Times New Roman" w:cs="Times New Roman" w:eastAsia="Times New Roman" w:hint="default"/>
                <w:sz w:val="21"/>
                <w:szCs w:val="21"/>
              </w:rPr>
            </w:pPr>
            <w:r>
              <w:rPr>
                <w:rFonts w:ascii="Times New Roman"/>
                <w:sz w:val="21"/>
              </w:rPr>
              <w:t>175,4</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9"/>
              <w:jc w:val="right"/>
              <w:rPr>
                <w:rFonts w:ascii="Times New Roman" w:hAnsi="Times New Roman" w:cs="Times New Roman" w:eastAsia="Times New Roman" w:hint="default"/>
                <w:sz w:val="21"/>
                <w:szCs w:val="21"/>
              </w:rPr>
            </w:pPr>
            <w:r>
              <w:rPr>
                <w:rFonts w:ascii="Times New Roman"/>
                <w:sz w:val="21"/>
              </w:rPr>
              <w:t>210,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36" w:right="0"/>
              <w:jc w:val="left"/>
              <w:rPr>
                <w:rFonts w:ascii="Times New Roman" w:hAnsi="Times New Roman" w:cs="Times New Roman" w:eastAsia="Times New Roman" w:hint="default"/>
                <w:sz w:val="21"/>
                <w:szCs w:val="21"/>
              </w:rPr>
            </w:pPr>
            <w:r>
              <w:rPr>
                <w:rFonts w:ascii="Times New Roman"/>
                <w:sz w:val="21"/>
              </w:rPr>
              <w:t>175,6</w:t>
            </w:r>
          </w:p>
        </w:tc>
      </w:tr>
    </w:tbl>
    <w:p>
      <w:pPr>
        <w:spacing w:after="0" w:line="237" w:lineRule="exact"/>
        <w:jc w:val="left"/>
        <w:rPr>
          <w:rFonts w:ascii="Times New Roman" w:hAnsi="Times New Roman" w:cs="Times New Roman" w:eastAsia="Times New Roman" w:hint="default"/>
          <w:sz w:val="21"/>
          <w:szCs w:val="21"/>
        </w:rPr>
        <w:sectPr>
          <w:type w:val="continuous"/>
          <w:pgSz w:w="11910" w:h="16850"/>
          <w:pgMar w:top="1120" w:bottom="1380" w:left="1000" w:right="15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13" w:type="dxa"/>
        <w:tblLayout w:type="fixed"/>
        <w:tblCellMar>
          <w:top w:w="0" w:type="dxa"/>
          <w:left w:w="0" w:type="dxa"/>
          <w:bottom w:w="0" w:type="dxa"/>
          <w:right w:w="0" w:type="dxa"/>
        </w:tblCellMar>
        <w:tblLook w:val="01E0"/>
      </w:tblPr>
      <w:tblGrid>
        <w:gridCol w:w="332"/>
        <w:gridCol w:w="799"/>
        <w:gridCol w:w="725"/>
        <w:gridCol w:w="797"/>
        <w:gridCol w:w="723"/>
        <w:gridCol w:w="622"/>
        <w:gridCol w:w="722"/>
        <w:gridCol w:w="797"/>
        <w:gridCol w:w="722"/>
        <w:gridCol w:w="797"/>
        <w:gridCol w:w="722"/>
        <w:gridCol w:w="622"/>
        <w:gridCol w:w="722"/>
      </w:tblGrid>
      <w:tr>
        <w:trPr>
          <w:trHeight w:val="944" w:hRule="exact"/>
        </w:trPr>
        <w:tc>
          <w:tcPr>
            <w:tcW w:w="3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19"/>
              <w:jc w:val="left"/>
              <w:rPr>
                <w:rFonts w:ascii="宋体" w:hAnsi="宋体" w:cs="宋体" w:eastAsia="宋体" w:hint="default"/>
                <w:sz w:val="24"/>
                <w:szCs w:val="24"/>
              </w:rPr>
            </w:pPr>
            <w:r>
              <w:rPr>
                <w:rFonts w:ascii="宋体" w:hAnsi="宋体" w:cs="宋体" w:eastAsia="宋体" w:hint="default"/>
                <w:sz w:val="24"/>
                <w:szCs w:val="24"/>
              </w:rPr>
              <w:t>道</w:t>
            </w:r>
          </w:p>
          <w:p>
            <w:pPr>
              <w:pStyle w:val="TableParagraph"/>
              <w:spacing w:line="312" w:lineRule="exact" w:before="29"/>
              <w:ind w:left="100" w:right="-19"/>
              <w:jc w:val="left"/>
              <w:rPr>
                <w:rFonts w:ascii="宋体" w:hAnsi="宋体" w:cs="宋体" w:eastAsia="宋体" w:hint="default"/>
                <w:sz w:val="24"/>
                <w:szCs w:val="24"/>
              </w:rPr>
            </w:pPr>
            <w:r>
              <w:rPr>
                <w:rFonts w:ascii="宋体" w:hAnsi="宋体" w:cs="宋体" w:eastAsia="宋体" w:hint="default"/>
                <w:sz w:val="24"/>
                <w:szCs w:val="24"/>
              </w:rPr>
              <w:t>科 技</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13" w:right="0"/>
              <w:jc w:val="left"/>
              <w:rPr>
                <w:rFonts w:ascii="Times New Roman" w:hAnsi="Times New Roman" w:cs="Times New Roman" w:eastAsia="Times New Roman" w:hint="default"/>
                <w:sz w:val="21"/>
                <w:szCs w:val="21"/>
              </w:rPr>
            </w:pPr>
            <w:r>
              <w:rPr>
                <w:rFonts w:ascii="Times New Roman"/>
                <w:sz w:val="21"/>
              </w:rPr>
              <w:t>6,261</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36" w:right="0"/>
              <w:jc w:val="left"/>
              <w:rPr>
                <w:rFonts w:ascii="Times New Roman" w:hAnsi="Times New Roman" w:cs="Times New Roman" w:eastAsia="Times New Roman" w:hint="default"/>
                <w:sz w:val="21"/>
                <w:szCs w:val="21"/>
              </w:rPr>
            </w:pPr>
            <w:r>
              <w:rPr>
                <w:rFonts w:ascii="Times New Roman"/>
                <w:sz w:val="21"/>
              </w:rPr>
              <w:t>5,954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11" w:right="0"/>
              <w:jc w:val="left"/>
              <w:rPr>
                <w:rFonts w:ascii="Times New Roman" w:hAnsi="Times New Roman" w:cs="Times New Roman" w:eastAsia="Times New Roman" w:hint="default"/>
                <w:sz w:val="21"/>
                <w:szCs w:val="21"/>
              </w:rPr>
            </w:pPr>
            <w:r>
              <w:rPr>
                <w:rFonts w:ascii="Times New Roman"/>
                <w:sz w:val="21"/>
              </w:rPr>
              <w:t>2,215</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09,11</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5</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94" w:right="0"/>
              <w:jc w:val="left"/>
              <w:rPr>
                <w:rFonts w:ascii="Times New Roman" w:hAnsi="Times New Roman" w:cs="Times New Roman" w:eastAsia="Times New Roman" w:hint="default"/>
                <w:sz w:val="21"/>
                <w:szCs w:val="21"/>
              </w:rPr>
            </w:pPr>
            <w:r>
              <w:rPr>
                <w:rFonts w:ascii="Times New Roman"/>
                <w:sz w:val="21"/>
              </w:rPr>
              <w:t>167</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1"/>
              <w:jc w:val="right"/>
              <w:rPr>
                <w:rFonts w:ascii="Times New Roman" w:hAnsi="Times New Roman" w:cs="Times New Roman" w:eastAsia="Times New Roman" w:hint="default"/>
                <w:sz w:val="21"/>
                <w:szCs w:val="21"/>
              </w:rPr>
            </w:pPr>
            <w:r>
              <w:rPr>
                <w:rFonts w:ascii="Times New Roman"/>
                <w:sz w:val="21"/>
              </w:rPr>
              <w:t>13,28</w:t>
            </w:r>
          </w:p>
          <w:p>
            <w:pPr>
              <w:pStyle w:val="TableParagraph"/>
              <w:spacing w:line="240" w:lineRule="auto" w:before="1"/>
              <w:ind w:right="103"/>
              <w:jc w:val="right"/>
              <w:rPr>
                <w:rFonts w:ascii="Times New Roman" w:hAnsi="Times New Roman" w:cs="Times New Roman" w:eastAsia="Times New Roman" w:hint="default"/>
                <w:sz w:val="21"/>
                <w:szCs w:val="21"/>
              </w:rPr>
            </w:pPr>
            <w:r>
              <w:rPr>
                <w:rFonts w:ascii="Times New Roman"/>
                <w:w w:val="100"/>
                <w:sz w:val="21"/>
              </w:rPr>
              <w:t>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11" w:right="0"/>
              <w:jc w:val="left"/>
              <w:rPr>
                <w:rFonts w:ascii="Times New Roman" w:hAnsi="Times New Roman" w:cs="Times New Roman" w:eastAsia="Times New Roman" w:hint="default"/>
                <w:sz w:val="21"/>
                <w:szCs w:val="21"/>
              </w:rPr>
            </w:pPr>
            <w:r>
              <w:rPr>
                <w:rFonts w:ascii="Times New Roman"/>
                <w:sz w:val="21"/>
              </w:rPr>
              <w:t>5,059</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36" w:right="0"/>
              <w:jc w:val="left"/>
              <w:rPr>
                <w:rFonts w:ascii="Times New Roman" w:hAnsi="Times New Roman" w:cs="Times New Roman" w:eastAsia="Times New Roman" w:hint="default"/>
                <w:sz w:val="21"/>
                <w:szCs w:val="21"/>
              </w:rPr>
            </w:pPr>
            <w:r>
              <w:rPr>
                <w:rFonts w:ascii="Times New Roman"/>
                <w:sz w:val="21"/>
              </w:rPr>
              <w:t>3,967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13" w:right="0"/>
              <w:jc w:val="left"/>
              <w:rPr>
                <w:rFonts w:ascii="Times New Roman" w:hAnsi="Times New Roman" w:cs="Times New Roman" w:eastAsia="Times New Roman" w:hint="default"/>
                <w:sz w:val="21"/>
                <w:szCs w:val="21"/>
              </w:rPr>
            </w:pPr>
            <w:r>
              <w:rPr>
                <w:rFonts w:ascii="Times New Roman"/>
                <w:sz w:val="21"/>
              </w:rPr>
              <w:t>9,026</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69,56</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7</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95" w:right="0"/>
              <w:jc w:val="left"/>
              <w:rPr>
                <w:rFonts w:ascii="Times New Roman" w:hAnsi="Times New Roman" w:cs="Times New Roman" w:eastAsia="Times New Roman" w:hint="default"/>
                <w:sz w:val="21"/>
                <w:szCs w:val="21"/>
              </w:rPr>
            </w:pPr>
            <w:r>
              <w:rPr>
                <w:rFonts w:ascii="Times New Roman"/>
                <w:sz w:val="21"/>
              </w:rPr>
              <w:t>417</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79,98</w:t>
            </w:r>
          </w:p>
          <w:p>
            <w:pPr>
              <w:pStyle w:val="TableParagraph"/>
              <w:spacing w:line="240" w:lineRule="auto" w:before="1"/>
              <w:ind w:right="101"/>
              <w:jc w:val="right"/>
              <w:rPr>
                <w:rFonts w:ascii="Times New Roman" w:hAnsi="Times New Roman" w:cs="Times New Roman" w:eastAsia="Times New Roman" w:hint="default"/>
                <w:sz w:val="21"/>
                <w:szCs w:val="21"/>
              </w:rPr>
            </w:pPr>
            <w:r>
              <w:rPr>
                <w:rFonts w:ascii="Times New Roman"/>
                <w:w w:val="100"/>
                <w:sz w:val="21"/>
              </w:rPr>
              <w:t>4</w:t>
            </w:r>
          </w:p>
        </w:tc>
      </w:tr>
    </w:tbl>
    <w:p>
      <w:pPr>
        <w:spacing w:line="240" w:lineRule="auto" w:before="1"/>
        <w:rPr>
          <w:rFonts w:ascii="宋体" w:hAnsi="宋体" w:cs="宋体" w:eastAsia="宋体" w:hint="default"/>
          <w:sz w:val="21"/>
          <w:szCs w:val="21"/>
        </w:rPr>
      </w:pPr>
    </w:p>
    <w:tbl>
      <w:tblPr>
        <w:tblW w:w="0" w:type="auto"/>
        <w:jc w:val="left"/>
        <w:tblInd w:w="685" w:type="dxa"/>
        <w:tblLayout w:type="fixed"/>
        <w:tblCellMar>
          <w:top w:w="0" w:type="dxa"/>
          <w:left w:w="0" w:type="dxa"/>
          <w:bottom w:w="0" w:type="dxa"/>
          <w:right w:w="0" w:type="dxa"/>
        </w:tblCellMar>
        <w:tblLook w:val="01E0"/>
      </w:tblPr>
      <w:tblGrid>
        <w:gridCol w:w="377"/>
        <w:gridCol w:w="1020"/>
        <w:gridCol w:w="1018"/>
        <w:gridCol w:w="1020"/>
        <w:gridCol w:w="1018"/>
        <w:gridCol w:w="1020"/>
        <w:gridCol w:w="1020"/>
        <w:gridCol w:w="1018"/>
        <w:gridCol w:w="1020"/>
      </w:tblGrid>
      <w:tr>
        <w:trPr>
          <w:trHeight w:val="370" w:hRule="exact"/>
        </w:trPr>
        <w:tc>
          <w:tcPr>
            <w:tcW w:w="377" w:type="dxa"/>
            <w:vMerge w:val="restart"/>
            <w:tcBorders>
              <w:top w:val="single" w:sz="4" w:space="0" w:color="000000"/>
              <w:left w:val="single" w:sz="4" w:space="0" w:color="000000"/>
              <w:right w:val="single" w:sz="4" w:space="0" w:color="000000"/>
            </w:tcBorders>
          </w:tcPr>
          <w:p>
            <w:pPr>
              <w:pStyle w:val="TableParagraph"/>
              <w:spacing w:line="279" w:lineRule="exact"/>
              <w:ind w:left="103" w:right="0"/>
              <w:jc w:val="both"/>
              <w:rPr>
                <w:rFonts w:ascii="宋体" w:hAnsi="宋体" w:cs="宋体" w:eastAsia="宋体" w:hint="default"/>
                <w:sz w:val="24"/>
                <w:szCs w:val="24"/>
              </w:rPr>
            </w:pPr>
            <w:r>
              <w:rPr>
                <w:rFonts w:ascii="宋体" w:hAnsi="宋体" w:cs="宋体" w:eastAsia="宋体" w:hint="default"/>
                <w:sz w:val="24"/>
                <w:szCs w:val="24"/>
              </w:rPr>
              <w:t>子</w:t>
            </w:r>
          </w:p>
          <w:p>
            <w:pPr>
              <w:pStyle w:val="TableParagraph"/>
              <w:spacing w:line="273" w:lineRule="auto" w:before="43"/>
              <w:ind w:left="103" w:right="21"/>
              <w:jc w:val="both"/>
              <w:rPr>
                <w:rFonts w:ascii="宋体" w:hAnsi="宋体" w:cs="宋体" w:eastAsia="宋体" w:hint="default"/>
                <w:sz w:val="24"/>
                <w:szCs w:val="24"/>
              </w:rPr>
            </w:pPr>
            <w:r>
              <w:rPr>
                <w:rFonts w:ascii="宋体" w:hAnsi="宋体" w:cs="宋体" w:eastAsia="宋体" w:hint="default"/>
                <w:sz w:val="24"/>
                <w:szCs w:val="24"/>
              </w:rPr>
              <w:t>公 司 名 称</w:t>
            </w:r>
          </w:p>
        </w:tc>
        <w:tc>
          <w:tcPr>
            <w:tcW w:w="4076" w:type="dxa"/>
            <w:gridSpan w:val="4"/>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3" w:right="0"/>
              <w:jc w:val="center"/>
              <w:rPr>
                <w:rFonts w:ascii="宋体" w:hAnsi="宋体" w:cs="宋体" w:eastAsia="宋体" w:hint="default"/>
                <w:sz w:val="24"/>
                <w:szCs w:val="24"/>
              </w:rPr>
            </w:pPr>
            <w:r>
              <w:rPr>
                <w:rFonts w:ascii="宋体" w:hAnsi="宋体" w:cs="宋体" w:eastAsia="宋体" w:hint="default"/>
                <w:sz w:val="24"/>
                <w:szCs w:val="24"/>
              </w:rPr>
              <w:t>本期发生额</w:t>
            </w:r>
          </w:p>
        </w:tc>
        <w:tc>
          <w:tcPr>
            <w:tcW w:w="4079" w:type="dxa"/>
            <w:gridSpan w:val="4"/>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1" w:right="0"/>
              <w:jc w:val="center"/>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1430" w:hRule="exact"/>
        </w:trPr>
        <w:tc>
          <w:tcPr>
            <w:tcW w:w="377" w:type="dxa"/>
            <w:vMerge/>
            <w:tcBorders>
              <w:left w:val="single" w:sz="4" w:space="0" w:color="000000"/>
              <w:bottom w:val="single" w:sz="4" w:space="0" w:color="000000"/>
              <w:right w:val="single" w:sz="4" w:space="0" w:color="000000"/>
            </w:tcBorders>
          </w:tcPr>
          <w:p>
            <w:pP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73" w:lineRule="auto"/>
              <w:ind w:left="383" w:right="144" w:hanging="240"/>
              <w:jc w:val="left"/>
              <w:rPr>
                <w:rFonts w:ascii="宋体" w:hAnsi="宋体" w:cs="宋体" w:eastAsia="宋体" w:hint="default"/>
                <w:sz w:val="24"/>
                <w:szCs w:val="24"/>
              </w:rPr>
            </w:pPr>
            <w:r>
              <w:rPr>
                <w:rFonts w:ascii="宋体" w:hAnsi="宋体" w:cs="宋体" w:eastAsia="宋体" w:hint="default"/>
                <w:sz w:val="24"/>
                <w:szCs w:val="24"/>
              </w:rPr>
              <w:t>营业收 入</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8"/>
              <w:ind w:left="141" w:right="0"/>
              <w:jc w:val="left"/>
              <w:rPr>
                <w:rFonts w:ascii="宋体" w:hAnsi="宋体" w:cs="宋体" w:eastAsia="宋体" w:hint="default"/>
                <w:sz w:val="24"/>
                <w:szCs w:val="24"/>
              </w:rPr>
            </w:pPr>
            <w:r>
              <w:rPr>
                <w:rFonts w:ascii="宋体" w:hAnsi="宋体" w:cs="宋体" w:eastAsia="宋体" w:hint="default"/>
                <w:sz w:val="24"/>
                <w:szCs w:val="24"/>
              </w:rPr>
              <w:t>净利润</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73" w:lineRule="auto"/>
              <w:ind w:left="143" w:right="144"/>
              <w:jc w:val="left"/>
              <w:rPr>
                <w:rFonts w:ascii="宋体" w:hAnsi="宋体" w:cs="宋体" w:eastAsia="宋体" w:hint="default"/>
                <w:sz w:val="24"/>
                <w:szCs w:val="24"/>
              </w:rPr>
            </w:pPr>
            <w:r>
              <w:rPr>
                <w:rFonts w:ascii="宋体" w:hAnsi="宋体" w:cs="宋体" w:eastAsia="宋体" w:hint="default"/>
                <w:sz w:val="24"/>
                <w:szCs w:val="24"/>
              </w:rPr>
              <w:t>综合收 益总额</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35"/>
              <w:ind w:left="143" w:right="143"/>
              <w:jc w:val="both"/>
              <w:rPr>
                <w:rFonts w:ascii="宋体" w:hAnsi="宋体" w:cs="宋体" w:eastAsia="宋体" w:hint="default"/>
                <w:sz w:val="24"/>
                <w:szCs w:val="24"/>
              </w:rPr>
            </w:pPr>
            <w:r>
              <w:rPr>
                <w:rFonts w:ascii="宋体" w:hAnsi="宋体" w:cs="宋体" w:eastAsia="宋体" w:hint="default"/>
                <w:sz w:val="24"/>
                <w:szCs w:val="24"/>
              </w:rPr>
              <w:t>经营活 动现金 流量</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73" w:lineRule="auto"/>
              <w:ind w:left="384" w:right="144" w:hanging="241"/>
              <w:jc w:val="left"/>
              <w:rPr>
                <w:rFonts w:ascii="宋体" w:hAnsi="宋体" w:cs="宋体" w:eastAsia="宋体" w:hint="default"/>
                <w:sz w:val="24"/>
                <w:szCs w:val="24"/>
              </w:rPr>
            </w:pPr>
            <w:r>
              <w:rPr>
                <w:rFonts w:ascii="宋体" w:hAnsi="宋体" w:cs="宋体" w:eastAsia="宋体" w:hint="default"/>
                <w:sz w:val="24"/>
                <w:szCs w:val="24"/>
              </w:rPr>
              <w:t>营业收 入</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8"/>
              <w:ind w:left="144" w:right="0"/>
              <w:jc w:val="left"/>
              <w:rPr>
                <w:rFonts w:ascii="宋体" w:hAnsi="宋体" w:cs="宋体" w:eastAsia="宋体" w:hint="default"/>
                <w:sz w:val="24"/>
                <w:szCs w:val="24"/>
              </w:rPr>
            </w:pPr>
            <w:r>
              <w:rPr>
                <w:rFonts w:ascii="宋体" w:hAnsi="宋体" w:cs="宋体" w:eastAsia="宋体" w:hint="default"/>
                <w:sz w:val="24"/>
                <w:szCs w:val="24"/>
              </w:rPr>
              <w:t>净利润</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73" w:lineRule="auto"/>
              <w:ind w:left="141" w:right="146"/>
              <w:jc w:val="left"/>
              <w:rPr>
                <w:rFonts w:ascii="宋体" w:hAnsi="宋体" w:cs="宋体" w:eastAsia="宋体" w:hint="default"/>
                <w:sz w:val="24"/>
                <w:szCs w:val="24"/>
              </w:rPr>
            </w:pPr>
            <w:r>
              <w:rPr>
                <w:rFonts w:ascii="宋体" w:hAnsi="宋体" w:cs="宋体" w:eastAsia="宋体" w:hint="default"/>
                <w:sz w:val="24"/>
                <w:szCs w:val="24"/>
              </w:rPr>
              <w:t>综合收 益总额</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35"/>
              <w:ind w:left="144" w:right="144"/>
              <w:jc w:val="both"/>
              <w:rPr>
                <w:rFonts w:ascii="宋体" w:hAnsi="宋体" w:cs="宋体" w:eastAsia="宋体" w:hint="default"/>
                <w:sz w:val="24"/>
                <w:szCs w:val="24"/>
              </w:rPr>
            </w:pPr>
            <w:r>
              <w:rPr>
                <w:rFonts w:ascii="宋体" w:hAnsi="宋体" w:cs="宋体" w:eastAsia="宋体" w:hint="default"/>
                <w:sz w:val="24"/>
                <w:szCs w:val="24"/>
              </w:rPr>
              <w:t>经营活 动现金 流量</w:t>
            </w:r>
          </w:p>
        </w:tc>
      </w:tr>
      <w:tr>
        <w:trPr>
          <w:trHeight w:val="1085" w:hRule="exact"/>
        </w:trPr>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畅</w:t>
            </w:r>
          </w:p>
          <w:p>
            <w:pPr>
              <w:pStyle w:val="TableParagraph"/>
              <w:spacing w:line="273" w:lineRule="auto" w:before="46"/>
              <w:ind w:left="103" w:right="21"/>
              <w:jc w:val="left"/>
              <w:rPr>
                <w:rFonts w:ascii="宋体" w:hAnsi="宋体" w:cs="宋体" w:eastAsia="宋体" w:hint="default"/>
                <w:sz w:val="24"/>
                <w:szCs w:val="24"/>
              </w:rPr>
            </w:pPr>
            <w:r>
              <w:rPr>
                <w:rFonts w:ascii="宋体" w:hAnsi="宋体" w:cs="宋体" w:eastAsia="宋体" w:hint="default"/>
                <w:sz w:val="24"/>
                <w:szCs w:val="24"/>
              </w:rPr>
              <w:t>捷 通</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469,326</w:t>
            </w:r>
          </w:p>
          <w:p>
            <w:pPr>
              <w:pStyle w:val="TableParagraph"/>
              <w:spacing w:line="240" w:lineRule="auto" w:before="44"/>
              <w:ind w:left="487" w:right="0"/>
              <w:jc w:val="left"/>
              <w:rPr>
                <w:rFonts w:ascii="Times New Roman" w:hAnsi="Times New Roman" w:cs="Times New Roman" w:eastAsia="Times New Roman" w:hint="default"/>
                <w:sz w:val="24"/>
                <w:szCs w:val="24"/>
              </w:rPr>
            </w:pPr>
            <w:r>
              <w:rPr>
                <w:rFonts w:ascii="Times New Roman"/>
                <w:sz w:val="24"/>
              </w:rPr>
              <w:t>,264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4" w:right="0"/>
              <w:jc w:val="left"/>
              <w:rPr>
                <w:rFonts w:ascii="Times New Roman" w:hAnsi="Times New Roman" w:cs="Times New Roman" w:eastAsia="Times New Roman" w:hint="default"/>
                <w:sz w:val="24"/>
                <w:szCs w:val="24"/>
              </w:rPr>
            </w:pPr>
            <w:r>
              <w:rPr>
                <w:rFonts w:ascii="Times New Roman"/>
                <w:sz w:val="24"/>
              </w:rPr>
              <w:t>92,387,</w:t>
            </w:r>
          </w:p>
          <w:p>
            <w:pPr>
              <w:pStyle w:val="TableParagraph"/>
              <w:spacing w:line="240" w:lineRule="auto" w:before="44"/>
              <w:ind w:left="544" w:right="0"/>
              <w:jc w:val="left"/>
              <w:rPr>
                <w:rFonts w:ascii="Times New Roman" w:hAnsi="Times New Roman" w:cs="Times New Roman" w:eastAsia="Times New Roman" w:hint="default"/>
                <w:sz w:val="24"/>
                <w:szCs w:val="24"/>
              </w:rPr>
            </w:pPr>
            <w:r>
              <w:rPr>
                <w:rFonts w:ascii="Times New Roman"/>
                <w:sz w:val="24"/>
              </w:rPr>
              <w:t>911</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92,387,</w:t>
            </w:r>
          </w:p>
          <w:p>
            <w:pPr>
              <w:pStyle w:val="TableParagraph"/>
              <w:spacing w:line="240" w:lineRule="auto" w:before="44"/>
              <w:ind w:left="547" w:right="0"/>
              <w:jc w:val="left"/>
              <w:rPr>
                <w:rFonts w:ascii="Times New Roman" w:hAnsi="Times New Roman" w:cs="Times New Roman" w:eastAsia="Times New Roman" w:hint="default"/>
                <w:sz w:val="24"/>
                <w:szCs w:val="24"/>
              </w:rPr>
            </w:pPr>
            <w:r>
              <w:rPr>
                <w:rFonts w:ascii="Times New Roman"/>
                <w:sz w:val="24"/>
              </w:rPr>
              <w:t>911</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132,017</w:t>
            </w:r>
          </w:p>
          <w:p>
            <w:pPr>
              <w:pStyle w:val="TableParagraph"/>
              <w:spacing w:line="240" w:lineRule="auto" w:before="44"/>
              <w:ind w:left="487" w:right="0"/>
              <w:jc w:val="left"/>
              <w:rPr>
                <w:rFonts w:ascii="Times New Roman" w:hAnsi="Times New Roman" w:cs="Times New Roman" w:eastAsia="Times New Roman" w:hint="default"/>
                <w:sz w:val="24"/>
                <w:szCs w:val="24"/>
              </w:rPr>
            </w:pPr>
            <w:r>
              <w:rPr>
                <w:rFonts w:ascii="Times New Roman"/>
                <w:sz w:val="24"/>
              </w:rPr>
              <w:t>,358</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436,065</w:t>
            </w:r>
          </w:p>
          <w:p>
            <w:pPr>
              <w:pStyle w:val="TableParagraph"/>
              <w:spacing w:line="240" w:lineRule="auto" w:before="44"/>
              <w:ind w:left="487" w:right="0"/>
              <w:jc w:val="left"/>
              <w:rPr>
                <w:rFonts w:ascii="Times New Roman" w:hAnsi="Times New Roman" w:cs="Times New Roman" w:eastAsia="Times New Roman" w:hint="default"/>
                <w:sz w:val="24"/>
                <w:szCs w:val="24"/>
              </w:rPr>
            </w:pPr>
            <w:r>
              <w:rPr>
                <w:rFonts w:ascii="Times New Roman"/>
                <w:sz w:val="24"/>
              </w:rPr>
              <w:t>,850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95,065,</w:t>
            </w:r>
          </w:p>
          <w:p>
            <w:pPr>
              <w:pStyle w:val="TableParagraph"/>
              <w:spacing w:line="240" w:lineRule="auto" w:before="44"/>
              <w:ind w:left="547" w:right="0"/>
              <w:jc w:val="left"/>
              <w:rPr>
                <w:rFonts w:ascii="Times New Roman" w:hAnsi="Times New Roman" w:cs="Times New Roman" w:eastAsia="Times New Roman" w:hint="default"/>
                <w:sz w:val="24"/>
                <w:szCs w:val="24"/>
              </w:rPr>
            </w:pPr>
            <w:r>
              <w:rPr>
                <w:rFonts w:ascii="Times New Roman"/>
                <w:sz w:val="24"/>
              </w:rPr>
              <w:t>350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4" w:right="0"/>
              <w:jc w:val="left"/>
              <w:rPr>
                <w:rFonts w:ascii="Times New Roman" w:hAnsi="Times New Roman" w:cs="Times New Roman" w:eastAsia="Times New Roman" w:hint="default"/>
                <w:sz w:val="24"/>
                <w:szCs w:val="24"/>
              </w:rPr>
            </w:pPr>
            <w:r>
              <w:rPr>
                <w:rFonts w:ascii="Times New Roman"/>
                <w:sz w:val="24"/>
              </w:rPr>
              <w:t>95,065,</w:t>
            </w:r>
          </w:p>
          <w:p>
            <w:pPr>
              <w:pStyle w:val="TableParagraph"/>
              <w:spacing w:line="240" w:lineRule="auto" w:before="44"/>
              <w:ind w:left="544" w:right="0"/>
              <w:jc w:val="left"/>
              <w:rPr>
                <w:rFonts w:ascii="Times New Roman" w:hAnsi="Times New Roman" w:cs="Times New Roman" w:eastAsia="Times New Roman" w:hint="default"/>
                <w:sz w:val="24"/>
                <w:szCs w:val="24"/>
              </w:rPr>
            </w:pPr>
            <w:r>
              <w:rPr>
                <w:rFonts w:ascii="Times New Roman"/>
                <w:sz w:val="24"/>
              </w:rPr>
              <w:t>350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197,485</w:t>
            </w:r>
          </w:p>
          <w:p>
            <w:pPr>
              <w:pStyle w:val="TableParagraph"/>
              <w:spacing w:line="240" w:lineRule="auto" w:before="44"/>
              <w:ind w:left="487" w:right="0"/>
              <w:jc w:val="left"/>
              <w:rPr>
                <w:rFonts w:ascii="Times New Roman" w:hAnsi="Times New Roman" w:cs="Times New Roman" w:eastAsia="Times New Roman" w:hint="default"/>
                <w:sz w:val="24"/>
                <w:szCs w:val="24"/>
              </w:rPr>
            </w:pPr>
            <w:r>
              <w:rPr>
                <w:rFonts w:ascii="Times New Roman"/>
                <w:sz w:val="24"/>
              </w:rPr>
              <w:t>,586</w:t>
            </w:r>
          </w:p>
        </w:tc>
      </w:tr>
      <w:tr>
        <w:trPr>
          <w:trHeight w:val="1442" w:hRule="exact"/>
        </w:trPr>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both"/>
              <w:rPr>
                <w:rFonts w:ascii="宋体" w:hAnsi="宋体" w:cs="宋体" w:eastAsia="宋体" w:hint="default"/>
                <w:sz w:val="24"/>
                <w:szCs w:val="24"/>
              </w:rPr>
            </w:pPr>
            <w:r>
              <w:rPr>
                <w:rFonts w:ascii="宋体" w:hAnsi="宋体" w:cs="宋体" w:eastAsia="宋体" w:hint="default"/>
                <w:sz w:val="24"/>
                <w:szCs w:val="24"/>
              </w:rPr>
              <w:t>用</w:t>
            </w:r>
          </w:p>
          <w:p>
            <w:pPr>
              <w:pStyle w:val="TableParagraph"/>
              <w:spacing w:line="273" w:lineRule="auto" w:before="43"/>
              <w:ind w:left="103" w:right="21"/>
              <w:jc w:val="both"/>
              <w:rPr>
                <w:rFonts w:ascii="宋体" w:hAnsi="宋体" w:cs="宋体" w:eastAsia="宋体" w:hint="default"/>
                <w:sz w:val="24"/>
                <w:szCs w:val="24"/>
              </w:rPr>
            </w:pPr>
            <w:r>
              <w:rPr>
                <w:rFonts w:ascii="宋体" w:hAnsi="宋体" w:cs="宋体" w:eastAsia="宋体" w:hint="default"/>
                <w:sz w:val="24"/>
                <w:szCs w:val="24"/>
              </w:rPr>
              <w:t>友 政 务</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989,310</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,614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4" w:right="0"/>
              <w:jc w:val="left"/>
              <w:rPr>
                <w:rFonts w:ascii="Times New Roman" w:hAnsi="Times New Roman" w:cs="Times New Roman" w:eastAsia="Times New Roman" w:hint="default"/>
                <w:sz w:val="24"/>
                <w:szCs w:val="24"/>
              </w:rPr>
            </w:pPr>
            <w:r>
              <w:rPr>
                <w:rFonts w:ascii="Times New Roman"/>
                <w:sz w:val="24"/>
              </w:rPr>
              <w:t>205,376</w:t>
            </w:r>
          </w:p>
          <w:p>
            <w:pPr>
              <w:pStyle w:val="TableParagraph"/>
              <w:spacing w:line="240" w:lineRule="auto" w:before="41"/>
              <w:ind w:left="484" w:right="0"/>
              <w:jc w:val="left"/>
              <w:rPr>
                <w:rFonts w:ascii="Times New Roman" w:hAnsi="Times New Roman" w:cs="Times New Roman" w:eastAsia="Times New Roman" w:hint="default"/>
                <w:sz w:val="24"/>
                <w:szCs w:val="24"/>
              </w:rPr>
            </w:pPr>
            <w:r>
              <w:rPr>
                <w:rFonts w:ascii="Times New Roman"/>
                <w:sz w:val="24"/>
              </w:rPr>
              <w:t>,781</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205,376</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,781</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240,211</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,612</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828,836</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,264</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179,101</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,240</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4" w:right="0"/>
              <w:jc w:val="left"/>
              <w:rPr>
                <w:rFonts w:ascii="Times New Roman" w:hAnsi="Times New Roman" w:cs="Times New Roman" w:eastAsia="Times New Roman" w:hint="default"/>
                <w:sz w:val="24"/>
                <w:szCs w:val="24"/>
              </w:rPr>
            </w:pPr>
            <w:r>
              <w:rPr>
                <w:rFonts w:ascii="Times New Roman"/>
                <w:sz w:val="24"/>
              </w:rPr>
              <w:t>179,101</w:t>
            </w:r>
          </w:p>
          <w:p>
            <w:pPr>
              <w:pStyle w:val="TableParagraph"/>
              <w:spacing w:line="240" w:lineRule="auto" w:before="41"/>
              <w:ind w:left="484" w:right="0"/>
              <w:jc w:val="left"/>
              <w:rPr>
                <w:rFonts w:ascii="Times New Roman" w:hAnsi="Times New Roman" w:cs="Times New Roman" w:eastAsia="Times New Roman" w:hint="default"/>
                <w:sz w:val="24"/>
                <w:szCs w:val="24"/>
              </w:rPr>
            </w:pPr>
            <w:r>
              <w:rPr>
                <w:rFonts w:ascii="Times New Roman"/>
                <w:sz w:val="24"/>
              </w:rPr>
              <w:t>,240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297,855</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,881</w:t>
            </w:r>
          </w:p>
        </w:tc>
      </w:tr>
      <w:tr>
        <w:trPr>
          <w:trHeight w:val="1440" w:hRule="exact"/>
        </w:trPr>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both"/>
              <w:rPr>
                <w:rFonts w:ascii="宋体" w:hAnsi="宋体" w:cs="宋体" w:eastAsia="宋体" w:hint="default"/>
                <w:sz w:val="24"/>
                <w:szCs w:val="24"/>
              </w:rPr>
            </w:pPr>
            <w:r>
              <w:rPr>
                <w:rFonts w:ascii="宋体" w:hAnsi="宋体" w:cs="宋体" w:eastAsia="宋体" w:hint="default"/>
                <w:sz w:val="24"/>
                <w:szCs w:val="24"/>
              </w:rPr>
              <w:t>用</w:t>
            </w:r>
          </w:p>
          <w:p>
            <w:pPr>
              <w:pStyle w:val="TableParagraph"/>
              <w:spacing w:line="273" w:lineRule="auto" w:before="43"/>
              <w:ind w:left="103" w:right="21"/>
              <w:jc w:val="both"/>
              <w:rPr>
                <w:rFonts w:ascii="宋体" w:hAnsi="宋体" w:cs="宋体" w:eastAsia="宋体" w:hint="default"/>
                <w:sz w:val="24"/>
                <w:szCs w:val="24"/>
              </w:rPr>
            </w:pPr>
            <w:r>
              <w:rPr>
                <w:rFonts w:ascii="宋体" w:hAnsi="宋体" w:cs="宋体" w:eastAsia="宋体" w:hint="default"/>
                <w:sz w:val="24"/>
                <w:szCs w:val="24"/>
              </w:rPr>
              <w:t>友 汽 车</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486,976</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,244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4" w:right="0"/>
              <w:jc w:val="left"/>
              <w:rPr>
                <w:rFonts w:ascii="Times New Roman" w:hAnsi="Times New Roman" w:cs="Times New Roman" w:eastAsia="Times New Roman" w:hint="default"/>
                <w:sz w:val="24"/>
                <w:szCs w:val="24"/>
              </w:rPr>
            </w:pPr>
            <w:r>
              <w:rPr>
                <w:rFonts w:ascii="Times New Roman"/>
                <w:sz w:val="24"/>
              </w:rPr>
              <w:t>92,656,</w:t>
            </w:r>
          </w:p>
          <w:p>
            <w:pPr>
              <w:pStyle w:val="TableParagraph"/>
              <w:spacing w:line="240" w:lineRule="auto" w:before="41"/>
              <w:ind w:left="544" w:right="0"/>
              <w:jc w:val="left"/>
              <w:rPr>
                <w:rFonts w:ascii="Times New Roman" w:hAnsi="Times New Roman" w:cs="Times New Roman" w:eastAsia="Times New Roman" w:hint="default"/>
                <w:sz w:val="24"/>
                <w:szCs w:val="24"/>
              </w:rPr>
            </w:pPr>
            <w:r>
              <w:rPr>
                <w:rFonts w:ascii="Times New Roman"/>
                <w:sz w:val="24"/>
              </w:rPr>
              <w:t>209</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92,656,</w:t>
            </w:r>
          </w:p>
          <w:p>
            <w:pPr>
              <w:pStyle w:val="TableParagraph"/>
              <w:spacing w:line="240" w:lineRule="auto" w:before="41"/>
              <w:ind w:left="547" w:right="0"/>
              <w:jc w:val="left"/>
              <w:rPr>
                <w:rFonts w:ascii="Times New Roman" w:hAnsi="Times New Roman" w:cs="Times New Roman" w:eastAsia="Times New Roman" w:hint="default"/>
                <w:sz w:val="24"/>
                <w:szCs w:val="24"/>
              </w:rPr>
            </w:pPr>
            <w:r>
              <w:rPr>
                <w:rFonts w:ascii="Times New Roman"/>
                <w:sz w:val="24"/>
              </w:rPr>
              <w:t>209</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74,918,</w:t>
            </w:r>
          </w:p>
          <w:p>
            <w:pPr>
              <w:pStyle w:val="TableParagraph"/>
              <w:spacing w:line="240" w:lineRule="auto" w:before="41"/>
              <w:ind w:left="547" w:right="0"/>
              <w:jc w:val="left"/>
              <w:rPr>
                <w:rFonts w:ascii="Times New Roman" w:hAnsi="Times New Roman" w:cs="Times New Roman" w:eastAsia="Times New Roman" w:hint="default"/>
                <w:sz w:val="24"/>
                <w:szCs w:val="24"/>
              </w:rPr>
            </w:pPr>
            <w:r>
              <w:rPr>
                <w:rFonts w:ascii="Times New Roman"/>
                <w:sz w:val="24"/>
              </w:rPr>
              <w:t>863</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486,739</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,879</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84,844,</w:t>
            </w:r>
          </w:p>
          <w:p>
            <w:pPr>
              <w:pStyle w:val="TableParagraph"/>
              <w:spacing w:line="240" w:lineRule="auto" w:before="41"/>
              <w:ind w:left="547" w:right="0"/>
              <w:jc w:val="left"/>
              <w:rPr>
                <w:rFonts w:ascii="Times New Roman" w:hAnsi="Times New Roman" w:cs="Times New Roman" w:eastAsia="Times New Roman" w:hint="default"/>
                <w:sz w:val="24"/>
                <w:szCs w:val="24"/>
              </w:rPr>
            </w:pPr>
            <w:r>
              <w:rPr>
                <w:rFonts w:ascii="Times New Roman"/>
                <w:sz w:val="24"/>
              </w:rPr>
              <w:t>909</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4" w:right="0"/>
              <w:jc w:val="left"/>
              <w:rPr>
                <w:rFonts w:ascii="Times New Roman" w:hAnsi="Times New Roman" w:cs="Times New Roman" w:eastAsia="Times New Roman" w:hint="default"/>
                <w:sz w:val="24"/>
                <w:szCs w:val="24"/>
              </w:rPr>
            </w:pPr>
            <w:r>
              <w:rPr>
                <w:rFonts w:ascii="Times New Roman"/>
                <w:sz w:val="24"/>
              </w:rPr>
              <w:t>84,844,</w:t>
            </w:r>
          </w:p>
          <w:p>
            <w:pPr>
              <w:pStyle w:val="TableParagraph"/>
              <w:spacing w:line="240" w:lineRule="auto" w:before="41"/>
              <w:ind w:left="544" w:right="0"/>
              <w:jc w:val="left"/>
              <w:rPr>
                <w:rFonts w:ascii="Times New Roman" w:hAnsi="Times New Roman" w:cs="Times New Roman" w:eastAsia="Times New Roman" w:hint="default"/>
                <w:sz w:val="24"/>
                <w:szCs w:val="24"/>
              </w:rPr>
            </w:pPr>
            <w:r>
              <w:rPr>
                <w:rFonts w:ascii="Times New Roman"/>
                <w:sz w:val="24"/>
              </w:rPr>
              <w:t>909</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87,499,</w:t>
            </w:r>
          </w:p>
          <w:p>
            <w:pPr>
              <w:pStyle w:val="TableParagraph"/>
              <w:spacing w:line="240" w:lineRule="auto" w:before="41"/>
              <w:ind w:left="547" w:right="0"/>
              <w:jc w:val="left"/>
              <w:rPr>
                <w:rFonts w:ascii="Times New Roman" w:hAnsi="Times New Roman" w:cs="Times New Roman" w:eastAsia="Times New Roman" w:hint="default"/>
                <w:sz w:val="24"/>
                <w:szCs w:val="24"/>
              </w:rPr>
            </w:pPr>
            <w:r>
              <w:rPr>
                <w:rFonts w:ascii="Times New Roman"/>
                <w:sz w:val="24"/>
              </w:rPr>
              <w:t>482</w:t>
            </w:r>
          </w:p>
        </w:tc>
      </w:tr>
      <w:tr>
        <w:trPr>
          <w:trHeight w:val="1442" w:hRule="exact"/>
        </w:trPr>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both"/>
              <w:rPr>
                <w:rFonts w:ascii="宋体" w:hAnsi="宋体" w:cs="宋体" w:eastAsia="宋体" w:hint="default"/>
                <w:sz w:val="24"/>
                <w:szCs w:val="24"/>
              </w:rPr>
            </w:pPr>
            <w:r>
              <w:rPr>
                <w:rFonts w:ascii="宋体" w:hAnsi="宋体" w:cs="宋体" w:eastAsia="宋体" w:hint="default"/>
                <w:sz w:val="24"/>
                <w:szCs w:val="24"/>
              </w:rPr>
              <w:t>用</w:t>
            </w:r>
          </w:p>
          <w:p>
            <w:pPr>
              <w:pStyle w:val="TableParagraph"/>
              <w:spacing w:line="273" w:lineRule="auto" w:before="46"/>
              <w:ind w:left="103" w:right="21"/>
              <w:jc w:val="both"/>
              <w:rPr>
                <w:rFonts w:ascii="宋体" w:hAnsi="宋体" w:cs="宋体" w:eastAsia="宋体" w:hint="default"/>
                <w:sz w:val="24"/>
                <w:szCs w:val="24"/>
              </w:rPr>
            </w:pPr>
            <w:r>
              <w:rPr>
                <w:rFonts w:ascii="宋体" w:hAnsi="宋体" w:cs="宋体" w:eastAsia="宋体" w:hint="default"/>
                <w:sz w:val="24"/>
                <w:szCs w:val="24"/>
              </w:rPr>
              <w:t>友 金 融</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380,692</w:t>
            </w:r>
          </w:p>
          <w:p>
            <w:pPr>
              <w:pStyle w:val="TableParagraph"/>
              <w:spacing w:line="240" w:lineRule="auto" w:before="43"/>
              <w:ind w:left="487" w:right="0"/>
              <w:jc w:val="left"/>
              <w:rPr>
                <w:rFonts w:ascii="Times New Roman" w:hAnsi="Times New Roman" w:cs="Times New Roman" w:eastAsia="Times New Roman" w:hint="default"/>
                <w:sz w:val="24"/>
                <w:szCs w:val="24"/>
              </w:rPr>
            </w:pPr>
            <w:r>
              <w:rPr>
                <w:rFonts w:ascii="Times New Roman"/>
                <w:sz w:val="24"/>
              </w:rPr>
              <w:t>,551</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4" w:right="0"/>
              <w:jc w:val="left"/>
              <w:rPr>
                <w:rFonts w:ascii="Times New Roman" w:hAnsi="Times New Roman" w:cs="Times New Roman" w:eastAsia="Times New Roman" w:hint="default"/>
                <w:sz w:val="24"/>
                <w:szCs w:val="24"/>
              </w:rPr>
            </w:pPr>
            <w:r>
              <w:rPr>
                <w:rFonts w:ascii="Times New Roman"/>
                <w:sz w:val="24"/>
              </w:rPr>
              <w:t>61,577,</w:t>
            </w:r>
          </w:p>
          <w:p>
            <w:pPr>
              <w:pStyle w:val="TableParagraph"/>
              <w:spacing w:line="240" w:lineRule="auto" w:before="43"/>
              <w:ind w:left="544" w:right="0"/>
              <w:jc w:val="left"/>
              <w:rPr>
                <w:rFonts w:ascii="Times New Roman" w:hAnsi="Times New Roman" w:cs="Times New Roman" w:eastAsia="Times New Roman" w:hint="default"/>
                <w:sz w:val="24"/>
                <w:szCs w:val="24"/>
              </w:rPr>
            </w:pPr>
            <w:r>
              <w:rPr>
                <w:rFonts w:ascii="Times New Roman"/>
                <w:sz w:val="24"/>
              </w:rPr>
              <w:t>145</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61,577,</w:t>
            </w:r>
          </w:p>
          <w:p>
            <w:pPr>
              <w:pStyle w:val="TableParagraph"/>
              <w:spacing w:line="240" w:lineRule="auto" w:before="43"/>
              <w:ind w:left="547" w:right="0"/>
              <w:jc w:val="left"/>
              <w:rPr>
                <w:rFonts w:ascii="Times New Roman" w:hAnsi="Times New Roman" w:cs="Times New Roman" w:eastAsia="Times New Roman" w:hint="default"/>
                <w:sz w:val="24"/>
                <w:szCs w:val="24"/>
              </w:rPr>
            </w:pPr>
            <w:r>
              <w:rPr>
                <w:rFonts w:ascii="Times New Roman"/>
                <w:sz w:val="24"/>
              </w:rPr>
              <w:t>145</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76,200,</w:t>
            </w:r>
          </w:p>
          <w:p>
            <w:pPr>
              <w:pStyle w:val="TableParagraph"/>
              <w:spacing w:line="240" w:lineRule="auto" w:before="43"/>
              <w:ind w:left="547" w:right="0"/>
              <w:jc w:val="left"/>
              <w:rPr>
                <w:rFonts w:ascii="Times New Roman" w:hAnsi="Times New Roman" w:cs="Times New Roman" w:eastAsia="Times New Roman" w:hint="default"/>
                <w:sz w:val="24"/>
                <w:szCs w:val="24"/>
              </w:rPr>
            </w:pPr>
            <w:r>
              <w:rPr>
                <w:rFonts w:ascii="Times New Roman"/>
                <w:sz w:val="24"/>
              </w:rPr>
              <w:t>356</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343,834</w:t>
            </w:r>
          </w:p>
          <w:p>
            <w:pPr>
              <w:pStyle w:val="TableParagraph"/>
              <w:spacing w:line="240" w:lineRule="auto" w:before="43"/>
              <w:ind w:left="487" w:right="0"/>
              <w:jc w:val="left"/>
              <w:rPr>
                <w:rFonts w:ascii="Times New Roman" w:hAnsi="Times New Roman" w:cs="Times New Roman" w:eastAsia="Times New Roman" w:hint="default"/>
                <w:sz w:val="24"/>
                <w:szCs w:val="24"/>
              </w:rPr>
            </w:pPr>
            <w:r>
              <w:rPr>
                <w:rFonts w:ascii="Times New Roman"/>
                <w:sz w:val="24"/>
              </w:rPr>
              <w:t>,334</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48,465,</w:t>
            </w:r>
          </w:p>
          <w:p>
            <w:pPr>
              <w:pStyle w:val="TableParagraph"/>
              <w:spacing w:line="240" w:lineRule="auto" w:before="43"/>
              <w:ind w:left="547" w:right="0"/>
              <w:jc w:val="left"/>
              <w:rPr>
                <w:rFonts w:ascii="Times New Roman" w:hAnsi="Times New Roman" w:cs="Times New Roman" w:eastAsia="Times New Roman" w:hint="default"/>
                <w:sz w:val="24"/>
                <w:szCs w:val="24"/>
              </w:rPr>
            </w:pPr>
            <w:r>
              <w:rPr>
                <w:rFonts w:ascii="Times New Roman"/>
                <w:sz w:val="24"/>
              </w:rPr>
              <w:t>169</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4" w:right="0"/>
              <w:jc w:val="left"/>
              <w:rPr>
                <w:rFonts w:ascii="Times New Roman" w:hAnsi="Times New Roman" w:cs="Times New Roman" w:eastAsia="Times New Roman" w:hint="default"/>
                <w:sz w:val="24"/>
                <w:szCs w:val="24"/>
              </w:rPr>
            </w:pPr>
            <w:r>
              <w:rPr>
                <w:rFonts w:ascii="Times New Roman"/>
                <w:sz w:val="24"/>
              </w:rPr>
              <w:t>48,465,</w:t>
            </w:r>
          </w:p>
          <w:p>
            <w:pPr>
              <w:pStyle w:val="TableParagraph"/>
              <w:spacing w:line="240" w:lineRule="auto" w:before="43"/>
              <w:ind w:left="544" w:right="0"/>
              <w:jc w:val="left"/>
              <w:rPr>
                <w:rFonts w:ascii="Times New Roman" w:hAnsi="Times New Roman" w:cs="Times New Roman" w:eastAsia="Times New Roman" w:hint="default"/>
                <w:sz w:val="24"/>
                <w:szCs w:val="24"/>
              </w:rPr>
            </w:pPr>
            <w:r>
              <w:rPr>
                <w:rFonts w:ascii="Times New Roman"/>
                <w:sz w:val="24"/>
              </w:rPr>
              <w:t>169</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42,220,</w:t>
            </w:r>
          </w:p>
          <w:p>
            <w:pPr>
              <w:pStyle w:val="TableParagraph"/>
              <w:spacing w:line="240" w:lineRule="auto" w:before="43"/>
              <w:ind w:left="547" w:right="0"/>
              <w:jc w:val="left"/>
              <w:rPr>
                <w:rFonts w:ascii="Times New Roman" w:hAnsi="Times New Roman" w:cs="Times New Roman" w:eastAsia="Times New Roman" w:hint="default"/>
                <w:sz w:val="24"/>
                <w:szCs w:val="24"/>
              </w:rPr>
            </w:pPr>
            <w:r>
              <w:rPr>
                <w:rFonts w:ascii="Times New Roman"/>
                <w:sz w:val="24"/>
              </w:rPr>
              <w:t>878</w:t>
            </w:r>
          </w:p>
        </w:tc>
      </w:tr>
      <w:tr>
        <w:trPr>
          <w:trHeight w:val="1442" w:hRule="exact"/>
        </w:trPr>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both"/>
              <w:rPr>
                <w:rFonts w:ascii="宋体" w:hAnsi="宋体" w:cs="宋体" w:eastAsia="宋体" w:hint="default"/>
                <w:sz w:val="24"/>
                <w:szCs w:val="24"/>
              </w:rPr>
            </w:pPr>
            <w:r>
              <w:rPr>
                <w:rFonts w:ascii="宋体" w:hAnsi="宋体" w:cs="宋体" w:eastAsia="宋体" w:hint="default"/>
                <w:sz w:val="24"/>
                <w:szCs w:val="24"/>
              </w:rPr>
              <w:t>新</w:t>
            </w:r>
          </w:p>
          <w:p>
            <w:pPr>
              <w:pStyle w:val="TableParagraph"/>
              <w:spacing w:line="273" w:lineRule="auto" w:before="43"/>
              <w:ind w:left="103" w:right="21"/>
              <w:jc w:val="both"/>
              <w:rPr>
                <w:rFonts w:ascii="宋体" w:hAnsi="宋体" w:cs="宋体" w:eastAsia="宋体" w:hint="default"/>
                <w:sz w:val="24"/>
                <w:szCs w:val="24"/>
              </w:rPr>
            </w:pPr>
            <w:r>
              <w:rPr>
                <w:rFonts w:ascii="宋体" w:hAnsi="宋体" w:cs="宋体" w:eastAsia="宋体" w:hint="default"/>
                <w:sz w:val="24"/>
                <w:szCs w:val="24"/>
              </w:rPr>
              <w:t>道 科 技</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253,095</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,199</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4" w:right="0"/>
              <w:jc w:val="left"/>
              <w:rPr>
                <w:rFonts w:ascii="Times New Roman" w:hAnsi="Times New Roman" w:cs="Times New Roman" w:eastAsia="Times New Roman" w:hint="default"/>
                <w:sz w:val="24"/>
                <w:szCs w:val="24"/>
              </w:rPr>
            </w:pPr>
            <w:r>
              <w:rPr>
                <w:rFonts w:ascii="Times New Roman"/>
                <w:sz w:val="24"/>
              </w:rPr>
              <w:t>85,579,</w:t>
            </w:r>
          </w:p>
          <w:p>
            <w:pPr>
              <w:pStyle w:val="TableParagraph"/>
              <w:spacing w:line="240" w:lineRule="auto" w:before="41"/>
              <w:ind w:left="544" w:right="0"/>
              <w:jc w:val="left"/>
              <w:rPr>
                <w:rFonts w:ascii="Times New Roman" w:hAnsi="Times New Roman" w:cs="Times New Roman" w:eastAsia="Times New Roman" w:hint="default"/>
                <w:sz w:val="24"/>
                <w:szCs w:val="24"/>
              </w:rPr>
            </w:pPr>
            <w:r>
              <w:rPr>
                <w:rFonts w:ascii="Times New Roman"/>
                <w:sz w:val="24"/>
              </w:rPr>
              <w:t>564</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85,579,</w:t>
            </w:r>
          </w:p>
          <w:p>
            <w:pPr>
              <w:pStyle w:val="TableParagraph"/>
              <w:spacing w:line="240" w:lineRule="auto" w:before="41"/>
              <w:ind w:left="547" w:right="0"/>
              <w:jc w:val="left"/>
              <w:rPr>
                <w:rFonts w:ascii="Times New Roman" w:hAnsi="Times New Roman" w:cs="Times New Roman" w:eastAsia="Times New Roman" w:hint="default"/>
                <w:sz w:val="24"/>
                <w:szCs w:val="24"/>
              </w:rPr>
            </w:pPr>
            <w:r>
              <w:rPr>
                <w:rFonts w:ascii="Times New Roman"/>
                <w:sz w:val="24"/>
              </w:rPr>
              <w:t>564</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34,321,</w:t>
            </w:r>
          </w:p>
          <w:p>
            <w:pPr>
              <w:pStyle w:val="TableParagraph"/>
              <w:spacing w:line="240" w:lineRule="auto" w:before="41"/>
              <w:ind w:left="547" w:right="0"/>
              <w:jc w:val="left"/>
              <w:rPr>
                <w:rFonts w:ascii="Times New Roman" w:hAnsi="Times New Roman" w:cs="Times New Roman" w:eastAsia="Times New Roman" w:hint="default"/>
                <w:sz w:val="24"/>
                <w:szCs w:val="24"/>
              </w:rPr>
            </w:pPr>
            <w:r>
              <w:rPr>
                <w:rFonts w:ascii="Times New Roman"/>
                <w:sz w:val="24"/>
              </w:rPr>
              <w:t>074</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289,717</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,751</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7" w:right="0"/>
              <w:jc w:val="left"/>
              <w:rPr>
                <w:rFonts w:ascii="Times New Roman" w:hAnsi="Times New Roman" w:cs="Times New Roman" w:eastAsia="Times New Roman" w:hint="default"/>
                <w:sz w:val="24"/>
                <w:szCs w:val="24"/>
              </w:rPr>
            </w:pPr>
            <w:r>
              <w:rPr>
                <w:rFonts w:ascii="Times New Roman"/>
                <w:sz w:val="24"/>
              </w:rPr>
              <w:t>89,346,</w:t>
            </w:r>
          </w:p>
          <w:p>
            <w:pPr>
              <w:pStyle w:val="TableParagraph"/>
              <w:spacing w:line="240" w:lineRule="auto" w:before="41"/>
              <w:ind w:left="547" w:right="0"/>
              <w:jc w:val="left"/>
              <w:rPr>
                <w:rFonts w:ascii="Times New Roman" w:hAnsi="Times New Roman" w:cs="Times New Roman" w:eastAsia="Times New Roman" w:hint="default"/>
                <w:sz w:val="24"/>
                <w:szCs w:val="24"/>
              </w:rPr>
            </w:pPr>
            <w:r>
              <w:rPr>
                <w:rFonts w:ascii="Times New Roman"/>
                <w:sz w:val="24"/>
              </w:rPr>
              <w:t>949</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4" w:right="0"/>
              <w:jc w:val="left"/>
              <w:rPr>
                <w:rFonts w:ascii="Times New Roman" w:hAnsi="Times New Roman" w:cs="Times New Roman" w:eastAsia="Times New Roman" w:hint="default"/>
                <w:sz w:val="24"/>
                <w:szCs w:val="24"/>
              </w:rPr>
            </w:pPr>
            <w:r>
              <w:rPr>
                <w:rFonts w:ascii="Times New Roman"/>
                <w:sz w:val="24"/>
              </w:rPr>
              <w:t>89,346,</w:t>
            </w:r>
          </w:p>
          <w:p>
            <w:pPr>
              <w:pStyle w:val="TableParagraph"/>
              <w:spacing w:line="240" w:lineRule="auto" w:before="41"/>
              <w:ind w:left="544" w:right="0"/>
              <w:jc w:val="left"/>
              <w:rPr>
                <w:rFonts w:ascii="Times New Roman" w:hAnsi="Times New Roman" w:cs="Times New Roman" w:eastAsia="Times New Roman" w:hint="default"/>
                <w:sz w:val="24"/>
                <w:szCs w:val="24"/>
              </w:rPr>
            </w:pPr>
            <w:r>
              <w:rPr>
                <w:rFonts w:ascii="Times New Roman"/>
                <w:sz w:val="24"/>
              </w:rPr>
              <w:t>949</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27" w:right="0"/>
              <w:jc w:val="left"/>
              <w:rPr>
                <w:rFonts w:ascii="Times New Roman" w:hAnsi="Times New Roman" w:cs="Times New Roman" w:eastAsia="Times New Roman" w:hint="default"/>
                <w:sz w:val="24"/>
                <w:szCs w:val="24"/>
              </w:rPr>
            </w:pPr>
            <w:r>
              <w:rPr>
                <w:rFonts w:ascii="Times New Roman"/>
                <w:sz w:val="24"/>
              </w:rPr>
              <w:t>108,225</w:t>
            </w:r>
          </w:p>
          <w:p>
            <w:pPr>
              <w:pStyle w:val="TableParagraph"/>
              <w:spacing w:line="240" w:lineRule="auto" w:before="41"/>
              <w:ind w:left="487" w:right="0"/>
              <w:jc w:val="left"/>
              <w:rPr>
                <w:rFonts w:ascii="Times New Roman" w:hAnsi="Times New Roman" w:cs="Times New Roman" w:eastAsia="Times New Roman" w:hint="default"/>
                <w:sz w:val="24"/>
                <w:szCs w:val="24"/>
              </w:rPr>
            </w:pPr>
            <w:r>
              <w:rPr>
                <w:rFonts w:ascii="Times New Roman"/>
                <w:sz w:val="24"/>
              </w:rPr>
              <w:t>,026</w:t>
            </w:r>
          </w:p>
        </w:tc>
      </w:tr>
    </w:tbl>
    <w:p>
      <w:pPr>
        <w:pStyle w:val="BodyText"/>
        <w:spacing w:line="273" w:lineRule="exact"/>
        <w:ind w:left="798" w:right="0"/>
        <w:jc w:val="left"/>
      </w:pPr>
      <w:r>
        <w:rPr/>
        <w:t>其他说明：</w:t>
      </w:r>
    </w:p>
    <w:p>
      <w:pPr>
        <w:pStyle w:val="BodyText"/>
        <w:spacing w:line="313" w:lineRule="exact"/>
        <w:ind w:left="798" w:right="0"/>
        <w:jc w:val="left"/>
      </w:pPr>
      <w:r>
        <w:rPr/>
        <w:t>无。</w:t>
      </w:r>
    </w:p>
    <w:p>
      <w:pPr>
        <w:spacing w:line="240" w:lineRule="auto" w:before="13"/>
        <w:rPr>
          <w:rFonts w:ascii="宋体" w:hAnsi="宋体" w:cs="宋体" w:eastAsia="宋体" w:hint="default"/>
          <w:sz w:val="25"/>
          <w:szCs w:val="25"/>
        </w:rPr>
      </w:pPr>
    </w:p>
    <w:p>
      <w:pPr>
        <w:spacing w:before="0"/>
        <w:ind w:left="798" w:right="0"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pacing w:val="-22"/>
          <w:sz w:val="20"/>
          <w:szCs w:val="20"/>
        </w:rPr>
        <w:t> </w:t>
      </w:r>
      <w:r>
        <w:rPr>
          <w:rFonts w:ascii="宋体" w:hAnsi="宋体" w:cs="宋体" w:eastAsia="宋体" w:hint="default"/>
          <w:b/>
          <w:bCs/>
          <w:sz w:val="20"/>
          <w:szCs w:val="20"/>
        </w:rPr>
        <w:t>使用企业集团资产和清偿企业集团债务的重大限制</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798" w:right="0"/>
        <w:jc w:val="left"/>
      </w:pPr>
      <w:r>
        <w:rPr/>
        <w:t>□适用</w:t>
      </w:r>
      <w:r>
        <w:rPr>
          <w:spacing w:val="-1"/>
        </w:rPr>
        <w:t> </w:t>
      </w:r>
      <w:r>
        <w:rPr/>
        <w:t>√不适用</w:t>
      </w:r>
    </w:p>
    <w:p>
      <w:pPr>
        <w:spacing w:line="240" w:lineRule="auto" w:before="2"/>
        <w:rPr>
          <w:rFonts w:ascii="宋体" w:hAnsi="宋体" w:cs="宋体" w:eastAsia="宋体" w:hint="default"/>
          <w:sz w:val="26"/>
          <w:szCs w:val="26"/>
        </w:rPr>
      </w:pPr>
    </w:p>
    <w:p>
      <w:pPr>
        <w:spacing w:before="0"/>
        <w:ind w:left="798" w:right="0"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pacing w:val="-25"/>
          <w:sz w:val="20"/>
          <w:szCs w:val="20"/>
        </w:rPr>
        <w:t> </w:t>
      </w:r>
      <w:r>
        <w:rPr>
          <w:rFonts w:ascii="宋体" w:hAnsi="宋体" w:cs="宋体" w:eastAsia="宋体" w:hint="default"/>
          <w:b/>
          <w:bCs/>
          <w:sz w:val="20"/>
          <w:szCs w:val="20"/>
        </w:rPr>
        <w:t>向纳入合并财务报表范围的结构化主体提供的财务支持或其他支持</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757" w:val="left" w:leader="none"/>
        </w:tabs>
        <w:spacing w:line="240" w:lineRule="auto" w:before="49"/>
        <w:ind w:left="798" w:right="0"/>
        <w:jc w:val="left"/>
      </w:pPr>
      <w:r>
        <w:rPr/>
        <w:t>□适用</w:t>
        <w:tab/>
        <w:t>√不适用</w:t>
      </w:r>
    </w:p>
    <w:p>
      <w:pPr>
        <w:spacing w:line="240" w:lineRule="auto" w:before="12"/>
        <w:rPr>
          <w:rFonts w:ascii="宋体" w:hAnsi="宋体" w:cs="宋体" w:eastAsia="宋体" w:hint="default"/>
          <w:sz w:val="20"/>
          <w:szCs w:val="20"/>
        </w:rPr>
      </w:pPr>
    </w:p>
    <w:p>
      <w:pPr>
        <w:pStyle w:val="BodyText"/>
        <w:spacing w:line="313" w:lineRule="exact"/>
        <w:ind w:left="798" w:right="0"/>
        <w:jc w:val="left"/>
      </w:pPr>
      <w:r>
        <w:rPr/>
        <w:t>其他说明：</w:t>
      </w:r>
    </w:p>
    <w:p>
      <w:pPr>
        <w:pStyle w:val="BodyText"/>
        <w:spacing w:line="313" w:lineRule="exact"/>
        <w:ind w:left="798" w:right="0"/>
        <w:jc w:val="left"/>
      </w:pPr>
      <w:r>
        <w:rPr/>
        <w:t>□适用</w:t>
      </w:r>
      <w:r>
        <w:rPr>
          <w:spacing w:val="-1"/>
        </w:rPr>
        <w:t> </w:t>
      </w:r>
      <w:r>
        <w:rPr/>
        <w:t>√不适用</w:t>
      </w:r>
    </w:p>
    <w:p>
      <w:pPr>
        <w:spacing w:after="0" w:line="313" w:lineRule="exact"/>
        <w:jc w:val="left"/>
        <w:sectPr>
          <w:pgSz w:w="11910" w:h="16850"/>
          <w:pgMar w:header="745" w:footer="921" w:top="980" w:bottom="1120" w:left="1000" w:right="1560"/>
        </w:sectPr>
      </w:pPr>
    </w:p>
    <w:p>
      <w:pPr>
        <w:spacing w:line="240" w:lineRule="auto" w:before="2"/>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50"/>
          <w:pgMar w:header="745" w:footer="921" w:top="980" w:bottom="1120" w:left="1580" w:right="1560"/>
        </w:sectPr>
      </w:pPr>
    </w:p>
    <w:p>
      <w:pPr>
        <w:spacing w:before="37"/>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w:t>
      </w:r>
      <w:r>
        <w:rPr>
          <w:rFonts w:ascii="宋体" w:hAnsi="宋体" w:cs="宋体" w:eastAsia="宋体" w:hint="default"/>
          <w:b/>
          <w:bCs/>
          <w:spacing w:val="12"/>
          <w:sz w:val="20"/>
          <w:szCs w:val="20"/>
        </w:rPr>
        <w:t> </w:t>
      </w:r>
      <w:r>
        <w:rPr>
          <w:rFonts w:ascii="宋体" w:hAnsi="宋体" w:cs="宋体" w:eastAsia="宋体" w:hint="default"/>
          <w:b/>
          <w:bCs/>
          <w:sz w:val="20"/>
          <w:szCs w:val="20"/>
        </w:rPr>
        <w:t>在子公司的所有者权益份额发生变化且仍控制子公司的交易</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8" w:right="0"/>
        <w:jc w:val="left"/>
      </w:pPr>
      <w:r>
        <w:rPr/>
        <w:t>□适用</w:t>
      </w:r>
      <w:r>
        <w:rPr>
          <w:spacing w:val="-1"/>
        </w:rPr>
        <w:t> </w:t>
      </w:r>
      <w:r>
        <w:rPr/>
        <w:t>√不适用</w:t>
      </w:r>
    </w:p>
    <w:p>
      <w:pPr>
        <w:spacing w:before="66"/>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z w:val="20"/>
          <w:szCs w:val="20"/>
        </w:rPr>
        <w:t>、</w:t>
      </w:r>
      <w:r>
        <w:rPr>
          <w:rFonts w:ascii="宋体" w:hAnsi="宋体" w:cs="宋体" w:eastAsia="宋体" w:hint="default"/>
          <w:b/>
          <w:bCs/>
          <w:spacing w:val="14"/>
          <w:sz w:val="20"/>
          <w:szCs w:val="20"/>
        </w:rPr>
        <w:t> </w:t>
      </w:r>
      <w:r>
        <w:rPr>
          <w:rFonts w:ascii="宋体" w:hAnsi="宋体" w:cs="宋体" w:eastAsia="宋体" w:hint="default"/>
          <w:b/>
          <w:bCs/>
          <w:sz w:val="20"/>
          <w:szCs w:val="20"/>
        </w:rPr>
        <w:t>在合营企业或联营企业中的权益</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8" w:right="0"/>
        <w:jc w:val="left"/>
      </w:pPr>
      <w:r>
        <w:rPr/>
        <w:t>√适用</w:t>
      </w:r>
      <w:r>
        <w:rPr>
          <w:spacing w:val="-1"/>
        </w:rPr>
        <w:t> </w:t>
      </w:r>
      <w:r>
        <w:rPr/>
        <w:t>□不适用</w:t>
      </w:r>
    </w:p>
    <w:p>
      <w:pPr>
        <w:spacing w:before="66"/>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pacing w:val="-22"/>
          <w:sz w:val="20"/>
          <w:szCs w:val="20"/>
        </w:rPr>
        <w:t> </w:t>
      </w:r>
      <w:r>
        <w:rPr>
          <w:rFonts w:ascii="宋体" w:hAnsi="宋体" w:cs="宋体" w:eastAsia="宋体" w:hint="default"/>
          <w:b/>
          <w:bCs/>
          <w:sz w:val="20"/>
          <w:szCs w:val="20"/>
        </w:rPr>
        <w:t>重要的合营企业或联营企业</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77" w:val="left" w:leader="none"/>
        </w:tabs>
        <w:spacing w:line="240" w:lineRule="auto" w:before="49"/>
        <w:ind w:left="218" w:right="0"/>
        <w:jc w:val="left"/>
      </w:pPr>
      <w:r>
        <w:rPr/>
        <w:t>√适用</w:t>
        <w:tab/>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35"/>
          <w:szCs w:val="35"/>
        </w:rPr>
      </w:pPr>
    </w:p>
    <w:p>
      <w:pPr>
        <w:pStyle w:val="BodyText"/>
        <w:tabs>
          <w:tab w:pos="1245" w:val="left" w:leader="none"/>
        </w:tabs>
        <w:spacing w:line="240" w:lineRule="auto"/>
        <w:ind w:left="218"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50"/>
          <w:pgMar w:top="1120" w:bottom="1380" w:left="1580" w:right="1560"/>
          <w:cols w:num="2" w:equalWidth="0">
            <w:col w:w="5959" w:space="61"/>
            <w:col w:w="2750"/>
          </w:cols>
        </w:sectPr>
      </w:pPr>
    </w:p>
    <w:tbl>
      <w:tblPr>
        <w:tblW w:w="0" w:type="auto"/>
        <w:jc w:val="left"/>
        <w:tblInd w:w="105" w:type="dxa"/>
        <w:tblLayout w:type="fixed"/>
        <w:tblCellMar>
          <w:top w:w="0" w:type="dxa"/>
          <w:left w:w="0" w:type="dxa"/>
          <w:bottom w:w="0" w:type="dxa"/>
          <w:right w:w="0" w:type="dxa"/>
        </w:tblCellMar>
        <w:tblLook w:val="01E0"/>
      </w:tblPr>
      <w:tblGrid>
        <w:gridCol w:w="1140"/>
        <w:gridCol w:w="1251"/>
        <w:gridCol w:w="1181"/>
        <w:gridCol w:w="1217"/>
        <w:gridCol w:w="1001"/>
        <w:gridCol w:w="1030"/>
        <w:gridCol w:w="1712"/>
      </w:tblGrid>
      <w:tr>
        <w:trPr>
          <w:trHeight w:val="461" w:hRule="exact"/>
        </w:trPr>
        <w:tc>
          <w:tcPr>
            <w:tcW w:w="1140" w:type="dxa"/>
            <w:vMerge w:val="restart"/>
            <w:tcBorders>
              <w:top w:val="single" w:sz="4" w:space="0" w:color="000000"/>
              <w:left w:val="single" w:sz="4" w:space="0" w:color="000000"/>
              <w:right w:val="single" w:sz="4" w:space="0" w:color="000000"/>
            </w:tcBorders>
          </w:tcPr>
          <w:p>
            <w:pPr>
              <w:pStyle w:val="TableParagraph"/>
              <w:spacing w:line="273" w:lineRule="exact"/>
              <w:ind w:left="204" w:right="0"/>
              <w:jc w:val="both"/>
              <w:rPr>
                <w:rFonts w:ascii="宋体" w:hAnsi="宋体" w:cs="宋体" w:eastAsia="宋体" w:hint="default"/>
                <w:sz w:val="24"/>
                <w:szCs w:val="24"/>
              </w:rPr>
            </w:pPr>
            <w:r>
              <w:rPr>
                <w:rFonts w:ascii="宋体" w:hAnsi="宋体" w:cs="宋体" w:eastAsia="宋体" w:hint="default"/>
                <w:sz w:val="24"/>
                <w:szCs w:val="24"/>
              </w:rPr>
              <w:t>合营企</w:t>
            </w:r>
          </w:p>
          <w:p>
            <w:pPr>
              <w:pStyle w:val="TableParagraph"/>
              <w:spacing w:line="237" w:lineRule="auto" w:before="1"/>
              <w:ind w:left="204" w:right="204"/>
              <w:jc w:val="both"/>
              <w:rPr>
                <w:rFonts w:ascii="宋体" w:hAnsi="宋体" w:cs="宋体" w:eastAsia="宋体" w:hint="default"/>
                <w:sz w:val="24"/>
                <w:szCs w:val="24"/>
              </w:rPr>
            </w:pPr>
            <w:r>
              <w:rPr>
                <w:rFonts w:ascii="宋体" w:hAnsi="宋体" w:cs="宋体" w:eastAsia="宋体" w:hint="default"/>
                <w:sz w:val="24"/>
                <w:szCs w:val="24"/>
              </w:rPr>
              <w:t>业或联 营企业 名称</w:t>
            </w:r>
          </w:p>
        </w:tc>
        <w:tc>
          <w:tcPr>
            <w:tcW w:w="125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312" w:lineRule="exact"/>
              <w:ind w:left="499" w:right="140" w:hanging="360"/>
              <w:jc w:val="left"/>
              <w:rPr>
                <w:rFonts w:ascii="宋体" w:hAnsi="宋体" w:cs="宋体" w:eastAsia="宋体" w:hint="default"/>
                <w:sz w:val="24"/>
                <w:szCs w:val="24"/>
              </w:rPr>
            </w:pPr>
            <w:r>
              <w:rPr>
                <w:rFonts w:ascii="宋体" w:hAnsi="宋体" w:cs="宋体" w:eastAsia="宋体" w:hint="default"/>
                <w:sz w:val="24"/>
                <w:szCs w:val="24"/>
              </w:rPr>
              <w:t>主要经营 地</w:t>
            </w:r>
          </w:p>
        </w:tc>
        <w:tc>
          <w:tcPr>
            <w:tcW w:w="1181"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223" w:right="0"/>
              <w:jc w:val="left"/>
              <w:rPr>
                <w:rFonts w:ascii="宋体" w:hAnsi="宋体" w:cs="宋体" w:eastAsia="宋体" w:hint="default"/>
                <w:sz w:val="24"/>
                <w:szCs w:val="24"/>
              </w:rPr>
            </w:pPr>
            <w:r>
              <w:rPr>
                <w:rFonts w:ascii="宋体" w:hAnsi="宋体" w:cs="宋体" w:eastAsia="宋体" w:hint="default"/>
                <w:sz w:val="24"/>
                <w:szCs w:val="24"/>
              </w:rPr>
              <w:t>注册地</w:t>
            </w:r>
          </w:p>
        </w:tc>
        <w:tc>
          <w:tcPr>
            <w:tcW w:w="121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22" w:right="0"/>
              <w:jc w:val="left"/>
              <w:rPr>
                <w:rFonts w:ascii="宋体" w:hAnsi="宋体" w:cs="宋体" w:eastAsia="宋体" w:hint="default"/>
                <w:sz w:val="24"/>
                <w:szCs w:val="24"/>
              </w:rPr>
            </w:pPr>
            <w:r>
              <w:rPr>
                <w:rFonts w:ascii="宋体" w:hAnsi="宋体" w:cs="宋体" w:eastAsia="宋体" w:hint="default"/>
                <w:sz w:val="24"/>
                <w:szCs w:val="24"/>
              </w:rPr>
              <w:t>业务性质</w:t>
            </w:r>
          </w:p>
        </w:tc>
        <w:tc>
          <w:tcPr>
            <w:tcW w:w="20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350"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持股比例</w:t>
            </w:r>
            <w:r>
              <w:rPr>
                <w:rFonts w:ascii="Times New Roman" w:hAnsi="Times New Roman" w:cs="Times New Roman" w:eastAsia="Times New Roman" w:hint="default"/>
                <w:sz w:val="24"/>
                <w:szCs w:val="24"/>
              </w:rPr>
              <w:t>(%)</w:t>
            </w:r>
          </w:p>
        </w:tc>
        <w:tc>
          <w:tcPr>
            <w:tcW w:w="1712" w:type="dxa"/>
            <w:vMerge w:val="restart"/>
            <w:tcBorders>
              <w:top w:val="single" w:sz="4" w:space="0" w:color="000000"/>
              <w:left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4"/>
                <w:szCs w:val="24"/>
              </w:rPr>
            </w:pPr>
            <w:r>
              <w:rPr>
                <w:rFonts w:ascii="宋体" w:hAnsi="宋体" w:cs="宋体" w:eastAsia="宋体" w:hint="default"/>
                <w:sz w:val="24"/>
                <w:szCs w:val="24"/>
              </w:rPr>
              <w:t>对合营企业或</w:t>
            </w:r>
          </w:p>
          <w:p>
            <w:pPr>
              <w:pStyle w:val="TableParagraph"/>
              <w:spacing w:line="237" w:lineRule="auto" w:before="1"/>
              <w:ind w:left="129" w:right="130"/>
              <w:jc w:val="center"/>
              <w:rPr>
                <w:rFonts w:ascii="宋体" w:hAnsi="宋体" w:cs="宋体" w:eastAsia="宋体" w:hint="default"/>
                <w:sz w:val="24"/>
                <w:szCs w:val="24"/>
              </w:rPr>
            </w:pPr>
            <w:r>
              <w:rPr>
                <w:rFonts w:ascii="宋体" w:hAnsi="宋体" w:cs="宋体" w:eastAsia="宋体" w:hint="default"/>
                <w:sz w:val="24"/>
                <w:szCs w:val="24"/>
              </w:rPr>
              <w:t>联营企业投资 的会计处理方 法</w:t>
            </w:r>
          </w:p>
        </w:tc>
      </w:tr>
      <w:tr>
        <w:trPr>
          <w:trHeight w:val="795" w:hRule="exact"/>
        </w:trPr>
        <w:tc>
          <w:tcPr>
            <w:tcW w:w="1140" w:type="dxa"/>
            <w:vMerge/>
            <w:tcBorders>
              <w:left w:val="single" w:sz="4" w:space="0" w:color="000000"/>
              <w:bottom w:val="single" w:sz="4" w:space="0" w:color="000000"/>
              <w:right w:val="single" w:sz="4" w:space="0" w:color="000000"/>
            </w:tcBorders>
          </w:tcPr>
          <w:p>
            <w:pPr/>
          </w:p>
        </w:tc>
        <w:tc>
          <w:tcPr>
            <w:tcW w:w="1251" w:type="dxa"/>
            <w:vMerge/>
            <w:tcBorders>
              <w:left w:val="single" w:sz="4" w:space="0" w:color="000000"/>
              <w:bottom w:val="single" w:sz="4" w:space="0" w:color="000000"/>
              <w:right w:val="single" w:sz="4" w:space="0" w:color="000000"/>
            </w:tcBorders>
          </w:tcPr>
          <w:p>
            <w:pPr/>
          </w:p>
        </w:tc>
        <w:tc>
          <w:tcPr>
            <w:tcW w:w="1181" w:type="dxa"/>
            <w:vMerge/>
            <w:tcBorders>
              <w:left w:val="single" w:sz="4" w:space="0" w:color="000000"/>
              <w:bottom w:val="single" w:sz="4" w:space="0" w:color="000000"/>
              <w:right w:val="single" w:sz="4" w:space="0" w:color="000000"/>
            </w:tcBorders>
          </w:tcPr>
          <w:p>
            <w:pPr/>
          </w:p>
        </w:tc>
        <w:tc>
          <w:tcPr>
            <w:tcW w:w="1217" w:type="dxa"/>
            <w:vMerge/>
            <w:tcBorders>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7"/>
              <w:ind w:left="254" w:right="0"/>
              <w:jc w:val="left"/>
              <w:rPr>
                <w:rFonts w:ascii="宋体" w:hAnsi="宋体" w:cs="宋体" w:eastAsia="宋体" w:hint="default"/>
                <w:sz w:val="24"/>
                <w:szCs w:val="24"/>
              </w:rPr>
            </w:pPr>
            <w:r>
              <w:rPr>
                <w:rFonts w:ascii="宋体" w:hAnsi="宋体" w:cs="宋体" w:eastAsia="宋体" w:hint="default"/>
                <w:sz w:val="24"/>
                <w:szCs w:val="24"/>
              </w:rPr>
              <w:t>直接</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7"/>
              <w:ind w:left="266" w:right="0"/>
              <w:jc w:val="left"/>
              <w:rPr>
                <w:rFonts w:ascii="宋体" w:hAnsi="宋体" w:cs="宋体" w:eastAsia="宋体" w:hint="default"/>
                <w:sz w:val="24"/>
                <w:szCs w:val="24"/>
              </w:rPr>
            </w:pPr>
            <w:r>
              <w:rPr>
                <w:rFonts w:ascii="宋体" w:hAnsi="宋体" w:cs="宋体" w:eastAsia="宋体" w:hint="default"/>
                <w:sz w:val="24"/>
                <w:szCs w:val="24"/>
              </w:rPr>
              <w:t>间接</w:t>
            </w:r>
          </w:p>
        </w:tc>
        <w:tc>
          <w:tcPr>
            <w:tcW w:w="1712" w:type="dxa"/>
            <w:vMerge/>
            <w:tcBorders>
              <w:left w:val="single" w:sz="4" w:space="0" w:color="000000"/>
              <w:bottom w:val="single" w:sz="4" w:space="0" w:color="000000"/>
              <w:right w:val="single" w:sz="4" w:space="0" w:color="000000"/>
            </w:tcBorders>
          </w:tcPr>
          <w:p>
            <w:pPr/>
          </w:p>
        </w:tc>
      </w:tr>
      <w:tr>
        <w:trPr>
          <w:trHeight w:val="10283" w:hRule="exact"/>
        </w:trPr>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中关村</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银行</w:t>
            </w:r>
          </w:p>
        </w:tc>
        <w:tc>
          <w:tcPr>
            <w:tcW w:w="125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北京市</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4"/>
                <w:szCs w:val="24"/>
              </w:rPr>
            </w:pPr>
            <w:r>
              <w:rPr>
                <w:rFonts w:ascii="宋体" w:hAnsi="宋体" w:cs="宋体" w:eastAsia="宋体" w:hint="default"/>
                <w:sz w:val="24"/>
                <w:szCs w:val="24"/>
              </w:rPr>
              <w:t>吸收公众</w:t>
            </w:r>
          </w:p>
          <w:p>
            <w:pPr>
              <w:pStyle w:val="TableParagraph"/>
              <w:spacing w:line="237" w:lineRule="auto" w:before="1"/>
              <w:ind w:left="100" w:right="-15"/>
              <w:jc w:val="left"/>
              <w:rPr>
                <w:rFonts w:ascii="宋体" w:hAnsi="宋体" w:cs="宋体" w:eastAsia="宋体" w:hint="default"/>
                <w:sz w:val="24"/>
                <w:szCs w:val="24"/>
              </w:rPr>
            </w:pPr>
            <w:r>
              <w:rPr>
                <w:rFonts w:ascii="宋体" w:hAnsi="宋体" w:cs="宋体" w:eastAsia="宋体" w:hint="default"/>
                <w:sz w:val="24"/>
                <w:szCs w:val="24"/>
              </w:rPr>
              <w:t>存款；发 放短期、 中期和长 期贷款； 办理国内 外结算； 办理票据 承兑与贴 现；发行 金融债 券；代理 发行、代 理兑付、 承销政府 债券；买 卖政府债 券、金融 债券；从 事同业拆 </w:t>
            </w:r>
            <w:r>
              <w:rPr>
                <w:rFonts w:ascii="宋体" w:hAnsi="宋体" w:cs="宋体" w:eastAsia="宋体" w:hint="default"/>
                <w:spacing w:val="-16"/>
                <w:sz w:val="24"/>
                <w:szCs w:val="24"/>
              </w:rPr>
              <w:t>借；买卖、</w:t>
            </w:r>
            <w:r>
              <w:rPr>
                <w:rFonts w:ascii="宋体" w:hAnsi="宋体" w:cs="宋体" w:eastAsia="宋体" w:hint="default"/>
                <w:sz w:val="24"/>
                <w:szCs w:val="24"/>
              </w:rPr>
              <w:t> 代理买卖 外汇；从 事银行卡 业务；提 供信用证 服务及担 保；代理 收付款项 及代理保 险业务； 提供保管 箱服务；</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467" w:right="0"/>
              <w:jc w:val="left"/>
              <w:rPr>
                <w:rFonts w:ascii="Times New Roman" w:hAnsi="Times New Roman" w:cs="Times New Roman" w:eastAsia="Times New Roman" w:hint="default"/>
                <w:sz w:val="24"/>
                <w:szCs w:val="24"/>
              </w:rPr>
            </w:pPr>
            <w:r>
              <w:rPr>
                <w:rFonts w:ascii="Times New Roman"/>
                <w:sz w:val="24"/>
              </w:rPr>
              <w:t>29.8</w:t>
            </w:r>
          </w:p>
        </w:tc>
        <w:tc>
          <w:tcPr>
            <w:tcW w:w="1030"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权益法</w:t>
            </w:r>
          </w:p>
        </w:tc>
      </w:tr>
    </w:tbl>
    <w:p>
      <w:pPr>
        <w:spacing w:after="0" w:line="274" w:lineRule="exact"/>
        <w:jc w:val="left"/>
        <w:rPr>
          <w:rFonts w:ascii="宋体" w:hAnsi="宋体" w:cs="宋体" w:eastAsia="宋体" w:hint="default"/>
          <w:sz w:val="24"/>
          <w:szCs w:val="24"/>
        </w:rPr>
        <w:sectPr>
          <w:type w:val="continuous"/>
          <w:pgSz w:w="11910" w:h="16850"/>
          <w:pgMar w:top="1120" w:bottom="1380" w:left="1580" w:right="15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1140"/>
        <w:gridCol w:w="1251"/>
        <w:gridCol w:w="1181"/>
        <w:gridCol w:w="1217"/>
        <w:gridCol w:w="1001"/>
        <w:gridCol w:w="1030"/>
        <w:gridCol w:w="1712"/>
      </w:tblGrid>
      <w:tr>
        <w:trPr>
          <w:trHeight w:val="1568" w:hRule="exact"/>
        </w:trPr>
        <w:tc>
          <w:tcPr>
            <w:tcW w:w="1140" w:type="dxa"/>
            <w:tcBorders>
              <w:top w:val="single" w:sz="4" w:space="0" w:color="000000"/>
              <w:left w:val="single" w:sz="4" w:space="0" w:color="000000"/>
              <w:bottom w:val="single" w:sz="4" w:space="0" w:color="000000"/>
              <w:right w:val="single" w:sz="4" w:space="0" w:color="000000"/>
            </w:tcBorders>
          </w:tcPr>
          <w:p>
            <w:pPr/>
          </w:p>
        </w:tc>
        <w:tc>
          <w:tcPr>
            <w:tcW w:w="125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both"/>
              <w:rPr>
                <w:rFonts w:ascii="宋体" w:hAnsi="宋体" w:cs="宋体" w:eastAsia="宋体" w:hint="default"/>
                <w:sz w:val="24"/>
                <w:szCs w:val="24"/>
              </w:rPr>
            </w:pPr>
            <w:r>
              <w:rPr>
                <w:rFonts w:ascii="宋体" w:hAnsi="宋体" w:cs="宋体" w:eastAsia="宋体" w:hint="default"/>
                <w:sz w:val="24"/>
                <w:szCs w:val="24"/>
              </w:rPr>
              <w:t>经银行业</w:t>
            </w:r>
          </w:p>
          <w:p>
            <w:pPr>
              <w:pStyle w:val="TableParagraph"/>
              <w:spacing w:line="237" w:lineRule="auto" w:before="1"/>
              <w:ind w:left="100" w:right="144"/>
              <w:jc w:val="both"/>
              <w:rPr>
                <w:rFonts w:ascii="宋体" w:hAnsi="宋体" w:cs="宋体" w:eastAsia="宋体" w:hint="default"/>
                <w:sz w:val="24"/>
                <w:szCs w:val="24"/>
              </w:rPr>
            </w:pPr>
            <w:r>
              <w:rPr>
                <w:rFonts w:ascii="宋体" w:hAnsi="宋体" w:cs="宋体" w:eastAsia="宋体" w:hint="default"/>
                <w:sz w:val="24"/>
                <w:szCs w:val="24"/>
              </w:rPr>
              <w:t>监督管理 机构批准 的其他业 务。</w:t>
            </w:r>
          </w:p>
        </w:tc>
        <w:tc>
          <w:tcPr>
            <w:tcW w:w="1001" w:type="dxa"/>
            <w:tcBorders>
              <w:top w:val="single" w:sz="4" w:space="0" w:color="000000"/>
              <w:left w:val="single" w:sz="4" w:space="0" w:color="000000"/>
              <w:bottom w:val="single" w:sz="4" w:space="0" w:color="000000"/>
              <w:right w:val="single" w:sz="4" w:space="0" w:color="000000"/>
            </w:tcBorders>
          </w:tcPr>
          <w:p>
            <w:pPr/>
          </w:p>
        </w:tc>
        <w:tc>
          <w:tcPr>
            <w:tcW w:w="1030"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40" w:type="dxa"/>
            <w:tcBorders>
              <w:top w:val="single" w:sz="4" w:space="0" w:color="000000"/>
              <w:left w:val="single" w:sz="4" w:space="0" w:color="000000"/>
              <w:bottom w:val="single" w:sz="4" w:space="0" w:color="000000"/>
              <w:right w:val="single" w:sz="4" w:space="0" w:color="000000"/>
            </w:tcBorders>
          </w:tcPr>
          <w:p>
            <w:pPr/>
          </w:p>
        </w:tc>
        <w:tc>
          <w:tcPr>
            <w:tcW w:w="125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30"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1140" w:type="dxa"/>
            <w:tcBorders>
              <w:top w:val="single" w:sz="4" w:space="0" w:color="000000"/>
              <w:left w:val="single" w:sz="4" w:space="0" w:color="000000"/>
              <w:bottom w:val="single" w:sz="4" w:space="0" w:color="000000"/>
              <w:right w:val="single" w:sz="4" w:space="0" w:color="000000"/>
            </w:tcBorders>
          </w:tcPr>
          <w:p>
            <w:pPr/>
          </w:p>
        </w:tc>
        <w:tc>
          <w:tcPr>
            <w:tcW w:w="125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001" w:type="dxa"/>
            <w:tcBorders>
              <w:top w:val="single" w:sz="4" w:space="0" w:color="000000"/>
              <w:left w:val="single" w:sz="4" w:space="0" w:color="000000"/>
              <w:bottom w:val="single" w:sz="4" w:space="0" w:color="000000"/>
              <w:right w:val="single" w:sz="4" w:space="0" w:color="000000"/>
            </w:tcBorders>
          </w:tcPr>
          <w:p>
            <w:pPr/>
          </w:p>
        </w:tc>
        <w:tc>
          <w:tcPr>
            <w:tcW w:w="1030"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73" w:lineRule="exact"/>
        <w:ind w:left="218" w:right="0"/>
        <w:jc w:val="left"/>
      </w:pPr>
      <w:r>
        <w:rPr/>
        <w:t>在合营企业或联营企业的持股比例不同于表决权比例的说明：</w:t>
      </w:r>
    </w:p>
    <w:p>
      <w:pPr>
        <w:pStyle w:val="BodyText"/>
        <w:spacing w:line="313" w:lineRule="exact"/>
        <w:ind w:left="218" w:right="6141"/>
        <w:jc w:val="left"/>
      </w:pPr>
      <w:r>
        <w:rPr/>
        <w:t>无。</w:t>
      </w:r>
    </w:p>
    <w:p>
      <w:pPr>
        <w:spacing w:line="240" w:lineRule="auto" w:before="1"/>
        <w:rPr>
          <w:rFonts w:ascii="宋体" w:hAnsi="宋体" w:cs="宋体" w:eastAsia="宋体" w:hint="default"/>
          <w:sz w:val="23"/>
          <w:szCs w:val="23"/>
        </w:rPr>
      </w:pPr>
    </w:p>
    <w:p>
      <w:pPr>
        <w:pStyle w:val="BodyText"/>
        <w:spacing w:line="312" w:lineRule="exact"/>
        <w:ind w:left="218" w:right="330"/>
        <w:jc w:val="left"/>
      </w:pPr>
      <w:r>
        <w:rPr/>
        <w:t>持有</w:t>
      </w:r>
      <w:r>
        <w:rPr>
          <w:spacing w:val="-62"/>
        </w:rPr>
        <w:t> </w:t>
      </w:r>
      <w:r>
        <w:rPr>
          <w:rFonts w:ascii="Times New Roman" w:hAnsi="Times New Roman" w:cs="Times New Roman" w:eastAsia="Times New Roman" w:hint="default"/>
        </w:rPr>
        <w:t>20%</w:t>
      </w:r>
      <w:r>
        <w:rPr/>
        <w:t>以下表决权但具有重大影响，或者持有</w:t>
      </w:r>
      <w:r>
        <w:rPr>
          <w:spacing w:val="-60"/>
        </w:rPr>
        <w:t> </w:t>
      </w:r>
      <w:r>
        <w:rPr>
          <w:rFonts w:ascii="Times New Roman" w:hAnsi="Times New Roman" w:cs="Times New Roman" w:eastAsia="Times New Roman" w:hint="default"/>
        </w:rPr>
        <w:t>20%</w:t>
      </w:r>
      <w:r>
        <w:rPr/>
        <w:t>或以上表决权但不具有重 大影响的依据：</w:t>
      </w:r>
    </w:p>
    <w:p>
      <w:pPr>
        <w:pStyle w:val="BodyText"/>
        <w:spacing w:line="283" w:lineRule="exact"/>
        <w:ind w:left="218" w:right="6141"/>
        <w:jc w:val="left"/>
      </w:pPr>
      <w:r>
        <w:rPr/>
        <w:t>无。</w:t>
      </w:r>
    </w:p>
    <w:p>
      <w:pPr>
        <w:spacing w:line="240" w:lineRule="auto" w:before="2"/>
        <w:rPr>
          <w:rFonts w:ascii="宋体" w:hAnsi="宋体" w:cs="宋体" w:eastAsia="宋体" w:hint="default"/>
          <w:sz w:val="26"/>
          <w:szCs w:val="26"/>
        </w:rPr>
      </w:pPr>
    </w:p>
    <w:p>
      <w:pPr>
        <w:spacing w:before="0"/>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重要合营企业的主要财务信息</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77" w:val="left" w:leader="none"/>
        </w:tabs>
        <w:spacing w:line="240" w:lineRule="auto" w:before="49"/>
        <w:ind w:left="218" w:right="6141"/>
        <w:jc w:val="left"/>
      </w:pPr>
      <w:r>
        <w:rPr/>
        <w:t>□适用</w:t>
        <w:tab/>
        <w:t>√不适用</w:t>
      </w:r>
    </w:p>
    <w:p>
      <w:pPr>
        <w:spacing w:line="240" w:lineRule="auto" w:before="1"/>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50"/>
          <w:pgMar w:header="745" w:footer="921" w:top="980" w:bottom="1120" w:left="1580" w:right="1560"/>
        </w:sectPr>
      </w:pPr>
    </w:p>
    <w:p>
      <w:pPr>
        <w:spacing w:before="37"/>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z w:val="20"/>
          <w:szCs w:val="20"/>
        </w:rPr>
        <w:t>重要联营企业的主要财务信息</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77" w:val="left" w:leader="none"/>
        </w:tabs>
        <w:spacing w:line="240" w:lineRule="auto" w:before="49"/>
        <w:ind w:left="218" w:right="0"/>
        <w:jc w:val="left"/>
      </w:pPr>
      <w:r>
        <w:rPr/>
        <w:t>√适用</w:t>
        <w:tab/>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6"/>
          <w:szCs w:val="26"/>
        </w:rPr>
      </w:pPr>
    </w:p>
    <w:p>
      <w:pPr>
        <w:pStyle w:val="BodyText"/>
        <w:tabs>
          <w:tab w:pos="1418" w:val="left" w:leader="none"/>
        </w:tabs>
        <w:spacing w:line="240" w:lineRule="auto"/>
        <w:ind w:left="218" w:right="0"/>
        <w:jc w:val="left"/>
      </w:pPr>
      <w:r>
        <w:rPr/>
        <w:t>单位：元</w:t>
        <w:tab/>
        <w:t>币种：人民币</w:t>
      </w:r>
    </w:p>
    <w:p>
      <w:pPr>
        <w:spacing w:after="0" w:line="240" w:lineRule="auto"/>
        <w:jc w:val="left"/>
        <w:sectPr>
          <w:type w:val="continuous"/>
          <w:pgSz w:w="11910" w:h="16850"/>
          <w:pgMar w:top="1120" w:bottom="1380" w:left="1580" w:right="1560"/>
          <w:cols w:num="2" w:equalWidth="0">
            <w:col w:w="3333" w:space="2341"/>
            <w:col w:w="3096"/>
          </w:cols>
        </w:sectPr>
      </w:pPr>
    </w:p>
    <w:p>
      <w:pPr>
        <w:spacing w:line="240" w:lineRule="auto" w:before="12"/>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576"/>
        <w:gridCol w:w="1716"/>
        <w:gridCol w:w="1260"/>
        <w:gridCol w:w="1716"/>
        <w:gridCol w:w="1263"/>
      </w:tblGrid>
      <w:tr>
        <w:trPr>
          <w:trHeight w:val="324" w:hRule="exact"/>
        </w:trPr>
        <w:tc>
          <w:tcPr>
            <w:tcW w:w="2576" w:type="dxa"/>
            <w:vMerge w:val="restart"/>
            <w:tcBorders>
              <w:top w:val="single" w:sz="4" w:space="0" w:color="000000"/>
              <w:left w:val="single" w:sz="4" w:space="0" w:color="000000"/>
              <w:right w:val="single" w:sz="6" w:space="0" w:color="000000"/>
            </w:tcBorders>
          </w:tcPr>
          <w:p>
            <w:pPr/>
          </w:p>
        </w:tc>
        <w:tc>
          <w:tcPr>
            <w:tcW w:w="2976" w:type="dxa"/>
            <w:gridSpan w:val="2"/>
            <w:tcBorders>
              <w:top w:val="single" w:sz="4" w:space="0" w:color="000000"/>
              <w:left w:val="single" w:sz="6" w:space="0" w:color="000000"/>
              <w:bottom w:val="single" w:sz="6" w:space="0" w:color="000000"/>
              <w:right w:val="single" w:sz="6" w:space="0" w:color="000000"/>
            </w:tcBorders>
          </w:tcPr>
          <w:p>
            <w:pPr>
              <w:pStyle w:val="TableParagraph"/>
              <w:spacing w:line="292" w:lineRule="exact"/>
              <w:ind w:left="307" w:right="0"/>
              <w:jc w:val="left"/>
              <w:rPr>
                <w:rFonts w:ascii="宋体" w:hAnsi="宋体" w:cs="宋体" w:eastAsia="宋体" w:hint="default"/>
                <w:sz w:val="24"/>
                <w:szCs w:val="24"/>
              </w:rPr>
            </w:pPr>
            <w:r>
              <w:rPr>
                <w:rFonts w:ascii="宋体" w:hAnsi="宋体" w:cs="宋体" w:eastAsia="宋体" w:hint="default"/>
                <w:sz w:val="24"/>
                <w:szCs w:val="24"/>
              </w:rPr>
              <w:t>期末余额</w:t>
            </w:r>
            <w:r>
              <w:rPr>
                <w:rFonts w:ascii="Times New Roman" w:hAnsi="Times New Roman" w:cs="Times New Roman" w:eastAsia="Times New Roman" w:hint="default"/>
                <w:sz w:val="24"/>
                <w:szCs w:val="24"/>
              </w:rPr>
              <w:t>/  </w:t>
            </w:r>
            <w:r>
              <w:rPr>
                <w:rFonts w:ascii="宋体" w:hAnsi="宋体" w:cs="宋体" w:eastAsia="宋体" w:hint="default"/>
                <w:sz w:val="24"/>
                <w:szCs w:val="24"/>
              </w:rPr>
              <w:t>本期发生额</w:t>
            </w:r>
          </w:p>
        </w:tc>
        <w:tc>
          <w:tcPr>
            <w:tcW w:w="2979" w:type="dxa"/>
            <w:gridSpan w:val="2"/>
            <w:tcBorders>
              <w:top w:val="single" w:sz="4" w:space="0" w:color="000000"/>
              <w:left w:val="single" w:sz="6" w:space="0" w:color="000000"/>
              <w:bottom w:val="single" w:sz="6" w:space="0" w:color="000000"/>
              <w:right w:val="single" w:sz="6" w:space="0" w:color="000000"/>
            </w:tcBorders>
          </w:tcPr>
          <w:p>
            <w:pPr>
              <w:pStyle w:val="TableParagraph"/>
              <w:spacing w:line="292" w:lineRule="exact"/>
              <w:ind w:left="307" w:right="0"/>
              <w:jc w:val="left"/>
              <w:rPr>
                <w:rFonts w:ascii="宋体" w:hAnsi="宋体" w:cs="宋体" w:eastAsia="宋体" w:hint="default"/>
                <w:sz w:val="24"/>
                <w:szCs w:val="24"/>
              </w:rPr>
            </w:pPr>
            <w:r>
              <w:rPr>
                <w:rFonts w:ascii="宋体" w:hAnsi="宋体" w:cs="宋体" w:eastAsia="宋体" w:hint="default"/>
                <w:sz w:val="24"/>
                <w:szCs w:val="24"/>
              </w:rPr>
              <w:t>期初余额</w:t>
            </w:r>
            <w:r>
              <w:rPr>
                <w:rFonts w:ascii="Times New Roman" w:hAnsi="Times New Roman" w:cs="Times New Roman" w:eastAsia="Times New Roman" w:hint="default"/>
                <w:sz w:val="24"/>
                <w:szCs w:val="24"/>
              </w:rPr>
              <w:t>/  </w:t>
            </w:r>
            <w:r>
              <w:rPr>
                <w:rFonts w:ascii="宋体" w:hAnsi="宋体" w:cs="宋体" w:eastAsia="宋体" w:hint="default"/>
                <w:sz w:val="24"/>
                <w:szCs w:val="24"/>
              </w:rPr>
              <w:t>上期发生额</w:t>
            </w:r>
          </w:p>
        </w:tc>
      </w:tr>
      <w:tr>
        <w:trPr>
          <w:trHeight w:val="324" w:hRule="exact"/>
        </w:trPr>
        <w:tc>
          <w:tcPr>
            <w:tcW w:w="2576" w:type="dxa"/>
            <w:vMerge/>
            <w:tcBorders>
              <w:left w:val="single" w:sz="4"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49" w:right="0"/>
              <w:jc w:val="left"/>
              <w:rPr>
                <w:rFonts w:ascii="宋体" w:hAnsi="宋体" w:cs="宋体" w:eastAsia="宋体" w:hint="default"/>
                <w:sz w:val="24"/>
                <w:szCs w:val="24"/>
              </w:rPr>
            </w:pPr>
            <w:r>
              <w:rPr>
                <w:rFonts w:ascii="宋体" w:hAnsi="宋体" w:cs="宋体" w:eastAsia="宋体" w:hint="default"/>
                <w:sz w:val="24"/>
                <w:szCs w:val="24"/>
              </w:rPr>
              <w:t>中关村银行</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179"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XX</w:t>
            </w:r>
            <w:r>
              <w:rPr>
                <w:rFonts w:ascii="Times New Roman" w:hAnsi="Times New Roman" w:cs="Times New Roman" w:eastAsia="Times New Roman" w:hint="default"/>
                <w:spacing w:val="-3"/>
                <w:sz w:val="24"/>
                <w:szCs w:val="24"/>
              </w:rPr>
              <w:t> </w:t>
            </w:r>
            <w:r>
              <w:rPr>
                <w:rFonts w:ascii="宋体" w:hAnsi="宋体" w:cs="宋体" w:eastAsia="宋体" w:hint="default"/>
                <w:sz w:val="24"/>
                <w:szCs w:val="24"/>
              </w:rPr>
              <w:t>公司</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49" w:right="0"/>
              <w:jc w:val="left"/>
              <w:rPr>
                <w:rFonts w:ascii="宋体" w:hAnsi="宋体" w:cs="宋体" w:eastAsia="宋体" w:hint="default"/>
                <w:sz w:val="24"/>
                <w:szCs w:val="24"/>
              </w:rPr>
            </w:pPr>
            <w:r>
              <w:rPr>
                <w:rFonts w:ascii="宋体" w:hAnsi="宋体" w:cs="宋体" w:eastAsia="宋体" w:hint="default"/>
                <w:sz w:val="24"/>
                <w:szCs w:val="24"/>
              </w:rPr>
              <w:t>中关村银行</w:t>
            </w:r>
          </w:p>
        </w:tc>
        <w:tc>
          <w:tcPr>
            <w:tcW w:w="1263" w:type="dxa"/>
            <w:tcBorders>
              <w:top w:val="single" w:sz="6" w:space="0" w:color="000000"/>
              <w:left w:val="single" w:sz="6" w:space="0" w:color="000000"/>
              <w:bottom w:val="single" w:sz="6" w:space="0" w:color="000000"/>
              <w:right w:val="single" w:sz="6" w:space="0" w:color="000000"/>
            </w:tcBorders>
          </w:tcPr>
          <w:p>
            <w:pPr>
              <w:pStyle w:val="TableParagraph"/>
              <w:spacing w:line="292" w:lineRule="exact"/>
              <w:ind w:left="180"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XX</w:t>
            </w:r>
            <w:r>
              <w:rPr>
                <w:rFonts w:ascii="Times New Roman" w:hAnsi="Times New Roman" w:cs="Times New Roman" w:eastAsia="Times New Roman" w:hint="default"/>
                <w:spacing w:val="-3"/>
                <w:sz w:val="24"/>
                <w:szCs w:val="24"/>
              </w:rPr>
              <w:t> </w:t>
            </w:r>
            <w:r>
              <w:rPr>
                <w:rFonts w:ascii="宋体" w:hAnsi="宋体" w:cs="宋体" w:eastAsia="宋体" w:hint="default"/>
                <w:sz w:val="24"/>
                <w:szCs w:val="24"/>
              </w:rPr>
              <w:t>公司</w:t>
            </w: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流动资产</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非流动资产</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资产合计</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98"/>
              <w:jc w:val="right"/>
              <w:rPr>
                <w:rFonts w:ascii="Times New Roman" w:hAnsi="Times New Roman" w:cs="Times New Roman" w:eastAsia="Times New Roman" w:hint="default"/>
                <w:sz w:val="24"/>
                <w:szCs w:val="24"/>
              </w:rPr>
            </w:pPr>
            <w:r>
              <w:rPr>
                <w:rFonts w:ascii="Times New Roman"/>
                <w:sz w:val="24"/>
              </w:rPr>
              <w:t>17,467,330,153</w:t>
            </w: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98"/>
              <w:jc w:val="right"/>
              <w:rPr>
                <w:rFonts w:ascii="Times New Roman" w:hAnsi="Times New Roman" w:cs="Times New Roman" w:eastAsia="Times New Roman" w:hint="default"/>
                <w:sz w:val="24"/>
                <w:szCs w:val="24"/>
              </w:rPr>
            </w:pPr>
            <w:r>
              <w:rPr>
                <w:rFonts w:ascii="Times New Roman"/>
                <w:sz w:val="24"/>
              </w:rPr>
              <w:t>13,154,860,391</w:t>
            </w: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293" w:hRule="exact"/>
        </w:trPr>
        <w:tc>
          <w:tcPr>
            <w:tcW w:w="2576" w:type="dxa"/>
            <w:tcBorders>
              <w:top w:val="single" w:sz="6" w:space="0" w:color="000000"/>
              <w:left w:val="single" w:sz="4"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4"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流动负债</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非流动负债</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负债合计</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98"/>
              <w:jc w:val="right"/>
              <w:rPr>
                <w:rFonts w:ascii="Times New Roman" w:hAnsi="Times New Roman" w:cs="Times New Roman" w:eastAsia="Times New Roman" w:hint="default"/>
                <w:sz w:val="24"/>
                <w:szCs w:val="24"/>
              </w:rPr>
            </w:pPr>
            <w:r>
              <w:rPr>
                <w:rFonts w:ascii="Times New Roman"/>
                <w:sz w:val="24"/>
              </w:rPr>
              <w:t>13,326,033,162</w:t>
            </w: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98"/>
              <w:jc w:val="right"/>
              <w:rPr>
                <w:rFonts w:ascii="Times New Roman" w:hAnsi="Times New Roman" w:cs="Times New Roman" w:eastAsia="Times New Roman" w:hint="default"/>
                <w:sz w:val="24"/>
                <w:szCs w:val="24"/>
              </w:rPr>
            </w:pPr>
            <w:r>
              <w:rPr>
                <w:rFonts w:ascii="Times New Roman"/>
                <w:sz w:val="24"/>
              </w:rPr>
              <w:t>9,058,610,234</w:t>
            </w: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293" w:hRule="exact"/>
        </w:trPr>
        <w:tc>
          <w:tcPr>
            <w:tcW w:w="2576" w:type="dxa"/>
            <w:tcBorders>
              <w:top w:val="single" w:sz="6" w:space="0" w:color="000000"/>
              <w:left w:val="single" w:sz="4"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少数股东权益</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637"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归属于母公司股东权</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益</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4,141,296,991</w:t>
            </w: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4,096,250,157</w:t>
            </w: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290" w:hRule="exact"/>
        </w:trPr>
        <w:tc>
          <w:tcPr>
            <w:tcW w:w="2576" w:type="dxa"/>
            <w:tcBorders>
              <w:top w:val="single" w:sz="6" w:space="0" w:color="000000"/>
              <w:left w:val="single" w:sz="4"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按持股比例计算的净</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资产份额</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98"/>
              <w:jc w:val="right"/>
              <w:rPr>
                <w:rFonts w:ascii="Times New Roman" w:hAnsi="Times New Roman" w:cs="Times New Roman" w:eastAsia="Times New Roman" w:hint="default"/>
                <w:sz w:val="24"/>
                <w:szCs w:val="24"/>
              </w:rPr>
            </w:pPr>
            <w:r>
              <w:rPr>
                <w:rFonts w:ascii="Times New Roman"/>
                <w:sz w:val="24"/>
              </w:rPr>
              <w:t>1,234,106,503</w:t>
            </w: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98"/>
              <w:jc w:val="right"/>
              <w:rPr>
                <w:rFonts w:ascii="Times New Roman" w:hAnsi="Times New Roman" w:cs="Times New Roman" w:eastAsia="Times New Roman" w:hint="default"/>
                <w:sz w:val="24"/>
                <w:szCs w:val="24"/>
              </w:rPr>
            </w:pPr>
            <w:r>
              <w:rPr>
                <w:rFonts w:ascii="Times New Roman"/>
                <w:sz w:val="24"/>
              </w:rPr>
              <w:t>1,220,682,547</w:t>
            </w: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调整事项</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pacing w:val="-1"/>
                <w:sz w:val="24"/>
              </w:rPr>
              <w:t>-932,343</w:t>
            </w: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pacing w:val="-1"/>
                <w:sz w:val="24"/>
              </w:rPr>
              <w:t>-753,641</w:t>
            </w: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商誉</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内部交易未实现利润</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其他</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63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对联营企业权益投资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的账面价值</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1,233,174,160</w:t>
            </w: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1,219,928,906</w:t>
            </w: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639"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存在公开报价的联营</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企业权益投资的公允</w:t>
            </w:r>
          </w:p>
        </w:tc>
        <w:tc>
          <w:tcPr>
            <w:tcW w:w="1716" w:type="dxa"/>
            <w:tcBorders>
              <w:top w:val="single" w:sz="6" w:space="0" w:color="000000"/>
              <w:left w:val="single" w:sz="6" w:space="0" w:color="000000"/>
              <w:bottom w:val="single" w:sz="4" w:space="0" w:color="000000"/>
              <w:right w:val="single" w:sz="6" w:space="0" w:color="000000"/>
            </w:tcBorders>
          </w:tcPr>
          <w:p>
            <w:pPr/>
          </w:p>
        </w:tc>
        <w:tc>
          <w:tcPr>
            <w:tcW w:w="1260" w:type="dxa"/>
            <w:tcBorders>
              <w:top w:val="single" w:sz="6" w:space="0" w:color="000000"/>
              <w:left w:val="single" w:sz="6" w:space="0" w:color="000000"/>
              <w:bottom w:val="single" w:sz="4"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50"/>
          <w:pgMar w:top="1120" w:bottom="1380" w:left="1580" w:right="15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2576"/>
        <w:gridCol w:w="1716"/>
        <w:gridCol w:w="1260"/>
        <w:gridCol w:w="1716"/>
        <w:gridCol w:w="1263"/>
      </w:tblGrid>
      <w:tr>
        <w:trPr>
          <w:trHeight w:val="327"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价值</w:t>
            </w:r>
          </w:p>
        </w:tc>
        <w:tc>
          <w:tcPr>
            <w:tcW w:w="1716" w:type="dxa"/>
            <w:tcBorders>
              <w:top w:val="single" w:sz="4" w:space="0" w:color="000000"/>
              <w:left w:val="single" w:sz="6" w:space="0" w:color="000000"/>
              <w:bottom w:val="single" w:sz="6" w:space="0" w:color="000000"/>
              <w:right w:val="single" w:sz="6" w:space="0" w:color="000000"/>
            </w:tcBorders>
          </w:tcPr>
          <w:p>
            <w:pPr/>
          </w:p>
        </w:tc>
        <w:tc>
          <w:tcPr>
            <w:tcW w:w="1260" w:type="dxa"/>
            <w:tcBorders>
              <w:top w:val="single" w:sz="4"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290" w:hRule="exact"/>
        </w:trPr>
        <w:tc>
          <w:tcPr>
            <w:tcW w:w="2576" w:type="dxa"/>
            <w:tcBorders>
              <w:top w:val="single" w:sz="6" w:space="0" w:color="000000"/>
              <w:left w:val="single" w:sz="4"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营业收入</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446,867,984</w:t>
            </w: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433,204,518</w:t>
            </w: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净利润</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45,046,834</w:t>
            </w: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89,885,397</w:t>
            </w: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终止经营的净利润</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其他综合收益</w:t>
            </w: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76" w:type="dxa"/>
            <w:tcBorders>
              <w:top w:val="single" w:sz="6" w:space="0" w:color="000000"/>
              <w:left w:val="single" w:sz="4" w:space="0" w:color="000000"/>
              <w:bottom w:val="single" w:sz="6" w:space="0" w:color="000000"/>
              <w:right w:val="single" w:sz="6"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综合收益总额</w:t>
            </w: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45,046,834</w:t>
            </w: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89,885,397</w:t>
            </w: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290" w:hRule="exact"/>
        </w:trPr>
        <w:tc>
          <w:tcPr>
            <w:tcW w:w="2576" w:type="dxa"/>
            <w:tcBorders>
              <w:top w:val="single" w:sz="6" w:space="0" w:color="000000"/>
              <w:left w:val="single" w:sz="4"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716" w:type="dxa"/>
            <w:tcBorders>
              <w:top w:val="single" w:sz="6" w:space="0" w:color="000000"/>
              <w:left w:val="single" w:sz="6" w:space="0" w:color="000000"/>
              <w:bottom w:val="single" w:sz="6" w:space="0" w:color="000000"/>
              <w:right w:val="single" w:sz="6" w:space="0" w:color="000000"/>
            </w:tcBorders>
          </w:tcPr>
          <w:p>
            <w:pPr/>
          </w:p>
        </w:tc>
        <w:tc>
          <w:tcPr>
            <w:tcW w:w="1263" w:type="dxa"/>
            <w:tcBorders>
              <w:top w:val="single" w:sz="6" w:space="0" w:color="000000"/>
              <w:left w:val="single" w:sz="6" w:space="0" w:color="000000"/>
              <w:bottom w:val="single" w:sz="6" w:space="0" w:color="000000"/>
              <w:right w:val="single" w:sz="6" w:space="0" w:color="000000"/>
            </w:tcBorders>
          </w:tcPr>
          <w:p>
            <w:pPr/>
          </w:p>
        </w:tc>
      </w:tr>
      <w:tr>
        <w:trPr>
          <w:trHeight w:val="636" w:hRule="exact"/>
        </w:trPr>
        <w:tc>
          <w:tcPr>
            <w:tcW w:w="2576" w:type="dxa"/>
            <w:tcBorders>
              <w:top w:val="single" w:sz="6" w:space="0" w:color="000000"/>
              <w:left w:val="single" w:sz="4" w:space="0" w:color="000000"/>
              <w:bottom w:val="single" w:sz="4" w:space="0" w:color="000000"/>
              <w:right w:val="single" w:sz="6"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本年度收到的来自联</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营企业的股利</w:t>
            </w:r>
          </w:p>
        </w:tc>
        <w:tc>
          <w:tcPr>
            <w:tcW w:w="1716" w:type="dxa"/>
            <w:tcBorders>
              <w:top w:val="single" w:sz="6" w:space="0" w:color="000000"/>
              <w:left w:val="single" w:sz="6" w:space="0" w:color="000000"/>
              <w:bottom w:val="single" w:sz="4" w:space="0" w:color="000000"/>
              <w:right w:val="single" w:sz="6" w:space="0" w:color="000000"/>
            </w:tcBorders>
          </w:tcPr>
          <w:p>
            <w:pPr/>
          </w:p>
        </w:tc>
        <w:tc>
          <w:tcPr>
            <w:tcW w:w="1260" w:type="dxa"/>
            <w:tcBorders>
              <w:top w:val="single" w:sz="6" w:space="0" w:color="000000"/>
              <w:left w:val="single" w:sz="6" w:space="0" w:color="000000"/>
              <w:bottom w:val="single" w:sz="4" w:space="0" w:color="000000"/>
              <w:right w:val="single" w:sz="6" w:space="0" w:color="000000"/>
            </w:tcBorders>
          </w:tcPr>
          <w:p>
            <w:pPr/>
          </w:p>
        </w:tc>
        <w:tc>
          <w:tcPr>
            <w:tcW w:w="1716" w:type="dxa"/>
            <w:tcBorders>
              <w:top w:val="single" w:sz="6" w:space="0" w:color="000000"/>
              <w:left w:val="single" w:sz="6" w:space="0" w:color="000000"/>
              <w:bottom w:val="single" w:sz="4" w:space="0" w:color="000000"/>
              <w:right w:val="single" w:sz="6" w:space="0" w:color="000000"/>
            </w:tcBorders>
          </w:tcPr>
          <w:p>
            <w:pPr/>
          </w:p>
        </w:tc>
        <w:tc>
          <w:tcPr>
            <w:tcW w:w="1263" w:type="dxa"/>
            <w:tcBorders>
              <w:top w:val="single" w:sz="6" w:space="0" w:color="000000"/>
              <w:left w:val="single" w:sz="6" w:space="0" w:color="000000"/>
              <w:bottom w:val="single" w:sz="4" w:space="0" w:color="000000"/>
              <w:right w:val="single" w:sz="6" w:space="0" w:color="000000"/>
            </w:tcBorders>
          </w:tcPr>
          <w:p>
            <w:pPr/>
          </w:p>
        </w:tc>
      </w:tr>
    </w:tbl>
    <w:p>
      <w:pPr>
        <w:pStyle w:val="BodyText"/>
        <w:spacing w:line="273" w:lineRule="exact"/>
        <w:ind w:left="218" w:right="6141"/>
        <w:jc w:val="left"/>
      </w:pPr>
      <w:r>
        <w:rPr/>
        <w:t>其他说明</w:t>
      </w:r>
    </w:p>
    <w:p>
      <w:pPr>
        <w:pStyle w:val="BodyText"/>
        <w:spacing w:line="235" w:lineRule="auto" w:before="5"/>
        <w:ind w:left="218" w:right="0"/>
        <w:jc w:val="left"/>
      </w:pPr>
      <w:r>
        <w:rPr/>
        <w:t>本集团对中企永联、上海长伴、随锐科技、易云股份、执行力网络、众享比特、</w:t>
      </w:r>
      <w:r>
        <w:rPr>
          <w:spacing w:val="-95"/>
        </w:rPr>
        <w:t> </w:t>
      </w:r>
      <w:r>
        <w:rPr>
          <w:spacing w:val="-95"/>
        </w:rPr>
      </w:r>
      <w:r>
        <w:rPr>
          <w:spacing w:val="-10"/>
        </w:rPr>
        <w:t>热茶电子、中驰车福、传奇极客、深圳华傲、慧友云商、易特创思、必胜课教育、</w:t>
      </w:r>
      <w:r>
        <w:rPr>
          <w:spacing w:val="-87"/>
        </w:rPr>
        <w:t> </w:t>
      </w:r>
      <w:r>
        <w:rPr>
          <w:spacing w:val="-87"/>
        </w:rPr>
      </w:r>
      <w:r>
        <w:rPr/>
        <w:t>智启蓝墨、西玛国正、上海画龙、学业有橙、华普亿方、地厚云图、杭州雅顾、</w:t>
      </w:r>
      <w:r>
        <w:rPr>
          <w:spacing w:val="-95"/>
        </w:rPr>
        <w:t> </w:t>
      </w:r>
      <w:r>
        <w:rPr>
          <w:spacing w:val="-95"/>
        </w:rPr>
      </w:r>
      <w:r>
        <w:rPr/>
        <w:t>赛诺贝斯、民太安公估、爱肌肤</w:t>
      </w:r>
      <w:r>
        <w:rPr>
          <w:spacing w:val="-61"/>
        </w:rPr>
        <w:t> </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t>家企业持有表决权比例均低于</w:t>
      </w:r>
      <w:r>
        <w:rPr>
          <w:spacing w:val="-61"/>
        </w:rPr>
        <w:t> </w:t>
      </w:r>
      <w:r>
        <w:rPr>
          <w:rFonts w:ascii="Times New Roman" w:hAnsi="Times New Roman" w:cs="Times New Roman" w:eastAsia="Times New Roman" w:hint="default"/>
        </w:rPr>
        <w:t>20%</w:t>
      </w:r>
      <w:r>
        <w:rPr/>
        <w:t>，但在上 述企业中均拥有董事会席位，能够对其生产经营活动产生重大影响。</w:t>
      </w:r>
    </w:p>
    <w:p>
      <w:pPr>
        <w:spacing w:line="240" w:lineRule="auto" w:before="4"/>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50"/>
          <w:pgMar w:header="745" w:footer="921" w:top="980" w:bottom="1120" w:left="1580" w:right="1560"/>
        </w:sectPr>
      </w:pPr>
    </w:p>
    <w:p>
      <w:pPr>
        <w:spacing w:before="37"/>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pacing w:val="-24"/>
          <w:sz w:val="20"/>
          <w:szCs w:val="20"/>
        </w:rPr>
        <w:t> </w:t>
      </w:r>
      <w:r>
        <w:rPr>
          <w:rFonts w:ascii="宋体" w:hAnsi="宋体" w:cs="宋体" w:eastAsia="宋体" w:hint="default"/>
          <w:b/>
          <w:bCs/>
          <w:sz w:val="20"/>
          <w:szCs w:val="20"/>
        </w:rPr>
        <w:t>不重要的合营企业和联营企业的汇总财务信息</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77" w:val="left" w:leader="none"/>
        </w:tabs>
        <w:spacing w:line="240" w:lineRule="auto" w:before="49"/>
        <w:ind w:left="218" w:right="0"/>
        <w:jc w:val="left"/>
      </w:pPr>
      <w:r>
        <w:rPr/>
        <w:t>√适用</w:t>
        <w:tab/>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6"/>
          <w:szCs w:val="26"/>
        </w:rPr>
      </w:pPr>
    </w:p>
    <w:p>
      <w:pPr>
        <w:pStyle w:val="BodyText"/>
        <w:tabs>
          <w:tab w:pos="1418" w:val="left" w:leader="none"/>
        </w:tabs>
        <w:spacing w:line="240" w:lineRule="auto"/>
        <w:ind w:left="218" w:right="0"/>
        <w:jc w:val="left"/>
      </w:pPr>
      <w:r>
        <w:rPr/>
        <w:t>单位：元</w:t>
        <w:tab/>
        <w:t>币种：人民币</w:t>
      </w:r>
    </w:p>
    <w:p>
      <w:pPr>
        <w:spacing w:after="0" w:line="240" w:lineRule="auto"/>
        <w:jc w:val="left"/>
        <w:sectPr>
          <w:type w:val="continuous"/>
          <w:pgSz w:w="11910" w:h="16850"/>
          <w:pgMar w:top="1120" w:bottom="1380" w:left="1580" w:right="1560"/>
          <w:cols w:num="2" w:equalWidth="0">
            <w:col w:w="4819" w:space="856"/>
            <w:col w:w="3095"/>
          </w:cols>
        </w:sectPr>
      </w:pPr>
    </w:p>
    <w:p>
      <w:pPr>
        <w:spacing w:line="240" w:lineRule="auto" w:before="10"/>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737"/>
        <w:gridCol w:w="2895"/>
        <w:gridCol w:w="2900"/>
      </w:tblGrid>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
        </w:tc>
        <w:tc>
          <w:tcPr>
            <w:tcW w:w="2895"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268" w:right="0"/>
              <w:jc w:val="left"/>
              <w:rPr>
                <w:rFonts w:ascii="宋体" w:hAnsi="宋体" w:cs="宋体" w:eastAsia="宋体" w:hint="default"/>
                <w:sz w:val="24"/>
                <w:szCs w:val="24"/>
              </w:rPr>
            </w:pPr>
            <w:r>
              <w:rPr>
                <w:rFonts w:ascii="宋体" w:hAnsi="宋体" w:cs="宋体" w:eastAsia="宋体" w:hint="default"/>
                <w:sz w:val="24"/>
                <w:szCs w:val="24"/>
              </w:rPr>
              <w:t>期末余额</w:t>
            </w:r>
            <w:r>
              <w:rPr>
                <w:rFonts w:ascii="Times New Roman" w:hAnsi="Times New Roman" w:cs="Times New Roman" w:eastAsia="Times New Roman" w:hint="default"/>
                <w:sz w:val="24"/>
                <w:szCs w:val="24"/>
              </w:rPr>
              <w:t>/  </w:t>
            </w:r>
            <w:r>
              <w:rPr>
                <w:rFonts w:ascii="宋体" w:hAnsi="宋体" w:cs="宋体" w:eastAsia="宋体" w:hint="default"/>
                <w:sz w:val="24"/>
                <w:szCs w:val="24"/>
              </w:rPr>
              <w:t>本期发生额</w:t>
            </w:r>
          </w:p>
        </w:tc>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271" w:right="0"/>
              <w:jc w:val="left"/>
              <w:rPr>
                <w:rFonts w:ascii="宋体" w:hAnsi="宋体" w:cs="宋体" w:eastAsia="宋体" w:hint="default"/>
                <w:sz w:val="24"/>
                <w:szCs w:val="24"/>
              </w:rPr>
            </w:pPr>
            <w:r>
              <w:rPr>
                <w:rFonts w:ascii="宋体" w:hAnsi="宋体" w:cs="宋体" w:eastAsia="宋体" w:hint="default"/>
                <w:sz w:val="24"/>
                <w:szCs w:val="24"/>
              </w:rPr>
              <w:t>期初余额</w:t>
            </w:r>
            <w:r>
              <w:rPr>
                <w:rFonts w:ascii="Times New Roman" w:hAnsi="Times New Roman" w:cs="Times New Roman" w:eastAsia="Times New Roman" w:hint="default"/>
                <w:sz w:val="24"/>
                <w:szCs w:val="24"/>
              </w:rPr>
              <w:t>/  </w:t>
            </w:r>
            <w:r>
              <w:rPr>
                <w:rFonts w:ascii="宋体" w:hAnsi="宋体" w:cs="宋体" w:eastAsia="宋体" w:hint="default"/>
                <w:sz w:val="24"/>
                <w:szCs w:val="24"/>
              </w:rPr>
              <w:t>上期发生额</w:t>
            </w:r>
          </w:p>
        </w:tc>
      </w:tr>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合营企业：</w:t>
            </w: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737" w:type="dxa"/>
            <w:tcBorders>
              <w:top w:val="single" w:sz="4" w:space="0" w:color="000000"/>
              <w:left w:val="single" w:sz="4" w:space="0" w:color="000000"/>
              <w:bottom w:val="single" w:sz="4" w:space="0" w:color="000000"/>
              <w:right w:val="single" w:sz="4" w:space="0" w:color="000000"/>
            </w:tcBorders>
          </w:tcPr>
          <w:p>
            <w:pP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投资账面价值合计</w:t>
            </w: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下列各项按持股比例计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算的合计数</w:t>
            </w: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净利润</w:t>
            </w: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其他综合收益</w:t>
            </w: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综合收益总额</w:t>
            </w: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737" w:type="dxa"/>
            <w:tcBorders>
              <w:top w:val="single" w:sz="4" w:space="0" w:color="000000"/>
              <w:left w:val="single" w:sz="4" w:space="0" w:color="000000"/>
              <w:bottom w:val="single" w:sz="4" w:space="0" w:color="000000"/>
              <w:right w:val="single" w:sz="4" w:space="0" w:color="000000"/>
            </w:tcBorders>
          </w:tcPr>
          <w:p>
            <w:pP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联营企业：</w:t>
            </w: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737" w:type="dxa"/>
            <w:tcBorders>
              <w:top w:val="single" w:sz="4" w:space="0" w:color="000000"/>
              <w:left w:val="single" w:sz="4" w:space="0" w:color="000000"/>
              <w:bottom w:val="single" w:sz="4" w:space="0" w:color="000000"/>
              <w:right w:val="single" w:sz="4" w:space="0" w:color="000000"/>
            </w:tcBorders>
          </w:tcPr>
          <w:p>
            <w:pP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投资账面价值合计</w:t>
            </w:r>
          </w:p>
        </w:tc>
        <w:tc>
          <w:tcPr>
            <w:tcW w:w="2895"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01"/>
              <w:jc w:val="right"/>
              <w:rPr>
                <w:rFonts w:ascii="Times New Roman" w:hAnsi="Times New Roman" w:cs="Times New Roman" w:eastAsia="Times New Roman" w:hint="default"/>
                <w:sz w:val="24"/>
                <w:szCs w:val="24"/>
              </w:rPr>
            </w:pPr>
            <w:r>
              <w:rPr>
                <w:rFonts w:ascii="Times New Roman"/>
                <w:sz w:val="24"/>
              </w:rPr>
              <w:t>548,405,456</w:t>
            </w:r>
          </w:p>
        </w:tc>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01"/>
              <w:jc w:val="right"/>
              <w:rPr>
                <w:rFonts w:ascii="Times New Roman" w:hAnsi="Times New Roman" w:cs="Times New Roman" w:eastAsia="Times New Roman" w:hint="default"/>
                <w:sz w:val="24"/>
                <w:szCs w:val="24"/>
              </w:rPr>
            </w:pPr>
            <w:r>
              <w:rPr>
                <w:rFonts w:ascii="Times New Roman"/>
                <w:sz w:val="24"/>
              </w:rPr>
              <w:t>482,963,553</w:t>
            </w:r>
          </w:p>
        </w:tc>
      </w:tr>
      <w:tr>
        <w:trPr>
          <w:trHeight w:val="634"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下列各项按持股比例计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算的合计数</w:t>
            </w:r>
          </w:p>
        </w:tc>
        <w:tc>
          <w:tcPr>
            <w:tcW w:w="289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9,226,842</w:t>
            </w:r>
          </w:p>
        </w:tc>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847,020</w:t>
            </w:r>
          </w:p>
        </w:tc>
      </w:tr>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净利润</w:t>
            </w:r>
          </w:p>
        </w:tc>
        <w:tc>
          <w:tcPr>
            <w:tcW w:w="289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9,226,842</w:t>
            </w:r>
          </w:p>
        </w:tc>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847,020</w:t>
            </w:r>
          </w:p>
        </w:tc>
      </w:tr>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其他综合收益</w:t>
            </w:r>
          </w:p>
        </w:tc>
        <w:tc>
          <w:tcPr>
            <w:tcW w:w="2895" w:type="dxa"/>
            <w:tcBorders>
              <w:top w:val="single" w:sz="4" w:space="0" w:color="000000"/>
              <w:left w:val="single" w:sz="4" w:space="0" w:color="000000"/>
              <w:bottom w:val="single" w:sz="4" w:space="0" w:color="000000"/>
              <w:right w:val="single" w:sz="4" w:space="0" w:color="000000"/>
            </w:tcBorders>
          </w:tcPr>
          <w:p>
            <w:pPr/>
          </w:p>
        </w:tc>
        <w:tc>
          <w:tcPr>
            <w:tcW w:w="29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w:t>
            </w:r>
            <w:r>
              <w:rPr>
                <w:rFonts w:ascii="宋体" w:hAnsi="宋体" w:cs="宋体" w:eastAsia="宋体" w:hint="default"/>
                <w:sz w:val="24"/>
                <w:szCs w:val="24"/>
              </w:rPr>
              <w:t>综合收益总额</w:t>
            </w:r>
          </w:p>
        </w:tc>
        <w:tc>
          <w:tcPr>
            <w:tcW w:w="289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9,226,842</w:t>
            </w:r>
          </w:p>
        </w:tc>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847,020</w:t>
            </w:r>
          </w:p>
        </w:tc>
      </w:tr>
    </w:tbl>
    <w:p>
      <w:pPr>
        <w:pStyle w:val="BodyText"/>
        <w:spacing w:line="272" w:lineRule="exact"/>
        <w:ind w:left="218" w:right="6141"/>
        <w:jc w:val="left"/>
      </w:pPr>
      <w:r>
        <w:rPr/>
        <w:t>其他说明</w:t>
      </w:r>
    </w:p>
    <w:p>
      <w:pPr>
        <w:pStyle w:val="BodyText"/>
        <w:spacing w:line="312" w:lineRule="exact"/>
        <w:ind w:left="218" w:right="6141"/>
        <w:jc w:val="left"/>
      </w:pPr>
      <w:r>
        <w:rPr/>
        <w:t>无。</w:t>
      </w:r>
    </w:p>
    <w:p>
      <w:pPr>
        <w:spacing w:line="240" w:lineRule="auto" w:before="2"/>
        <w:rPr>
          <w:rFonts w:ascii="宋体" w:hAnsi="宋体" w:cs="宋体" w:eastAsia="宋体" w:hint="default"/>
          <w:sz w:val="26"/>
          <w:szCs w:val="26"/>
        </w:rPr>
      </w:pPr>
    </w:p>
    <w:p>
      <w:pPr>
        <w:spacing w:before="0"/>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pacing w:val="-25"/>
          <w:sz w:val="20"/>
          <w:szCs w:val="20"/>
        </w:rPr>
        <w:t> </w:t>
      </w:r>
      <w:r>
        <w:rPr>
          <w:rFonts w:ascii="宋体" w:hAnsi="宋体" w:cs="宋体" w:eastAsia="宋体" w:hint="default"/>
          <w:b/>
          <w:bCs/>
          <w:sz w:val="20"/>
          <w:szCs w:val="20"/>
        </w:rPr>
        <w:t>合营企业或联营企业向本公司转移资金的能力存在重大限制的说明</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77" w:val="left" w:leader="none"/>
        </w:tabs>
        <w:spacing w:line="240" w:lineRule="auto" w:before="49"/>
        <w:ind w:left="218" w:right="6141"/>
        <w:jc w:val="left"/>
      </w:pPr>
      <w:r>
        <w:rPr/>
        <w:t>□适用</w:t>
        <w:tab/>
        <w:t>√不适用</w:t>
      </w:r>
    </w:p>
    <w:p>
      <w:pPr>
        <w:spacing w:after="0" w:line="240" w:lineRule="auto"/>
        <w:jc w:val="left"/>
        <w:sectPr>
          <w:type w:val="continuous"/>
          <w:pgSz w:w="11910" w:h="16850"/>
          <w:pgMar w:top="1120" w:bottom="1380" w:left="1580" w:right="1560"/>
        </w:sectPr>
      </w:pPr>
    </w:p>
    <w:p>
      <w:pPr>
        <w:spacing w:line="240" w:lineRule="auto" w:before="2"/>
        <w:rPr>
          <w:rFonts w:ascii="宋体" w:hAnsi="宋体" w:cs="宋体" w:eastAsia="宋体" w:hint="default"/>
          <w:sz w:val="29"/>
          <w:szCs w:val="29"/>
        </w:rPr>
      </w:pPr>
    </w:p>
    <w:p>
      <w:pPr>
        <w:spacing w:before="37"/>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pacing w:val="-23"/>
          <w:sz w:val="20"/>
          <w:szCs w:val="20"/>
        </w:rPr>
        <w:t> </w:t>
      </w:r>
      <w:r>
        <w:rPr>
          <w:rFonts w:ascii="宋体" w:hAnsi="宋体" w:cs="宋体" w:eastAsia="宋体" w:hint="default"/>
          <w:b/>
          <w:bCs/>
          <w:sz w:val="20"/>
          <w:szCs w:val="20"/>
        </w:rPr>
        <w:t>合营企业或联营企业发生的超额亏损</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277" w:val="left" w:leader="none"/>
        </w:tabs>
        <w:spacing w:line="240" w:lineRule="auto" w:before="49"/>
        <w:ind w:left="318" w:right="0"/>
        <w:jc w:val="left"/>
      </w:pPr>
      <w:r>
        <w:rPr/>
        <w:t>□适用</w:t>
        <w:tab/>
        <w:t>√不适用</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3"/>
          <w:szCs w:val="23"/>
        </w:rPr>
      </w:pPr>
    </w:p>
    <w:p>
      <w:pPr>
        <w:spacing w:before="0"/>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(7).</w:t>
      </w:r>
      <w:r>
        <w:rPr>
          <w:rFonts w:ascii="宋体" w:hAnsi="宋体" w:cs="宋体" w:eastAsia="宋体" w:hint="default"/>
          <w:b/>
          <w:bCs/>
          <w:spacing w:val="-23"/>
          <w:sz w:val="20"/>
          <w:szCs w:val="20"/>
        </w:rPr>
        <w:t> </w:t>
      </w:r>
      <w:r>
        <w:rPr>
          <w:rFonts w:ascii="宋体" w:hAnsi="宋体" w:cs="宋体" w:eastAsia="宋体" w:hint="default"/>
          <w:b/>
          <w:bCs/>
          <w:sz w:val="20"/>
          <w:szCs w:val="20"/>
        </w:rPr>
        <w:t>与合营企业投资相关的未确认承诺</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277" w:val="left" w:leader="none"/>
        </w:tabs>
        <w:spacing w:line="240" w:lineRule="auto" w:before="49"/>
        <w:ind w:left="318" w:right="0"/>
        <w:jc w:val="left"/>
      </w:pPr>
      <w:r>
        <w:rPr/>
        <w:t>□适用</w:t>
        <w:tab/>
        <w:t>√不适用</w:t>
      </w:r>
    </w:p>
    <w:p>
      <w:pPr>
        <w:spacing w:line="240" w:lineRule="auto" w:before="13"/>
        <w:rPr>
          <w:rFonts w:ascii="宋体" w:hAnsi="宋体" w:cs="宋体" w:eastAsia="宋体" w:hint="default"/>
          <w:sz w:val="25"/>
          <w:szCs w:val="25"/>
        </w:rPr>
      </w:pPr>
    </w:p>
    <w:p>
      <w:pPr>
        <w:spacing w:before="0"/>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(8).</w:t>
      </w:r>
      <w:r>
        <w:rPr>
          <w:rFonts w:ascii="宋体" w:hAnsi="宋体" w:cs="宋体" w:eastAsia="宋体" w:hint="default"/>
          <w:b/>
          <w:bCs/>
          <w:spacing w:val="-22"/>
          <w:sz w:val="20"/>
          <w:szCs w:val="20"/>
        </w:rPr>
        <w:t> </w:t>
      </w:r>
      <w:r>
        <w:rPr>
          <w:rFonts w:ascii="宋体" w:hAnsi="宋体" w:cs="宋体" w:eastAsia="宋体" w:hint="default"/>
          <w:b/>
          <w:bCs/>
          <w:sz w:val="20"/>
          <w:szCs w:val="20"/>
        </w:rPr>
        <w:t>与合营企业或联营企业投资相关的或有负债</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277" w:val="left" w:leader="none"/>
        </w:tabs>
        <w:spacing w:line="240" w:lineRule="auto" w:before="51"/>
        <w:ind w:left="318" w:right="0"/>
        <w:jc w:val="left"/>
      </w:pPr>
      <w:r>
        <w:rPr/>
        <w:t>□适用</w:t>
        <w:tab/>
        <w:t>√不适用</w:t>
      </w:r>
    </w:p>
    <w:p>
      <w:pPr>
        <w:spacing w:line="240" w:lineRule="auto" w:before="13"/>
        <w:rPr>
          <w:rFonts w:ascii="宋体" w:hAnsi="宋体" w:cs="宋体" w:eastAsia="宋体" w:hint="default"/>
          <w:sz w:val="25"/>
          <w:szCs w:val="25"/>
        </w:rPr>
      </w:pPr>
    </w:p>
    <w:p>
      <w:pPr>
        <w:spacing w:before="0"/>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z w:val="20"/>
          <w:szCs w:val="20"/>
        </w:rPr>
        <w:t>、</w:t>
      </w:r>
      <w:r>
        <w:rPr>
          <w:rFonts w:ascii="宋体" w:hAnsi="宋体" w:cs="宋体" w:eastAsia="宋体" w:hint="default"/>
          <w:b/>
          <w:bCs/>
          <w:spacing w:val="16"/>
          <w:sz w:val="20"/>
          <w:szCs w:val="20"/>
        </w:rPr>
        <w:t> </w:t>
      </w:r>
      <w:r>
        <w:rPr>
          <w:rFonts w:ascii="宋体" w:hAnsi="宋体" w:cs="宋体" w:eastAsia="宋体" w:hint="default"/>
          <w:b/>
          <w:bCs/>
          <w:sz w:val="20"/>
          <w:szCs w:val="20"/>
        </w:rPr>
        <w:t>重要的共同经营</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318" w:right="0"/>
        <w:jc w:val="left"/>
      </w:pPr>
      <w:r>
        <w:rPr/>
        <w:t>□适用</w:t>
      </w:r>
      <w:r>
        <w:rPr>
          <w:spacing w:val="-1"/>
        </w:rPr>
        <w:t> </w:t>
      </w:r>
      <w:r>
        <w:rPr/>
        <w:t>√不适用</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3"/>
          <w:szCs w:val="23"/>
        </w:rPr>
      </w:pPr>
    </w:p>
    <w:p>
      <w:pPr>
        <w:spacing w:before="0"/>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z w:val="20"/>
          <w:szCs w:val="20"/>
        </w:rPr>
        <w:t>、</w:t>
      </w:r>
      <w:r>
        <w:rPr>
          <w:rFonts w:ascii="宋体" w:hAnsi="宋体" w:cs="宋体" w:eastAsia="宋体" w:hint="default"/>
          <w:b/>
          <w:bCs/>
          <w:spacing w:val="15"/>
          <w:sz w:val="20"/>
          <w:szCs w:val="20"/>
        </w:rPr>
        <w:t> </w:t>
      </w:r>
      <w:r>
        <w:rPr>
          <w:rFonts w:ascii="宋体" w:hAnsi="宋体" w:cs="宋体" w:eastAsia="宋体" w:hint="default"/>
          <w:b/>
          <w:bCs/>
          <w:sz w:val="20"/>
          <w:szCs w:val="20"/>
        </w:rPr>
        <w:t>在未纳入合并财务报表范围的结构化主体中的权益</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313" w:lineRule="exact" w:before="49"/>
        <w:ind w:left="318" w:right="0"/>
        <w:jc w:val="left"/>
      </w:pPr>
      <w:r>
        <w:rPr/>
        <w:t>未纳入合并财务报表范围的结构化主体的相关说明：</w:t>
      </w:r>
    </w:p>
    <w:p>
      <w:pPr>
        <w:pStyle w:val="BodyText"/>
        <w:spacing w:line="313" w:lineRule="exact"/>
        <w:ind w:left="318" w:right="0"/>
        <w:jc w:val="left"/>
      </w:pPr>
      <w:r>
        <w:rPr/>
        <w:t>□适用</w:t>
      </w:r>
      <w:r>
        <w:rPr>
          <w:spacing w:val="-1"/>
        </w:rPr>
        <w:t> </w:t>
      </w:r>
      <w:r>
        <w:rPr/>
        <w:t>√不适用</w:t>
      </w:r>
    </w:p>
    <w:p>
      <w:pPr>
        <w:spacing w:line="240" w:lineRule="auto" w:before="13"/>
        <w:rPr>
          <w:rFonts w:ascii="宋体" w:hAnsi="宋体" w:cs="宋体" w:eastAsia="宋体" w:hint="default"/>
          <w:sz w:val="25"/>
          <w:szCs w:val="25"/>
        </w:rPr>
      </w:pPr>
    </w:p>
    <w:p>
      <w:pPr>
        <w:spacing w:before="0"/>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z w:val="20"/>
          <w:szCs w:val="20"/>
        </w:rPr>
        <w:t>、</w:t>
      </w:r>
      <w:r>
        <w:rPr>
          <w:rFonts w:ascii="宋体" w:hAnsi="宋体" w:cs="宋体" w:eastAsia="宋体" w:hint="default"/>
          <w:b/>
          <w:bCs/>
          <w:spacing w:val="15"/>
          <w:sz w:val="20"/>
          <w:szCs w:val="20"/>
        </w:rPr>
        <w:t> </w:t>
      </w:r>
      <w:r>
        <w:rPr>
          <w:rFonts w:ascii="宋体" w:hAnsi="宋体" w:cs="宋体" w:eastAsia="宋体" w:hint="default"/>
          <w:b/>
          <w:bCs/>
          <w:sz w:val="20"/>
          <w:szCs w:val="20"/>
        </w:rPr>
        <w:t>其他</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277" w:val="left" w:leader="none"/>
        </w:tabs>
        <w:spacing w:line="240" w:lineRule="auto" w:before="49"/>
        <w:ind w:left="318" w:right="0"/>
        <w:jc w:val="left"/>
      </w:pPr>
      <w:r>
        <w:rPr/>
        <w:t>□适用</w:t>
        <w:tab/>
        <w:t>√不适用</w:t>
      </w:r>
    </w:p>
    <w:p>
      <w:pPr>
        <w:spacing w:line="240" w:lineRule="auto" w:before="2"/>
        <w:rPr>
          <w:rFonts w:ascii="宋体" w:hAnsi="宋体" w:cs="宋体" w:eastAsia="宋体" w:hint="default"/>
          <w:sz w:val="26"/>
          <w:szCs w:val="26"/>
        </w:rPr>
      </w:pPr>
    </w:p>
    <w:p>
      <w:pPr>
        <w:spacing w:before="0"/>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十、</w:t>
      </w:r>
      <w:r>
        <w:rPr>
          <w:rFonts w:ascii="宋体" w:hAnsi="宋体" w:cs="宋体" w:eastAsia="宋体" w:hint="default"/>
          <w:b/>
          <w:bCs/>
          <w:spacing w:val="-80"/>
          <w:sz w:val="20"/>
          <w:szCs w:val="20"/>
        </w:rPr>
        <w:t> </w:t>
      </w:r>
      <w:r>
        <w:rPr>
          <w:rFonts w:ascii="宋体" w:hAnsi="宋体" w:cs="宋体" w:eastAsia="宋体" w:hint="default"/>
          <w:b/>
          <w:bCs/>
          <w:spacing w:val="-80"/>
          <w:sz w:val="20"/>
          <w:szCs w:val="20"/>
        </w:rPr>
      </w:r>
      <w:r>
        <w:rPr>
          <w:rFonts w:ascii="宋体" w:hAnsi="宋体" w:cs="宋体" w:eastAsia="宋体" w:hint="default"/>
          <w:b/>
          <w:bCs/>
          <w:sz w:val="20"/>
          <w:szCs w:val="20"/>
        </w:rPr>
        <w:t>与金融工具相关的风险</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318" w:right="0"/>
        <w:jc w:val="left"/>
      </w:pPr>
      <w:r>
        <w:rPr/>
        <w:t>√适用</w:t>
      </w:r>
      <w:r>
        <w:rPr>
          <w:spacing w:val="-1"/>
        </w:rPr>
        <w:t> </w:t>
      </w:r>
      <w:r>
        <w:rPr/>
        <w:t>□不适用</w:t>
      </w:r>
    </w:p>
    <w:p>
      <w:pPr>
        <w:spacing w:line="240" w:lineRule="auto" w:before="7"/>
        <w:rPr>
          <w:rFonts w:ascii="宋体" w:hAnsi="宋体" w:cs="宋体" w:eastAsia="宋体" w:hint="default"/>
          <w:sz w:val="21"/>
          <w:szCs w:val="21"/>
        </w:rPr>
      </w:pPr>
    </w:p>
    <w:p>
      <w:pPr>
        <w:tabs>
          <w:tab w:pos="1037" w:val="left" w:leader="none"/>
        </w:tabs>
        <w:spacing w:line="436" w:lineRule="auto" w:before="0"/>
        <w:ind w:left="318" w:right="4407" w:firstLine="0"/>
        <w:jc w:val="left"/>
        <w:rPr>
          <w:rFonts w:ascii="黑体" w:hAnsi="黑体" w:cs="黑体" w:eastAsia="黑体" w:hint="default"/>
          <w:sz w:val="20"/>
          <w:szCs w:val="20"/>
        </w:rPr>
      </w:pPr>
      <w:r>
        <w:rPr>
          <w:rFonts w:ascii="Arial" w:hAnsi="Arial" w:cs="Arial" w:eastAsia="Arial" w:hint="default"/>
          <w:b/>
          <w:bCs/>
          <w:spacing w:val="-1"/>
          <w:sz w:val="20"/>
          <w:szCs w:val="20"/>
        </w:rPr>
        <w:t>1.</w:t>
        <w:tab/>
      </w:r>
      <w:r>
        <w:rPr>
          <w:rFonts w:ascii="黑体" w:hAnsi="黑体" w:cs="黑体" w:eastAsia="黑体" w:hint="default"/>
          <w:b/>
          <w:bCs/>
          <w:spacing w:val="1"/>
          <w:sz w:val="20"/>
          <w:szCs w:val="20"/>
        </w:rPr>
        <w:t>金融工具分类</w:t>
      </w:r>
      <w:r>
        <w:rPr>
          <w:rFonts w:ascii="黑体" w:hAnsi="黑体" w:cs="黑体" w:eastAsia="黑体" w:hint="default"/>
          <w:b/>
          <w:bCs/>
          <w:w w:val="99"/>
          <w:sz w:val="20"/>
          <w:szCs w:val="20"/>
        </w:rPr>
        <w:t> </w:t>
      </w:r>
      <w:r>
        <w:rPr>
          <w:rFonts w:ascii="黑体" w:hAnsi="黑体" w:cs="黑体" w:eastAsia="黑体" w:hint="default"/>
          <w:sz w:val="20"/>
          <w:szCs w:val="20"/>
        </w:rPr>
        <w:t>资产负债表日的各类金融工具的账面价值如下：</w:t>
      </w:r>
      <w:r>
        <w:rPr>
          <w:rFonts w:ascii="黑体" w:hAnsi="黑体" w:cs="黑体" w:eastAsia="黑体" w:hint="default"/>
          <w:w w:val="99"/>
          <w:sz w:val="20"/>
          <w:szCs w:val="20"/>
        </w:rPr>
        <w:t> </w:t>
      </w:r>
      <w:r>
        <w:rPr>
          <w:rFonts w:ascii="Arial" w:hAnsi="Arial" w:cs="Arial" w:eastAsia="Arial" w:hint="default"/>
          <w:sz w:val="20"/>
          <w:szCs w:val="20"/>
        </w:rPr>
        <w:t>2019</w:t>
      </w:r>
      <w:r>
        <w:rPr>
          <w:rFonts w:ascii="黑体" w:hAnsi="黑体" w:cs="黑体" w:eastAsia="黑体" w:hint="default"/>
          <w:sz w:val="20"/>
          <w:szCs w:val="20"/>
        </w:rPr>
        <w:t>年</w:t>
      </w:r>
    </w:p>
    <w:p>
      <w:pPr>
        <w:spacing w:before="30"/>
        <w:ind w:left="318" w:right="0" w:firstLine="0"/>
        <w:jc w:val="left"/>
        <w:rPr>
          <w:rFonts w:ascii="黑体" w:hAnsi="黑体" w:cs="黑体" w:eastAsia="黑体" w:hint="default"/>
          <w:sz w:val="20"/>
          <w:szCs w:val="20"/>
        </w:rPr>
      </w:pPr>
      <w:r>
        <w:rPr>
          <w:rFonts w:ascii="黑体" w:hAnsi="黑体" w:cs="黑体" w:eastAsia="黑体" w:hint="default"/>
          <w:sz w:val="20"/>
          <w:szCs w:val="20"/>
        </w:rPr>
        <w:t>金融资产</w:t>
      </w:r>
    </w:p>
    <w:p>
      <w:pPr>
        <w:spacing w:line="240" w:lineRule="auto" w:before="2"/>
        <w:rPr>
          <w:rFonts w:ascii="黑体" w:hAnsi="黑体" w:cs="黑体" w:eastAsia="黑体" w:hint="default"/>
          <w:sz w:val="22"/>
          <w:szCs w:val="22"/>
        </w:rPr>
      </w:pPr>
    </w:p>
    <w:tbl>
      <w:tblPr>
        <w:tblW w:w="0" w:type="auto"/>
        <w:jc w:val="left"/>
        <w:tblInd w:w="118" w:type="dxa"/>
        <w:tblLayout w:type="fixed"/>
        <w:tblCellMar>
          <w:top w:w="0" w:type="dxa"/>
          <w:left w:w="0" w:type="dxa"/>
          <w:bottom w:w="0" w:type="dxa"/>
          <w:right w:w="0" w:type="dxa"/>
        </w:tblCellMar>
        <w:tblLook w:val="01E0"/>
      </w:tblPr>
      <w:tblGrid>
        <w:gridCol w:w="2469"/>
        <w:gridCol w:w="2172"/>
        <w:gridCol w:w="1930"/>
        <w:gridCol w:w="2133"/>
      </w:tblGrid>
      <w:tr>
        <w:trPr>
          <w:trHeight w:val="517" w:hRule="exact"/>
        </w:trPr>
        <w:tc>
          <w:tcPr>
            <w:tcW w:w="4641" w:type="dxa"/>
            <w:gridSpan w:val="2"/>
            <w:tcBorders>
              <w:top w:val="nil" w:sz="6" w:space="0" w:color="auto"/>
              <w:left w:val="nil" w:sz="6" w:space="0" w:color="auto"/>
              <w:bottom w:val="nil" w:sz="6" w:space="0" w:color="auto"/>
              <w:right w:val="nil" w:sz="6" w:space="0" w:color="auto"/>
            </w:tcBorders>
          </w:tcPr>
          <w:p>
            <w:pPr>
              <w:pStyle w:val="TableParagraph"/>
              <w:spacing w:line="198" w:lineRule="exact"/>
              <w:ind w:left="2439" w:right="0"/>
              <w:jc w:val="left"/>
              <w:rPr>
                <w:rFonts w:ascii="黑体" w:hAnsi="黑体" w:cs="黑体" w:eastAsia="黑体" w:hint="default"/>
                <w:sz w:val="20"/>
                <w:szCs w:val="20"/>
              </w:rPr>
            </w:pPr>
            <w:r>
              <w:rPr>
                <w:rFonts w:ascii="黑体" w:hAnsi="黑体" w:cs="黑体" w:eastAsia="黑体" w:hint="default"/>
                <w:sz w:val="20"/>
                <w:szCs w:val="20"/>
              </w:rPr>
              <w:t>以公允价值计量且其变动</w:t>
            </w:r>
          </w:p>
          <w:p>
            <w:pPr>
              <w:pStyle w:val="TableParagraph"/>
              <w:spacing w:line="260" w:lineRule="exact"/>
              <w:ind w:left="2439" w:right="0"/>
              <w:jc w:val="left"/>
              <w:rPr>
                <w:rFonts w:ascii="黑体" w:hAnsi="黑体" w:cs="黑体" w:eastAsia="黑体" w:hint="default"/>
                <w:sz w:val="20"/>
                <w:szCs w:val="20"/>
              </w:rPr>
            </w:pPr>
            <w:r>
              <w:rPr>
                <w:rFonts w:ascii="黑体" w:hAnsi="黑体" w:cs="黑体" w:eastAsia="黑体" w:hint="default"/>
                <w:sz w:val="20"/>
                <w:szCs w:val="20"/>
              </w:rPr>
              <w:t>计入当期损益的金融资产</w:t>
            </w:r>
          </w:p>
        </w:tc>
        <w:tc>
          <w:tcPr>
            <w:tcW w:w="1930" w:type="dxa"/>
            <w:tcBorders>
              <w:top w:val="nil" w:sz="6" w:space="0" w:color="auto"/>
              <w:left w:val="nil" w:sz="6" w:space="0" w:color="auto"/>
              <w:bottom w:val="nil" w:sz="6" w:space="0" w:color="auto"/>
              <w:right w:val="nil" w:sz="6" w:space="0" w:color="auto"/>
            </w:tcBorders>
          </w:tcPr>
          <w:p>
            <w:pPr>
              <w:pStyle w:val="TableParagraph"/>
              <w:spacing w:line="198" w:lineRule="exact"/>
              <w:ind w:left="328" w:right="0"/>
              <w:jc w:val="left"/>
              <w:rPr>
                <w:rFonts w:ascii="黑体" w:hAnsi="黑体" w:cs="黑体" w:eastAsia="黑体" w:hint="default"/>
                <w:sz w:val="20"/>
                <w:szCs w:val="20"/>
              </w:rPr>
            </w:pPr>
            <w:r>
              <w:rPr>
                <w:rFonts w:ascii="黑体" w:hAnsi="黑体" w:cs="黑体" w:eastAsia="黑体" w:hint="default"/>
                <w:sz w:val="20"/>
                <w:szCs w:val="20"/>
              </w:rPr>
              <w:t>以摊余成本计量的</w:t>
            </w:r>
          </w:p>
          <w:p>
            <w:pPr>
              <w:pStyle w:val="TableParagraph"/>
              <w:spacing w:line="260" w:lineRule="exact"/>
              <w:ind w:left="1130" w:right="0"/>
              <w:jc w:val="left"/>
              <w:rPr>
                <w:rFonts w:ascii="黑体" w:hAnsi="黑体" w:cs="黑体" w:eastAsia="黑体" w:hint="default"/>
                <w:sz w:val="20"/>
                <w:szCs w:val="20"/>
              </w:rPr>
            </w:pPr>
            <w:r>
              <w:rPr>
                <w:rFonts w:ascii="黑体" w:hAnsi="黑体" w:cs="黑体" w:eastAsia="黑体" w:hint="default"/>
                <w:w w:val="95"/>
                <w:sz w:val="20"/>
                <w:szCs w:val="20"/>
              </w:rPr>
              <w:t>金融资产</w:t>
            </w:r>
            <w:r>
              <w:rPr>
                <w:rFonts w:ascii="黑体" w:hAnsi="黑体" w:cs="黑体" w:eastAsia="黑体" w:hint="default"/>
                <w:sz w:val="20"/>
                <w:szCs w:val="20"/>
              </w:rPr>
            </w:r>
          </w:p>
        </w:tc>
        <w:tc>
          <w:tcPr>
            <w:tcW w:w="2133"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黑体" w:hAnsi="黑体" w:cs="黑体" w:eastAsia="黑体" w:hint="default"/>
                <w:sz w:val="20"/>
                <w:szCs w:val="20"/>
              </w:rPr>
            </w:pPr>
            <w:r>
              <w:rPr>
                <w:rFonts w:ascii="黑体" w:hAnsi="黑体" w:cs="黑体" w:eastAsia="黑体" w:hint="default"/>
                <w:sz w:val="20"/>
                <w:szCs w:val="20"/>
              </w:rPr>
              <w:t>合计</w:t>
            </w:r>
          </w:p>
        </w:tc>
      </w:tr>
      <w:tr>
        <w:trPr>
          <w:trHeight w:val="396" w:hRule="exact"/>
        </w:trPr>
        <w:tc>
          <w:tcPr>
            <w:tcW w:w="2469" w:type="dxa"/>
            <w:tcBorders>
              <w:top w:val="nil" w:sz="6" w:space="0" w:color="auto"/>
              <w:left w:val="nil" w:sz="6" w:space="0" w:color="auto"/>
              <w:bottom w:val="nil" w:sz="6" w:space="0" w:color="auto"/>
              <w:right w:val="nil" w:sz="6" w:space="0" w:color="auto"/>
            </w:tcBorders>
          </w:tcPr>
          <w:p>
            <w:pPr/>
          </w:p>
        </w:tc>
        <w:tc>
          <w:tcPr>
            <w:tcW w:w="2172" w:type="dxa"/>
            <w:tcBorders>
              <w:top w:val="single" w:sz="4" w:space="0" w:color="000000"/>
              <w:left w:val="nil" w:sz="6" w:space="0" w:color="auto"/>
              <w:bottom w:val="nil" w:sz="6" w:space="0" w:color="auto"/>
              <w:right w:val="nil" w:sz="6" w:space="0" w:color="auto"/>
            </w:tcBorders>
          </w:tcPr>
          <w:p>
            <w:pPr>
              <w:pStyle w:val="TableParagraph"/>
              <w:spacing w:line="230" w:lineRule="exact"/>
              <w:ind w:right="0"/>
              <w:jc w:val="right"/>
              <w:rPr>
                <w:rFonts w:ascii="黑体" w:hAnsi="黑体" w:cs="黑体" w:eastAsia="黑体" w:hint="default"/>
                <w:sz w:val="20"/>
                <w:szCs w:val="20"/>
              </w:rPr>
            </w:pPr>
            <w:r>
              <w:rPr>
                <w:rFonts w:ascii="黑体" w:hAnsi="黑体" w:cs="黑体" w:eastAsia="黑体" w:hint="default"/>
                <w:w w:val="95"/>
                <w:sz w:val="20"/>
                <w:szCs w:val="20"/>
              </w:rPr>
              <w:t>准则要求</w:t>
            </w:r>
            <w:r>
              <w:rPr>
                <w:rFonts w:ascii="黑体" w:hAnsi="黑体" w:cs="黑体" w:eastAsia="黑体" w:hint="default"/>
                <w:sz w:val="20"/>
                <w:szCs w:val="20"/>
              </w:rPr>
            </w:r>
          </w:p>
        </w:tc>
        <w:tc>
          <w:tcPr>
            <w:tcW w:w="1930" w:type="dxa"/>
            <w:tcBorders>
              <w:top w:val="nil" w:sz="6" w:space="0" w:color="auto"/>
              <w:left w:val="nil" w:sz="6" w:space="0" w:color="auto"/>
              <w:bottom w:val="nil" w:sz="6" w:space="0" w:color="auto"/>
              <w:right w:val="nil" w:sz="6" w:space="0" w:color="auto"/>
            </w:tcBorders>
          </w:tcPr>
          <w:p>
            <w:pPr/>
          </w:p>
        </w:tc>
        <w:tc>
          <w:tcPr>
            <w:tcW w:w="2133" w:type="dxa"/>
            <w:tcBorders>
              <w:top w:val="nil" w:sz="6" w:space="0" w:color="auto"/>
              <w:left w:val="nil" w:sz="6" w:space="0" w:color="auto"/>
              <w:bottom w:val="nil" w:sz="6" w:space="0" w:color="auto"/>
              <w:right w:val="nil" w:sz="6" w:space="0" w:color="auto"/>
            </w:tcBorders>
          </w:tcPr>
          <w:p>
            <w:pPr/>
          </w:p>
        </w:tc>
      </w:tr>
      <w:tr>
        <w:trPr>
          <w:trHeight w:val="401"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40" w:lineRule="auto" w:before="98"/>
              <w:ind w:left="200" w:right="0"/>
              <w:jc w:val="left"/>
              <w:rPr>
                <w:rFonts w:ascii="黑体" w:hAnsi="黑体" w:cs="黑体" w:eastAsia="黑体" w:hint="default"/>
                <w:sz w:val="20"/>
                <w:szCs w:val="20"/>
              </w:rPr>
            </w:pPr>
            <w:r>
              <w:rPr>
                <w:rFonts w:ascii="黑体" w:hAnsi="黑体" w:cs="黑体" w:eastAsia="黑体" w:hint="default"/>
                <w:sz w:val="20"/>
                <w:szCs w:val="20"/>
              </w:rPr>
              <w:t>货币资金</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
              <w:jc w:val="right"/>
              <w:rPr>
                <w:rFonts w:ascii="Arial" w:hAnsi="Arial" w:cs="Arial" w:eastAsia="Arial" w:hint="default"/>
                <w:sz w:val="20"/>
                <w:szCs w:val="20"/>
              </w:rPr>
            </w:pPr>
            <w:r>
              <w:rPr>
                <w:rFonts w:ascii="Arial"/>
                <w:w w:val="99"/>
                <w:sz w:val="20"/>
              </w:rPr>
              <w:t>-</w:t>
            </w:r>
            <w:r>
              <w:rPr>
                <w:rFonts w:ascii="Arial"/>
                <w:sz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0"/>
              <w:jc w:val="right"/>
              <w:rPr>
                <w:rFonts w:ascii="Arial" w:hAnsi="Arial" w:cs="Arial" w:eastAsia="Arial" w:hint="default"/>
                <w:sz w:val="20"/>
                <w:szCs w:val="20"/>
              </w:rPr>
            </w:pPr>
            <w:r>
              <w:rPr>
                <w:rFonts w:ascii="Arial"/>
                <w:w w:val="95"/>
                <w:sz w:val="20"/>
              </w:rPr>
              <w:t>7,147,448,420</w:t>
            </w:r>
            <w:r>
              <w:rPr>
                <w:rFonts w:ascii="Arial"/>
                <w:sz w:val="20"/>
              </w:rPr>
            </w:r>
          </w:p>
        </w:tc>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203"/>
              <w:jc w:val="right"/>
              <w:rPr>
                <w:rFonts w:ascii="Arial" w:hAnsi="Arial" w:cs="Arial" w:eastAsia="Arial" w:hint="default"/>
                <w:sz w:val="20"/>
                <w:szCs w:val="20"/>
              </w:rPr>
            </w:pPr>
            <w:r>
              <w:rPr>
                <w:rFonts w:ascii="Arial"/>
                <w:w w:val="95"/>
                <w:sz w:val="20"/>
              </w:rPr>
              <w:t>7,147,448,420</w:t>
            </w:r>
            <w:r>
              <w:rPr>
                <w:rFonts w:ascii="Arial"/>
                <w:sz w:val="20"/>
              </w:rPr>
            </w:r>
          </w:p>
        </w:tc>
      </w:tr>
      <w:tr>
        <w:trPr>
          <w:trHeight w:val="263"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交易性金融资产</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ind w:right="1"/>
              <w:jc w:val="right"/>
              <w:rPr>
                <w:rFonts w:ascii="Arial" w:hAnsi="Arial" w:cs="Arial" w:eastAsia="Arial" w:hint="default"/>
                <w:sz w:val="20"/>
                <w:szCs w:val="20"/>
              </w:rPr>
            </w:pPr>
            <w:r>
              <w:rPr>
                <w:rFonts w:ascii="Arial"/>
                <w:spacing w:val="-1"/>
                <w:sz w:val="20"/>
              </w:rPr>
              <w:t>221,059,354</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9"/>
                <w:sz w:val="20"/>
              </w:rPr>
              <w:t>-</w:t>
            </w:r>
            <w:r>
              <w:rPr>
                <w:rFonts w:ascii="Arial"/>
                <w:sz w:val="20"/>
              </w:rPr>
            </w:r>
          </w:p>
        </w:tc>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ind w:right="203"/>
              <w:jc w:val="right"/>
              <w:rPr>
                <w:rFonts w:ascii="Arial" w:hAnsi="Arial" w:cs="Arial" w:eastAsia="Arial" w:hint="default"/>
                <w:sz w:val="20"/>
                <w:szCs w:val="20"/>
              </w:rPr>
            </w:pPr>
            <w:r>
              <w:rPr>
                <w:rFonts w:ascii="Arial"/>
                <w:spacing w:val="-1"/>
                <w:sz w:val="20"/>
              </w:rPr>
              <w:t>221,059,354</w:t>
            </w:r>
          </w:p>
        </w:tc>
      </w:tr>
      <w:tr>
        <w:trPr>
          <w:trHeight w:val="270"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22" w:lineRule="exact"/>
              <w:ind w:left="200" w:right="0"/>
              <w:jc w:val="left"/>
              <w:rPr>
                <w:rFonts w:ascii="黑体" w:hAnsi="黑体" w:cs="黑体" w:eastAsia="黑体" w:hint="default"/>
                <w:sz w:val="20"/>
                <w:szCs w:val="20"/>
              </w:rPr>
            </w:pPr>
            <w:r>
              <w:rPr>
                <w:rFonts w:ascii="黑体" w:hAnsi="黑体" w:cs="黑体" w:eastAsia="黑体" w:hint="default"/>
                <w:sz w:val="20"/>
                <w:szCs w:val="20"/>
              </w:rPr>
              <w:t>应收票据</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
              <w:jc w:val="right"/>
              <w:rPr>
                <w:rFonts w:ascii="Arial" w:hAnsi="Arial" w:cs="Arial" w:eastAsia="Arial" w:hint="default"/>
                <w:sz w:val="20"/>
                <w:szCs w:val="20"/>
              </w:rPr>
            </w:pPr>
            <w:r>
              <w:rPr>
                <w:rFonts w:ascii="Arial"/>
                <w:w w:val="99"/>
                <w:sz w:val="20"/>
              </w:rPr>
              <w:t>-</w:t>
            </w:r>
            <w:r>
              <w:rPr>
                <w:rFonts w:ascii="Arial"/>
                <w:sz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0"/>
              <w:jc w:val="right"/>
              <w:rPr>
                <w:rFonts w:ascii="Arial" w:hAnsi="Arial" w:cs="Arial" w:eastAsia="Arial" w:hint="default"/>
                <w:sz w:val="20"/>
                <w:szCs w:val="20"/>
              </w:rPr>
            </w:pPr>
            <w:r>
              <w:rPr>
                <w:rFonts w:ascii="Arial"/>
                <w:spacing w:val="-1"/>
                <w:sz w:val="20"/>
              </w:rPr>
              <w:t>133,306,487</w:t>
            </w:r>
          </w:p>
        </w:tc>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03"/>
              <w:jc w:val="right"/>
              <w:rPr>
                <w:rFonts w:ascii="Arial" w:hAnsi="Arial" w:cs="Arial" w:eastAsia="Arial" w:hint="default"/>
                <w:sz w:val="20"/>
                <w:szCs w:val="20"/>
              </w:rPr>
            </w:pPr>
            <w:r>
              <w:rPr>
                <w:rFonts w:ascii="Arial"/>
                <w:spacing w:val="-1"/>
                <w:sz w:val="20"/>
              </w:rPr>
              <w:t>133,306,487</w:t>
            </w:r>
          </w:p>
        </w:tc>
      </w:tr>
      <w:tr>
        <w:trPr>
          <w:trHeight w:val="259"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应收账款</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ind w:right="1"/>
              <w:jc w:val="right"/>
              <w:rPr>
                <w:rFonts w:ascii="Arial" w:hAnsi="Arial" w:cs="Arial" w:eastAsia="Arial" w:hint="default"/>
                <w:sz w:val="20"/>
                <w:szCs w:val="20"/>
              </w:rPr>
            </w:pPr>
            <w:r>
              <w:rPr>
                <w:rFonts w:ascii="Arial"/>
                <w:w w:val="99"/>
                <w:sz w:val="20"/>
              </w:rPr>
              <w:t>-</w:t>
            </w:r>
            <w:r>
              <w:rPr>
                <w:rFonts w:ascii="Arial"/>
                <w:sz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5"/>
                <w:sz w:val="20"/>
              </w:rPr>
              <w:t>1,234,210,969</w:t>
            </w:r>
            <w:r>
              <w:rPr>
                <w:rFonts w:ascii="Arial"/>
                <w:sz w:val="20"/>
              </w:rPr>
            </w:r>
          </w:p>
        </w:tc>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3"/>
              <w:jc w:val="right"/>
              <w:rPr>
                <w:rFonts w:ascii="Arial" w:hAnsi="Arial" w:cs="Arial" w:eastAsia="Arial" w:hint="default"/>
                <w:sz w:val="20"/>
                <w:szCs w:val="20"/>
              </w:rPr>
            </w:pPr>
            <w:r>
              <w:rPr>
                <w:rFonts w:ascii="Arial"/>
                <w:w w:val="95"/>
                <w:sz w:val="20"/>
              </w:rPr>
              <w:t>1,234,210,969</w:t>
            </w:r>
            <w:r>
              <w:rPr>
                <w:rFonts w:ascii="Arial"/>
                <w:sz w:val="20"/>
              </w:rPr>
            </w:r>
          </w:p>
        </w:tc>
      </w:tr>
      <w:tr>
        <w:trPr>
          <w:trHeight w:val="259"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其他应收款</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ind w:right="1"/>
              <w:jc w:val="right"/>
              <w:rPr>
                <w:rFonts w:ascii="Arial" w:hAnsi="Arial" w:cs="Arial" w:eastAsia="Arial" w:hint="default"/>
                <w:sz w:val="20"/>
                <w:szCs w:val="20"/>
              </w:rPr>
            </w:pPr>
            <w:r>
              <w:rPr>
                <w:rFonts w:ascii="Arial"/>
                <w:w w:val="99"/>
                <w:sz w:val="20"/>
              </w:rPr>
              <w:t>-</w:t>
            </w:r>
            <w:r>
              <w:rPr>
                <w:rFonts w:ascii="Arial"/>
                <w:sz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spacing w:val="-1"/>
                <w:sz w:val="20"/>
              </w:rPr>
              <w:t>449,536,788</w:t>
            </w:r>
          </w:p>
        </w:tc>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3"/>
              <w:jc w:val="right"/>
              <w:rPr>
                <w:rFonts w:ascii="Arial" w:hAnsi="Arial" w:cs="Arial" w:eastAsia="Arial" w:hint="default"/>
                <w:sz w:val="20"/>
                <w:szCs w:val="20"/>
              </w:rPr>
            </w:pPr>
            <w:r>
              <w:rPr>
                <w:rFonts w:ascii="Arial"/>
                <w:spacing w:val="-1"/>
                <w:sz w:val="20"/>
              </w:rPr>
              <w:t>449,536,788</w:t>
            </w:r>
          </w:p>
        </w:tc>
      </w:tr>
      <w:tr>
        <w:trPr>
          <w:trHeight w:val="311"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长期应收款</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
              <w:jc w:val="right"/>
              <w:rPr>
                <w:rFonts w:ascii="Arial" w:hAnsi="Arial" w:cs="Arial" w:eastAsia="Arial" w:hint="default"/>
                <w:sz w:val="20"/>
                <w:szCs w:val="20"/>
              </w:rPr>
            </w:pPr>
            <w:r>
              <w:rPr>
                <w:rFonts w:ascii="Arial"/>
                <w:w w:val="99"/>
                <w:sz w:val="20"/>
              </w:rPr>
              <w:t>-</w:t>
            </w:r>
            <w:r>
              <w:rPr>
                <w:rFonts w:ascii="Arial"/>
                <w:sz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0"/>
              <w:jc w:val="right"/>
              <w:rPr>
                <w:rFonts w:ascii="Arial" w:hAnsi="Arial" w:cs="Arial" w:eastAsia="Arial" w:hint="default"/>
                <w:sz w:val="20"/>
                <w:szCs w:val="20"/>
              </w:rPr>
            </w:pPr>
            <w:r>
              <w:rPr>
                <w:rFonts w:ascii="Arial"/>
                <w:w w:val="95"/>
                <w:sz w:val="20"/>
              </w:rPr>
              <w:t>26,029,129</w:t>
            </w:r>
            <w:r>
              <w:rPr>
                <w:rFonts w:ascii="Arial"/>
                <w:sz w:val="20"/>
              </w:rPr>
            </w:r>
          </w:p>
        </w:tc>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02"/>
              <w:jc w:val="right"/>
              <w:rPr>
                <w:rFonts w:ascii="Arial" w:hAnsi="Arial" w:cs="Arial" w:eastAsia="Arial" w:hint="default"/>
                <w:sz w:val="20"/>
                <w:szCs w:val="20"/>
              </w:rPr>
            </w:pPr>
            <w:r>
              <w:rPr>
                <w:rFonts w:ascii="Arial"/>
                <w:w w:val="95"/>
                <w:sz w:val="20"/>
              </w:rPr>
              <w:t>26,029,129</w:t>
            </w:r>
            <w:r>
              <w:rPr>
                <w:rFonts w:ascii="Arial"/>
                <w:sz w:val="20"/>
              </w:rPr>
            </w:r>
          </w:p>
        </w:tc>
      </w:tr>
      <w:tr>
        <w:trPr>
          <w:trHeight w:val="381"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0" w:right="0"/>
              <w:jc w:val="left"/>
              <w:rPr>
                <w:rFonts w:ascii="黑体" w:hAnsi="黑体" w:cs="黑体" w:eastAsia="黑体" w:hint="default"/>
                <w:sz w:val="20"/>
                <w:szCs w:val="20"/>
              </w:rPr>
            </w:pPr>
            <w:r>
              <w:rPr>
                <w:rFonts w:ascii="黑体" w:hAnsi="黑体" w:cs="黑体" w:eastAsia="黑体" w:hint="default"/>
                <w:sz w:val="20"/>
                <w:szCs w:val="20"/>
              </w:rPr>
              <w:t>其他非流动金融资产</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right"/>
              <w:rPr>
                <w:rFonts w:ascii="Arial" w:hAnsi="Arial" w:cs="Arial" w:eastAsia="Arial" w:hint="default"/>
                <w:sz w:val="20"/>
                <w:szCs w:val="20"/>
              </w:rPr>
            </w:pPr>
            <w:r>
              <w:rPr>
                <w:rFonts w:ascii="Arial"/>
                <w:w w:val="99"/>
                <w:sz w:val="20"/>
              </w:rPr>
            </w:r>
            <w:r>
              <w:rPr>
                <w:rFonts w:ascii="Arial"/>
                <w:w w:val="95"/>
                <w:sz w:val="20"/>
                <w:u w:val="single" w:color="000000"/>
              </w:rPr>
              <w:t>1,069,298,248</w:t>
            </w:r>
            <w:r>
              <w:rPr>
                <w:rFonts w:ascii="Arial"/>
                <w:w w:val="95"/>
                <w:sz w:val="20"/>
              </w:rPr>
            </w:r>
            <w:r>
              <w:rPr>
                <w:rFonts w:ascii="Arial"/>
                <w:sz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64"/>
              <w:ind w:right="0"/>
              <w:jc w:val="right"/>
              <w:rPr>
                <w:rFonts w:ascii="Arial" w:hAnsi="Arial" w:cs="Arial" w:eastAsia="Arial" w:hint="default"/>
                <w:sz w:val="20"/>
                <w:szCs w:val="20"/>
              </w:rPr>
            </w:pPr>
            <w:r>
              <w:rPr>
                <w:rFonts w:ascii="Arial"/>
                <w:w w:val="99"/>
                <w:sz w:val="20"/>
              </w:rPr>
              <w:t>-</w:t>
            </w:r>
            <w:r>
              <w:rPr>
                <w:rFonts w:ascii="Arial"/>
                <w:sz w:val="20"/>
              </w:rPr>
            </w:r>
          </w:p>
        </w:tc>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01"/>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pacing w:val="-11"/>
                <w:sz w:val="20"/>
                <w:u w:val="single" w:color="000000"/>
              </w:rPr>
              <w:t> </w:t>
            </w:r>
            <w:r>
              <w:rPr>
                <w:rFonts w:ascii="Arial"/>
                <w:w w:val="95"/>
                <w:sz w:val="20"/>
                <w:u w:val="single" w:color="000000"/>
              </w:rPr>
              <w:t>1,069,298,248</w:t>
            </w:r>
            <w:r>
              <w:rPr>
                <w:rFonts w:ascii="Arial"/>
                <w:w w:val="95"/>
                <w:sz w:val="20"/>
              </w:rPr>
            </w:r>
            <w:r>
              <w:rPr>
                <w:rFonts w:ascii="Arial"/>
                <w:sz w:val="20"/>
              </w:rPr>
            </w:r>
          </w:p>
        </w:tc>
      </w:tr>
      <w:tr>
        <w:trPr>
          <w:trHeight w:val="530" w:hRule="exact"/>
        </w:trPr>
        <w:tc>
          <w:tcPr>
            <w:tcW w:w="2469" w:type="dxa"/>
            <w:tcBorders>
              <w:top w:val="nil" w:sz="6" w:space="0" w:color="auto"/>
              <w:left w:val="nil" w:sz="6" w:space="0" w:color="auto"/>
              <w:bottom w:val="nil" w:sz="6" w:space="0" w:color="auto"/>
              <w:right w:val="nil" w:sz="6" w:space="0" w:color="auto"/>
            </w:tcBorders>
          </w:tcPr>
          <w:p>
            <w:pP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23"/>
                <w:szCs w:val="23"/>
              </w:rPr>
            </w:pPr>
          </w:p>
          <w:p>
            <w:pPr>
              <w:pStyle w:val="TableParagraph"/>
              <w:spacing w:line="240" w:lineRule="auto"/>
              <w:ind w:right="0"/>
              <w:jc w:val="right"/>
              <w:rPr>
                <w:rFonts w:ascii="Arial" w:hAnsi="Arial" w:cs="Arial" w:eastAsia="Arial" w:hint="default"/>
                <w:sz w:val="20"/>
                <w:szCs w:val="20"/>
              </w:rPr>
            </w:pPr>
            <w:r>
              <w:rPr>
                <w:rFonts w:ascii="Arial"/>
                <w:w w:val="99"/>
                <w:sz w:val="20"/>
              </w:rPr>
            </w:r>
            <w:r>
              <w:rPr>
                <w:rFonts w:ascii="Arial"/>
                <w:w w:val="95"/>
                <w:sz w:val="20"/>
                <w:u w:val="thick" w:color="000000"/>
              </w:rPr>
              <w:t>1,290,357,602</w:t>
            </w:r>
            <w:r>
              <w:rPr>
                <w:rFonts w:ascii="Arial"/>
                <w:w w:val="95"/>
                <w:sz w:val="20"/>
              </w:rPr>
            </w:r>
            <w:r>
              <w:rPr>
                <w:rFonts w:ascii="Arial"/>
                <w:sz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23"/>
                <w:szCs w:val="23"/>
              </w:rPr>
            </w:pPr>
          </w:p>
          <w:p>
            <w:pPr>
              <w:pStyle w:val="TableParagraph"/>
              <w:spacing w:line="240" w:lineRule="auto"/>
              <w:ind w:right="0"/>
              <w:jc w:val="right"/>
              <w:rPr>
                <w:rFonts w:ascii="Arial" w:hAnsi="Arial" w:cs="Arial" w:eastAsia="Arial" w:hint="default"/>
                <w:sz w:val="20"/>
                <w:szCs w:val="20"/>
              </w:rPr>
            </w:pPr>
            <w:r>
              <w:rPr>
                <w:rFonts w:ascii="Arial"/>
                <w:w w:val="99"/>
                <w:sz w:val="20"/>
              </w:rPr>
            </w:r>
            <w:r>
              <w:rPr>
                <w:rFonts w:ascii="Arial"/>
                <w:w w:val="95"/>
                <w:sz w:val="20"/>
                <w:u w:val="thick" w:color="000000"/>
              </w:rPr>
              <w:t>8,990,531,793</w:t>
            </w:r>
            <w:r>
              <w:rPr>
                <w:rFonts w:ascii="Arial"/>
                <w:w w:val="95"/>
                <w:sz w:val="20"/>
              </w:rPr>
            </w:r>
            <w:r>
              <w:rPr>
                <w:rFonts w:ascii="Arial"/>
                <w:sz w:val="20"/>
              </w:rPr>
            </w:r>
          </w:p>
        </w:tc>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23"/>
                <w:szCs w:val="23"/>
              </w:rPr>
            </w:pPr>
          </w:p>
          <w:p>
            <w:pPr>
              <w:pStyle w:val="TableParagraph"/>
              <w:spacing w:line="240" w:lineRule="auto"/>
              <w:ind w:right="204"/>
              <w:jc w:val="right"/>
              <w:rPr>
                <w:rFonts w:ascii="Arial" w:hAnsi="Arial" w:cs="Arial" w:eastAsia="Arial" w:hint="default"/>
                <w:sz w:val="20"/>
                <w:szCs w:val="20"/>
              </w:rPr>
            </w:pPr>
            <w:r>
              <w:rPr>
                <w:rFonts w:ascii="Arial"/>
                <w:w w:val="99"/>
                <w:sz w:val="20"/>
              </w:rPr>
            </w:r>
            <w:r>
              <w:rPr>
                <w:rFonts w:ascii="Arial"/>
                <w:w w:val="95"/>
                <w:sz w:val="20"/>
                <w:u w:val="thick" w:color="000000"/>
              </w:rPr>
              <w:t>10,280,889,395</w:t>
            </w:r>
            <w:r>
              <w:rPr>
                <w:rFonts w:ascii="Arial"/>
                <w:w w:val="95"/>
                <w:sz w:val="20"/>
              </w:rPr>
            </w:r>
            <w:r>
              <w:rPr>
                <w:rFonts w:ascii="Arial"/>
                <w:sz w:val="20"/>
              </w:rPr>
            </w:r>
          </w:p>
        </w:tc>
      </w:tr>
    </w:tbl>
    <w:p>
      <w:pPr>
        <w:spacing w:line="240" w:lineRule="auto" w:before="12"/>
        <w:rPr>
          <w:rFonts w:ascii="黑体" w:hAnsi="黑体" w:cs="黑体" w:eastAsia="黑体" w:hint="default"/>
          <w:sz w:val="12"/>
          <w:szCs w:val="12"/>
        </w:rPr>
      </w:pPr>
    </w:p>
    <w:p>
      <w:pPr>
        <w:spacing w:before="37"/>
        <w:ind w:left="318" w:right="0" w:firstLine="0"/>
        <w:jc w:val="left"/>
        <w:rPr>
          <w:rFonts w:ascii="黑体" w:hAnsi="黑体" w:cs="黑体" w:eastAsia="黑体" w:hint="default"/>
          <w:sz w:val="20"/>
          <w:szCs w:val="20"/>
        </w:rPr>
      </w:pPr>
      <w:r>
        <w:rPr>
          <w:rFonts w:ascii="黑体" w:hAnsi="黑体" w:cs="黑体" w:eastAsia="黑体" w:hint="default"/>
          <w:sz w:val="20"/>
          <w:szCs w:val="20"/>
        </w:rPr>
        <w:t>金融负债</w:t>
      </w:r>
    </w:p>
    <w:p>
      <w:pPr>
        <w:spacing w:after="0"/>
        <w:jc w:val="left"/>
        <w:rPr>
          <w:rFonts w:ascii="黑体" w:hAnsi="黑体" w:cs="黑体" w:eastAsia="黑体" w:hint="default"/>
          <w:sz w:val="20"/>
          <w:szCs w:val="20"/>
        </w:rPr>
        <w:sectPr>
          <w:pgSz w:w="11910" w:h="16850"/>
          <w:pgMar w:header="745" w:footer="921" w:top="980" w:bottom="1120" w:left="1480" w:right="150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1"/>
          <w:szCs w:val="21"/>
        </w:rPr>
      </w:pPr>
    </w:p>
    <w:tbl>
      <w:tblPr>
        <w:tblW w:w="0" w:type="auto"/>
        <w:jc w:val="left"/>
        <w:tblInd w:w="118" w:type="dxa"/>
        <w:tblLayout w:type="fixed"/>
        <w:tblCellMar>
          <w:top w:w="0" w:type="dxa"/>
          <w:left w:w="0" w:type="dxa"/>
          <w:bottom w:w="0" w:type="dxa"/>
          <w:right w:w="0" w:type="dxa"/>
        </w:tblCellMar>
        <w:tblLook w:val="01E0"/>
      </w:tblPr>
      <w:tblGrid>
        <w:gridCol w:w="2469"/>
        <w:gridCol w:w="2272"/>
        <w:gridCol w:w="2170"/>
        <w:gridCol w:w="1812"/>
      </w:tblGrid>
      <w:tr>
        <w:trPr>
          <w:trHeight w:val="493" w:hRule="exact"/>
        </w:trPr>
        <w:tc>
          <w:tcPr>
            <w:tcW w:w="4740" w:type="dxa"/>
            <w:gridSpan w:val="2"/>
            <w:tcBorders>
              <w:top w:val="nil" w:sz="6" w:space="0" w:color="auto"/>
              <w:left w:val="nil" w:sz="6" w:space="0" w:color="auto"/>
              <w:bottom w:val="nil" w:sz="6" w:space="0" w:color="auto"/>
              <w:right w:val="nil" w:sz="6" w:space="0" w:color="auto"/>
            </w:tcBorders>
          </w:tcPr>
          <w:p>
            <w:pPr>
              <w:pStyle w:val="TableParagraph"/>
              <w:spacing w:line="198" w:lineRule="exact"/>
              <w:ind w:left="2538" w:right="0"/>
              <w:jc w:val="left"/>
              <w:rPr>
                <w:rFonts w:ascii="黑体" w:hAnsi="黑体" w:cs="黑体" w:eastAsia="黑体" w:hint="default"/>
                <w:sz w:val="20"/>
                <w:szCs w:val="20"/>
              </w:rPr>
            </w:pPr>
            <w:r>
              <w:rPr>
                <w:rFonts w:ascii="黑体" w:hAnsi="黑体" w:cs="黑体" w:eastAsia="黑体" w:hint="default"/>
                <w:sz w:val="20"/>
                <w:szCs w:val="20"/>
              </w:rPr>
              <w:t>以公允价值计量且其变动</w:t>
            </w:r>
          </w:p>
          <w:p>
            <w:pPr>
              <w:pStyle w:val="TableParagraph"/>
              <w:spacing w:line="261" w:lineRule="exact"/>
              <w:ind w:left="2538" w:right="0"/>
              <w:jc w:val="left"/>
              <w:rPr>
                <w:rFonts w:ascii="黑体" w:hAnsi="黑体" w:cs="黑体" w:eastAsia="黑体" w:hint="default"/>
                <w:sz w:val="20"/>
                <w:szCs w:val="20"/>
              </w:rPr>
            </w:pPr>
            <w:r>
              <w:rPr>
                <w:rFonts w:ascii="黑体" w:hAnsi="黑体" w:cs="黑体" w:eastAsia="黑体" w:hint="default"/>
                <w:sz w:val="20"/>
                <w:szCs w:val="20"/>
              </w:rPr>
              <w:t>计入当期损益的金融负债</w:t>
            </w:r>
          </w:p>
        </w:tc>
        <w:tc>
          <w:tcPr>
            <w:tcW w:w="2170" w:type="dxa"/>
            <w:tcBorders>
              <w:top w:val="nil" w:sz="6" w:space="0" w:color="auto"/>
              <w:left w:val="nil" w:sz="6" w:space="0" w:color="auto"/>
              <w:bottom w:val="nil" w:sz="6" w:space="0" w:color="auto"/>
              <w:right w:val="nil" w:sz="6" w:space="0" w:color="auto"/>
            </w:tcBorders>
          </w:tcPr>
          <w:p>
            <w:pPr>
              <w:pStyle w:val="TableParagraph"/>
              <w:spacing w:line="198" w:lineRule="exact"/>
              <w:ind w:left="238" w:right="0"/>
              <w:jc w:val="left"/>
              <w:rPr>
                <w:rFonts w:ascii="黑体" w:hAnsi="黑体" w:cs="黑体" w:eastAsia="黑体" w:hint="default"/>
                <w:sz w:val="20"/>
                <w:szCs w:val="20"/>
              </w:rPr>
            </w:pPr>
            <w:r>
              <w:rPr>
                <w:rFonts w:ascii="黑体" w:hAnsi="黑体" w:cs="黑体" w:eastAsia="黑体" w:hint="default"/>
                <w:sz w:val="20"/>
                <w:szCs w:val="20"/>
              </w:rPr>
              <w:t>以摊余成本计量的</w:t>
            </w:r>
          </w:p>
          <w:p>
            <w:pPr>
              <w:pStyle w:val="TableParagraph"/>
              <w:spacing w:line="261" w:lineRule="exact"/>
              <w:ind w:left="1040" w:right="0"/>
              <w:jc w:val="left"/>
              <w:rPr>
                <w:rFonts w:ascii="黑体" w:hAnsi="黑体" w:cs="黑体" w:eastAsia="黑体" w:hint="default"/>
                <w:sz w:val="20"/>
                <w:szCs w:val="20"/>
              </w:rPr>
            </w:pPr>
            <w:r>
              <w:rPr>
                <w:rFonts w:ascii="黑体" w:hAnsi="黑体" w:cs="黑体" w:eastAsia="黑体" w:hint="default"/>
                <w:sz w:val="20"/>
                <w:szCs w:val="20"/>
              </w:rPr>
              <w:t>金融负债</w:t>
            </w:r>
          </w:p>
        </w:tc>
        <w:tc>
          <w:tcPr>
            <w:tcW w:w="1812"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黑体" w:hAnsi="黑体" w:cs="黑体" w:eastAsia="黑体" w:hint="default"/>
                <w:sz w:val="20"/>
                <w:szCs w:val="20"/>
              </w:rPr>
            </w:pPr>
            <w:r>
              <w:rPr>
                <w:rFonts w:ascii="黑体" w:hAnsi="黑体" w:cs="黑体" w:eastAsia="黑体" w:hint="default"/>
                <w:sz w:val="20"/>
                <w:szCs w:val="20"/>
              </w:rPr>
              <w:t>合计</w:t>
            </w:r>
          </w:p>
        </w:tc>
      </w:tr>
      <w:tr>
        <w:trPr>
          <w:trHeight w:val="492" w:hRule="exact"/>
        </w:trPr>
        <w:tc>
          <w:tcPr>
            <w:tcW w:w="2469" w:type="dxa"/>
            <w:tcBorders>
              <w:top w:val="nil" w:sz="6" w:space="0" w:color="auto"/>
              <w:left w:val="nil" w:sz="6" w:space="0" w:color="auto"/>
              <w:bottom w:val="nil" w:sz="6" w:space="0" w:color="auto"/>
              <w:right w:val="nil" w:sz="6" w:space="0" w:color="auto"/>
            </w:tcBorders>
          </w:tcPr>
          <w:p>
            <w:pPr/>
          </w:p>
        </w:tc>
        <w:tc>
          <w:tcPr>
            <w:tcW w:w="2272" w:type="dxa"/>
            <w:tcBorders>
              <w:top w:val="single" w:sz="4" w:space="0" w:color="000000"/>
              <w:left w:val="nil" w:sz="6" w:space="0" w:color="auto"/>
              <w:bottom w:val="nil" w:sz="6" w:space="0" w:color="auto"/>
              <w:right w:val="nil" w:sz="6" w:space="0" w:color="auto"/>
            </w:tcBorders>
          </w:tcPr>
          <w:p>
            <w:pPr>
              <w:pStyle w:val="TableParagraph"/>
              <w:spacing w:line="230" w:lineRule="exact"/>
              <w:ind w:right="1"/>
              <w:jc w:val="right"/>
              <w:rPr>
                <w:rFonts w:ascii="黑体" w:hAnsi="黑体" w:cs="黑体" w:eastAsia="黑体" w:hint="default"/>
                <w:sz w:val="20"/>
                <w:szCs w:val="20"/>
              </w:rPr>
            </w:pPr>
            <w:r>
              <w:rPr>
                <w:rFonts w:ascii="黑体" w:hAnsi="黑体" w:cs="黑体" w:eastAsia="黑体" w:hint="default"/>
                <w:w w:val="95"/>
                <w:sz w:val="20"/>
                <w:szCs w:val="20"/>
              </w:rPr>
              <w:t>准则要求</w:t>
            </w:r>
            <w:r>
              <w:rPr>
                <w:rFonts w:ascii="黑体" w:hAnsi="黑体" w:cs="黑体" w:eastAsia="黑体" w:hint="default"/>
                <w:sz w:val="20"/>
                <w:szCs w:val="20"/>
              </w:rPr>
            </w:r>
          </w:p>
        </w:tc>
        <w:tc>
          <w:tcPr>
            <w:tcW w:w="2170" w:type="dxa"/>
            <w:tcBorders>
              <w:top w:val="nil" w:sz="6" w:space="0" w:color="auto"/>
              <w:left w:val="nil" w:sz="6" w:space="0" w:color="auto"/>
              <w:bottom w:val="nil" w:sz="6" w:space="0" w:color="auto"/>
              <w:right w:val="nil" w:sz="6" w:space="0" w:color="auto"/>
            </w:tcBorders>
          </w:tcPr>
          <w:p>
            <w:pPr/>
          </w:p>
        </w:tc>
        <w:tc>
          <w:tcPr>
            <w:tcW w:w="1812" w:type="dxa"/>
            <w:tcBorders>
              <w:top w:val="nil" w:sz="6" w:space="0" w:color="auto"/>
              <w:left w:val="nil" w:sz="6" w:space="0" w:color="auto"/>
              <w:bottom w:val="nil" w:sz="6" w:space="0" w:color="auto"/>
              <w:right w:val="nil" w:sz="6" w:space="0" w:color="auto"/>
            </w:tcBorders>
          </w:tcPr>
          <w:p>
            <w:pPr/>
          </w:p>
        </w:tc>
      </w:tr>
      <w:tr>
        <w:trPr>
          <w:trHeight w:val="498"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7"/>
                <w:szCs w:val="17"/>
              </w:rPr>
            </w:pPr>
          </w:p>
          <w:p>
            <w:pPr>
              <w:pStyle w:val="TableParagraph"/>
              <w:spacing w:line="240" w:lineRule="auto"/>
              <w:ind w:left="200" w:right="0"/>
              <w:jc w:val="left"/>
              <w:rPr>
                <w:rFonts w:ascii="黑体" w:hAnsi="黑体" w:cs="黑体" w:eastAsia="黑体" w:hint="default"/>
                <w:sz w:val="20"/>
                <w:szCs w:val="20"/>
              </w:rPr>
            </w:pPr>
            <w:r>
              <w:rPr>
                <w:rFonts w:ascii="黑体" w:hAnsi="黑体" w:cs="黑体" w:eastAsia="黑体" w:hint="default"/>
                <w:sz w:val="20"/>
                <w:szCs w:val="20"/>
              </w:rPr>
              <w:t>短期借款</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0"/>
              <w:jc w:val="right"/>
              <w:rPr>
                <w:rFonts w:ascii="Arial" w:hAnsi="Arial" w:cs="Arial" w:eastAsia="Arial" w:hint="default"/>
                <w:sz w:val="20"/>
                <w:szCs w:val="20"/>
              </w:rPr>
            </w:pPr>
            <w:r>
              <w:rPr>
                <w:rFonts w:ascii="Arial"/>
                <w:w w:val="99"/>
                <w:sz w:val="20"/>
              </w:rPr>
              <w:t>-</w:t>
            </w:r>
            <w:r>
              <w:rPr>
                <w:rFonts w:ascii="Arial"/>
                <w:sz w:val="20"/>
              </w:rPr>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330"/>
              <w:jc w:val="right"/>
              <w:rPr>
                <w:rFonts w:ascii="Arial" w:hAnsi="Arial" w:cs="Arial" w:eastAsia="Arial" w:hint="default"/>
                <w:sz w:val="20"/>
                <w:szCs w:val="20"/>
              </w:rPr>
            </w:pPr>
            <w:r>
              <w:rPr>
                <w:rFonts w:ascii="Arial"/>
                <w:w w:val="95"/>
                <w:sz w:val="20"/>
              </w:rPr>
              <w:t>4,235,544,650</w:t>
            </w:r>
            <w:r>
              <w:rPr>
                <w:rFonts w:ascii="Arial"/>
                <w:sz w:val="20"/>
              </w:rPr>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203"/>
              <w:jc w:val="right"/>
              <w:rPr>
                <w:rFonts w:ascii="Arial" w:hAnsi="Arial" w:cs="Arial" w:eastAsia="Arial" w:hint="default"/>
                <w:sz w:val="20"/>
                <w:szCs w:val="20"/>
              </w:rPr>
            </w:pPr>
            <w:r>
              <w:rPr>
                <w:rFonts w:ascii="Arial"/>
                <w:w w:val="95"/>
                <w:sz w:val="20"/>
              </w:rPr>
              <w:t>4,235,544,650</w:t>
            </w:r>
            <w:r>
              <w:rPr>
                <w:rFonts w:ascii="Arial"/>
                <w:sz w:val="20"/>
              </w:rPr>
            </w:r>
          </w:p>
        </w:tc>
      </w:tr>
      <w:tr>
        <w:trPr>
          <w:trHeight w:val="260"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交易性金融负债</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right"/>
              <w:rPr>
                <w:rFonts w:ascii="Arial" w:hAnsi="Arial" w:cs="Arial" w:eastAsia="Arial" w:hint="default"/>
                <w:sz w:val="20"/>
                <w:szCs w:val="20"/>
              </w:rPr>
            </w:pPr>
            <w:r>
              <w:rPr>
                <w:rFonts w:ascii="Arial"/>
                <w:w w:val="95"/>
                <w:sz w:val="20"/>
              </w:rPr>
              <w:t>6,658,487</w:t>
            </w:r>
            <w:r>
              <w:rPr>
                <w:rFonts w:ascii="Arial"/>
                <w:sz w:val="20"/>
              </w:rPr>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28"/>
              <w:jc w:val="right"/>
              <w:rPr>
                <w:rFonts w:ascii="Arial" w:hAnsi="Arial" w:cs="Arial" w:eastAsia="Arial" w:hint="default"/>
                <w:sz w:val="20"/>
                <w:szCs w:val="20"/>
              </w:rPr>
            </w:pPr>
            <w:r>
              <w:rPr>
                <w:rFonts w:ascii="Arial"/>
                <w:w w:val="99"/>
                <w:sz w:val="20"/>
              </w:rPr>
              <w:t>-</w:t>
            </w:r>
            <w:r>
              <w:rPr>
                <w:rFonts w:ascii="Arial"/>
                <w:sz w:val="20"/>
              </w:rPr>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2"/>
              <w:jc w:val="right"/>
              <w:rPr>
                <w:rFonts w:ascii="Arial" w:hAnsi="Arial" w:cs="Arial" w:eastAsia="Arial" w:hint="default"/>
                <w:sz w:val="20"/>
                <w:szCs w:val="20"/>
              </w:rPr>
            </w:pPr>
            <w:r>
              <w:rPr>
                <w:rFonts w:ascii="Arial"/>
                <w:w w:val="95"/>
                <w:sz w:val="20"/>
              </w:rPr>
              <w:t>6,658,487</w:t>
            </w:r>
            <w:r>
              <w:rPr>
                <w:rFonts w:ascii="Arial"/>
                <w:sz w:val="20"/>
              </w:rPr>
            </w:r>
          </w:p>
        </w:tc>
      </w:tr>
      <w:tr>
        <w:trPr>
          <w:trHeight w:val="260"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20" w:lineRule="exact"/>
              <w:ind w:left="200" w:right="0"/>
              <w:jc w:val="left"/>
              <w:rPr>
                <w:rFonts w:ascii="黑体" w:hAnsi="黑体" w:cs="黑体" w:eastAsia="黑体" w:hint="default"/>
                <w:sz w:val="20"/>
                <w:szCs w:val="20"/>
              </w:rPr>
            </w:pPr>
            <w:r>
              <w:rPr>
                <w:rFonts w:ascii="黑体" w:hAnsi="黑体" w:cs="黑体" w:eastAsia="黑体" w:hint="default"/>
                <w:sz w:val="20"/>
                <w:szCs w:val="20"/>
              </w:rPr>
              <w:t>应付账款</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20"/>
                <w:szCs w:val="20"/>
              </w:rPr>
            </w:pPr>
            <w:r>
              <w:rPr>
                <w:rFonts w:ascii="Arial"/>
                <w:w w:val="99"/>
                <w:sz w:val="20"/>
              </w:rPr>
              <w:t>-</w:t>
            </w:r>
            <w:r>
              <w:rPr>
                <w:rFonts w:ascii="Arial"/>
                <w:sz w:val="20"/>
              </w:rPr>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0"/>
              <w:jc w:val="right"/>
              <w:rPr>
                <w:rFonts w:ascii="Arial" w:hAnsi="Arial" w:cs="Arial" w:eastAsia="Arial" w:hint="default"/>
                <w:sz w:val="20"/>
                <w:szCs w:val="20"/>
              </w:rPr>
            </w:pPr>
            <w:r>
              <w:rPr>
                <w:rFonts w:ascii="Arial"/>
                <w:spacing w:val="-1"/>
                <w:sz w:val="20"/>
              </w:rPr>
              <w:t>597,049,158</w:t>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3"/>
              <w:jc w:val="right"/>
              <w:rPr>
                <w:rFonts w:ascii="Arial" w:hAnsi="Arial" w:cs="Arial" w:eastAsia="Arial" w:hint="default"/>
                <w:sz w:val="20"/>
                <w:szCs w:val="20"/>
              </w:rPr>
            </w:pPr>
            <w:r>
              <w:rPr>
                <w:rFonts w:ascii="Arial"/>
                <w:spacing w:val="-1"/>
                <w:sz w:val="20"/>
              </w:rPr>
              <w:t>597,049,158</w:t>
            </w:r>
          </w:p>
        </w:tc>
      </w:tr>
      <w:tr>
        <w:trPr>
          <w:trHeight w:val="259"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其他应付款</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9"/>
                <w:sz w:val="20"/>
              </w:rPr>
              <w:t>-</w:t>
            </w:r>
            <w:r>
              <w:rPr>
                <w:rFonts w:ascii="Arial"/>
                <w:sz w:val="20"/>
              </w:rPr>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0"/>
              <w:jc w:val="right"/>
              <w:rPr>
                <w:rFonts w:ascii="Arial" w:hAnsi="Arial" w:cs="Arial" w:eastAsia="Arial" w:hint="default"/>
                <w:sz w:val="20"/>
                <w:szCs w:val="20"/>
              </w:rPr>
            </w:pPr>
            <w:r>
              <w:rPr>
                <w:rFonts w:ascii="Arial"/>
                <w:w w:val="95"/>
                <w:sz w:val="20"/>
              </w:rPr>
              <w:t>1,332,754,020</w:t>
            </w:r>
            <w:r>
              <w:rPr>
                <w:rFonts w:ascii="Arial"/>
                <w:sz w:val="20"/>
              </w:rPr>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3"/>
              <w:jc w:val="right"/>
              <w:rPr>
                <w:rFonts w:ascii="Arial" w:hAnsi="Arial" w:cs="Arial" w:eastAsia="Arial" w:hint="default"/>
                <w:sz w:val="20"/>
                <w:szCs w:val="20"/>
              </w:rPr>
            </w:pPr>
            <w:r>
              <w:rPr>
                <w:rFonts w:ascii="Arial"/>
                <w:w w:val="95"/>
                <w:sz w:val="20"/>
              </w:rPr>
              <w:t>1,332,754,020</w:t>
            </w:r>
            <w:r>
              <w:rPr>
                <w:rFonts w:ascii="Arial"/>
                <w:sz w:val="20"/>
              </w:rPr>
            </w:r>
          </w:p>
        </w:tc>
      </w:tr>
      <w:tr>
        <w:trPr>
          <w:trHeight w:val="259"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一年内到期的长期借款</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9"/>
                <w:sz w:val="20"/>
              </w:rPr>
              <w:t>-</w:t>
            </w:r>
            <w:r>
              <w:rPr>
                <w:rFonts w:ascii="Arial"/>
                <w:sz w:val="20"/>
              </w:rPr>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0"/>
              <w:jc w:val="right"/>
              <w:rPr>
                <w:rFonts w:ascii="Arial" w:hAnsi="Arial" w:cs="Arial" w:eastAsia="Arial" w:hint="default"/>
                <w:sz w:val="20"/>
                <w:szCs w:val="20"/>
              </w:rPr>
            </w:pPr>
            <w:r>
              <w:rPr>
                <w:rFonts w:ascii="Arial"/>
                <w:w w:val="95"/>
                <w:sz w:val="20"/>
              </w:rPr>
              <w:t>90,000,000</w:t>
            </w:r>
            <w:r>
              <w:rPr>
                <w:rFonts w:ascii="Arial"/>
                <w:sz w:val="20"/>
              </w:rPr>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2"/>
              <w:jc w:val="right"/>
              <w:rPr>
                <w:rFonts w:ascii="Arial" w:hAnsi="Arial" w:cs="Arial" w:eastAsia="Arial" w:hint="default"/>
                <w:sz w:val="20"/>
                <w:szCs w:val="20"/>
              </w:rPr>
            </w:pPr>
            <w:r>
              <w:rPr>
                <w:rFonts w:ascii="Arial"/>
                <w:w w:val="95"/>
                <w:sz w:val="20"/>
              </w:rPr>
              <w:t>90,000,000</w:t>
            </w:r>
            <w:r>
              <w:rPr>
                <w:rFonts w:ascii="Arial"/>
                <w:sz w:val="20"/>
              </w:rPr>
            </w:r>
          </w:p>
        </w:tc>
      </w:tr>
      <w:tr>
        <w:trPr>
          <w:trHeight w:val="259"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其他流动负债</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9"/>
                <w:sz w:val="20"/>
              </w:rPr>
              <w:t>-</w:t>
            </w:r>
            <w:r>
              <w:rPr>
                <w:rFonts w:ascii="Arial"/>
                <w:sz w:val="20"/>
              </w:rPr>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29"/>
              <w:jc w:val="right"/>
              <w:rPr>
                <w:rFonts w:ascii="Arial" w:hAnsi="Arial" w:cs="Arial" w:eastAsia="Arial" w:hint="default"/>
                <w:sz w:val="20"/>
                <w:szCs w:val="20"/>
              </w:rPr>
            </w:pPr>
            <w:r>
              <w:rPr>
                <w:rFonts w:ascii="Arial"/>
                <w:spacing w:val="-1"/>
                <w:sz w:val="20"/>
              </w:rPr>
              <w:t>2,580,476</w:t>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2"/>
              <w:jc w:val="right"/>
              <w:rPr>
                <w:rFonts w:ascii="Arial" w:hAnsi="Arial" w:cs="Arial" w:eastAsia="Arial" w:hint="default"/>
                <w:sz w:val="20"/>
                <w:szCs w:val="20"/>
              </w:rPr>
            </w:pPr>
            <w:r>
              <w:rPr>
                <w:rFonts w:ascii="Arial"/>
                <w:spacing w:val="-1"/>
                <w:sz w:val="20"/>
              </w:rPr>
              <w:t>2,580,476</w:t>
            </w:r>
          </w:p>
        </w:tc>
      </w:tr>
      <w:tr>
        <w:trPr>
          <w:trHeight w:val="370" w:hRule="exact"/>
        </w:trPr>
        <w:tc>
          <w:tcPr>
            <w:tcW w:w="246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长期借款</w:t>
            </w:r>
          </w:p>
        </w:tc>
        <w:tc>
          <w:tcPr>
            <w:tcW w:w="2272" w:type="dxa"/>
            <w:tcBorders>
              <w:top w:val="nil" w:sz="6" w:space="0" w:color="auto"/>
              <w:left w:val="nil" w:sz="6" w:space="0" w:color="auto"/>
              <w:bottom w:val="nil" w:sz="6" w:space="0" w:color="auto"/>
              <w:right w:val="nil" w:sz="6" w:space="0" w:color="auto"/>
            </w:tcBorders>
          </w:tcPr>
          <w:p>
            <w:pPr>
              <w:pStyle w:val="TableParagraph"/>
              <w:tabs>
                <w:tab w:pos="1502" w:val="left" w:leader="none"/>
              </w:tabs>
              <w:spacing w:line="240" w:lineRule="auto" w:before="14"/>
              <w:ind w:right="0"/>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r>
            <w:r>
              <w:rPr>
                <w:rFonts w:ascii="Arial"/>
                <w:w w:val="95"/>
                <w:sz w:val="20"/>
                <w:u w:val="single" w:color="000000"/>
              </w:rPr>
              <w:t>-</w:t>
            </w:r>
            <w:r>
              <w:rPr>
                <w:rFonts w:ascii="Arial"/>
                <w:w w:val="95"/>
                <w:sz w:val="20"/>
              </w:rPr>
            </w:r>
            <w:r>
              <w:rPr>
                <w:rFonts w:ascii="Arial"/>
                <w:sz w:val="20"/>
              </w:rPr>
            </w:r>
          </w:p>
        </w:tc>
        <w:tc>
          <w:tcPr>
            <w:tcW w:w="2170" w:type="dxa"/>
            <w:tcBorders>
              <w:top w:val="nil" w:sz="6" w:space="0" w:color="auto"/>
              <w:left w:val="nil" w:sz="6" w:space="0" w:color="auto"/>
              <w:bottom w:val="nil" w:sz="6" w:space="0" w:color="auto"/>
              <w:right w:val="nil" w:sz="6" w:space="0" w:color="auto"/>
            </w:tcBorders>
          </w:tcPr>
          <w:p>
            <w:pPr>
              <w:pStyle w:val="TableParagraph"/>
              <w:tabs>
                <w:tab w:pos="501" w:val="left" w:leader="none"/>
              </w:tabs>
              <w:spacing w:line="240" w:lineRule="auto" w:before="14"/>
              <w:ind w:right="330"/>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r>
            <w:r>
              <w:rPr>
                <w:rFonts w:ascii="Arial"/>
                <w:spacing w:val="-1"/>
                <w:sz w:val="20"/>
                <w:u w:val="single" w:color="000000"/>
              </w:rPr>
              <w:t>45,000,000</w:t>
            </w:r>
            <w:r>
              <w:rPr>
                <w:rFonts w:ascii="Arial"/>
                <w:spacing w:val="-1"/>
                <w:sz w:val="20"/>
              </w:rPr>
            </w:r>
          </w:p>
        </w:tc>
        <w:tc>
          <w:tcPr>
            <w:tcW w:w="1812" w:type="dxa"/>
            <w:tcBorders>
              <w:top w:val="nil" w:sz="6" w:space="0" w:color="auto"/>
              <w:left w:val="nil" w:sz="6" w:space="0" w:color="auto"/>
              <w:bottom w:val="nil" w:sz="6" w:space="0" w:color="auto"/>
              <w:right w:val="nil" w:sz="6" w:space="0" w:color="auto"/>
            </w:tcBorders>
          </w:tcPr>
          <w:p>
            <w:pPr>
              <w:pStyle w:val="TableParagraph"/>
              <w:tabs>
                <w:tab w:pos="502" w:val="left" w:leader="none"/>
              </w:tabs>
              <w:spacing w:line="240" w:lineRule="auto" w:before="14"/>
              <w:ind w:right="202"/>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r>
            <w:r>
              <w:rPr>
                <w:rFonts w:ascii="Arial"/>
                <w:spacing w:val="-1"/>
                <w:sz w:val="20"/>
                <w:u w:val="single" w:color="000000"/>
              </w:rPr>
              <w:t>45,000,000</w:t>
            </w:r>
            <w:r>
              <w:rPr>
                <w:rFonts w:ascii="Arial"/>
                <w:spacing w:val="-1"/>
                <w:sz w:val="20"/>
              </w:rPr>
            </w:r>
          </w:p>
        </w:tc>
      </w:tr>
      <w:tr>
        <w:trPr>
          <w:trHeight w:val="329" w:hRule="exact"/>
        </w:trPr>
        <w:tc>
          <w:tcPr>
            <w:tcW w:w="2469" w:type="dxa"/>
            <w:tcBorders>
              <w:top w:val="nil" w:sz="6" w:space="0" w:color="auto"/>
              <w:left w:val="nil" w:sz="6" w:space="0" w:color="auto"/>
              <w:bottom w:val="nil" w:sz="6" w:space="0" w:color="auto"/>
              <w:right w:val="nil" w:sz="6" w:space="0" w:color="auto"/>
            </w:tcBorders>
          </w:tcPr>
          <w:p>
            <w:pP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
              <w:jc w:val="right"/>
              <w:rPr>
                <w:rFonts w:ascii="Arial" w:hAnsi="Arial" w:cs="Arial" w:eastAsia="Arial" w:hint="default"/>
                <w:sz w:val="20"/>
                <w:szCs w:val="20"/>
              </w:rPr>
            </w:pPr>
            <w:r>
              <w:rPr>
                <w:rFonts w:ascii="Arial"/>
                <w:w w:val="99"/>
                <w:sz w:val="20"/>
              </w:rPr>
            </w:r>
            <w:r>
              <w:rPr>
                <w:rFonts w:ascii="Arial"/>
                <w:w w:val="95"/>
                <w:sz w:val="20"/>
                <w:u w:val="thick" w:color="000000"/>
              </w:rPr>
              <w:t>6,658,487</w:t>
            </w:r>
            <w:r>
              <w:rPr>
                <w:rFonts w:ascii="Arial"/>
                <w:w w:val="95"/>
                <w:sz w:val="20"/>
              </w:rPr>
            </w:r>
            <w:r>
              <w:rPr>
                <w:rFonts w:ascii="Arial"/>
                <w:sz w:val="20"/>
              </w:rPr>
            </w: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0"/>
              <w:jc w:val="right"/>
              <w:rPr>
                <w:rFonts w:ascii="Arial" w:hAnsi="Arial" w:cs="Arial" w:eastAsia="Arial" w:hint="default"/>
                <w:sz w:val="20"/>
                <w:szCs w:val="20"/>
              </w:rPr>
            </w:pPr>
            <w:r>
              <w:rPr>
                <w:rFonts w:ascii="Arial"/>
                <w:w w:val="99"/>
                <w:sz w:val="20"/>
              </w:rPr>
            </w:r>
            <w:r>
              <w:rPr>
                <w:rFonts w:ascii="Arial"/>
                <w:w w:val="95"/>
                <w:sz w:val="20"/>
                <w:u w:val="thick" w:color="000000"/>
              </w:rPr>
              <w:t>6,302,928,304</w:t>
            </w:r>
            <w:r>
              <w:rPr>
                <w:rFonts w:ascii="Arial"/>
                <w:w w:val="95"/>
                <w:sz w:val="20"/>
              </w:rPr>
            </w:r>
            <w:r>
              <w:rPr>
                <w:rFonts w:ascii="Arial"/>
                <w:sz w:val="20"/>
              </w:rPr>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3"/>
              <w:jc w:val="right"/>
              <w:rPr>
                <w:rFonts w:ascii="Arial" w:hAnsi="Arial" w:cs="Arial" w:eastAsia="Arial" w:hint="default"/>
                <w:sz w:val="20"/>
                <w:szCs w:val="20"/>
              </w:rPr>
            </w:pPr>
            <w:r>
              <w:rPr>
                <w:rFonts w:ascii="Arial"/>
                <w:w w:val="99"/>
                <w:sz w:val="20"/>
              </w:rPr>
            </w:r>
            <w:r>
              <w:rPr>
                <w:rFonts w:ascii="Arial"/>
                <w:w w:val="95"/>
                <w:sz w:val="20"/>
                <w:u w:val="thick" w:color="000000"/>
              </w:rPr>
              <w:t>6,309,586,791</w:t>
            </w:r>
            <w:r>
              <w:rPr>
                <w:rFonts w:ascii="Arial"/>
                <w:w w:val="95"/>
                <w:sz w:val="20"/>
              </w:rPr>
            </w:r>
            <w:r>
              <w:rPr>
                <w:rFonts w:ascii="Arial"/>
                <w:sz w:val="20"/>
              </w:rPr>
            </w:r>
          </w:p>
        </w:tc>
      </w:tr>
    </w:tbl>
    <w:p>
      <w:pPr>
        <w:spacing w:after="0" w:line="240" w:lineRule="auto"/>
        <w:jc w:val="right"/>
        <w:rPr>
          <w:rFonts w:ascii="Arial" w:hAnsi="Arial" w:cs="Arial" w:eastAsia="Arial" w:hint="default"/>
          <w:sz w:val="20"/>
          <w:szCs w:val="20"/>
        </w:rPr>
        <w:sectPr>
          <w:footerReference w:type="default" r:id="rId81"/>
          <w:pgSz w:w="11910" w:h="16850"/>
          <w:pgMar w:footer="921" w:header="745" w:top="980" w:bottom="1120" w:left="1480" w:right="14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6"/>
          <w:szCs w:val="16"/>
        </w:rPr>
      </w:pPr>
    </w:p>
    <w:p>
      <w:pPr>
        <w:tabs>
          <w:tab w:pos="1037" w:val="left" w:leader="none"/>
        </w:tabs>
        <w:spacing w:before="0"/>
        <w:ind w:left="318" w:right="0" w:firstLine="0"/>
        <w:jc w:val="left"/>
        <w:rPr>
          <w:rFonts w:ascii="Arial" w:hAnsi="Arial" w:cs="Arial" w:eastAsia="Arial" w:hint="default"/>
          <w:sz w:val="20"/>
          <w:szCs w:val="20"/>
        </w:rPr>
      </w:pPr>
      <w:r>
        <w:rPr>
          <w:rFonts w:ascii="Arial" w:hAnsi="Arial" w:cs="Arial" w:eastAsia="Arial" w:hint="default"/>
          <w:b/>
          <w:bCs/>
          <w:spacing w:val="-1"/>
          <w:sz w:val="20"/>
          <w:szCs w:val="20"/>
        </w:rPr>
        <w:t>1.</w:t>
        <w:tab/>
      </w:r>
      <w:r>
        <w:rPr>
          <w:rFonts w:ascii="黑体" w:hAnsi="黑体" w:cs="黑体" w:eastAsia="黑体" w:hint="default"/>
          <w:b/>
          <w:bCs/>
          <w:spacing w:val="1"/>
          <w:sz w:val="20"/>
          <w:szCs w:val="20"/>
        </w:rPr>
        <w:t>金融工具分类</w:t>
      </w:r>
      <w:r>
        <w:rPr>
          <w:rFonts w:ascii="Arial" w:hAnsi="Arial" w:cs="Arial" w:eastAsia="Arial" w:hint="default"/>
          <w:b/>
          <w:bCs/>
          <w:spacing w:val="1"/>
          <w:sz w:val="20"/>
          <w:szCs w:val="20"/>
        </w:rPr>
        <w:t>(</w:t>
      </w:r>
      <w:r>
        <w:rPr>
          <w:rFonts w:ascii="黑体" w:hAnsi="黑体" w:cs="黑体" w:eastAsia="黑体" w:hint="default"/>
          <w:b/>
          <w:bCs/>
          <w:spacing w:val="1"/>
          <w:sz w:val="20"/>
          <w:szCs w:val="20"/>
        </w:rPr>
        <w:t>续</w:t>
      </w:r>
      <w:r>
        <w:rPr>
          <w:rFonts w:ascii="Arial" w:hAnsi="Arial" w:cs="Arial" w:eastAsia="Arial" w:hint="default"/>
          <w:b/>
          <w:bCs/>
          <w:spacing w:val="1"/>
          <w:sz w:val="20"/>
          <w:szCs w:val="20"/>
        </w:rPr>
        <w:t>)</w:t>
      </w:r>
      <w:r>
        <w:rPr>
          <w:rFonts w:ascii="Arial" w:hAnsi="Arial" w:cs="Arial" w:eastAsia="Arial" w:hint="default"/>
          <w:spacing w:val="1"/>
          <w:sz w:val="20"/>
          <w:szCs w:val="20"/>
        </w:rPr>
      </w:r>
    </w:p>
    <w:p>
      <w:pPr>
        <w:spacing w:line="240" w:lineRule="auto" w:before="7"/>
        <w:rPr>
          <w:rFonts w:ascii="Arial" w:hAnsi="Arial" w:cs="Arial" w:eastAsia="Arial" w:hint="default"/>
          <w:b/>
          <w:bCs/>
          <w:sz w:val="18"/>
          <w:szCs w:val="18"/>
        </w:rPr>
      </w:pPr>
    </w:p>
    <w:p>
      <w:pPr>
        <w:spacing w:before="0"/>
        <w:ind w:left="318" w:right="0" w:firstLine="0"/>
        <w:jc w:val="left"/>
        <w:rPr>
          <w:rFonts w:ascii="黑体" w:hAnsi="黑体" w:cs="黑体" w:eastAsia="黑体" w:hint="default"/>
          <w:sz w:val="20"/>
          <w:szCs w:val="20"/>
        </w:rPr>
      </w:pPr>
      <w:r>
        <w:rPr>
          <w:rFonts w:ascii="Arial" w:hAnsi="Arial" w:cs="Arial" w:eastAsia="Arial" w:hint="default"/>
          <w:sz w:val="20"/>
          <w:szCs w:val="20"/>
        </w:rPr>
        <w:t>2018</w:t>
      </w:r>
      <w:r>
        <w:rPr>
          <w:rFonts w:ascii="黑体" w:hAnsi="黑体" w:cs="黑体" w:eastAsia="黑体" w:hint="default"/>
          <w:sz w:val="20"/>
          <w:szCs w:val="20"/>
        </w:rPr>
        <w:t>年</w:t>
      </w:r>
    </w:p>
    <w:p>
      <w:pPr>
        <w:spacing w:line="240" w:lineRule="auto" w:before="2"/>
        <w:rPr>
          <w:rFonts w:ascii="黑体" w:hAnsi="黑体" w:cs="黑体" w:eastAsia="黑体" w:hint="default"/>
          <w:sz w:val="16"/>
          <w:szCs w:val="16"/>
        </w:rPr>
      </w:pPr>
    </w:p>
    <w:p>
      <w:pPr>
        <w:spacing w:before="0"/>
        <w:ind w:left="318" w:right="0" w:firstLine="0"/>
        <w:jc w:val="left"/>
        <w:rPr>
          <w:rFonts w:ascii="黑体" w:hAnsi="黑体" w:cs="黑体" w:eastAsia="黑体" w:hint="default"/>
          <w:sz w:val="20"/>
          <w:szCs w:val="20"/>
        </w:rPr>
      </w:pPr>
      <w:r>
        <w:rPr>
          <w:rFonts w:ascii="黑体" w:hAnsi="黑体" w:cs="黑体" w:eastAsia="黑体" w:hint="default"/>
          <w:sz w:val="20"/>
          <w:szCs w:val="20"/>
        </w:rPr>
        <w:t>金融资产</w:t>
      </w:r>
    </w:p>
    <w:p>
      <w:pPr>
        <w:spacing w:line="240" w:lineRule="auto" w:before="2"/>
        <w:rPr>
          <w:rFonts w:ascii="黑体" w:hAnsi="黑体" w:cs="黑体" w:eastAsia="黑体" w:hint="default"/>
          <w:sz w:val="22"/>
          <w:szCs w:val="22"/>
        </w:rPr>
      </w:pPr>
    </w:p>
    <w:tbl>
      <w:tblPr>
        <w:tblW w:w="0" w:type="auto"/>
        <w:jc w:val="left"/>
        <w:tblInd w:w="118" w:type="dxa"/>
        <w:tblLayout w:type="fixed"/>
        <w:tblCellMar>
          <w:top w:w="0" w:type="dxa"/>
          <w:left w:w="0" w:type="dxa"/>
          <w:bottom w:w="0" w:type="dxa"/>
          <w:right w:w="0" w:type="dxa"/>
        </w:tblCellMar>
        <w:tblLook w:val="01E0"/>
      </w:tblPr>
      <w:tblGrid>
        <w:gridCol w:w="2540"/>
        <w:gridCol w:w="1701"/>
        <w:gridCol w:w="1418"/>
        <w:gridCol w:w="1449"/>
        <w:gridCol w:w="1584"/>
      </w:tblGrid>
      <w:tr>
        <w:trPr>
          <w:trHeight w:val="229" w:hRule="exact"/>
        </w:trPr>
        <w:tc>
          <w:tcPr>
            <w:tcW w:w="2540" w:type="dxa"/>
            <w:tcBorders>
              <w:top w:val="nil" w:sz="6" w:space="0" w:color="auto"/>
              <w:left w:val="nil" w:sz="6" w:space="0" w:color="auto"/>
              <w:bottom w:val="nil" w:sz="6" w:space="0" w:color="auto"/>
              <w:right w:val="nil" w:sz="6" w:space="0" w:color="auto"/>
            </w:tcBorders>
          </w:tcPr>
          <w:p>
            <w:pPr/>
          </w:p>
        </w:tc>
        <w:tc>
          <w:tcPr>
            <w:tcW w:w="1701" w:type="dxa"/>
            <w:tcBorders>
              <w:top w:val="nil" w:sz="6" w:space="0" w:color="auto"/>
              <w:left w:val="nil" w:sz="6" w:space="0" w:color="auto"/>
              <w:bottom w:val="nil" w:sz="6" w:space="0" w:color="auto"/>
              <w:right w:val="nil" w:sz="6" w:space="0" w:color="auto"/>
            </w:tcBorders>
          </w:tcPr>
          <w:p>
            <w:pPr>
              <w:pStyle w:val="TableParagraph"/>
              <w:spacing w:line="199" w:lineRule="exact"/>
              <w:ind w:right="70"/>
              <w:jc w:val="right"/>
              <w:rPr>
                <w:rFonts w:ascii="黑体" w:hAnsi="黑体" w:cs="黑体" w:eastAsia="黑体" w:hint="default"/>
                <w:sz w:val="20"/>
                <w:szCs w:val="20"/>
              </w:rPr>
            </w:pPr>
            <w:r>
              <w:rPr>
                <w:rFonts w:ascii="黑体" w:hAnsi="黑体" w:cs="黑体" w:eastAsia="黑体" w:hint="default"/>
                <w:w w:val="95"/>
                <w:sz w:val="20"/>
                <w:szCs w:val="20"/>
              </w:rPr>
              <w:t>以公允价值计量且</w:t>
            </w:r>
            <w:r>
              <w:rPr>
                <w:rFonts w:ascii="黑体" w:hAnsi="黑体" w:cs="黑体" w:eastAsia="黑体" w:hint="default"/>
                <w:sz w:val="20"/>
                <w:szCs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199" w:lineRule="exact"/>
              <w:ind w:left="748" w:right="0"/>
              <w:jc w:val="left"/>
              <w:rPr>
                <w:rFonts w:ascii="黑体" w:hAnsi="黑体" w:cs="黑体" w:eastAsia="黑体" w:hint="default"/>
                <w:sz w:val="20"/>
                <w:szCs w:val="20"/>
              </w:rPr>
            </w:pPr>
            <w:r>
              <w:rPr>
                <w:rFonts w:ascii="黑体" w:hAnsi="黑体" w:cs="黑体" w:eastAsia="黑体" w:hint="default"/>
                <w:sz w:val="20"/>
                <w:szCs w:val="20"/>
              </w:rPr>
              <w:t>贷款和</w:t>
            </w:r>
          </w:p>
        </w:tc>
        <w:tc>
          <w:tcPr>
            <w:tcW w:w="1449" w:type="dxa"/>
            <w:tcBorders>
              <w:top w:val="nil" w:sz="6" w:space="0" w:color="auto"/>
              <w:left w:val="nil" w:sz="6" w:space="0" w:color="auto"/>
              <w:bottom w:val="nil" w:sz="6" w:space="0" w:color="auto"/>
              <w:right w:val="nil" w:sz="6" w:space="0" w:color="auto"/>
            </w:tcBorders>
          </w:tcPr>
          <w:p>
            <w:pPr>
              <w:pStyle w:val="TableParagraph"/>
              <w:spacing w:line="199" w:lineRule="exact"/>
              <w:ind w:right="100"/>
              <w:jc w:val="right"/>
              <w:rPr>
                <w:rFonts w:ascii="黑体" w:hAnsi="黑体" w:cs="黑体" w:eastAsia="黑体" w:hint="default"/>
                <w:sz w:val="20"/>
                <w:szCs w:val="20"/>
              </w:rPr>
            </w:pPr>
            <w:r>
              <w:rPr>
                <w:rFonts w:ascii="黑体" w:hAnsi="黑体" w:cs="黑体" w:eastAsia="黑体" w:hint="default"/>
                <w:w w:val="95"/>
                <w:sz w:val="20"/>
                <w:szCs w:val="20"/>
              </w:rPr>
              <w:t>可供出售</w:t>
            </w:r>
            <w:r>
              <w:rPr>
                <w:rFonts w:ascii="黑体" w:hAnsi="黑体" w:cs="黑体" w:eastAsia="黑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199" w:lineRule="exact"/>
              <w:ind w:right="199"/>
              <w:jc w:val="right"/>
              <w:rPr>
                <w:rFonts w:ascii="黑体" w:hAnsi="黑体" w:cs="黑体" w:eastAsia="黑体" w:hint="default"/>
                <w:sz w:val="20"/>
                <w:szCs w:val="20"/>
              </w:rPr>
            </w:pPr>
            <w:r>
              <w:rPr>
                <w:rFonts w:ascii="黑体" w:hAnsi="黑体" w:cs="黑体" w:eastAsia="黑体" w:hint="default"/>
                <w:sz w:val="20"/>
                <w:szCs w:val="20"/>
              </w:rPr>
              <w:t>合计</w:t>
            </w:r>
          </w:p>
        </w:tc>
      </w:tr>
      <w:tr>
        <w:trPr>
          <w:trHeight w:val="259" w:hRule="exact"/>
        </w:trPr>
        <w:tc>
          <w:tcPr>
            <w:tcW w:w="2540" w:type="dxa"/>
            <w:tcBorders>
              <w:top w:val="nil" w:sz="6" w:space="0" w:color="auto"/>
              <w:left w:val="nil" w:sz="6" w:space="0" w:color="auto"/>
              <w:bottom w:val="nil" w:sz="6" w:space="0" w:color="auto"/>
              <w:right w:val="nil" w:sz="6" w:space="0" w:color="auto"/>
            </w:tcBorders>
          </w:tcPr>
          <w:p>
            <w:pPr/>
          </w:p>
        </w:tc>
        <w:tc>
          <w:tcPr>
            <w:tcW w:w="1701" w:type="dxa"/>
            <w:tcBorders>
              <w:top w:val="nil" w:sz="6" w:space="0" w:color="auto"/>
              <w:left w:val="nil" w:sz="6" w:space="0" w:color="auto"/>
              <w:bottom w:val="nil" w:sz="6" w:space="0" w:color="auto"/>
              <w:right w:val="nil" w:sz="6" w:space="0" w:color="auto"/>
            </w:tcBorders>
          </w:tcPr>
          <w:p>
            <w:pPr>
              <w:pStyle w:val="TableParagraph"/>
              <w:spacing w:line="229" w:lineRule="exact"/>
              <w:ind w:right="70"/>
              <w:jc w:val="right"/>
              <w:rPr>
                <w:rFonts w:ascii="黑体" w:hAnsi="黑体" w:cs="黑体" w:eastAsia="黑体" w:hint="default"/>
                <w:sz w:val="20"/>
                <w:szCs w:val="20"/>
              </w:rPr>
            </w:pPr>
            <w:r>
              <w:rPr>
                <w:rFonts w:ascii="黑体" w:hAnsi="黑体" w:cs="黑体" w:eastAsia="黑体" w:hint="default"/>
                <w:w w:val="95"/>
                <w:sz w:val="20"/>
                <w:szCs w:val="20"/>
              </w:rPr>
              <w:t>其变动计入当期损</w:t>
            </w:r>
            <w:r>
              <w:rPr>
                <w:rFonts w:ascii="黑体" w:hAnsi="黑体" w:cs="黑体" w:eastAsia="黑体" w:hint="default"/>
                <w:sz w:val="20"/>
                <w:szCs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29" w:lineRule="exact"/>
              <w:ind w:left="548" w:right="0"/>
              <w:jc w:val="left"/>
              <w:rPr>
                <w:rFonts w:ascii="黑体" w:hAnsi="黑体" w:cs="黑体" w:eastAsia="黑体" w:hint="default"/>
                <w:sz w:val="20"/>
                <w:szCs w:val="20"/>
              </w:rPr>
            </w:pPr>
            <w:r>
              <w:rPr>
                <w:rFonts w:ascii="黑体" w:hAnsi="黑体" w:cs="黑体" w:eastAsia="黑体" w:hint="default"/>
                <w:sz w:val="20"/>
                <w:szCs w:val="20"/>
              </w:rPr>
              <w:t>应收款项</w:t>
            </w:r>
          </w:p>
        </w:tc>
        <w:tc>
          <w:tcPr>
            <w:tcW w:w="1449" w:type="dxa"/>
            <w:tcBorders>
              <w:top w:val="nil" w:sz="6" w:space="0" w:color="auto"/>
              <w:left w:val="nil" w:sz="6" w:space="0" w:color="auto"/>
              <w:bottom w:val="nil" w:sz="6" w:space="0" w:color="auto"/>
              <w:right w:val="nil" w:sz="6" w:space="0" w:color="auto"/>
            </w:tcBorders>
          </w:tcPr>
          <w:p>
            <w:pPr>
              <w:pStyle w:val="TableParagraph"/>
              <w:spacing w:line="229" w:lineRule="exact"/>
              <w:ind w:right="100"/>
              <w:jc w:val="right"/>
              <w:rPr>
                <w:rFonts w:ascii="黑体" w:hAnsi="黑体" w:cs="黑体" w:eastAsia="黑体" w:hint="default"/>
                <w:sz w:val="20"/>
                <w:szCs w:val="20"/>
              </w:rPr>
            </w:pPr>
            <w:r>
              <w:rPr>
                <w:rFonts w:ascii="黑体" w:hAnsi="黑体" w:cs="黑体" w:eastAsia="黑体" w:hint="default"/>
                <w:w w:val="95"/>
                <w:sz w:val="20"/>
                <w:szCs w:val="20"/>
              </w:rPr>
              <w:t>金融资产</w:t>
            </w:r>
            <w:r>
              <w:rPr>
                <w:rFonts w:ascii="黑体" w:hAnsi="黑体" w:cs="黑体" w:eastAsia="黑体" w:hint="default"/>
                <w:sz w:val="20"/>
                <w:szCs w:val="20"/>
              </w:rPr>
            </w:r>
          </w:p>
        </w:tc>
        <w:tc>
          <w:tcPr>
            <w:tcW w:w="1584" w:type="dxa"/>
            <w:tcBorders>
              <w:top w:val="nil" w:sz="6" w:space="0" w:color="auto"/>
              <w:left w:val="nil" w:sz="6" w:space="0" w:color="auto"/>
              <w:bottom w:val="nil" w:sz="6" w:space="0" w:color="auto"/>
              <w:right w:val="nil" w:sz="6" w:space="0" w:color="auto"/>
            </w:tcBorders>
          </w:tcPr>
          <w:p>
            <w:pPr/>
          </w:p>
        </w:tc>
      </w:tr>
      <w:tr>
        <w:trPr>
          <w:trHeight w:val="490" w:hRule="exact"/>
        </w:trPr>
        <w:tc>
          <w:tcPr>
            <w:tcW w:w="2540" w:type="dxa"/>
            <w:tcBorders>
              <w:top w:val="nil" w:sz="6" w:space="0" w:color="auto"/>
              <w:left w:val="nil" w:sz="6" w:space="0" w:color="auto"/>
              <w:bottom w:val="nil" w:sz="6" w:space="0" w:color="auto"/>
              <w:right w:val="nil" w:sz="6" w:space="0" w:color="auto"/>
            </w:tcBorders>
          </w:tcPr>
          <w:p>
            <w:pPr/>
          </w:p>
        </w:tc>
        <w:tc>
          <w:tcPr>
            <w:tcW w:w="1701" w:type="dxa"/>
            <w:tcBorders>
              <w:top w:val="nil" w:sz="6" w:space="0" w:color="auto"/>
              <w:left w:val="nil" w:sz="6" w:space="0" w:color="auto"/>
              <w:bottom w:val="nil" w:sz="6" w:space="0" w:color="auto"/>
              <w:right w:val="nil" w:sz="6" w:space="0" w:color="auto"/>
            </w:tcBorders>
          </w:tcPr>
          <w:p>
            <w:pPr>
              <w:pStyle w:val="TableParagraph"/>
              <w:spacing w:line="229" w:lineRule="exact"/>
              <w:ind w:right="68"/>
              <w:jc w:val="right"/>
              <w:rPr>
                <w:rFonts w:ascii="黑体" w:hAnsi="黑体" w:cs="黑体" w:eastAsia="黑体" w:hint="default"/>
                <w:sz w:val="20"/>
                <w:szCs w:val="20"/>
              </w:rPr>
            </w:pPr>
            <w:r>
              <w:rPr>
                <w:rFonts w:ascii="黑体" w:hAnsi="黑体" w:cs="黑体" w:eastAsia="黑体" w:hint="default"/>
                <w:w w:val="95"/>
                <w:sz w:val="20"/>
                <w:szCs w:val="20"/>
              </w:rPr>
              <w:t>益的金融资产</w:t>
            </w:r>
            <w:r>
              <w:rPr>
                <w:rFonts w:ascii="黑体" w:hAnsi="黑体" w:cs="黑体" w:eastAsia="黑体" w:hint="default"/>
                <w:sz w:val="20"/>
                <w:szCs w:val="20"/>
              </w:rPr>
            </w:r>
          </w:p>
        </w:tc>
        <w:tc>
          <w:tcPr>
            <w:tcW w:w="1418"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nil" w:sz="6" w:space="0" w:color="auto"/>
            </w:tcBorders>
          </w:tcPr>
          <w:p>
            <w:pPr/>
          </w:p>
        </w:tc>
      </w:tr>
      <w:tr>
        <w:trPr>
          <w:trHeight w:val="501"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5"/>
                <w:szCs w:val="15"/>
              </w:rPr>
            </w:pPr>
          </w:p>
          <w:p>
            <w:pPr>
              <w:pStyle w:val="TableParagraph"/>
              <w:spacing w:line="240" w:lineRule="auto"/>
              <w:ind w:left="200" w:right="0"/>
              <w:jc w:val="left"/>
              <w:rPr>
                <w:rFonts w:ascii="黑体" w:hAnsi="黑体" w:cs="黑体" w:eastAsia="黑体" w:hint="default"/>
                <w:sz w:val="20"/>
                <w:szCs w:val="20"/>
              </w:rPr>
            </w:pPr>
            <w:r>
              <w:rPr>
                <w:rFonts w:ascii="黑体" w:hAnsi="黑体" w:cs="黑体" w:eastAsia="黑体" w:hint="default"/>
                <w:sz w:val="20"/>
                <w:szCs w:val="20"/>
              </w:rPr>
              <w:t>货币资金</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9"/>
                <w:szCs w:val="19"/>
              </w:rPr>
            </w:pPr>
          </w:p>
          <w:p>
            <w:pPr>
              <w:pStyle w:val="TableParagraph"/>
              <w:spacing w:line="240" w:lineRule="auto"/>
              <w:ind w:right="69"/>
              <w:jc w:val="right"/>
              <w:rPr>
                <w:rFonts w:ascii="Arial" w:hAnsi="Arial" w:cs="Arial" w:eastAsia="Arial" w:hint="default"/>
                <w:sz w:val="20"/>
                <w:szCs w:val="20"/>
              </w:rPr>
            </w:pPr>
            <w:r>
              <w:rPr>
                <w:rFonts w:ascii="Arial"/>
                <w:w w:val="99"/>
                <w:sz w:val="20"/>
              </w:rPr>
              <w:t>-</w:t>
            </w:r>
            <w:r>
              <w:rPr>
                <w:rFonts w:ascii="Arial"/>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9"/>
                <w:szCs w:val="19"/>
              </w:rPr>
            </w:pPr>
          </w:p>
          <w:p>
            <w:pPr>
              <w:pStyle w:val="TableParagraph"/>
              <w:spacing w:line="240" w:lineRule="auto"/>
              <w:ind w:left="68" w:right="0"/>
              <w:jc w:val="left"/>
              <w:rPr>
                <w:rFonts w:ascii="Arial" w:hAnsi="Arial" w:cs="Arial" w:eastAsia="Arial" w:hint="default"/>
                <w:sz w:val="20"/>
                <w:szCs w:val="20"/>
              </w:rPr>
            </w:pPr>
            <w:r>
              <w:rPr>
                <w:rFonts w:ascii="Arial"/>
                <w:sz w:val="20"/>
              </w:rPr>
              <w:t>5,530,811,375</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9"/>
                <w:szCs w:val="19"/>
              </w:rPr>
            </w:pPr>
          </w:p>
          <w:p>
            <w:pPr>
              <w:pStyle w:val="TableParagraph"/>
              <w:spacing w:line="240" w:lineRule="auto"/>
              <w:ind w:right="100"/>
              <w:jc w:val="right"/>
              <w:rPr>
                <w:rFonts w:ascii="Arial" w:hAnsi="Arial" w:cs="Arial" w:eastAsia="Arial" w:hint="default"/>
                <w:sz w:val="20"/>
                <w:szCs w:val="20"/>
              </w:rPr>
            </w:pPr>
            <w:r>
              <w:rPr>
                <w:rFonts w:ascii="Arial"/>
                <w:w w:val="99"/>
                <w:sz w:val="20"/>
              </w:rPr>
              <w:t>-</w:t>
            </w:r>
            <w:r>
              <w:rPr>
                <w:rFonts w:ascii="Arial"/>
                <w:sz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9"/>
                <w:szCs w:val="19"/>
              </w:rPr>
            </w:pPr>
          </w:p>
          <w:p>
            <w:pPr>
              <w:pStyle w:val="TableParagraph"/>
              <w:spacing w:line="240" w:lineRule="auto"/>
              <w:ind w:right="203"/>
              <w:jc w:val="right"/>
              <w:rPr>
                <w:rFonts w:ascii="Arial" w:hAnsi="Arial" w:cs="Arial" w:eastAsia="Arial" w:hint="default"/>
                <w:sz w:val="20"/>
                <w:szCs w:val="20"/>
              </w:rPr>
            </w:pPr>
            <w:r>
              <w:rPr>
                <w:rFonts w:ascii="Arial"/>
                <w:w w:val="95"/>
                <w:sz w:val="20"/>
              </w:rPr>
              <w:t>5,530,811,375</w:t>
            </w:r>
            <w:r>
              <w:rPr>
                <w:rFonts w:ascii="Arial"/>
                <w:sz w:val="20"/>
              </w:rPr>
            </w:r>
          </w:p>
        </w:tc>
      </w:tr>
      <w:tr>
        <w:trPr>
          <w:trHeight w:val="261"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黑体" w:hAnsi="黑体" w:cs="黑体" w:eastAsia="黑体" w:hint="default"/>
                <w:sz w:val="20"/>
                <w:szCs w:val="20"/>
              </w:rPr>
            </w:pPr>
            <w:r>
              <w:rPr>
                <w:rFonts w:ascii="黑体" w:hAnsi="黑体" w:cs="黑体" w:eastAsia="黑体" w:hint="default"/>
                <w:sz w:val="20"/>
                <w:szCs w:val="20"/>
              </w:rPr>
              <w:t>应收票据</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9"/>
              <w:jc w:val="right"/>
              <w:rPr>
                <w:rFonts w:ascii="Arial" w:hAnsi="Arial" w:cs="Arial" w:eastAsia="Arial" w:hint="default"/>
                <w:sz w:val="20"/>
                <w:szCs w:val="20"/>
              </w:rPr>
            </w:pPr>
            <w:r>
              <w:rPr>
                <w:rFonts w:ascii="Arial"/>
                <w:w w:val="99"/>
                <w:sz w:val="20"/>
              </w:rPr>
              <w:t>-</w:t>
            </w:r>
            <w:r>
              <w:rPr>
                <w:rFonts w:ascii="Arial"/>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236" w:right="0"/>
              <w:jc w:val="left"/>
              <w:rPr>
                <w:rFonts w:ascii="Arial" w:hAnsi="Arial" w:cs="Arial" w:eastAsia="Arial" w:hint="default"/>
                <w:sz w:val="20"/>
                <w:szCs w:val="20"/>
              </w:rPr>
            </w:pPr>
            <w:r>
              <w:rPr>
                <w:rFonts w:ascii="Arial"/>
                <w:sz w:val="20"/>
              </w:rPr>
              <w:t>115,302,348</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0"/>
              <w:jc w:val="right"/>
              <w:rPr>
                <w:rFonts w:ascii="Arial" w:hAnsi="Arial" w:cs="Arial" w:eastAsia="Arial" w:hint="default"/>
                <w:sz w:val="20"/>
                <w:szCs w:val="20"/>
              </w:rPr>
            </w:pPr>
            <w:r>
              <w:rPr>
                <w:rFonts w:ascii="Arial"/>
                <w:w w:val="99"/>
                <w:sz w:val="20"/>
              </w:rPr>
              <w:t>-</w:t>
            </w:r>
            <w:r>
              <w:rPr>
                <w:rFonts w:ascii="Arial"/>
                <w:sz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03"/>
              <w:jc w:val="right"/>
              <w:rPr>
                <w:rFonts w:ascii="Arial" w:hAnsi="Arial" w:cs="Arial" w:eastAsia="Arial" w:hint="default"/>
                <w:sz w:val="20"/>
                <w:szCs w:val="20"/>
              </w:rPr>
            </w:pPr>
            <w:r>
              <w:rPr>
                <w:rFonts w:ascii="Arial"/>
                <w:spacing w:val="-1"/>
                <w:sz w:val="20"/>
              </w:rPr>
              <w:t>115,302,348</w:t>
            </w:r>
          </w:p>
        </w:tc>
      </w:tr>
      <w:tr>
        <w:trPr>
          <w:trHeight w:val="259"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17" w:lineRule="exact"/>
              <w:ind w:left="200" w:right="0"/>
              <w:jc w:val="left"/>
              <w:rPr>
                <w:rFonts w:ascii="黑体" w:hAnsi="黑体" w:cs="黑体" w:eastAsia="黑体" w:hint="default"/>
                <w:sz w:val="20"/>
                <w:szCs w:val="20"/>
              </w:rPr>
            </w:pPr>
            <w:r>
              <w:rPr>
                <w:rFonts w:ascii="黑体" w:hAnsi="黑体" w:cs="黑体" w:eastAsia="黑体" w:hint="default"/>
                <w:sz w:val="20"/>
                <w:szCs w:val="20"/>
              </w:rPr>
              <w:t>应收账款</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9"/>
              <w:jc w:val="right"/>
              <w:rPr>
                <w:rFonts w:ascii="Arial" w:hAnsi="Arial" w:cs="Arial" w:eastAsia="Arial" w:hint="default"/>
                <w:sz w:val="20"/>
                <w:szCs w:val="20"/>
              </w:rPr>
            </w:pPr>
            <w:r>
              <w:rPr>
                <w:rFonts w:ascii="Arial"/>
                <w:w w:val="99"/>
                <w:sz w:val="20"/>
              </w:rPr>
              <w:t>-</w:t>
            </w:r>
            <w:r>
              <w:rPr>
                <w:rFonts w:ascii="Arial"/>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8" w:right="0"/>
              <w:jc w:val="left"/>
              <w:rPr>
                <w:rFonts w:ascii="Arial" w:hAnsi="Arial" w:cs="Arial" w:eastAsia="Arial" w:hint="default"/>
                <w:sz w:val="20"/>
                <w:szCs w:val="20"/>
              </w:rPr>
            </w:pPr>
            <w:r>
              <w:rPr>
                <w:rFonts w:ascii="Arial"/>
                <w:sz w:val="20"/>
              </w:rPr>
              <w:t>1,389,930,749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0"/>
              <w:jc w:val="right"/>
              <w:rPr>
                <w:rFonts w:ascii="Arial" w:hAnsi="Arial" w:cs="Arial" w:eastAsia="Arial" w:hint="default"/>
                <w:sz w:val="20"/>
                <w:szCs w:val="20"/>
              </w:rPr>
            </w:pPr>
            <w:r>
              <w:rPr>
                <w:rFonts w:ascii="Arial"/>
                <w:w w:val="99"/>
                <w:sz w:val="20"/>
              </w:rPr>
              <w:t>-</w:t>
            </w:r>
            <w:r>
              <w:rPr>
                <w:rFonts w:ascii="Arial"/>
                <w:sz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3"/>
              <w:jc w:val="right"/>
              <w:rPr>
                <w:rFonts w:ascii="Arial" w:hAnsi="Arial" w:cs="Arial" w:eastAsia="Arial" w:hint="default"/>
                <w:sz w:val="20"/>
                <w:szCs w:val="20"/>
              </w:rPr>
            </w:pPr>
            <w:r>
              <w:rPr>
                <w:rFonts w:ascii="Arial"/>
                <w:w w:val="95"/>
                <w:sz w:val="20"/>
              </w:rPr>
              <w:t>1,389,930,749</w:t>
            </w:r>
            <w:r>
              <w:rPr>
                <w:rFonts w:ascii="Arial"/>
                <w:sz w:val="20"/>
              </w:rPr>
            </w:r>
          </w:p>
        </w:tc>
      </w:tr>
      <w:tr>
        <w:trPr>
          <w:trHeight w:val="260"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17"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其他应收款</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9"/>
              <w:jc w:val="right"/>
              <w:rPr>
                <w:rFonts w:ascii="Arial" w:hAnsi="Arial" w:cs="Arial" w:eastAsia="Arial" w:hint="default"/>
                <w:sz w:val="20"/>
                <w:szCs w:val="20"/>
              </w:rPr>
            </w:pPr>
            <w:r>
              <w:rPr>
                <w:rFonts w:ascii="Arial"/>
                <w:w w:val="99"/>
                <w:sz w:val="20"/>
              </w:rPr>
              <w:t>-</w:t>
            </w:r>
            <w:r>
              <w:rPr>
                <w:rFonts w:ascii="Arial"/>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36" w:right="0"/>
              <w:jc w:val="left"/>
              <w:rPr>
                <w:rFonts w:ascii="Arial" w:hAnsi="Arial" w:cs="Arial" w:eastAsia="Arial" w:hint="default"/>
                <w:sz w:val="20"/>
                <w:szCs w:val="20"/>
              </w:rPr>
            </w:pPr>
            <w:r>
              <w:rPr>
                <w:rFonts w:ascii="Arial"/>
                <w:sz w:val="20"/>
              </w:rPr>
              <w:t>374,566,515</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0"/>
              <w:jc w:val="right"/>
              <w:rPr>
                <w:rFonts w:ascii="Arial" w:hAnsi="Arial" w:cs="Arial" w:eastAsia="Arial" w:hint="default"/>
                <w:sz w:val="20"/>
                <w:szCs w:val="20"/>
              </w:rPr>
            </w:pPr>
            <w:r>
              <w:rPr>
                <w:rFonts w:ascii="Arial"/>
                <w:w w:val="99"/>
                <w:sz w:val="20"/>
              </w:rPr>
              <w:t>-</w:t>
            </w:r>
            <w:r>
              <w:rPr>
                <w:rFonts w:ascii="Arial"/>
                <w:sz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03"/>
              <w:jc w:val="right"/>
              <w:rPr>
                <w:rFonts w:ascii="Arial" w:hAnsi="Arial" w:cs="Arial" w:eastAsia="Arial" w:hint="default"/>
                <w:sz w:val="20"/>
                <w:szCs w:val="20"/>
              </w:rPr>
            </w:pPr>
            <w:r>
              <w:rPr>
                <w:rFonts w:ascii="Arial"/>
                <w:spacing w:val="-1"/>
                <w:sz w:val="20"/>
              </w:rPr>
              <w:t>374,566,515</w:t>
            </w:r>
          </w:p>
        </w:tc>
      </w:tr>
      <w:tr>
        <w:trPr>
          <w:trHeight w:val="256"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其他流动资产</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0"/>
              <w:jc w:val="right"/>
              <w:rPr>
                <w:rFonts w:ascii="Arial" w:hAnsi="Arial" w:cs="Arial" w:eastAsia="Arial" w:hint="default"/>
                <w:sz w:val="20"/>
                <w:szCs w:val="20"/>
              </w:rPr>
            </w:pPr>
            <w:r>
              <w:rPr>
                <w:rFonts w:ascii="Arial"/>
                <w:w w:val="95"/>
                <w:sz w:val="20"/>
              </w:rPr>
              <w:t>9,549,542</w:t>
            </w:r>
            <w:r>
              <w:rPr>
                <w:rFonts w:ascii="Arial"/>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8"/>
              <w:jc w:val="right"/>
              <w:rPr>
                <w:rFonts w:ascii="Arial" w:hAnsi="Arial" w:cs="Arial" w:eastAsia="Arial" w:hint="default"/>
                <w:sz w:val="20"/>
                <w:szCs w:val="20"/>
              </w:rPr>
            </w:pPr>
            <w:r>
              <w:rPr>
                <w:rFonts w:ascii="Arial"/>
                <w:w w:val="99"/>
                <w:sz w:val="20"/>
              </w:rPr>
              <w:t>-</w:t>
            </w:r>
            <w:r>
              <w:rPr>
                <w:rFonts w:ascii="Arial"/>
                <w:sz w:val="20"/>
              </w:rPr>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2"/>
              <w:jc w:val="right"/>
              <w:rPr>
                <w:rFonts w:ascii="Arial" w:hAnsi="Arial" w:cs="Arial" w:eastAsia="Arial" w:hint="default"/>
                <w:sz w:val="20"/>
                <w:szCs w:val="20"/>
              </w:rPr>
            </w:pPr>
            <w:r>
              <w:rPr>
                <w:rFonts w:ascii="Arial"/>
                <w:spacing w:val="-1"/>
                <w:sz w:val="20"/>
              </w:rPr>
              <w:t>531,143,000</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3"/>
              <w:jc w:val="right"/>
              <w:rPr>
                <w:rFonts w:ascii="Arial" w:hAnsi="Arial" w:cs="Arial" w:eastAsia="Arial" w:hint="default"/>
                <w:sz w:val="20"/>
                <w:szCs w:val="20"/>
              </w:rPr>
            </w:pPr>
            <w:r>
              <w:rPr>
                <w:rFonts w:ascii="Arial"/>
                <w:spacing w:val="-1"/>
                <w:sz w:val="20"/>
              </w:rPr>
              <w:t>540,692,542</w:t>
            </w:r>
          </w:p>
        </w:tc>
      </w:tr>
      <w:tr>
        <w:trPr>
          <w:trHeight w:val="574" w:hRule="exact"/>
        </w:trPr>
        <w:tc>
          <w:tcPr>
            <w:tcW w:w="2540"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200" w:right="0"/>
              <w:jc w:val="left"/>
              <w:rPr>
                <w:rFonts w:ascii="黑体" w:hAnsi="黑体" w:cs="黑体" w:eastAsia="黑体" w:hint="default"/>
                <w:sz w:val="20"/>
                <w:szCs w:val="20"/>
              </w:rPr>
            </w:pPr>
            <w:r>
              <w:rPr>
                <w:rFonts w:ascii="黑体" w:hAnsi="黑体" w:cs="黑体" w:eastAsia="黑体" w:hint="default"/>
                <w:sz w:val="20"/>
                <w:szCs w:val="20"/>
              </w:rPr>
              <w:t>可供出售金融资产</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6"/>
                <w:szCs w:val="16"/>
              </w:rPr>
            </w:pPr>
          </w:p>
          <w:p>
            <w:pPr>
              <w:pStyle w:val="TableParagraph"/>
              <w:tabs>
                <w:tab w:pos="1502" w:val="left" w:leader="none"/>
              </w:tabs>
              <w:spacing w:line="240" w:lineRule="auto"/>
              <w:ind w:right="66"/>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r>
            <w:r>
              <w:rPr>
                <w:rFonts w:ascii="Arial"/>
                <w:w w:val="95"/>
                <w:sz w:val="20"/>
                <w:u w:val="single" w:color="000000"/>
              </w:rPr>
              <w:t>-</w:t>
            </w:r>
            <w:r>
              <w:rPr>
                <w:rFonts w:ascii="Arial"/>
                <w:w w:val="95"/>
                <w:sz w:val="20"/>
              </w:rPr>
            </w:r>
            <w:r>
              <w:rPr>
                <w:rFonts w:ascii="Arial"/>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6"/>
                <w:szCs w:val="16"/>
              </w:rPr>
            </w:pPr>
          </w:p>
          <w:p>
            <w:pPr>
              <w:pStyle w:val="TableParagraph"/>
              <w:tabs>
                <w:tab w:pos="1283" w:val="left" w:leader="none"/>
                <w:tab w:pos="1655" w:val="left" w:leader="none"/>
              </w:tabs>
              <w:spacing w:line="240" w:lineRule="auto"/>
              <w:ind w:left="481" w:right="-239"/>
              <w:jc w:val="lef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t>-</w:t>
              <w:tab/>
            </w:r>
            <w:r>
              <w:rPr>
                <w:rFonts w:ascii="Arial"/>
                <w:sz w:val="20"/>
              </w:rPr>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6"/>
                <w:szCs w:val="16"/>
              </w:rPr>
            </w:pPr>
          </w:p>
          <w:p>
            <w:pPr>
              <w:pStyle w:val="TableParagraph"/>
              <w:spacing w:line="240" w:lineRule="auto"/>
              <w:ind w:right="102"/>
              <w:jc w:val="right"/>
              <w:rPr>
                <w:rFonts w:ascii="Arial" w:hAnsi="Arial" w:cs="Arial" w:eastAsia="Arial" w:hint="default"/>
                <w:sz w:val="20"/>
                <w:szCs w:val="20"/>
              </w:rPr>
            </w:pPr>
            <w:r>
              <w:rPr>
                <w:rFonts w:ascii="Arial"/>
                <w:w w:val="99"/>
                <w:sz w:val="20"/>
              </w:rPr>
            </w:r>
            <w:r>
              <w:rPr>
                <w:rFonts w:ascii="Arial"/>
                <w:spacing w:val="-1"/>
                <w:w w:val="95"/>
                <w:sz w:val="20"/>
                <w:u w:val="single" w:color="000000"/>
              </w:rPr>
              <w:t>677,081,266</w:t>
            </w:r>
            <w:r>
              <w:rPr>
                <w:rFonts w:ascii="Arial"/>
                <w:spacing w:val="-1"/>
                <w:w w:val="95"/>
                <w:sz w:val="20"/>
              </w:rPr>
            </w:r>
            <w:r>
              <w:rPr>
                <w:rFonts w:ascii="Arial"/>
                <w:sz w:val="20"/>
              </w:rPr>
            </w:r>
          </w:p>
        </w:tc>
        <w:tc>
          <w:tcPr>
            <w:tcW w:w="1584" w:type="dxa"/>
            <w:tcBorders>
              <w:top w:val="nil" w:sz="6" w:space="0" w:color="auto"/>
              <w:left w:val="nil" w:sz="6" w:space="0" w:color="auto"/>
              <w:bottom w:val="nil" w:sz="6" w:space="0" w:color="auto"/>
              <w:right w:val="nil" w:sz="6" w:space="0" w:color="auto"/>
            </w:tcBorders>
          </w:tcPr>
          <w:p>
            <w:pPr>
              <w:pStyle w:val="TableParagraph"/>
              <w:tabs>
                <w:tab w:pos="302" w:val="left" w:leader="none"/>
              </w:tabs>
              <w:spacing w:line="218" w:lineRule="exact"/>
              <w:ind w:right="202"/>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r>
            <w:r>
              <w:rPr>
                <w:rFonts w:ascii="Arial"/>
                <w:spacing w:val="-1"/>
                <w:w w:val="95"/>
                <w:sz w:val="20"/>
                <w:u w:val="single" w:color="000000"/>
              </w:rPr>
              <w:t>677,081,26</w:t>
            </w:r>
            <w:r>
              <w:rPr>
                <w:rFonts w:ascii="Arial"/>
                <w:spacing w:val="-1"/>
                <w:w w:val="95"/>
                <w:sz w:val="20"/>
              </w:rPr>
            </w:r>
            <w:r>
              <w:rPr>
                <w:rFonts w:ascii="Arial"/>
                <w:spacing w:val="-1"/>
                <w:sz w:val="20"/>
              </w:rPr>
            </w:r>
          </w:p>
          <w:p>
            <w:pPr>
              <w:pStyle w:val="TableParagraph"/>
              <w:spacing w:line="229" w:lineRule="exact"/>
              <w:ind w:right="200"/>
              <w:jc w:val="right"/>
              <w:rPr>
                <w:rFonts w:ascii="Arial" w:hAnsi="Arial" w:cs="Arial" w:eastAsia="Arial" w:hint="default"/>
                <w:sz w:val="20"/>
                <w:szCs w:val="20"/>
              </w:rPr>
            </w:pPr>
            <w:r>
              <w:rPr>
                <w:rFonts w:ascii="Arial"/>
                <w:w w:val="99"/>
                <w:sz w:val="20"/>
              </w:rPr>
            </w:r>
            <w:r>
              <w:rPr>
                <w:rFonts w:ascii="Arial"/>
                <w:w w:val="99"/>
                <w:sz w:val="20"/>
                <w:u w:val="single" w:color="000000"/>
              </w:rPr>
              <w:t>6</w:t>
            </w:r>
            <w:r>
              <w:rPr>
                <w:rFonts w:ascii="Arial"/>
                <w:w w:val="99"/>
                <w:sz w:val="20"/>
              </w:rPr>
            </w:r>
            <w:r>
              <w:rPr>
                <w:rFonts w:ascii="Arial"/>
                <w:sz w:val="20"/>
              </w:rPr>
            </w:r>
          </w:p>
        </w:tc>
      </w:tr>
      <w:tr>
        <w:trPr>
          <w:trHeight w:val="330" w:hRule="exact"/>
        </w:trPr>
        <w:tc>
          <w:tcPr>
            <w:tcW w:w="2540" w:type="dxa"/>
            <w:tcBorders>
              <w:top w:val="nil" w:sz="6" w:space="0" w:color="auto"/>
              <w:left w:val="nil" w:sz="6" w:space="0" w:color="auto"/>
              <w:bottom w:val="nil" w:sz="6" w:space="0" w:color="auto"/>
              <w:right w:val="nil" w:sz="6" w:space="0" w:color="auto"/>
            </w:tcBorders>
          </w:tcPr>
          <w:p>
            <w:pP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70"/>
              <w:jc w:val="right"/>
              <w:rPr>
                <w:rFonts w:ascii="Arial" w:hAnsi="Arial" w:cs="Arial" w:eastAsia="Arial" w:hint="default"/>
                <w:sz w:val="20"/>
                <w:szCs w:val="20"/>
              </w:rPr>
            </w:pPr>
            <w:r>
              <w:rPr>
                <w:rFonts w:ascii="Arial"/>
                <w:w w:val="99"/>
                <w:sz w:val="20"/>
              </w:rPr>
            </w:r>
            <w:r>
              <w:rPr>
                <w:rFonts w:ascii="Arial"/>
                <w:w w:val="95"/>
                <w:sz w:val="20"/>
                <w:u w:val="thick" w:color="000000"/>
              </w:rPr>
              <w:t>9,549,542</w:t>
            </w:r>
            <w:r>
              <w:rPr>
                <w:rFonts w:ascii="Arial"/>
                <w:w w:val="95"/>
                <w:sz w:val="20"/>
              </w:rPr>
            </w:r>
            <w:r>
              <w:rPr>
                <w:rFonts w:ascii="Arial"/>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68" w:right="0"/>
              <w:jc w:val="left"/>
              <w:rPr>
                <w:rFonts w:ascii="Arial" w:hAnsi="Arial" w:cs="Arial" w:eastAsia="Arial" w:hint="default"/>
                <w:sz w:val="20"/>
                <w:szCs w:val="20"/>
              </w:rPr>
            </w:pPr>
            <w:r>
              <w:rPr>
                <w:rFonts w:ascii="Arial"/>
                <w:w w:val="99"/>
                <w:sz w:val="20"/>
              </w:rPr>
            </w:r>
            <w:r>
              <w:rPr>
                <w:rFonts w:ascii="Arial"/>
                <w:sz w:val="20"/>
                <w:u w:val="thick" w:color="000000"/>
              </w:rPr>
              <w:t>7,410,610,987</w:t>
            </w:r>
            <w:r>
              <w:rPr>
                <w:rFonts w:ascii="Arial"/>
                <w:sz w:val="20"/>
              </w:rPr>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2"/>
              <w:jc w:val="right"/>
              <w:rPr>
                <w:rFonts w:ascii="Arial" w:hAnsi="Arial" w:cs="Arial" w:eastAsia="Arial" w:hint="default"/>
                <w:sz w:val="20"/>
                <w:szCs w:val="20"/>
              </w:rPr>
            </w:pPr>
            <w:r>
              <w:rPr>
                <w:rFonts w:ascii="Arial"/>
                <w:w w:val="99"/>
                <w:sz w:val="20"/>
              </w:rPr>
            </w:r>
            <w:r>
              <w:rPr>
                <w:rFonts w:ascii="Arial"/>
                <w:w w:val="95"/>
                <w:sz w:val="20"/>
                <w:u w:val="thick" w:color="000000"/>
              </w:rPr>
              <w:t>1,208,224,266</w:t>
            </w:r>
            <w:r>
              <w:rPr>
                <w:rFonts w:ascii="Arial"/>
                <w:w w:val="95"/>
                <w:sz w:val="20"/>
              </w:rPr>
            </w:r>
            <w:r>
              <w:rPr>
                <w:rFonts w:ascii="Arial"/>
                <w:sz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203"/>
              <w:jc w:val="right"/>
              <w:rPr>
                <w:rFonts w:ascii="Arial" w:hAnsi="Arial" w:cs="Arial" w:eastAsia="Arial" w:hint="default"/>
                <w:sz w:val="20"/>
                <w:szCs w:val="20"/>
              </w:rPr>
            </w:pPr>
            <w:r>
              <w:rPr>
                <w:rFonts w:ascii="Arial"/>
                <w:w w:val="99"/>
                <w:sz w:val="20"/>
              </w:rPr>
            </w:r>
            <w:r>
              <w:rPr>
                <w:rFonts w:ascii="Arial"/>
                <w:w w:val="95"/>
                <w:sz w:val="20"/>
                <w:u w:val="thick" w:color="000000"/>
              </w:rPr>
              <w:t>8,628,384,795</w:t>
            </w:r>
            <w:r>
              <w:rPr>
                <w:rFonts w:ascii="Arial"/>
                <w:w w:val="95"/>
                <w:sz w:val="20"/>
              </w:rPr>
            </w:r>
            <w:r>
              <w:rPr>
                <w:rFonts w:ascii="Arial"/>
                <w:sz w:val="20"/>
              </w:rPr>
            </w:r>
          </w:p>
        </w:tc>
      </w:tr>
    </w:tbl>
    <w:p>
      <w:pPr>
        <w:spacing w:line="240" w:lineRule="auto" w:before="0"/>
        <w:rPr>
          <w:rFonts w:ascii="黑体" w:hAnsi="黑体" w:cs="黑体" w:eastAsia="黑体" w:hint="default"/>
          <w:sz w:val="20"/>
          <w:szCs w:val="20"/>
        </w:rPr>
      </w:pPr>
    </w:p>
    <w:p>
      <w:pPr>
        <w:spacing w:before="175"/>
        <w:ind w:left="318" w:right="0" w:firstLine="0"/>
        <w:jc w:val="left"/>
        <w:rPr>
          <w:rFonts w:ascii="黑体" w:hAnsi="黑体" w:cs="黑体" w:eastAsia="黑体" w:hint="default"/>
          <w:sz w:val="20"/>
          <w:szCs w:val="20"/>
        </w:rPr>
      </w:pPr>
      <w:r>
        <w:rPr/>
        <w:pict>
          <v:group style="position:absolute;margin-left:289.369995pt;margin-top:-47.970322pt;width:69.9pt;height:.1pt;mso-position-horizontal-relative:page;mso-position-vertical-relative:paragraph;z-index:-1340968" coordorigin="5787,-959" coordsize="1398,2">
            <v:shape style="position:absolute;left:5787;top:-959;width:1398;height:2" coordorigin="5787,-959" coordsize="1398,0" path="m5787,-959l7185,-959e" filled="false" stroked="true" strokeweight=".72pt" strokecolor="#000000">
              <v:path arrowok="t"/>
            </v:shape>
            <w10:wrap type="none"/>
          </v:group>
        </w:pict>
      </w:r>
      <w:r>
        <w:rPr>
          <w:rFonts w:ascii="黑体" w:hAnsi="黑体" w:cs="黑体" w:eastAsia="黑体" w:hint="default"/>
          <w:sz w:val="20"/>
          <w:szCs w:val="20"/>
        </w:rPr>
        <w:t>金融负债</w:t>
      </w:r>
    </w:p>
    <w:p>
      <w:pPr>
        <w:spacing w:line="240" w:lineRule="auto" w:before="9"/>
        <w:rPr>
          <w:rFonts w:ascii="黑体" w:hAnsi="黑体" w:cs="黑体" w:eastAsia="黑体" w:hint="default"/>
          <w:sz w:val="25"/>
          <w:szCs w:val="25"/>
        </w:rPr>
      </w:pPr>
    </w:p>
    <w:tbl>
      <w:tblPr>
        <w:tblW w:w="0" w:type="auto"/>
        <w:jc w:val="left"/>
        <w:tblInd w:w="118" w:type="dxa"/>
        <w:tblLayout w:type="fixed"/>
        <w:tblCellMar>
          <w:top w:w="0" w:type="dxa"/>
          <w:left w:w="0" w:type="dxa"/>
          <w:bottom w:w="0" w:type="dxa"/>
          <w:right w:w="0" w:type="dxa"/>
        </w:tblCellMar>
        <w:tblLook w:val="01E0"/>
      </w:tblPr>
      <w:tblGrid>
        <w:gridCol w:w="4704"/>
        <w:gridCol w:w="3987"/>
      </w:tblGrid>
      <w:tr>
        <w:trPr>
          <w:trHeight w:val="229" w:hRule="exact"/>
        </w:trPr>
        <w:tc>
          <w:tcPr>
            <w:tcW w:w="4704" w:type="dxa"/>
            <w:tcBorders>
              <w:top w:val="nil" w:sz="6" w:space="0" w:color="auto"/>
              <w:left w:val="nil" w:sz="6" w:space="0" w:color="auto"/>
              <w:bottom w:val="nil" w:sz="6" w:space="0" w:color="auto"/>
              <w:right w:val="nil" w:sz="6" w:space="0" w:color="auto"/>
            </w:tcBorders>
          </w:tcPr>
          <w:p>
            <w:pPr/>
          </w:p>
        </w:tc>
        <w:tc>
          <w:tcPr>
            <w:tcW w:w="3987" w:type="dxa"/>
            <w:tcBorders>
              <w:top w:val="nil" w:sz="6" w:space="0" w:color="auto"/>
              <w:left w:val="nil" w:sz="6" w:space="0" w:color="auto"/>
              <w:bottom w:val="nil" w:sz="6" w:space="0" w:color="auto"/>
              <w:right w:val="nil" w:sz="6" w:space="0" w:color="auto"/>
            </w:tcBorders>
          </w:tcPr>
          <w:p>
            <w:pPr>
              <w:pStyle w:val="TableParagraph"/>
              <w:spacing w:line="199" w:lineRule="exact"/>
              <w:ind w:right="199"/>
              <w:jc w:val="right"/>
              <w:rPr>
                <w:rFonts w:ascii="黑体" w:hAnsi="黑体" w:cs="黑体" w:eastAsia="黑体" w:hint="default"/>
                <w:sz w:val="20"/>
                <w:szCs w:val="20"/>
              </w:rPr>
            </w:pPr>
            <w:r>
              <w:rPr>
                <w:rFonts w:ascii="黑体" w:hAnsi="黑体" w:cs="黑体" w:eastAsia="黑体" w:hint="default"/>
                <w:sz w:val="20"/>
                <w:szCs w:val="20"/>
              </w:rPr>
              <w:t>其他</w:t>
            </w:r>
          </w:p>
        </w:tc>
      </w:tr>
      <w:tr>
        <w:trPr>
          <w:trHeight w:val="375" w:hRule="exact"/>
        </w:trPr>
        <w:tc>
          <w:tcPr>
            <w:tcW w:w="4704" w:type="dxa"/>
            <w:tcBorders>
              <w:top w:val="nil" w:sz="6" w:space="0" w:color="auto"/>
              <w:left w:val="nil" w:sz="6" w:space="0" w:color="auto"/>
              <w:bottom w:val="nil" w:sz="6" w:space="0" w:color="auto"/>
              <w:right w:val="nil" w:sz="6" w:space="0" w:color="auto"/>
            </w:tcBorders>
          </w:tcPr>
          <w:p>
            <w:pPr/>
          </w:p>
        </w:tc>
        <w:tc>
          <w:tcPr>
            <w:tcW w:w="3987" w:type="dxa"/>
            <w:tcBorders>
              <w:top w:val="nil" w:sz="6" w:space="0" w:color="auto"/>
              <w:left w:val="nil" w:sz="6" w:space="0" w:color="auto"/>
              <w:bottom w:val="nil" w:sz="6" w:space="0" w:color="auto"/>
              <w:right w:val="nil" w:sz="6" w:space="0" w:color="auto"/>
            </w:tcBorders>
          </w:tcPr>
          <w:p>
            <w:pPr>
              <w:pStyle w:val="TableParagraph"/>
              <w:spacing w:line="230" w:lineRule="exact"/>
              <w:ind w:right="200"/>
              <w:jc w:val="right"/>
              <w:rPr>
                <w:rFonts w:ascii="黑体" w:hAnsi="黑体" w:cs="黑体" w:eastAsia="黑体" w:hint="default"/>
                <w:sz w:val="20"/>
                <w:szCs w:val="20"/>
              </w:rPr>
            </w:pPr>
            <w:r>
              <w:rPr>
                <w:rFonts w:ascii="黑体" w:hAnsi="黑体" w:cs="黑体" w:eastAsia="黑体" w:hint="default"/>
                <w:w w:val="95"/>
                <w:sz w:val="20"/>
                <w:szCs w:val="20"/>
              </w:rPr>
              <w:t>金融负债</w:t>
            </w:r>
            <w:r>
              <w:rPr>
                <w:rFonts w:ascii="黑体" w:hAnsi="黑体" w:cs="黑体" w:eastAsia="黑体" w:hint="default"/>
                <w:sz w:val="20"/>
                <w:szCs w:val="20"/>
              </w:rPr>
            </w:r>
          </w:p>
        </w:tc>
      </w:tr>
      <w:tr>
        <w:trPr>
          <w:trHeight w:val="385"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00" w:right="0"/>
              <w:jc w:val="left"/>
              <w:rPr>
                <w:rFonts w:ascii="黑体" w:hAnsi="黑体" w:cs="黑体" w:eastAsia="黑体" w:hint="default"/>
                <w:sz w:val="20"/>
                <w:szCs w:val="20"/>
              </w:rPr>
            </w:pPr>
            <w:r>
              <w:rPr>
                <w:rFonts w:ascii="黑体" w:hAnsi="黑体" w:cs="黑体" w:eastAsia="黑体" w:hint="default"/>
                <w:sz w:val="20"/>
                <w:szCs w:val="20"/>
              </w:rPr>
              <w:t>短期借款</w:t>
            </w:r>
          </w:p>
        </w:tc>
        <w:tc>
          <w:tcPr>
            <w:tcW w:w="3987"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03"/>
              <w:jc w:val="right"/>
              <w:rPr>
                <w:rFonts w:ascii="Arial" w:hAnsi="Arial" w:cs="Arial" w:eastAsia="Arial" w:hint="default"/>
                <w:sz w:val="20"/>
                <w:szCs w:val="20"/>
              </w:rPr>
            </w:pPr>
            <w:r>
              <w:rPr>
                <w:rFonts w:ascii="Arial"/>
                <w:w w:val="95"/>
                <w:sz w:val="20"/>
              </w:rPr>
              <w:t>3,156,404,000</w:t>
            </w:r>
            <w:r>
              <w:rPr>
                <w:rFonts w:ascii="Arial"/>
                <w:sz w:val="20"/>
              </w:rPr>
            </w:r>
          </w:p>
        </w:tc>
      </w:tr>
      <w:tr>
        <w:trPr>
          <w:trHeight w:val="259"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应付账款</w:t>
            </w:r>
          </w:p>
        </w:tc>
        <w:tc>
          <w:tcPr>
            <w:tcW w:w="398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3"/>
              <w:jc w:val="right"/>
              <w:rPr>
                <w:rFonts w:ascii="Arial" w:hAnsi="Arial" w:cs="Arial" w:eastAsia="Arial" w:hint="default"/>
                <w:sz w:val="20"/>
                <w:szCs w:val="20"/>
              </w:rPr>
            </w:pPr>
            <w:r>
              <w:rPr>
                <w:rFonts w:ascii="Arial"/>
                <w:spacing w:val="-1"/>
                <w:sz w:val="20"/>
              </w:rPr>
              <w:t>455,622,484</w:t>
            </w:r>
          </w:p>
        </w:tc>
      </w:tr>
      <w:tr>
        <w:trPr>
          <w:trHeight w:val="259"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其他应付款</w:t>
            </w:r>
          </w:p>
        </w:tc>
        <w:tc>
          <w:tcPr>
            <w:tcW w:w="398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3"/>
              <w:jc w:val="right"/>
              <w:rPr>
                <w:rFonts w:ascii="Arial" w:hAnsi="Arial" w:cs="Arial" w:eastAsia="Arial" w:hint="default"/>
                <w:sz w:val="20"/>
                <w:szCs w:val="20"/>
              </w:rPr>
            </w:pPr>
            <w:r>
              <w:rPr>
                <w:rFonts w:ascii="Arial"/>
                <w:spacing w:val="-1"/>
                <w:sz w:val="20"/>
              </w:rPr>
              <w:t>840,741,172</w:t>
            </w:r>
          </w:p>
        </w:tc>
      </w:tr>
      <w:tr>
        <w:trPr>
          <w:trHeight w:val="259"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一年内到期的长期借款</w:t>
            </w:r>
          </w:p>
        </w:tc>
        <w:tc>
          <w:tcPr>
            <w:tcW w:w="398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3"/>
              <w:jc w:val="right"/>
              <w:rPr>
                <w:rFonts w:ascii="Arial" w:hAnsi="Arial" w:cs="Arial" w:eastAsia="Arial" w:hint="default"/>
                <w:sz w:val="20"/>
                <w:szCs w:val="20"/>
              </w:rPr>
            </w:pPr>
            <w:r>
              <w:rPr>
                <w:rFonts w:ascii="Arial"/>
                <w:spacing w:val="-1"/>
                <w:sz w:val="20"/>
              </w:rPr>
              <w:t>133,471,227</w:t>
            </w:r>
          </w:p>
        </w:tc>
      </w:tr>
      <w:tr>
        <w:trPr>
          <w:trHeight w:val="259"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其他流动负债</w:t>
            </w:r>
          </w:p>
        </w:tc>
        <w:tc>
          <w:tcPr>
            <w:tcW w:w="398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0"/>
              <w:jc w:val="right"/>
              <w:rPr>
                <w:rFonts w:ascii="Arial" w:hAnsi="Arial" w:cs="Arial" w:eastAsia="Arial" w:hint="default"/>
                <w:sz w:val="20"/>
                <w:szCs w:val="20"/>
              </w:rPr>
            </w:pPr>
            <w:r>
              <w:rPr>
                <w:rFonts w:ascii="Arial"/>
                <w:spacing w:val="-1"/>
                <w:w w:val="95"/>
                <w:sz w:val="20"/>
              </w:rPr>
              <w:t>2,431,350</w:t>
            </w:r>
            <w:r>
              <w:rPr>
                <w:rFonts w:ascii="Arial"/>
                <w:sz w:val="20"/>
              </w:rPr>
            </w:r>
          </w:p>
        </w:tc>
      </w:tr>
      <w:tr>
        <w:trPr>
          <w:trHeight w:val="371" w:hRule="exact"/>
        </w:trPr>
        <w:tc>
          <w:tcPr>
            <w:tcW w:w="4704"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长期借款</w:t>
            </w:r>
          </w:p>
        </w:tc>
        <w:tc>
          <w:tcPr>
            <w:tcW w:w="3987" w:type="dxa"/>
            <w:tcBorders>
              <w:top w:val="nil" w:sz="6" w:space="0" w:color="auto"/>
              <w:left w:val="nil" w:sz="6" w:space="0" w:color="auto"/>
              <w:bottom w:val="nil" w:sz="6" w:space="0" w:color="auto"/>
              <w:right w:val="nil" w:sz="6" w:space="0" w:color="auto"/>
            </w:tcBorders>
          </w:tcPr>
          <w:p>
            <w:pPr>
              <w:pStyle w:val="TableParagraph"/>
              <w:tabs>
                <w:tab w:pos="302" w:val="left" w:leader="none"/>
              </w:tabs>
              <w:spacing w:line="240" w:lineRule="auto" w:before="14"/>
              <w:ind w:right="203"/>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r>
            <w:r>
              <w:rPr>
                <w:rFonts w:ascii="Arial"/>
                <w:spacing w:val="-1"/>
                <w:w w:val="95"/>
                <w:sz w:val="20"/>
                <w:u w:val="single" w:color="000000"/>
              </w:rPr>
              <w:t>171,666,664</w:t>
            </w:r>
            <w:r>
              <w:rPr>
                <w:rFonts w:ascii="Arial"/>
                <w:spacing w:val="-1"/>
                <w:w w:val="95"/>
                <w:sz w:val="20"/>
              </w:rPr>
            </w:r>
            <w:r>
              <w:rPr>
                <w:rFonts w:ascii="Arial"/>
                <w:sz w:val="20"/>
              </w:rPr>
            </w:r>
          </w:p>
        </w:tc>
      </w:tr>
      <w:tr>
        <w:trPr>
          <w:trHeight w:val="330" w:hRule="exact"/>
        </w:trPr>
        <w:tc>
          <w:tcPr>
            <w:tcW w:w="4704" w:type="dxa"/>
            <w:tcBorders>
              <w:top w:val="nil" w:sz="6" w:space="0" w:color="auto"/>
              <w:left w:val="nil" w:sz="6" w:space="0" w:color="auto"/>
              <w:bottom w:val="nil" w:sz="6" w:space="0" w:color="auto"/>
              <w:right w:val="nil" w:sz="6" w:space="0" w:color="auto"/>
            </w:tcBorders>
          </w:tcPr>
          <w:p>
            <w:pPr/>
          </w:p>
        </w:tc>
        <w:tc>
          <w:tcPr>
            <w:tcW w:w="398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203"/>
              <w:jc w:val="right"/>
              <w:rPr>
                <w:rFonts w:ascii="Arial" w:hAnsi="Arial" w:cs="Arial" w:eastAsia="Arial" w:hint="default"/>
                <w:sz w:val="20"/>
                <w:szCs w:val="20"/>
              </w:rPr>
            </w:pPr>
            <w:r>
              <w:rPr>
                <w:rFonts w:ascii="Arial"/>
                <w:w w:val="99"/>
                <w:sz w:val="20"/>
              </w:rPr>
            </w:r>
            <w:r>
              <w:rPr>
                <w:rFonts w:ascii="Arial"/>
                <w:w w:val="95"/>
                <w:sz w:val="20"/>
                <w:u w:val="thick" w:color="000000"/>
              </w:rPr>
              <w:t>4,760,336,897</w:t>
            </w:r>
            <w:r>
              <w:rPr>
                <w:rFonts w:ascii="Arial"/>
                <w:w w:val="95"/>
                <w:sz w:val="20"/>
              </w:rPr>
            </w:r>
            <w:r>
              <w:rPr>
                <w:rFonts w:ascii="Arial"/>
                <w:sz w:val="20"/>
              </w:rPr>
            </w:r>
          </w:p>
        </w:tc>
      </w:tr>
    </w:tbl>
    <w:p>
      <w:pPr>
        <w:spacing w:after="0" w:line="240" w:lineRule="auto"/>
        <w:jc w:val="right"/>
        <w:rPr>
          <w:rFonts w:ascii="Arial" w:hAnsi="Arial" w:cs="Arial" w:eastAsia="Arial" w:hint="default"/>
          <w:sz w:val="20"/>
          <w:szCs w:val="20"/>
        </w:rPr>
        <w:sectPr>
          <w:footerReference w:type="default" r:id="rId82"/>
          <w:pgSz w:w="11910" w:h="16850"/>
          <w:pgMar w:footer="921" w:header="745" w:top="980" w:bottom="1120" w:left="1480" w:right="1500"/>
          <w:pgNumType w:start="151"/>
        </w:sectPr>
      </w:pPr>
    </w:p>
    <w:p>
      <w:pPr>
        <w:spacing w:line="240" w:lineRule="auto" w:before="10"/>
        <w:rPr>
          <w:rFonts w:ascii="黑体" w:hAnsi="黑体" w:cs="黑体" w:eastAsia="黑体" w:hint="default"/>
          <w:sz w:val="28"/>
          <w:szCs w:val="28"/>
        </w:rPr>
      </w:pPr>
    </w:p>
    <w:p>
      <w:pPr>
        <w:spacing w:before="37"/>
        <w:ind w:left="138" w:right="0" w:firstLine="0"/>
        <w:jc w:val="both"/>
        <w:rPr>
          <w:rFonts w:ascii="黑体" w:hAnsi="黑体" w:cs="黑体" w:eastAsia="黑体" w:hint="default"/>
          <w:sz w:val="20"/>
          <w:szCs w:val="20"/>
        </w:rPr>
      </w:pPr>
      <w:r>
        <w:rPr>
          <w:rFonts w:ascii="Arial" w:hAnsi="Arial" w:cs="Arial" w:eastAsia="Arial" w:hint="default"/>
          <w:b/>
          <w:bCs/>
          <w:sz w:val="20"/>
          <w:szCs w:val="20"/>
        </w:rPr>
        <w:t>2.        </w:t>
      </w:r>
      <w:r>
        <w:rPr>
          <w:rFonts w:ascii="Arial" w:hAnsi="Arial" w:cs="Arial" w:eastAsia="Arial" w:hint="default"/>
          <w:b/>
          <w:bCs/>
          <w:spacing w:val="50"/>
          <w:sz w:val="20"/>
          <w:szCs w:val="20"/>
        </w:rPr>
        <w:t> </w:t>
      </w:r>
      <w:r>
        <w:rPr>
          <w:rFonts w:ascii="黑体" w:hAnsi="黑体" w:cs="黑体" w:eastAsia="黑体" w:hint="default"/>
          <w:b/>
          <w:bCs/>
          <w:sz w:val="20"/>
          <w:szCs w:val="20"/>
        </w:rPr>
        <w:t>金融工具风险</w:t>
      </w:r>
      <w:r>
        <w:rPr>
          <w:rFonts w:ascii="黑体" w:hAnsi="黑体" w:cs="黑体" w:eastAsia="黑体" w:hint="default"/>
          <w:sz w:val="20"/>
          <w:szCs w:val="20"/>
        </w:rPr>
      </w:r>
    </w:p>
    <w:p>
      <w:pPr>
        <w:spacing w:line="240" w:lineRule="auto" w:before="9"/>
        <w:rPr>
          <w:rFonts w:ascii="黑体" w:hAnsi="黑体" w:cs="黑体" w:eastAsia="黑体" w:hint="default"/>
          <w:b/>
          <w:bCs/>
          <w:sz w:val="18"/>
          <w:szCs w:val="18"/>
        </w:rPr>
      </w:pPr>
    </w:p>
    <w:p>
      <w:pPr>
        <w:spacing w:line="260" w:lineRule="exact" w:before="0"/>
        <w:ind w:left="138" w:right="192" w:firstLine="0"/>
        <w:jc w:val="both"/>
        <w:rPr>
          <w:rFonts w:ascii="黑体" w:hAnsi="黑体" w:cs="黑体" w:eastAsia="黑体" w:hint="default"/>
          <w:sz w:val="20"/>
          <w:szCs w:val="20"/>
        </w:rPr>
      </w:pPr>
      <w:r>
        <w:rPr>
          <w:rFonts w:ascii="黑体" w:hAnsi="黑体" w:cs="黑体" w:eastAsia="黑体" w:hint="default"/>
          <w:spacing w:val="-2"/>
          <w:w w:val="95"/>
          <w:sz w:val="20"/>
          <w:szCs w:val="20"/>
        </w:rPr>
        <w:t>本集团在日常活动中面临各种金融工具的风险，主要包括信用风险、流动性风险及市场风险（包</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pacing w:val="-2"/>
          <w:sz w:val="20"/>
          <w:szCs w:val="20"/>
        </w:rPr>
        <w:t>括汇率风险、利率风险和商品价格风险）。本集团的主要金融工具包括货币资金、股权投资、借</w:t>
      </w:r>
      <w:r>
        <w:rPr>
          <w:rFonts w:ascii="黑体" w:hAnsi="黑体" w:cs="黑体" w:eastAsia="黑体" w:hint="default"/>
          <w:w w:val="99"/>
          <w:sz w:val="20"/>
          <w:szCs w:val="20"/>
        </w:rPr>
        <w:t> </w:t>
      </w:r>
      <w:r>
        <w:rPr>
          <w:rFonts w:ascii="黑体" w:hAnsi="黑体" w:cs="黑体" w:eastAsia="黑体" w:hint="default"/>
          <w:spacing w:val="-2"/>
          <w:w w:val="95"/>
          <w:sz w:val="20"/>
          <w:szCs w:val="20"/>
        </w:rPr>
        <w:t>款、应收票据及应收账款、应付账款。与这些金融工具相关的风险，以及本集团为降低这些风险</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z w:val="20"/>
          <w:szCs w:val="20"/>
        </w:rPr>
        <w:t>所采取的风险管理策略如下所述。</w:t>
      </w:r>
    </w:p>
    <w:p>
      <w:pPr>
        <w:spacing w:line="240" w:lineRule="auto" w:before="7"/>
        <w:rPr>
          <w:rFonts w:ascii="黑体" w:hAnsi="黑体" w:cs="黑体" w:eastAsia="黑体" w:hint="default"/>
          <w:sz w:val="17"/>
          <w:szCs w:val="17"/>
        </w:rPr>
      </w:pPr>
    </w:p>
    <w:p>
      <w:pPr>
        <w:spacing w:line="260" w:lineRule="exact" w:before="0"/>
        <w:ind w:left="138" w:right="188" w:firstLine="0"/>
        <w:jc w:val="both"/>
        <w:rPr>
          <w:rFonts w:ascii="黑体" w:hAnsi="黑体" w:cs="黑体" w:eastAsia="黑体" w:hint="default"/>
          <w:sz w:val="20"/>
          <w:szCs w:val="20"/>
        </w:rPr>
      </w:pPr>
      <w:r>
        <w:rPr>
          <w:rFonts w:ascii="黑体" w:hAnsi="黑体" w:cs="黑体" w:eastAsia="黑体" w:hint="default"/>
          <w:spacing w:val="-2"/>
          <w:w w:val="99"/>
          <w:sz w:val="20"/>
          <w:szCs w:val="20"/>
        </w:rPr>
        <w:t>董事会负责规划并建立本集团的风险管理架构，制定本集团的风险管理政策和相关指引并监督风</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sz w:val="20"/>
          <w:szCs w:val="20"/>
        </w:rPr>
        <w:t>险管理措施的执行情况。本集团已制定风险管理政策以识别和分析本集团所面临的风险，这些风</w:t>
      </w:r>
      <w:r>
        <w:rPr>
          <w:rFonts w:ascii="黑体" w:hAnsi="黑体" w:cs="黑体" w:eastAsia="黑体" w:hint="default"/>
          <w:w w:val="99"/>
          <w:sz w:val="20"/>
          <w:szCs w:val="20"/>
        </w:rPr>
        <w:t> </w:t>
      </w:r>
      <w:r>
        <w:rPr>
          <w:rFonts w:ascii="黑体" w:hAnsi="黑体" w:cs="黑体" w:eastAsia="黑体" w:hint="default"/>
          <w:spacing w:val="-2"/>
          <w:sz w:val="20"/>
          <w:szCs w:val="20"/>
        </w:rPr>
        <w:t>险管理政策对特定风险进行了明确规定，涵盖了市场风险、信用风险和流动性风险管理等诸多方</w:t>
      </w:r>
      <w:r>
        <w:rPr>
          <w:rFonts w:ascii="黑体" w:hAnsi="黑体" w:cs="黑体" w:eastAsia="黑体" w:hint="default"/>
          <w:w w:val="99"/>
          <w:sz w:val="20"/>
          <w:szCs w:val="20"/>
        </w:rPr>
        <w:t> </w:t>
      </w:r>
      <w:r>
        <w:rPr>
          <w:rFonts w:ascii="黑体" w:hAnsi="黑体" w:cs="黑体" w:eastAsia="黑体" w:hint="default"/>
          <w:spacing w:val="-2"/>
          <w:w w:val="99"/>
          <w:sz w:val="20"/>
          <w:szCs w:val="20"/>
        </w:rPr>
        <w:t>面。本集团定期评估市场环境及本集团经营活动的变化以决定是否对风险管理政策及系统进行更</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新。本集团的风险管理由风险管理委员会按照董事会批准的政策开展。风险管理委员会</w:t>
      </w:r>
      <w:r>
        <w:rPr>
          <w:rFonts w:ascii="Arial" w:hAnsi="Arial" w:cs="Arial" w:eastAsia="Arial" w:hint="default"/>
          <w:sz w:val="20"/>
          <w:szCs w:val="20"/>
        </w:rPr>
        <w:t>]</w:t>
      </w:r>
      <w:r>
        <w:rPr>
          <w:rFonts w:ascii="黑体" w:hAnsi="黑体" w:cs="黑体" w:eastAsia="黑体" w:hint="default"/>
          <w:sz w:val="20"/>
          <w:szCs w:val="20"/>
        </w:rPr>
        <w:t>通过与</w:t>
      </w:r>
      <w:r>
        <w:rPr>
          <w:rFonts w:ascii="黑体" w:hAnsi="黑体" w:cs="黑体" w:eastAsia="黑体" w:hint="default"/>
          <w:spacing w:val="-55"/>
          <w:sz w:val="20"/>
          <w:szCs w:val="20"/>
        </w:rPr>
        <w:t> </w:t>
      </w:r>
      <w:r>
        <w:rPr>
          <w:rFonts w:ascii="黑体" w:hAnsi="黑体" w:cs="黑体" w:eastAsia="黑体" w:hint="default"/>
          <w:spacing w:val="-2"/>
          <w:sz w:val="20"/>
          <w:szCs w:val="20"/>
        </w:rPr>
        <w:t>本集团其他业务部门的紧密合作来识别、评价和规避相关风险。本集团内部审计部门就风险管理</w:t>
      </w:r>
      <w:r>
        <w:rPr>
          <w:rFonts w:ascii="黑体" w:hAnsi="黑体" w:cs="黑体" w:eastAsia="黑体" w:hint="default"/>
          <w:w w:val="99"/>
          <w:sz w:val="20"/>
          <w:szCs w:val="20"/>
        </w:rPr>
        <w:t> </w:t>
      </w:r>
      <w:r>
        <w:rPr>
          <w:rFonts w:ascii="黑体" w:hAnsi="黑体" w:cs="黑体" w:eastAsia="黑体" w:hint="default"/>
          <w:sz w:val="20"/>
          <w:szCs w:val="20"/>
        </w:rPr>
        <w:t>控制及程序进行定期的审核，并将审核结果上报本集团的审计委员会。</w:t>
      </w:r>
    </w:p>
    <w:p>
      <w:pPr>
        <w:spacing w:line="240" w:lineRule="auto" w:before="4"/>
        <w:rPr>
          <w:rFonts w:ascii="黑体" w:hAnsi="黑体" w:cs="黑体" w:eastAsia="黑体" w:hint="default"/>
          <w:sz w:val="15"/>
          <w:szCs w:val="15"/>
        </w:rPr>
      </w:pPr>
    </w:p>
    <w:p>
      <w:pPr>
        <w:spacing w:before="0"/>
        <w:ind w:left="1258" w:right="88" w:firstLine="0"/>
        <w:jc w:val="left"/>
        <w:rPr>
          <w:rFonts w:ascii="黑体" w:hAnsi="黑体" w:cs="黑体" w:eastAsia="黑体" w:hint="default"/>
          <w:sz w:val="20"/>
          <w:szCs w:val="20"/>
        </w:rPr>
      </w:pPr>
      <w:r>
        <w:rPr>
          <w:rFonts w:ascii="黑体" w:hAnsi="黑体" w:cs="黑体" w:eastAsia="黑体" w:hint="default"/>
          <w:sz w:val="20"/>
          <w:szCs w:val="20"/>
        </w:rPr>
        <w:t>信用风险</w:t>
      </w:r>
    </w:p>
    <w:p>
      <w:pPr>
        <w:spacing w:line="240" w:lineRule="auto" w:before="10"/>
        <w:rPr>
          <w:rFonts w:ascii="黑体" w:hAnsi="黑体" w:cs="黑体" w:eastAsia="黑体" w:hint="default"/>
          <w:sz w:val="19"/>
          <w:szCs w:val="19"/>
        </w:rPr>
      </w:pPr>
    </w:p>
    <w:p>
      <w:pPr>
        <w:spacing w:line="260" w:lineRule="exact" w:before="0"/>
        <w:ind w:left="138" w:right="88" w:firstLine="0"/>
        <w:jc w:val="left"/>
        <w:rPr>
          <w:rFonts w:ascii="黑体" w:hAnsi="黑体" w:cs="黑体" w:eastAsia="黑体" w:hint="default"/>
          <w:sz w:val="20"/>
          <w:szCs w:val="20"/>
        </w:rPr>
      </w:pPr>
      <w:r>
        <w:rPr>
          <w:rFonts w:ascii="黑体" w:hAnsi="黑体" w:cs="黑体" w:eastAsia="黑体" w:hint="default"/>
          <w:w w:val="95"/>
          <w:sz w:val="20"/>
          <w:szCs w:val="20"/>
        </w:rPr>
        <w:t>本集团仅与经认可的、信誉良好的第三方进行交易。按照本集团的政策，需对所有要求采用信用</w:t>
      </w:r>
      <w:r>
        <w:rPr>
          <w:rFonts w:ascii="黑体" w:hAnsi="黑体" w:cs="黑体" w:eastAsia="黑体" w:hint="default"/>
          <w:spacing w:val="42"/>
          <w:w w:val="95"/>
          <w:sz w:val="20"/>
          <w:szCs w:val="20"/>
        </w:rPr>
        <w:t> </w:t>
      </w:r>
      <w:r>
        <w:rPr>
          <w:rFonts w:ascii="黑体" w:hAnsi="黑体" w:cs="黑体" w:eastAsia="黑体" w:hint="default"/>
          <w:spacing w:val="42"/>
          <w:w w:val="95"/>
          <w:sz w:val="20"/>
          <w:szCs w:val="20"/>
        </w:rPr>
      </w:r>
      <w:r>
        <w:rPr>
          <w:rFonts w:ascii="黑体" w:hAnsi="黑体" w:cs="黑体" w:eastAsia="黑体" w:hint="default"/>
          <w:sz w:val="20"/>
          <w:szCs w:val="20"/>
        </w:rPr>
        <w:t>方式进行交易的客户进行信用审核。另外，本集团对应收账款及其他应收款余额进行持续监控，</w:t>
      </w:r>
      <w:r>
        <w:rPr>
          <w:rFonts w:ascii="黑体" w:hAnsi="黑体" w:cs="黑体" w:eastAsia="黑体" w:hint="default"/>
          <w:w w:val="99"/>
          <w:sz w:val="20"/>
          <w:szCs w:val="20"/>
        </w:rPr>
        <w:t> </w:t>
      </w:r>
      <w:r>
        <w:rPr>
          <w:rFonts w:ascii="黑体" w:hAnsi="黑体" w:cs="黑体" w:eastAsia="黑体" w:hint="default"/>
          <w:w w:val="95"/>
          <w:sz w:val="20"/>
          <w:szCs w:val="20"/>
        </w:rPr>
        <w:t>以确保本集团不致面临重大坏账风险。对于未采用相关经营单位的记账本位币结算的交易，除非</w:t>
      </w:r>
      <w:r>
        <w:rPr>
          <w:rFonts w:ascii="黑体" w:hAnsi="黑体" w:cs="黑体" w:eastAsia="黑体" w:hint="default"/>
          <w:spacing w:val="42"/>
          <w:w w:val="95"/>
          <w:sz w:val="20"/>
          <w:szCs w:val="20"/>
        </w:rPr>
        <w:t> </w:t>
      </w:r>
      <w:r>
        <w:rPr>
          <w:rFonts w:ascii="黑体" w:hAnsi="黑体" w:cs="黑体" w:eastAsia="黑体" w:hint="default"/>
          <w:spacing w:val="42"/>
          <w:w w:val="95"/>
          <w:sz w:val="20"/>
          <w:szCs w:val="20"/>
        </w:rPr>
      </w:r>
      <w:r>
        <w:rPr>
          <w:rFonts w:ascii="黑体" w:hAnsi="黑体" w:cs="黑体" w:eastAsia="黑体" w:hint="default"/>
          <w:sz w:val="20"/>
          <w:szCs w:val="20"/>
        </w:rPr>
        <w:t>本集团信用控制部门特别批准，否则本集团不提供信用交易条件。</w:t>
      </w:r>
    </w:p>
    <w:p>
      <w:pPr>
        <w:spacing w:line="240" w:lineRule="auto" w:before="7"/>
        <w:rPr>
          <w:rFonts w:ascii="黑体" w:hAnsi="黑体" w:cs="黑体" w:eastAsia="黑体" w:hint="default"/>
          <w:sz w:val="17"/>
          <w:szCs w:val="17"/>
        </w:rPr>
      </w:pPr>
    </w:p>
    <w:p>
      <w:pPr>
        <w:spacing w:line="260" w:lineRule="exact" w:before="0"/>
        <w:ind w:left="138" w:right="195" w:firstLine="0"/>
        <w:jc w:val="both"/>
        <w:rPr>
          <w:rFonts w:ascii="黑体" w:hAnsi="黑体" w:cs="黑体" w:eastAsia="黑体" w:hint="default"/>
          <w:sz w:val="20"/>
          <w:szCs w:val="20"/>
        </w:rPr>
      </w:pPr>
      <w:r>
        <w:rPr>
          <w:rFonts w:ascii="黑体" w:hAnsi="黑体" w:cs="黑体" w:eastAsia="黑体" w:hint="default"/>
          <w:spacing w:val="-2"/>
          <w:w w:val="99"/>
          <w:sz w:val="20"/>
          <w:szCs w:val="20"/>
        </w:rPr>
        <w:t>由于货币资金、应收银行承兑汇票和其他应收款及某些衍生工具的交易对手是声誉良好并拥有较</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高信用评级的银行，这些金融工具信用风险较低。</w:t>
      </w:r>
    </w:p>
    <w:p>
      <w:pPr>
        <w:spacing w:line="240" w:lineRule="auto" w:before="7"/>
        <w:rPr>
          <w:rFonts w:ascii="黑体" w:hAnsi="黑体" w:cs="黑体" w:eastAsia="黑体" w:hint="default"/>
          <w:sz w:val="17"/>
          <w:szCs w:val="17"/>
        </w:rPr>
      </w:pPr>
    </w:p>
    <w:p>
      <w:pPr>
        <w:spacing w:line="260" w:lineRule="exact" w:before="0"/>
        <w:ind w:left="138" w:right="195" w:firstLine="0"/>
        <w:jc w:val="both"/>
        <w:rPr>
          <w:rFonts w:ascii="黑体" w:hAnsi="黑体" w:cs="黑体" w:eastAsia="黑体" w:hint="default"/>
          <w:sz w:val="20"/>
          <w:szCs w:val="20"/>
        </w:rPr>
      </w:pPr>
      <w:r>
        <w:rPr>
          <w:rFonts w:ascii="黑体" w:hAnsi="黑体" w:cs="黑体" w:eastAsia="黑体" w:hint="default"/>
          <w:spacing w:val="-2"/>
          <w:w w:val="99"/>
          <w:sz w:val="20"/>
          <w:szCs w:val="20"/>
        </w:rPr>
        <w:t>本集团其他金融资产包括其他应收款和其他非流动金融资产等，这些金融资产的信用风险源自交</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易对手违约，最大风险敞口等于这些工具的账面金额。</w:t>
      </w:r>
    </w:p>
    <w:p>
      <w:pPr>
        <w:spacing w:line="240" w:lineRule="auto" w:before="8"/>
        <w:rPr>
          <w:rFonts w:ascii="黑体" w:hAnsi="黑体" w:cs="黑体" w:eastAsia="黑体" w:hint="default"/>
          <w:sz w:val="17"/>
          <w:szCs w:val="17"/>
        </w:rPr>
      </w:pPr>
    </w:p>
    <w:p>
      <w:pPr>
        <w:spacing w:line="260" w:lineRule="exact" w:before="0"/>
        <w:ind w:left="138" w:right="195" w:firstLine="0"/>
        <w:jc w:val="both"/>
        <w:rPr>
          <w:rFonts w:ascii="黑体" w:hAnsi="黑体" w:cs="黑体" w:eastAsia="黑体" w:hint="default"/>
          <w:sz w:val="20"/>
          <w:szCs w:val="20"/>
        </w:rPr>
      </w:pPr>
      <w:r>
        <w:rPr>
          <w:rFonts w:ascii="黑体" w:hAnsi="黑体" w:cs="黑体" w:eastAsia="黑体" w:hint="default"/>
          <w:spacing w:val="2"/>
          <w:sz w:val="20"/>
          <w:szCs w:val="20"/>
        </w:rPr>
        <w:t>本集团在每一资产负债表日面临的最大信用风险敞口为向客户收取的总金额减去坏账准备后的</w:t>
      </w:r>
      <w:r>
        <w:rPr>
          <w:rFonts w:ascii="黑体" w:hAnsi="黑体" w:cs="黑体" w:eastAsia="黑体" w:hint="default"/>
          <w:spacing w:val="-96"/>
          <w:sz w:val="20"/>
          <w:szCs w:val="20"/>
        </w:rPr>
        <w:t> </w:t>
      </w:r>
      <w:r>
        <w:rPr>
          <w:rFonts w:ascii="黑体" w:hAnsi="黑体" w:cs="黑体" w:eastAsia="黑体" w:hint="default"/>
          <w:spacing w:val="-96"/>
          <w:sz w:val="20"/>
          <w:szCs w:val="20"/>
        </w:rPr>
      </w:r>
      <w:r>
        <w:rPr>
          <w:rFonts w:ascii="黑体" w:hAnsi="黑体" w:cs="黑体" w:eastAsia="黑体" w:hint="default"/>
          <w:sz w:val="20"/>
          <w:szCs w:val="20"/>
        </w:rPr>
        <w:t>金额。</w:t>
      </w:r>
    </w:p>
    <w:p>
      <w:pPr>
        <w:spacing w:line="240" w:lineRule="auto" w:before="7"/>
        <w:rPr>
          <w:rFonts w:ascii="黑体" w:hAnsi="黑体" w:cs="黑体" w:eastAsia="黑体" w:hint="default"/>
          <w:sz w:val="17"/>
          <w:szCs w:val="17"/>
        </w:rPr>
      </w:pPr>
    </w:p>
    <w:p>
      <w:pPr>
        <w:spacing w:line="260" w:lineRule="exact" w:before="0"/>
        <w:ind w:left="138" w:right="195" w:firstLine="0"/>
        <w:jc w:val="both"/>
        <w:rPr>
          <w:rFonts w:ascii="黑体" w:hAnsi="黑体" w:cs="黑体" w:eastAsia="黑体" w:hint="default"/>
          <w:sz w:val="20"/>
          <w:szCs w:val="20"/>
        </w:rPr>
      </w:pPr>
      <w:r>
        <w:rPr>
          <w:rFonts w:ascii="黑体" w:hAnsi="黑体" w:cs="黑体" w:eastAsia="黑体" w:hint="default"/>
          <w:spacing w:val="-2"/>
          <w:w w:val="95"/>
          <w:sz w:val="20"/>
          <w:szCs w:val="20"/>
        </w:rPr>
        <w:t>由于本集团仅与经认可的且信誉良好的第三方进行交易，所以无需担保物。由于本集团的应收账</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pacing w:val="-2"/>
          <w:w w:val="95"/>
          <w:sz w:val="20"/>
          <w:szCs w:val="20"/>
        </w:rPr>
        <w:t>款客户群广泛地分散于不同的部门和行业中，因此在本集团内不存在重大信用风险集中。本集团</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z w:val="20"/>
          <w:szCs w:val="20"/>
        </w:rPr>
        <w:t>对应收账款余额未持有任何担保物或其他信用增级。</w:t>
      </w:r>
    </w:p>
    <w:p>
      <w:pPr>
        <w:spacing w:after="0" w:line="260" w:lineRule="exact"/>
        <w:jc w:val="both"/>
        <w:rPr>
          <w:rFonts w:ascii="黑体" w:hAnsi="黑体" w:cs="黑体" w:eastAsia="黑体" w:hint="default"/>
          <w:sz w:val="20"/>
          <w:szCs w:val="20"/>
        </w:rPr>
        <w:sectPr>
          <w:pgSz w:w="11910" w:h="16850"/>
          <w:pgMar w:header="745" w:footer="921" w:top="980" w:bottom="1120" w:left="1660" w:right="16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4"/>
          <w:szCs w:val="24"/>
        </w:rPr>
      </w:pPr>
    </w:p>
    <w:p>
      <w:pPr>
        <w:tabs>
          <w:tab w:pos="850" w:val="left" w:leader="none"/>
        </w:tabs>
        <w:spacing w:line="424" w:lineRule="auto" w:before="37"/>
        <w:ind w:left="138" w:right="6173" w:firstLine="0"/>
        <w:jc w:val="left"/>
        <w:rPr>
          <w:rFonts w:ascii="Arial" w:hAnsi="Arial" w:cs="Arial" w:eastAsia="Arial" w:hint="default"/>
          <w:sz w:val="20"/>
          <w:szCs w:val="20"/>
        </w:rPr>
      </w:pPr>
      <w:r>
        <w:rPr>
          <w:rFonts w:ascii="Arial" w:hAnsi="Arial" w:cs="Arial" w:eastAsia="Arial" w:hint="default"/>
          <w:b/>
          <w:bCs/>
          <w:spacing w:val="-1"/>
          <w:sz w:val="20"/>
          <w:szCs w:val="20"/>
        </w:rPr>
        <w:t>2.</w:t>
        <w:tab/>
      </w:r>
      <w:r>
        <w:rPr>
          <w:rFonts w:ascii="黑体" w:hAnsi="黑体" w:cs="黑体" w:eastAsia="黑体" w:hint="default"/>
          <w:b/>
          <w:bCs/>
          <w:spacing w:val="1"/>
          <w:w w:val="95"/>
          <w:sz w:val="20"/>
          <w:szCs w:val="20"/>
        </w:rPr>
        <w:t>金融工具风险</w:t>
      </w:r>
      <w:r>
        <w:rPr>
          <w:rFonts w:ascii="Arial" w:hAnsi="Arial" w:cs="Arial" w:eastAsia="Arial" w:hint="default"/>
          <w:b/>
          <w:bCs/>
          <w:spacing w:val="1"/>
          <w:w w:val="95"/>
          <w:sz w:val="20"/>
          <w:szCs w:val="20"/>
        </w:rPr>
        <w:t>(</w:t>
      </w:r>
      <w:r>
        <w:rPr>
          <w:rFonts w:ascii="黑体" w:hAnsi="黑体" w:cs="黑体" w:eastAsia="黑体" w:hint="default"/>
          <w:b/>
          <w:bCs/>
          <w:spacing w:val="1"/>
          <w:w w:val="95"/>
          <w:sz w:val="20"/>
          <w:szCs w:val="20"/>
        </w:rPr>
        <w:t>续</w:t>
      </w:r>
      <w:r>
        <w:rPr>
          <w:rFonts w:ascii="Arial" w:hAnsi="Arial" w:cs="Arial" w:eastAsia="Arial" w:hint="default"/>
          <w:b/>
          <w:bCs/>
          <w:spacing w:val="1"/>
          <w:w w:val="95"/>
          <w:sz w:val="20"/>
          <w:szCs w:val="20"/>
        </w:rPr>
        <w:t>)</w:t>
      </w:r>
      <w:r>
        <w:rPr>
          <w:rFonts w:ascii="Arial" w:hAnsi="Arial" w:cs="Arial" w:eastAsia="Arial" w:hint="default"/>
          <w:b/>
          <w:bCs/>
          <w:spacing w:val="15"/>
          <w:w w:val="95"/>
          <w:sz w:val="20"/>
          <w:szCs w:val="20"/>
        </w:rPr>
        <w:t> </w:t>
      </w:r>
      <w:r>
        <w:rPr>
          <w:rFonts w:ascii="黑体" w:hAnsi="黑体" w:cs="黑体" w:eastAsia="黑体" w:hint="default"/>
          <w:sz w:val="20"/>
          <w:szCs w:val="20"/>
        </w:rPr>
        <w:t>信用风险</w:t>
      </w:r>
      <w:r>
        <w:rPr>
          <w:rFonts w:ascii="Arial" w:hAnsi="Arial" w:cs="Arial" w:eastAsia="Arial" w:hint="default"/>
          <w:sz w:val="20"/>
          <w:szCs w:val="20"/>
        </w:rPr>
        <w:t>(</w:t>
      </w:r>
      <w:r>
        <w:rPr>
          <w:rFonts w:ascii="黑体" w:hAnsi="黑体" w:cs="黑体" w:eastAsia="黑体" w:hint="default"/>
          <w:sz w:val="20"/>
          <w:szCs w:val="20"/>
        </w:rPr>
        <w:t>续</w:t>
      </w:r>
      <w:r>
        <w:rPr>
          <w:rFonts w:ascii="Arial" w:hAnsi="Arial" w:cs="Arial" w:eastAsia="Arial" w:hint="default"/>
          <w:sz w:val="20"/>
          <w:szCs w:val="20"/>
        </w:rPr>
        <w:t>)</w:t>
      </w:r>
    </w:p>
    <w:p>
      <w:pPr>
        <w:spacing w:before="34"/>
        <w:ind w:left="138" w:right="0" w:firstLine="0"/>
        <w:jc w:val="left"/>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w:t>
      </w:r>
    </w:p>
    <w:p>
      <w:pPr>
        <w:spacing w:line="240" w:lineRule="auto" w:before="8"/>
        <w:rPr>
          <w:rFonts w:ascii="黑体" w:hAnsi="黑体" w:cs="黑体" w:eastAsia="黑体" w:hint="default"/>
          <w:sz w:val="15"/>
          <w:szCs w:val="15"/>
        </w:rPr>
      </w:pPr>
    </w:p>
    <w:p>
      <w:pPr>
        <w:spacing w:line="237" w:lineRule="auto" w:before="0"/>
        <w:ind w:left="138" w:right="0" w:firstLine="0"/>
        <w:jc w:val="left"/>
        <w:rPr>
          <w:rFonts w:ascii="黑体" w:hAnsi="黑体" w:cs="黑体" w:eastAsia="黑体" w:hint="default"/>
          <w:sz w:val="20"/>
          <w:szCs w:val="20"/>
        </w:rPr>
      </w:pPr>
      <w:r>
        <w:rPr>
          <w:rFonts w:ascii="黑体" w:hAnsi="黑体" w:cs="黑体" w:eastAsia="黑体" w:hint="default"/>
          <w:i/>
          <w:sz w:val="21"/>
          <w:szCs w:val="21"/>
        </w:rPr>
        <w:t>信用风险显著增加判断标准</w:t>
      </w:r>
      <w:r>
        <w:rPr>
          <w:rFonts w:ascii="黑体" w:hAnsi="黑体" w:cs="黑体" w:eastAsia="黑体" w:hint="default"/>
          <w:i/>
          <w:w w:val="94"/>
          <w:sz w:val="21"/>
          <w:szCs w:val="21"/>
        </w:rPr>
        <w:t> </w:t>
      </w:r>
      <w:r>
        <w:rPr>
          <w:rFonts w:ascii="黑体" w:hAnsi="黑体" w:cs="黑体" w:eastAsia="黑体" w:hint="default"/>
          <w:spacing w:val="-2"/>
          <w:w w:val="99"/>
          <w:sz w:val="20"/>
          <w:szCs w:val="20"/>
        </w:rPr>
        <w:t>本集团在每个资产负债表日评估相关金融工具的信用风险自初始确认后是否已显著增加。在确定</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w w:val="99"/>
          <w:sz w:val="20"/>
          <w:szCs w:val="20"/>
        </w:rPr>
        <w:t>信用风险自初始确认后是否显著增加时，本集团考虑在无须付出不必要的额外成本或努力即可获</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w w:val="95"/>
          <w:sz w:val="20"/>
          <w:szCs w:val="20"/>
        </w:rPr>
        <w:t>得合理且有依据的信息，包括基于本集团历史数据的定性和定量分析、外部信用风险评级以及前</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pacing w:val="-2"/>
          <w:w w:val="95"/>
          <w:sz w:val="20"/>
          <w:szCs w:val="20"/>
        </w:rPr>
        <w:t>瞻性信息。本集团以单项金融工具或者具有相似信用风险特征的金融工具组合为基础，通过比较</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pacing w:val="-2"/>
          <w:w w:val="99"/>
          <w:sz w:val="20"/>
          <w:szCs w:val="20"/>
        </w:rPr>
        <w:t>金融工具在资产负债表日发生违约的风险与在初始确认日发生违约的风险，以确定金融工具预计</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存续期内发生违约风险的变化情况。</w:t>
      </w:r>
    </w:p>
    <w:p>
      <w:pPr>
        <w:spacing w:line="240" w:lineRule="auto" w:before="5"/>
        <w:rPr>
          <w:rFonts w:ascii="黑体" w:hAnsi="黑体" w:cs="黑体" w:eastAsia="黑体" w:hint="default"/>
          <w:sz w:val="19"/>
          <w:szCs w:val="19"/>
        </w:rPr>
      </w:pPr>
    </w:p>
    <w:p>
      <w:pPr>
        <w:spacing w:line="260" w:lineRule="exact" w:before="0"/>
        <w:ind w:left="138" w:right="0" w:firstLine="0"/>
        <w:jc w:val="left"/>
        <w:rPr>
          <w:rFonts w:ascii="黑体" w:hAnsi="黑体" w:cs="黑体" w:eastAsia="黑体" w:hint="default"/>
          <w:sz w:val="20"/>
          <w:szCs w:val="20"/>
        </w:rPr>
      </w:pPr>
      <w:r>
        <w:rPr>
          <w:rFonts w:ascii="黑体" w:hAnsi="黑体" w:cs="黑体" w:eastAsia="黑体" w:hint="default"/>
          <w:spacing w:val="-2"/>
          <w:w w:val="95"/>
          <w:sz w:val="20"/>
          <w:szCs w:val="20"/>
        </w:rPr>
        <w:t>当触发以下一个或多个定量、定性标准或上限指标时，本集团认为金融工具的信用风险已发生显</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著增加：</w:t>
      </w:r>
    </w:p>
    <w:p>
      <w:pPr>
        <w:spacing w:line="240" w:lineRule="auto" w:before="13"/>
        <w:rPr>
          <w:rFonts w:ascii="黑体" w:hAnsi="黑体" w:cs="黑体" w:eastAsia="黑体" w:hint="default"/>
          <w:sz w:val="15"/>
          <w:szCs w:val="15"/>
        </w:rPr>
      </w:pPr>
    </w:p>
    <w:p>
      <w:pPr>
        <w:tabs>
          <w:tab w:pos="586" w:val="left" w:leader="none"/>
        </w:tabs>
        <w:spacing w:line="268" w:lineRule="exact" w:before="0"/>
        <w:ind w:left="138" w:right="0" w:firstLine="0"/>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定量标准主要为报告日剩余存续期违约概率较初始确认时上升超过一定比例；</w:t>
      </w:r>
    </w:p>
    <w:p>
      <w:pPr>
        <w:tabs>
          <w:tab w:pos="586" w:val="left" w:leader="none"/>
        </w:tabs>
        <w:spacing w:line="259" w:lineRule="exact" w:before="0"/>
        <w:ind w:left="138" w:right="0" w:firstLine="0"/>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定性标准主要为债务人经营或财务情况出现重大不利变化、预警客户清单等；</w:t>
      </w:r>
    </w:p>
    <w:p>
      <w:pPr>
        <w:tabs>
          <w:tab w:pos="586" w:val="left" w:leader="none"/>
        </w:tabs>
        <w:spacing w:line="268" w:lineRule="exact" w:before="0"/>
        <w:ind w:left="138" w:right="0" w:firstLine="0"/>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上限指标为债务人合同付款（包括本金和利息）逾期超过</w:t>
      </w:r>
      <w:r>
        <w:rPr>
          <w:rFonts w:ascii="黑体" w:hAnsi="黑体" w:cs="黑体" w:eastAsia="黑体" w:hint="default"/>
          <w:spacing w:val="-49"/>
          <w:sz w:val="20"/>
          <w:szCs w:val="20"/>
        </w:rPr>
        <w:t> </w:t>
      </w:r>
      <w:r>
        <w:rPr>
          <w:rFonts w:ascii="Arial" w:hAnsi="Arial" w:cs="Arial" w:eastAsia="Arial" w:hint="default"/>
          <w:sz w:val="20"/>
          <w:szCs w:val="20"/>
        </w:rPr>
        <w:t>30</w:t>
      </w:r>
      <w:r>
        <w:rPr>
          <w:rFonts w:ascii="Arial" w:hAnsi="Arial" w:cs="Arial" w:eastAsia="Arial" w:hint="default"/>
          <w:spacing w:val="-10"/>
          <w:sz w:val="20"/>
          <w:szCs w:val="20"/>
        </w:rPr>
        <w:t> </w:t>
      </w:r>
      <w:r>
        <w:rPr>
          <w:rFonts w:ascii="黑体" w:hAnsi="黑体" w:cs="黑体" w:eastAsia="黑体" w:hint="default"/>
          <w:sz w:val="20"/>
          <w:szCs w:val="20"/>
        </w:rPr>
        <w:t>天。</w:t>
      </w:r>
    </w:p>
    <w:p>
      <w:pPr>
        <w:spacing w:line="240" w:lineRule="auto" w:before="2"/>
        <w:rPr>
          <w:rFonts w:ascii="黑体" w:hAnsi="黑体" w:cs="黑体" w:eastAsia="黑体" w:hint="default"/>
          <w:sz w:val="18"/>
          <w:szCs w:val="18"/>
        </w:rPr>
      </w:pPr>
    </w:p>
    <w:p>
      <w:pPr>
        <w:spacing w:line="260" w:lineRule="exact" w:before="0"/>
        <w:ind w:left="138" w:right="0" w:firstLine="0"/>
        <w:jc w:val="left"/>
        <w:rPr>
          <w:rFonts w:ascii="黑体" w:hAnsi="黑体" w:cs="黑体" w:eastAsia="黑体" w:hint="default"/>
          <w:sz w:val="20"/>
          <w:szCs w:val="20"/>
        </w:rPr>
      </w:pPr>
      <w:r>
        <w:rPr>
          <w:rFonts w:ascii="黑体" w:hAnsi="黑体" w:cs="黑体" w:eastAsia="黑体" w:hint="default"/>
          <w:i/>
          <w:sz w:val="21"/>
          <w:szCs w:val="21"/>
        </w:rPr>
        <w:t>已发生信用减值资产的定义</w:t>
      </w:r>
      <w:r>
        <w:rPr>
          <w:rFonts w:ascii="黑体" w:hAnsi="黑体" w:cs="黑体" w:eastAsia="黑体" w:hint="default"/>
          <w:i/>
          <w:w w:val="94"/>
          <w:sz w:val="21"/>
          <w:szCs w:val="21"/>
        </w:rPr>
        <w:t> </w:t>
      </w:r>
      <w:r>
        <w:rPr>
          <w:rFonts w:ascii="黑体" w:hAnsi="黑体" w:cs="黑体" w:eastAsia="黑体" w:hint="default"/>
          <w:spacing w:val="-2"/>
          <w:w w:val="95"/>
          <w:sz w:val="20"/>
          <w:szCs w:val="20"/>
        </w:rPr>
        <w:t>为确定是否发生信用减值，本集团所采用的界定标准，与内部针对相关金融工具的信用风险管理</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pacing w:val="-2"/>
          <w:w w:val="95"/>
          <w:sz w:val="20"/>
          <w:szCs w:val="20"/>
        </w:rPr>
        <w:t>目标保持一致，同时考虑定量、定性指标。本集团评估债务人是否发生信用减值时，主要考虑以</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z w:val="20"/>
          <w:szCs w:val="20"/>
        </w:rPr>
        <w:t>下因素：</w:t>
      </w:r>
    </w:p>
    <w:p>
      <w:pPr>
        <w:spacing w:line="240" w:lineRule="auto" w:before="8"/>
        <w:rPr>
          <w:rFonts w:ascii="黑体" w:hAnsi="黑体" w:cs="黑体" w:eastAsia="黑体" w:hint="default"/>
          <w:sz w:val="15"/>
          <w:szCs w:val="15"/>
        </w:rPr>
      </w:pPr>
    </w:p>
    <w:p>
      <w:pPr>
        <w:tabs>
          <w:tab w:pos="613" w:val="left" w:leader="none"/>
        </w:tabs>
        <w:spacing w:line="268" w:lineRule="exact" w:before="0"/>
        <w:ind w:left="138" w:right="0" w:firstLine="0"/>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发行方或债务人发生重大财务困难；</w:t>
      </w:r>
    </w:p>
    <w:p>
      <w:pPr>
        <w:tabs>
          <w:tab w:pos="627" w:val="left" w:leader="none"/>
        </w:tabs>
        <w:spacing w:line="259" w:lineRule="exact" w:before="0"/>
        <w:ind w:left="138" w:right="0" w:firstLine="0"/>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债务人违反合同，如偿付利息或本金违约或逾期等；</w:t>
      </w:r>
    </w:p>
    <w:p>
      <w:pPr>
        <w:tabs>
          <w:tab w:pos="641" w:val="left" w:leader="none"/>
        </w:tabs>
        <w:spacing w:line="260" w:lineRule="exact" w:before="16"/>
        <w:ind w:left="641" w:right="118" w:hanging="504"/>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债权人出于与债务人财务困难有关的经济或合同考虑，给予债务人在任何其他情况下都不</w:t>
      </w:r>
      <w:r>
        <w:rPr>
          <w:rFonts w:ascii="黑体" w:hAnsi="黑体" w:cs="黑体" w:eastAsia="黑体" w:hint="default"/>
          <w:w w:val="99"/>
          <w:sz w:val="20"/>
          <w:szCs w:val="20"/>
        </w:rPr>
        <w:t> </w:t>
      </w:r>
      <w:r>
        <w:rPr>
          <w:rFonts w:ascii="黑体" w:hAnsi="黑体" w:cs="黑体" w:eastAsia="黑体" w:hint="default"/>
          <w:sz w:val="20"/>
          <w:szCs w:val="20"/>
        </w:rPr>
        <w:t>会做出的让步；</w:t>
      </w:r>
    </w:p>
    <w:p>
      <w:pPr>
        <w:tabs>
          <w:tab w:pos="627" w:val="left" w:leader="none"/>
        </w:tabs>
        <w:spacing w:line="242" w:lineRule="exact" w:before="0"/>
        <w:ind w:left="138" w:right="0" w:firstLine="0"/>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债务人很可能破产或进行其他财务重组；</w:t>
      </w:r>
    </w:p>
    <w:p>
      <w:pPr>
        <w:tabs>
          <w:tab w:pos="627" w:val="left" w:leader="none"/>
        </w:tabs>
        <w:spacing w:line="259" w:lineRule="exact" w:before="0"/>
        <w:ind w:left="138" w:right="0" w:firstLine="0"/>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发行方或债务人财务困难导致该金融资产的活跃市场消失；</w:t>
      </w:r>
    </w:p>
    <w:p>
      <w:pPr>
        <w:tabs>
          <w:tab w:pos="627" w:val="left" w:leader="none"/>
        </w:tabs>
        <w:spacing w:line="422" w:lineRule="auto" w:before="0"/>
        <w:ind w:left="138" w:right="228" w:firstLine="0"/>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以大幅折扣购买或源生一项金融资产，该折扣反映了发生信用损失的事实。</w:t>
      </w:r>
      <w:r>
        <w:rPr>
          <w:rFonts w:ascii="黑体" w:hAnsi="黑体" w:cs="黑体" w:eastAsia="黑体" w:hint="default"/>
          <w:w w:val="99"/>
          <w:sz w:val="20"/>
          <w:szCs w:val="20"/>
        </w:rPr>
        <w:t> </w:t>
      </w:r>
      <w:r>
        <w:rPr>
          <w:rFonts w:ascii="黑体" w:hAnsi="黑体" w:cs="黑体" w:eastAsia="黑体" w:hint="default"/>
          <w:sz w:val="20"/>
          <w:szCs w:val="20"/>
        </w:rPr>
        <w:t>金融资产发生信用减值，有可能是多个事件的共同作用所致，未必是可单独识别的事件所致。</w:t>
      </w:r>
    </w:p>
    <w:p>
      <w:pPr>
        <w:spacing w:after="0" w:line="422" w:lineRule="auto"/>
        <w:jc w:val="left"/>
        <w:rPr>
          <w:rFonts w:ascii="黑体" w:hAnsi="黑体" w:cs="黑体" w:eastAsia="黑体" w:hint="default"/>
          <w:sz w:val="20"/>
          <w:szCs w:val="20"/>
        </w:rPr>
        <w:sectPr>
          <w:pgSz w:w="11910" w:h="16850"/>
          <w:pgMar w:header="745" w:footer="921" w:top="980" w:bottom="1120" w:left="166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4"/>
          <w:szCs w:val="24"/>
        </w:rPr>
      </w:pPr>
    </w:p>
    <w:p>
      <w:pPr>
        <w:tabs>
          <w:tab w:pos="1010" w:val="left" w:leader="none"/>
        </w:tabs>
        <w:spacing w:line="424" w:lineRule="auto" w:before="37"/>
        <w:ind w:left="298" w:right="6273" w:firstLine="0"/>
        <w:jc w:val="left"/>
        <w:rPr>
          <w:rFonts w:ascii="Arial" w:hAnsi="Arial" w:cs="Arial" w:eastAsia="Arial" w:hint="default"/>
          <w:sz w:val="20"/>
          <w:szCs w:val="20"/>
        </w:rPr>
      </w:pPr>
      <w:r>
        <w:rPr>
          <w:rFonts w:ascii="Arial" w:hAnsi="Arial" w:cs="Arial" w:eastAsia="Arial" w:hint="default"/>
          <w:b/>
          <w:bCs/>
          <w:spacing w:val="-1"/>
          <w:sz w:val="20"/>
          <w:szCs w:val="20"/>
        </w:rPr>
        <w:t>2.</w:t>
        <w:tab/>
      </w:r>
      <w:r>
        <w:rPr>
          <w:rFonts w:ascii="黑体" w:hAnsi="黑体" w:cs="黑体" w:eastAsia="黑体" w:hint="default"/>
          <w:b/>
          <w:bCs/>
          <w:spacing w:val="1"/>
          <w:w w:val="95"/>
          <w:sz w:val="20"/>
          <w:szCs w:val="20"/>
        </w:rPr>
        <w:t>金融工具风险</w:t>
      </w:r>
      <w:r>
        <w:rPr>
          <w:rFonts w:ascii="Arial" w:hAnsi="Arial" w:cs="Arial" w:eastAsia="Arial" w:hint="default"/>
          <w:b/>
          <w:bCs/>
          <w:spacing w:val="1"/>
          <w:w w:val="95"/>
          <w:sz w:val="20"/>
          <w:szCs w:val="20"/>
        </w:rPr>
        <w:t>(</w:t>
      </w:r>
      <w:r>
        <w:rPr>
          <w:rFonts w:ascii="黑体" w:hAnsi="黑体" w:cs="黑体" w:eastAsia="黑体" w:hint="default"/>
          <w:b/>
          <w:bCs/>
          <w:spacing w:val="1"/>
          <w:w w:val="95"/>
          <w:sz w:val="20"/>
          <w:szCs w:val="20"/>
        </w:rPr>
        <w:t>续</w:t>
      </w:r>
      <w:r>
        <w:rPr>
          <w:rFonts w:ascii="Arial" w:hAnsi="Arial" w:cs="Arial" w:eastAsia="Arial" w:hint="default"/>
          <w:b/>
          <w:bCs/>
          <w:spacing w:val="1"/>
          <w:w w:val="95"/>
          <w:sz w:val="20"/>
          <w:szCs w:val="20"/>
        </w:rPr>
        <w:t>)</w:t>
      </w:r>
      <w:r>
        <w:rPr>
          <w:rFonts w:ascii="Arial" w:hAnsi="Arial" w:cs="Arial" w:eastAsia="Arial" w:hint="default"/>
          <w:b/>
          <w:bCs/>
          <w:spacing w:val="15"/>
          <w:w w:val="95"/>
          <w:sz w:val="20"/>
          <w:szCs w:val="20"/>
        </w:rPr>
        <w:t> </w:t>
      </w:r>
      <w:r>
        <w:rPr>
          <w:rFonts w:ascii="黑体" w:hAnsi="黑体" w:cs="黑体" w:eastAsia="黑体" w:hint="default"/>
          <w:sz w:val="20"/>
          <w:szCs w:val="20"/>
        </w:rPr>
        <w:t>信用风险</w:t>
      </w:r>
      <w:r>
        <w:rPr>
          <w:rFonts w:ascii="Arial" w:hAnsi="Arial" w:cs="Arial" w:eastAsia="Arial" w:hint="default"/>
          <w:sz w:val="20"/>
          <w:szCs w:val="20"/>
        </w:rPr>
        <w:t>(</w:t>
      </w:r>
      <w:r>
        <w:rPr>
          <w:rFonts w:ascii="黑体" w:hAnsi="黑体" w:cs="黑体" w:eastAsia="黑体" w:hint="default"/>
          <w:sz w:val="20"/>
          <w:szCs w:val="20"/>
        </w:rPr>
        <w:t>续</w:t>
      </w:r>
      <w:r>
        <w:rPr>
          <w:rFonts w:ascii="Arial" w:hAnsi="Arial" w:cs="Arial" w:eastAsia="Arial" w:hint="default"/>
          <w:sz w:val="20"/>
          <w:szCs w:val="20"/>
        </w:rPr>
        <w:t>)</w:t>
      </w:r>
    </w:p>
    <w:p>
      <w:pPr>
        <w:spacing w:before="34"/>
        <w:ind w:left="298" w:right="6273" w:firstLine="0"/>
        <w:jc w:val="left"/>
        <w:rPr>
          <w:rFonts w:ascii="Arial" w:hAnsi="Arial" w:cs="Arial" w:eastAsia="Arial"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w:t>
      </w:r>
      <w:r>
        <w:rPr>
          <w:rFonts w:ascii="黑体" w:hAnsi="黑体" w:cs="黑体" w:eastAsia="黑体" w:hint="default"/>
          <w:sz w:val="20"/>
          <w:szCs w:val="20"/>
        </w:rPr>
        <w:t>续</w:t>
      </w:r>
      <w:r>
        <w:rPr>
          <w:rFonts w:ascii="Arial" w:hAnsi="Arial" w:cs="Arial" w:eastAsia="Arial" w:hint="default"/>
          <w:sz w:val="20"/>
          <w:szCs w:val="20"/>
        </w:rPr>
        <w:t>)</w:t>
      </w:r>
    </w:p>
    <w:p>
      <w:pPr>
        <w:spacing w:line="240" w:lineRule="auto" w:before="5"/>
        <w:rPr>
          <w:rFonts w:ascii="Arial" w:hAnsi="Arial" w:cs="Arial" w:eastAsia="Arial" w:hint="default"/>
          <w:sz w:val="18"/>
          <w:szCs w:val="18"/>
        </w:rPr>
      </w:pPr>
    </w:p>
    <w:p>
      <w:pPr>
        <w:spacing w:line="235" w:lineRule="auto" w:before="0"/>
        <w:ind w:left="298" w:right="192" w:firstLine="0"/>
        <w:jc w:val="left"/>
        <w:rPr>
          <w:rFonts w:ascii="黑体" w:hAnsi="黑体" w:cs="黑体" w:eastAsia="黑体" w:hint="default"/>
          <w:sz w:val="20"/>
          <w:szCs w:val="20"/>
        </w:rPr>
      </w:pPr>
      <w:r>
        <w:rPr>
          <w:rFonts w:ascii="黑体" w:hAnsi="黑体" w:cs="黑体" w:eastAsia="黑体" w:hint="default"/>
          <w:i/>
          <w:sz w:val="21"/>
          <w:szCs w:val="21"/>
        </w:rPr>
        <w:t>预期信用损失计量的参数</w:t>
      </w:r>
      <w:r>
        <w:rPr>
          <w:rFonts w:ascii="黑体" w:hAnsi="黑体" w:cs="黑体" w:eastAsia="黑体" w:hint="default"/>
          <w:i/>
          <w:w w:val="94"/>
          <w:sz w:val="21"/>
          <w:szCs w:val="21"/>
        </w:rPr>
        <w:t> </w:t>
      </w:r>
      <w:r>
        <w:rPr>
          <w:rFonts w:ascii="黑体" w:hAnsi="黑体" w:cs="黑体" w:eastAsia="黑体" w:hint="default"/>
          <w:sz w:val="20"/>
          <w:szCs w:val="20"/>
        </w:rPr>
        <w:t>根据信用风险是否发生显著增加以及是否已发生信用减值，本集团对不同的资产分别以</w:t>
      </w:r>
      <w:r>
        <w:rPr>
          <w:rFonts w:ascii="黑体" w:hAnsi="黑体" w:cs="黑体" w:eastAsia="黑体" w:hint="default"/>
          <w:spacing w:val="-50"/>
          <w:sz w:val="20"/>
          <w:szCs w:val="20"/>
        </w:rPr>
        <w:t> </w:t>
      </w:r>
      <w:r>
        <w:rPr>
          <w:rFonts w:ascii="Arial" w:hAnsi="Arial" w:cs="Arial" w:eastAsia="Arial" w:hint="default"/>
          <w:sz w:val="20"/>
          <w:szCs w:val="20"/>
        </w:rPr>
        <w:t>12</w:t>
      </w:r>
      <w:r>
        <w:rPr>
          <w:rFonts w:ascii="Arial" w:hAnsi="Arial" w:cs="Arial" w:eastAsia="Arial" w:hint="default"/>
          <w:spacing w:val="-14"/>
          <w:sz w:val="20"/>
          <w:szCs w:val="20"/>
        </w:rPr>
        <w:t> </w:t>
      </w:r>
      <w:r>
        <w:rPr>
          <w:rFonts w:ascii="黑体" w:hAnsi="黑体" w:cs="黑体" w:eastAsia="黑体" w:hint="default"/>
          <w:sz w:val="20"/>
          <w:szCs w:val="20"/>
        </w:rPr>
        <w:t>个月</w:t>
      </w:r>
      <w:r>
        <w:rPr>
          <w:rFonts w:ascii="黑体" w:hAnsi="黑体" w:cs="黑体" w:eastAsia="黑体" w:hint="default"/>
          <w:spacing w:val="2"/>
          <w:w w:val="99"/>
          <w:sz w:val="20"/>
          <w:szCs w:val="20"/>
        </w:rPr>
        <w:t> </w:t>
      </w:r>
      <w:r>
        <w:rPr>
          <w:rFonts w:ascii="黑体" w:hAnsi="黑体" w:cs="黑体" w:eastAsia="黑体" w:hint="default"/>
          <w:spacing w:val="-2"/>
          <w:sz w:val="20"/>
          <w:szCs w:val="20"/>
        </w:rPr>
        <w:t>或整个存续期的预期信用损失计量减值准备。预期信用损失计量的关键参数包括违约概率、违约</w:t>
      </w:r>
      <w:r>
        <w:rPr>
          <w:rFonts w:ascii="黑体" w:hAnsi="黑体" w:cs="黑体" w:eastAsia="黑体" w:hint="default"/>
          <w:w w:val="99"/>
          <w:sz w:val="20"/>
          <w:szCs w:val="20"/>
        </w:rPr>
        <w:t> </w:t>
      </w:r>
      <w:r>
        <w:rPr>
          <w:rFonts w:ascii="黑体" w:hAnsi="黑体" w:cs="黑体" w:eastAsia="黑体" w:hint="default"/>
          <w:spacing w:val="-7"/>
          <w:w w:val="99"/>
          <w:sz w:val="20"/>
          <w:szCs w:val="20"/>
        </w:rPr>
        <w:t>损失率和违约风险敞口。本集团考虑历史统计数据（如交易对手评级、担保方式及抵质押物类别、</w:t>
      </w:r>
      <w:r>
        <w:rPr>
          <w:rFonts w:ascii="黑体" w:hAnsi="黑体" w:cs="黑体" w:eastAsia="黑体" w:hint="default"/>
          <w:spacing w:val="-59"/>
          <w:w w:val="99"/>
          <w:sz w:val="20"/>
          <w:szCs w:val="20"/>
        </w:rPr>
        <w:t> </w:t>
      </w:r>
      <w:r>
        <w:rPr>
          <w:rFonts w:ascii="黑体" w:hAnsi="黑体" w:cs="黑体" w:eastAsia="黑体" w:hint="default"/>
          <w:spacing w:val="-59"/>
          <w:w w:val="99"/>
          <w:sz w:val="20"/>
          <w:szCs w:val="20"/>
        </w:rPr>
      </w:r>
      <w:r>
        <w:rPr>
          <w:rFonts w:ascii="黑体" w:hAnsi="黑体" w:cs="黑体" w:eastAsia="黑体" w:hint="default"/>
          <w:sz w:val="20"/>
          <w:szCs w:val="20"/>
        </w:rPr>
        <w:t>还款方式等）的定量分析及前瞻性信息，建立违约概率、违约损失率及违约风险敞口模型。</w:t>
      </w:r>
    </w:p>
    <w:p>
      <w:pPr>
        <w:spacing w:line="240" w:lineRule="auto" w:before="7"/>
        <w:rPr>
          <w:rFonts w:ascii="黑体" w:hAnsi="黑体" w:cs="黑体" w:eastAsia="黑体" w:hint="default"/>
          <w:sz w:val="17"/>
          <w:szCs w:val="17"/>
        </w:rPr>
      </w:pPr>
    </w:p>
    <w:p>
      <w:pPr>
        <w:spacing w:before="0"/>
        <w:ind w:left="298" w:right="6273" w:firstLine="0"/>
        <w:jc w:val="left"/>
        <w:rPr>
          <w:rFonts w:ascii="黑体" w:hAnsi="黑体" w:cs="黑体" w:eastAsia="黑体" w:hint="default"/>
          <w:sz w:val="20"/>
          <w:szCs w:val="20"/>
        </w:rPr>
      </w:pPr>
      <w:r>
        <w:rPr>
          <w:rFonts w:ascii="黑体" w:hAnsi="黑体" w:cs="黑体" w:eastAsia="黑体" w:hint="default"/>
          <w:sz w:val="20"/>
          <w:szCs w:val="20"/>
        </w:rPr>
        <w:t>相关定义如下：</w:t>
      </w:r>
    </w:p>
    <w:p>
      <w:pPr>
        <w:spacing w:line="240" w:lineRule="auto" w:before="10"/>
        <w:rPr>
          <w:rFonts w:ascii="黑体" w:hAnsi="黑体" w:cs="黑体" w:eastAsia="黑体" w:hint="default"/>
          <w:sz w:val="17"/>
          <w:szCs w:val="17"/>
        </w:rPr>
      </w:pPr>
    </w:p>
    <w:p>
      <w:pPr>
        <w:tabs>
          <w:tab w:pos="773" w:val="left" w:leader="none"/>
        </w:tabs>
        <w:spacing w:line="232" w:lineRule="auto" w:before="0"/>
        <w:ind w:left="773" w:right="113" w:hanging="476"/>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sz w:val="20"/>
          <w:szCs w:val="20"/>
        </w:rPr>
        <w:t>违约概率是指债务人在未来</w:t>
      </w:r>
      <w:r>
        <w:rPr>
          <w:rFonts w:ascii="黑体" w:hAnsi="黑体" w:cs="黑体" w:eastAsia="黑体" w:hint="default"/>
          <w:spacing w:val="-43"/>
          <w:sz w:val="20"/>
          <w:szCs w:val="20"/>
        </w:rPr>
        <w:t> </w:t>
      </w:r>
      <w:r>
        <w:rPr>
          <w:rFonts w:ascii="Arial" w:hAnsi="Arial" w:cs="Arial" w:eastAsia="Arial" w:hint="default"/>
          <w:sz w:val="20"/>
          <w:szCs w:val="20"/>
        </w:rPr>
        <w:t>12</w:t>
      </w:r>
      <w:r>
        <w:rPr>
          <w:rFonts w:ascii="Arial" w:hAnsi="Arial" w:cs="Arial" w:eastAsia="Arial" w:hint="default"/>
          <w:spacing w:val="-3"/>
          <w:sz w:val="20"/>
          <w:szCs w:val="20"/>
        </w:rPr>
        <w:t> </w:t>
      </w:r>
      <w:r>
        <w:rPr>
          <w:rFonts w:ascii="黑体" w:hAnsi="黑体" w:cs="黑体" w:eastAsia="黑体" w:hint="default"/>
          <w:sz w:val="20"/>
          <w:szCs w:val="20"/>
        </w:rPr>
        <w:t>个月或在整个剩余存续期，无法履行其偿付义务的可能性。</w:t>
      </w:r>
      <w:r>
        <w:rPr>
          <w:rFonts w:ascii="黑体" w:hAnsi="黑体" w:cs="黑体" w:eastAsia="黑体" w:hint="default"/>
          <w:w w:val="99"/>
          <w:sz w:val="20"/>
          <w:szCs w:val="20"/>
        </w:rPr>
        <w:t> </w:t>
      </w:r>
      <w:r>
        <w:rPr>
          <w:rFonts w:ascii="黑体" w:hAnsi="黑体" w:cs="黑体" w:eastAsia="黑体" w:hint="default"/>
          <w:sz w:val="20"/>
          <w:szCs w:val="20"/>
        </w:rPr>
        <w:t>本集团的违约概率以预期信用损失模型结果为基础进行调整，加入前瞻性信息，以反映当</w:t>
      </w:r>
      <w:r>
        <w:rPr>
          <w:rFonts w:ascii="黑体" w:hAnsi="黑体" w:cs="黑体" w:eastAsia="黑体" w:hint="default"/>
          <w:spacing w:val="2"/>
          <w:w w:val="99"/>
          <w:sz w:val="20"/>
          <w:szCs w:val="20"/>
        </w:rPr>
        <w:t> </w:t>
      </w:r>
      <w:r>
        <w:rPr>
          <w:rFonts w:ascii="黑体" w:hAnsi="黑体" w:cs="黑体" w:eastAsia="黑体" w:hint="default"/>
          <w:sz w:val="20"/>
          <w:szCs w:val="20"/>
        </w:rPr>
        <w:t>前宏观经济环境下债务人违约概率；</w:t>
      </w:r>
    </w:p>
    <w:p>
      <w:pPr>
        <w:spacing w:line="260" w:lineRule="exact" w:before="24"/>
        <w:ind w:left="773" w:right="218" w:hanging="476"/>
        <w:jc w:val="both"/>
        <w:rPr>
          <w:rFonts w:ascii="黑体" w:hAnsi="黑体" w:cs="黑体" w:eastAsia="黑体" w:hint="default"/>
          <w:sz w:val="20"/>
          <w:szCs w:val="20"/>
        </w:rPr>
      </w:pPr>
      <w:r>
        <w:rPr>
          <w:rFonts w:ascii="Symbol" w:hAnsi="Symbol" w:cs="Symbol" w:eastAsia="Symbol" w:hint="default"/>
          <w:sz w:val="20"/>
          <w:szCs w:val="20"/>
        </w:rPr>
        <w:t></w:t>
      </w:r>
      <w:r>
        <w:rPr>
          <w:rFonts w:ascii="Symbol" w:hAnsi="Symbol" w:cs="Symbol" w:eastAsia="Symbol" w:hint="default"/>
          <w:spacing w:val="8"/>
          <w:sz w:val="20"/>
          <w:szCs w:val="20"/>
        </w:rPr>
        <w:t></w:t>
      </w:r>
      <w:r>
        <w:rPr>
          <w:rFonts w:ascii="Times New Roman" w:hAnsi="Times New Roman" w:cs="Times New Roman" w:eastAsia="Times New Roman" w:hint="default"/>
          <w:spacing w:val="8"/>
          <w:sz w:val="20"/>
          <w:szCs w:val="20"/>
        </w:rPr>
      </w:r>
      <w:r>
        <w:rPr>
          <w:rFonts w:ascii="黑体" w:hAnsi="黑体" w:cs="黑体" w:eastAsia="黑体" w:hint="default"/>
          <w:sz w:val="20"/>
          <w:szCs w:val="20"/>
        </w:rPr>
        <w:t>违约损失率是指本集团对违约风险暴露发生损失程度作出的预期。根据交易对手的类型、</w:t>
      </w:r>
      <w:r>
        <w:rPr>
          <w:rFonts w:ascii="黑体" w:hAnsi="黑体" w:cs="黑体" w:eastAsia="黑体" w:hint="default"/>
          <w:w w:val="99"/>
          <w:sz w:val="20"/>
          <w:szCs w:val="20"/>
        </w:rPr>
        <w:t> </w:t>
      </w:r>
      <w:r>
        <w:rPr>
          <w:rFonts w:ascii="黑体" w:hAnsi="黑体" w:cs="黑体" w:eastAsia="黑体" w:hint="default"/>
          <w:sz w:val="20"/>
          <w:szCs w:val="20"/>
        </w:rPr>
        <w:t>追索的方式和优先级，以及担保品的不同，违约损失率也有所不同。违约损失率为违约发</w:t>
      </w:r>
      <w:r>
        <w:rPr>
          <w:rFonts w:ascii="黑体" w:hAnsi="黑体" w:cs="黑体" w:eastAsia="黑体" w:hint="default"/>
          <w:w w:val="99"/>
          <w:sz w:val="20"/>
          <w:szCs w:val="20"/>
        </w:rPr>
        <w:t> </w:t>
      </w:r>
      <w:r>
        <w:rPr>
          <w:rFonts w:ascii="黑体" w:hAnsi="黑体" w:cs="黑体" w:eastAsia="黑体" w:hint="default"/>
          <w:sz w:val="20"/>
          <w:szCs w:val="20"/>
        </w:rPr>
        <w:t>生时风险敞口损失的百分比，以未来</w:t>
      </w:r>
      <w:r>
        <w:rPr>
          <w:rFonts w:ascii="黑体" w:hAnsi="黑体" w:cs="黑体" w:eastAsia="黑体" w:hint="default"/>
          <w:spacing w:val="-50"/>
          <w:sz w:val="20"/>
          <w:szCs w:val="20"/>
        </w:rPr>
        <w:t> </w:t>
      </w:r>
      <w:r>
        <w:rPr>
          <w:rFonts w:ascii="Arial" w:hAnsi="Arial" w:cs="Arial" w:eastAsia="Arial" w:hint="default"/>
          <w:sz w:val="20"/>
          <w:szCs w:val="20"/>
        </w:rPr>
        <w:t>12</w:t>
      </w:r>
      <w:r>
        <w:rPr>
          <w:rFonts w:ascii="Arial" w:hAnsi="Arial" w:cs="Arial" w:eastAsia="Arial" w:hint="default"/>
          <w:spacing w:val="-10"/>
          <w:sz w:val="20"/>
          <w:szCs w:val="20"/>
        </w:rPr>
        <w:t> </w:t>
      </w:r>
      <w:r>
        <w:rPr>
          <w:rFonts w:ascii="黑体" w:hAnsi="黑体" w:cs="黑体" w:eastAsia="黑体" w:hint="default"/>
          <w:sz w:val="20"/>
          <w:szCs w:val="20"/>
        </w:rPr>
        <w:t>个月内或整个存续期为基准进行计算；</w:t>
      </w:r>
    </w:p>
    <w:p>
      <w:pPr>
        <w:tabs>
          <w:tab w:pos="773" w:val="left" w:leader="none"/>
        </w:tabs>
        <w:spacing w:line="260" w:lineRule="exact" w:before="0"/>
        <w:ind w:left="773" w:right="216" w:hanging="476"/>
        <w:jc w:val="left"/>
        <w:rPr>
          <w:rFonts w:ascii="黑体" w:hAnsi="黑体" w:cs="黑体" w:eastAsia="黑体" w:hint="default"/>
          <w:sz w:val="20"/>
          <w:szCs w:val="20"/>
        </w:rPr>
      </w:pPr>
      <w:r>
        <w:rPr>
          <w:rFonts w:ascii="Symbol" w:hAnsi="Symbol" w:cs="Symbol" w:eastAsia="Symbol" w:hint="default"/>
          <w:w w:val="95"/>
          <w:sz w:val="20"/>
          <w:szCs w:val="20"/>
        </w:rPr>
        <w:t></w:t>
      </w:r>
      <w:r>
        <w:rPr>
          <w:rFonts w:ascii="Times New Roman" w:hAnsi="Times New Roman" w:cs="Times New Roman" w:eastAsia="Times New Roman" w:hint="default"/>
          <w:w w:val="95"/>
          <w:sz w:val="20"/>
          <w:szCs w:val="20"/>
        </w:rPr>
        <w:tab/>
      </w:r>
      <w:r>
        <w:rPr>
          <w:rFonts w:ascii="黑体" w:hAnsi="黑体" w:cs="黑体" w:eastAsia="黑体" w:hint="default"/>
          <w:w w:val="95"/>
          <w:sz w:val="20"/>
          <w:szCs w:val="20"/>
        </w:rPr>
        <w:t>违约风险敞口是指，在未来  </w:t>
      </w:r>
      <w:r>
        <w:rPr>
          <w:rFonts w:ascii="Arial" w:hAnsi="Arial" w:cs="Arial" w:eastAsia="Arial" w:hint="default"/>
          <w:w w:val="95"/>
          <w:sz w:val="20"/>
          <w:szCs w:val="20"/>
        </w:rPr>
        <w:t>12  </w:t>
      </w:r>
      <w:r>
        <w:rPr>
          <w:rFonts w:ascii="Arial" w:hAnsi="Arial" w:cs="Arial" w:eastAsia="Arial" w:hint="default"/>
          <w:spacing w:val="49"/>
          <w:w w:val="95"/>
          <w:sz w:val="20"/>
          <w:szCs w:val="20"/>
        </w:rPr>
        <w:t> </w:t>
      </w:r>
      <w:r>
        <w:rPr>
          <w:rFonts w:ascii="黑体" w:hAnsi="黑体" w:cs="黑体" w:eastAsia="黑体" w:hint="default"/>
          <w:w w:val="95"/>
          <w:sz w:val="20"/>
          <w:szCs w:val="20"/>
        </w:rPr>
        <w:t>个月或在整个剩余存续期中，在违约发生时，本集团应被偿</w:t>
      </w:r>
      <w:r>
        <w:rPr>
          <w:rFonts w:ascii="黑体" w:hAnsi="黑体" w:cs="黑体" w:eastAsia="黑体" w:hint="default"/>
          <w:w w:val="99"/>
          <w:sz w:val="20"/>
          <w:szCs w:val="20"/>
        </w:rPr>
        <w:t> </w:t>
      </w:r>
      <w:r>
        <w:rPr>
          <w:rFonts w:ascii="黑体" w:hAnsi="黑体" w:cs="黑体" w:eastAsia="黑体" w:hint="default"/>
          <w:sz w:val="20"/>
          <w:szCs w:val="20"/>
        </w:rPr>
        <w:t>付的金额。</w:t>
      </w:r>
    </w:p>
    <w:p>
      <w:pPr>
        <w:spacing w:line="240" w:lineRule="auto" w:before="7"/>
        <w:rPr>
          <w:rFonts w:ascii="黑体" w:hAnsi="黑体" w:cs="黑体" w:eastAsia="黑体" w:hint="default"/>
          <w:sz w:val="17"/>
          <w:szCs w:val="17"/>
        </w:rPr>
      </w:pPr>
    </w:p>
    <w:p>
      <w:pPr>
        <w:spacing w:line="260" w:lineRule="exact" w:before="0"/>
        <w:ind w:left="298" w:right="192" w:firstLine="0"/>
        <w:jc w:val="left"/>
        <w:rPr>
          <w:rFonts w:ascii="黑体" w:hAnsi="黑体" w:cs="黑体" w:eastAsia="黑体" w:hint="default"/>
          <w:sz w:val="20"/>
          <w:szCs w:val="20"/>
        </w:rPr>
      </w:pPr>
      <w:r>
        <w:rPr>
          <w:rFonts w:ascii="黑体" w:hAnsi="黑体" w:cs="黑体" w:eastAsia="黑体" w:hint="default"/>
          <w:spacing w:val="-2"/>
          <w:w w:val="99"/>
          <w:sz w:val="20"/>
          <w:szCs w:val="20"/>
        </w:rPr>
        <w:t>信用风险显著增加的评估及预期信用损失的计算均涉及前瞻性信息。本集团通过进行历史数据分</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析，识别出影响各业务类型信用风险及预期信用损失的关键经济指标。</w:t>
      </w:r>
    </w:p>
    <w:p>
      <w:pPr>
        <w:spacing w:line="240" w:lineRule="auto" w:before="8"/>
        <w:rPr>
          <w:rFonts w:ascii="黑体" w:hAnsi="黑体" w:cs="黑体" w:eastAsia="黑体" w:hint="default"/>
          <w:sz w:val="17"/>
          <w:szCs w:val="17"/>
        </w:rPr>
      </w:pPr>
    </w:p>
    <w:p>
      <w:pPr>
        <w:spacing w:line="260" w:lineRule="exact" w:before="0"/>
        <w:ind w:left="298" w:right="215" w:firstLine="0"/>
        <w:jc w:val="both"/>
        <w:rPr>
          <w:rFonts w:ascii="黑体" w:hAnsi="黑体" w:cs="黑体" w:eastAsia="黑体" w:hint="default"/>
          <w:sz w:val="20"/>
          <w:szCs w:val="20"/>
        </w:rPr>
      </w:pPr>
      <w:r>
        <w:rPr>
          <w:rFonts w:ascii="黑体" w:hAnsi="黑体" w:cs="黑体" w:eastAsia="黑体" w:hint="default"/>
          <w:spacing w:val="-2"/>
          <w:w w:val="95"/>
          <w:sz w:val="20"/>
          <w:szCs w:val="20"/>
        </w:rPr>
        <w:t>这些经济指标对违约概率和违约损失率的影响，对不同的业务类型有所不同。本集团在此过程中</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pacing w:val="-2"/>
          <w:w w:val="95"/>
          <w:sz w:val="20"/>
          <w:szCs w:val="20"/>
        </w:rPr>
        <w:t>应用了专家判断，根据专家判断的结果，每季度对这些经济指标进行预测，并通过进行回归分析</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确定这些经济指标对违约概率和违约损失率的影响。</w:t>
      </w:r>
    </w:p>
    <w:p>
      <w:pPr>
        <w:spacing w:line="240" w:lineRule="auto" w:before="9"/>
        <w:rPr>
          <w:rFonts w:ascii="黑体" w:hAnsi="黑体" w:cs="黑体" w:eastAsia="黑体" w:hint="default"/>
          <w:sz w:val="14"/>
          <w:szCs w:val="14"/>
        </w:rPr>
      </w:pPr>
    </w:p>
    <w:p>
      <w:pPr>
        <w:spacing w:before="0"/>
        <w:ind w:left="298" w:right="6273" w:firstLine="0"/>
        <w:jc w:val="left"/>
        <w:rPr>
          <w:rFonts w:ascii="黑体" w:hAnsi="黑体" w:cs="黑体" w:eastAsia="黑体" w:hint="default"/>
          <w:sz w:val="21"/>
          <w:szCs w:val="21"/>
        </w:rPr>
      </w:pPr>
      <w:r>
        <w:rPr>
          <w:rFonts w:ascii="黑体" w:hAnsi="黑体" w:cs="黑体" w:eastAsia="黑体" w:hint="default"/>
          <w:i/>
          <w:sz w:val="21"/>
          <w:szCs w:val="21"/>
        </w:rPr>
        <w:t>信用风险敞口</w:t>
      </w:r>
      <w:r>
        <w:rPr>
          <w:rFonts w:ascii="黑体" w:hAnsi="黑体" w:cs="黑体" w:eastAsia="黑体" w:hint="default"/>
          <w:sz w:val="21"/>
          <w:szCs w:val="21"/>
        </w:rPr>
      </w:r>
    </w:p>
    <w:p>
      <w:pPr>
        <w:spacing w:line="240" w:lineRule="auto" w:before="12"/>
        <w:rPr>
          <w:rFonts w:ascii="黑体" w:hAnsi="黑体" w:cs="黑体" w:eastAsia="黑体" w:hint="default"/>
          <w:i/>
          <w:sz w:val="16"/>
          <w:szCs w:val="16"/>
        </w:rPr>
      </w:pPr>
    </w:p>
    <w:p>
      <w:pPr>
        <w:spacing w:before="0"/>
        <w:ind w:left="298" w:right="192" w:firstLine="0"/>
        <w:jc w:val="left"/>
        <w:rPr>
          <w:rFonts w:ascii="黑体" w:hAnsi="黑体" w:cs="黑体" w:eastAsia="黑体" w:hint="default"/>
          <w:sz w:val="20"/>
          <w:szCs w:val="20"/>
        </w:rPr>
      </w:pPr>
      <w:r>
        <w:rPr>
          <w:rFonts w:ascii="黑体" w:hAnsi="黑体" w:cs="黑体" w:eastAsia="黑体" w:hint="default"/>
          <w:sz w:val="20"/>
          <w:szCs w:val="20"/>
        </w:rPr>
        <w:t>按照内部评级进行信用风险分级的金融资产风险敞口：</w:t>
      </w:r>
    </w:p>
    <w:p>
      <w:pPr>
        <w:spacing w:line="240" w:lineRule="auto" w:before="7"/>
        <w:rPr>
          <w:rFonts w:ascii="黑体" w:hAnsi="黑体" w:cs="黑体" w:eastAsia="黑体" w:hint="default"/>
          <w:sz w:val="22"/>
          <w:szCs w:val="22"/>
        </w:rPr>
      </w:pPr>
    </w:p>
    <w:tbl>
      <w:tblPr>
        <w:tblW w:w="0" w:type="auto"/>
        <w:jc w:val="left"/>
        <w:tblInd w:w="112" w:type="dxa"/>
        <w:tblLayout w:type="fixed"/>
        <w:tblCellMar>
          <w:top w:w="0" w:type="dxa"/>
          <w:left w:w="0" w:type="dxa"/>
          <w:bottom w:w="0" w:type="dxa"/>
          <w:right w:w="0" w:type="dxa"/>
        </w:tblCellMar>
        <w:tblLook w:val="01E0"/>
      </w:tblPr>
      <w:tblGrid>
        <w:gridCol w:w="3873"/>
        <w:gridCol w:w="2591"/>
        <w:gridCol w:w="1883"/>
      </w:tblGrid>
      <w:tr>
        <w:trPr>
          <w:trHeight w:val="234" w:hRule="exact"/>
        </w:trPr>
        <w:tc>
          <w:tcPr>
            <w:tcW w:w="3873" w:type="dxa"/>
            <w:tcBorders>
              <w:top w:val="nil" w:sz="6" w:space="0" w:color="auto"/>
              <w:left w:val="nil" w:sz="6" w:space="0" w:color="auto"/>
              <w:bottom w:val="nil" w:sz="6" w:space="0" w:color="auto"/>
              <w:right w:val="nil" w:sz="6" w:space="0" w:color="auto"/>
            </w:tcBorders>
          </w:tcPr>
          <w:p>
            <w:pPr>
              <w:pStyle w:val="TableParagraph"/>
              <w:spacing w:line="214" w:lineRule="exact"/>
              <w:ind w:left="200" w:right="0"/>
              <w:jc w:val="left"/>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w:t>
            </w:r>
          </w:p>
        </w:tc>
        <w:tc>
          <w:tcPr>
            <w:tcW w:w="4474" w:type="dxa"/>
            <w:gridSpan w:val="2"/>
            <w:tcBorders>
              <w:top w:val="nil" w:sz="6" w:space="0" w:color="auto"/>
              <w:left w:val="nil" w:sz="6" w:space="0" w:color="auto"/>
              <w:bottom w:val="single" w:sz="4" w:space="0" w:color="000000"/>
              <w:right w:val="nil" w:sz="6" w:space="0" w:color="auto"/>
            </w:tcBorders>
          </w:tcPr>
          <w:p>
            <w:pPr>
              <w:pStyle w:val="TableParagraph"/>
              <w:spacing w:line="214" w:lineRule="exact"/>
              <w:ind w:left="1471" w:right="0"/>
              <w:jc w:val="left"/>
              <w:rPr>
                <w:rFonts w:ascii="Arial" w:hAnsi="Arial" w:cs="Arial" w:eastAsia="Arial" w:hint="default"/>
                <w:sz w:val="20"/>
                <w:szCs w:val="20"/>
              </w:rPr>
            </w:pPr>
            <w:r>
              <w:rPr>
                <w:rFonts w:ascii="黑体" w:hAnsi="黑体" w:cs="黑体" w:eastAsia="黑体" w:hint="default"/>
                <w:sz w:val="20"/>
                <w:szCs w:val="20"/>
              </w:rPr>
              <w:t>账面余额</w:t>
            </w:r>
            <w:r>
              <w:rPr>
                <w:rFonts w:ascii="Arial" w:hAnsi="Arial" w:cs="Arial" w:eastAsia="Arial" w:hint="default"/>
                <w:sz w:val="20"/>
                <w:szCs w:val="20"/>
              </w:rPr>
              <w:t>(</w:t>
            </w:r>
            <w:r>
              <w:rPr>
                <w:rFonts w:ascii="黑体" w:hAnsi="黑体" w:cs="黑体" w:eastAsia="黑体" w:hint="default"/>
                <w:sz w:val="20"/>
                <w:szCs w:val="20"/>
              </w:rPr>
              <w:t>无担保</w:t>
            </w:r>
            <w:r>
              <w:rPr>
                <w:rFonts w:ascii="Arial" w:hAnsi="Arial" w:cs="Arial" w:eastAsia="Arial" w:hint="default"/>
                <w:sz w:val="20"/>
                <w:szCs w:val="20"/>
              </w:rPr>
              <w:t>)</w:t>
            </w:r>
          </w:p>
        </w:tc>
      </w:tr>
      <w:tr>
        <w:trPr>
          <w:trHeight w:val="264" w:hRule="exact"/>
        </w:trPr>
        <w:tc>
          <w:tcPr>
            <w:tcW w:w="3873" w:type="dxa"/>
            <w:tcBorders>
              <w:top w:val="nil" w:sz="6" w:space="0" w:color="auto"/>
              <w:left w:val="nil" w:sz="6" w:space="0" w:color="auto"/>
              <w:bottom w:val="nil" w:sz="6" w:space="0" w:color="auto"/>
              <w:right w:val="nil" w:sz="6" w:space="0" w:color="auto"/>
            </w:tcBorders>
          </w:tcPr>
          <w:p>
            <w:pPr/>
          </w:p>
        </w:tc>
        <w:tc>
          <w:tcPr>
            <w:tcW w:w="2591" w:type="dxa"/>
            <w:tcBorders>
              <w:top w:val="single" w:sz="4" w:space="0" w:color="000000"/>
              <w:left w:val="nil" w:sz="6" w:space="0" w:color="auto"/>
              <w:bottom w:val="nil" w:sz="6" w:space="0" w:color="auto"/>
              <w:right w:val="nil" w:sz="6" w:space="0" w:color="auto"/>
            </w:tcBorders>
          </w:tcPr>
          <w:p>
            <w:pPr>
              <w:pStyle w:val="TableParagraph"/>
              <w:spacing w:line="230" w:lineRule="exact"/>
              <w:ind w:right="601"/>
              <w:jc w:val="right"/>
              <w:rPr>
                <w:rFonts w:ascii="黑体" w:hAnsi="黑体" w:cs="黑体" w:eastAsia="黑体" w:hint="default"/>
                <w:sz w:val="20"/>
                <w:szCs w:val="20"/>
              </w:rPr>
            </w:pPr>
            <w:r>
              <w:rPr>
                <w:rFonts w:ascii="黑体" w:hAnsi="黑体" w:cs="黑体" w:eastAsia="黑体" w:hint="default"/>
                <w:sz w:val="20"/>
                <w:szCs w:val="20"/>
              </w:rPr>
              <w:t>未来</w:t>
            </w:r>
            <w:r>
              <w:rPr>
                <w:rFonts w:ascii="黑体" w:hAnsi="黑体" w:cs="黑体" w:eastAsia="黑体" w:hint="default"/>
                <w:sz w:val="20"/>
                <w:szCs w:val="20"/>
              </w:rPr>
              <w:t>12</w:t>
            </w:r>
            <w:r>
              <w:rPr>
                <w:rFonts w:ascii="黑体" w:hAnsi="黑体" w:cs="黑体" w:eastAsia="黑体" w:hint="default"/>
                <w:sz w:val="20"/>
                <w:szCs w:val="20"/>
              </w:rPr>
              <w:t>个月</w:t>
            </w:r>
          </w:p>
        </w:tc>
        <w:tc>
          <w:tcPr>
            <w:tcW w:w="1883" w:type="dxa"/>
            <w:tcBorders>
              <w:top w:val="single" w:sz="4" w:space="0" w:color="000000"/>
              <w:left w:val="nil" w:sz="6" w:space="0" w:color="auto"/>
              <w:bottom w:val="nil" w:sz="6" w:space="0" w:color="auto"/>
              <w:right w:val="nil" w:sz="6" w:space="0" w:color="auto"/>
            </w:tcBorders>
          </w:tcPr>
          <w:p>
            <w:pPr>
              <w:pStyle w:val="TableParagraph"/>
              <w:spacing w:line="230" w:lineRule="exact"/>
              <w:ind w:right="0"/>
              <w:jc w:val="right"/>
              <w:rPr>
                <w:rFonts w:ascii="黑体" w:hAnsi="黑体" w:cs="黑体" w:eastAsia="黑体" w:hint="default"/>
                <w:sz w:val="20"/>
                <w:szCs w:val="20"/>
              </w:rPr>
            </w:pPr>
            <w:r>
              <w:rPr>
                <w:rFonts w:ascii="黑体" w:hAnsi="黑体" w:cs="黑体" w:eastAsia="黑体" w:hint="default"/>
                <w:sz w:val="20"/>
                <w:szCs w:val="20"/>
              </w:rPr>
              <w:t>整个存续期</w:t>
            </w:r>
          </w:p>
        </w:tc>
      </w:tr>
      <w:tr>
        <w:trPr>
          <w:trHeight w:val="259" w:hRule="exact"/>
        </w:trPr>
        <w:tc>
          <w:tcPr>
            <w:tcW w:w="3873" w:type="dxa"/>
            <w:tcBorders>
              <w:top w:val="nil" w:sz="6" w:space="0" w:color="auto"/>
              <w:left w:val="nil" w:sz="6" w:space="0" w:color="auto"/>
              <w:bottom w:val="nil" w:sz="6" w:space="0" w:color="auto"/>
              <w:right w:val="nil" w:sz="6" w:space="0" w:color="auto"/>
            </w:tcBorders>
          </w:tcPr>
          <w:p>
            <w:pPr/>
          </w:p>
        </w:tc>
        <w:tc>
          <w:tcPr>
            <w:tcW w:w="2591" w:type="dxa"/>
            <w:tcBorders>
              <w:top w:val="nil" w:sz="6" w:space="0" w:color="auto"/>
              <w:left w:val="nil" w:sz="6" w:space="0" w:color="auto"/>
              <w:bottom w:val="nil" w:sz="6" w:space="0" w:color="auto"/>
              <w:right w:val="nil" w:sz="6" w:space="0" w:color="auto"/>
            </w:tcBorders>
          </w:tcPr>
          <w:p>
            <w:pPr>
              <w:pStyle w:val="TableParagraph"/>
              <w:spacing w:line="229" w:lineRule="exact"/>
              <w:ind w:right="604"/>
              <w:jc w:val="right"/>
              <w:rPr>
                <w:rFonts w:ascii="黑体" w:hAnsi="黑体" w:cs="黑体" w:eastAsia="黑体" w:hint="default"/>
                <w:sz w:val="20"/>
                <w:szCs w:val="20"/>
              </w:rPr>
            </w:pPr>
            <w:r>
              <w:rPr>
                <w:rFonts w:ascii="黑体" w:hAnsi="黑体" w:cs="黑体" w:eastAsia="黑体" w:hint="default"/>
                <w:w w:val="95"/>
                <w:sz w:val="20"/>
                <w:szCs w:val="20"/>
              </w:rPr>
              <w:t>预期信用损失</w:t>
            </w:r>
            <w:r>
              <w:rPr>
                <w:rFonts w:ascii="黑体" w:hAnsi="黑体" w:cs="黑体" w:eastAsia="黑体" w:hint="default"/>
                <w:sz w:val="20"/>
                <w:szCs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29" w:lineRule="exact"/>
              <w:ind w:right="0"/>
              <w:jc w:val="right"/>
              <w:rPr>
                <w:rFonts w:ascii="黑体" w:hAnsi="黑体" w:cs="黑体" w:eastAsia="黑体" w:hint="default"/>
                <w:sz w:val="20"/>
                <w:szCs w:val="20"/>
              </w:rPr>
            </w:pPr>
            <w:r>
              <w:rPr>
                <w:rFonts w:ascii="黑体" w:hAnsi="黑体" w:cs="黑体" w:eastAsia="黑体" w:hint="default"/>
                <w:w w:val="95"/>
                <w:sz w:val="20"/>
                <w:szCs w:val="20"/>
              </w:rPr>
              <w:t>预期信用损失</w:t>
            </w:r>
            <w:r>
              <w:rPr>
                <w:rFonts w:ascii="黑体" w:hAnsi="黑体" w:cs="黑体" w:eastAsia="黑体" w:hint="default"/>
                <w:sz w:val="20"/>
                <w:szCs w:val="20"/>
              </w:rPr>
            </w:r>
          </w:p>
        </w:tc>
      </w:tr>
      <w:tr>
        <w:trPr>
          <w:trHeight w:val="270" w:hRule="exact"/>
        </w:trPr>
        <w:tc>
          <w:tcPr>
            <w:tcW w:w="3873" w:type="dxa"/>
            <w:tcBorders>
              <w:top w:val="nil" w:sz="6" w:space="0" w:color="auto"/>
              <w:left w:val="nil" w:sz="6" w:space="0" w:color="auto"/>
              <w:bottom w:val="nil" w:sz="6" w:space="0" w:color="auto"/>
              <w:right w:val="nil" w:sz="6" w:space="0" w:color="auto"/>
            </w:tcBorders>
          </w:tcPr>
          <w:p>
            <w:pPr>
              <w:pStyle w:val="TableParagraph"/>
              <w:spacing w:line="229" w:lineRule="exact"/>
              <w:ind w:left="200" w:right="0"/>
              <w:jc w:val="left"/>
              <w:rPr>
                <w:rFonts w:ascii="黑体" w:hAnsi="黑体" w:cs="黑体" w:eastAsia="黑体" w:hint="default"/>
                <w:sz w:val="20"/>
                <w:szCs w:val="20"/>
              </w:rPr>
            </w:pPr>
            <w:r>
              <w:rPr>
                <w:rFonts w:ascii="黑体" w:hAnsi="黑体" w:cs="黑体" w:eastAsia="黑体" w:hint="default"/>
                <w:sz w:val="20"/>
                <w:szCs w:val="20"/>
              </w:rPr>
              <w:t>应收账款</w:t>
            </w:r>
          </w:p>
        </w:tc>
        <w:tc>
          <w:tcPr>
            <w:tcW w:w="259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604"/>
              <w:jc w:val="right"/>
              <w:rPr>
                <w:rFonts w:ascii="Arial" w:hAnsi="Arial" w:cs="Arial" w:eastAsia="Arial" w:hint="default"/>
                <w:sz w:val="20"/>
                <w:szCs w:val="20"/>
              </w:rPr>
            </w:pPr>
            <w:r>
              <w:rPr>
                <w:rFonts w:ascii="Arial"/>
                <w:w w:val="99"/>
                <w:sz w:val="20"/>
              </w:rPr>
              <w:t>-</w:t>
            </w:r>
            <w:r>
              <w:rPr>
                <w:rFonts w:ascii="Arial"/>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
              <w:jc w:val="right"/>
              <w:rPr>
                <w:rFonts w:ascii="Arial" w:hAnsi="Arial" w:cs="Arial" w:eastAsia="Arial" w:hint="default"/>
                <w:sz w:val="20"/>
                <w:szCs w:val="20"/>
              </w:rPr>
            </w:pPr>
            <w:r>
              <w:rPr>
                <w:rFonts w:ascii="Arial"/>
                <w:spacing w:val="-1"/>
                <w:sz w:val="20"/>
              </w:rPr>
              <w:t>1,805,923,548</w:t>
            </w:r>
            <w:r>
              <w:rPr>
                <w:rFonts w:ascii="Arial"/>
                <w:sz w:val="20"/>
              </w:rPr>
            </w:r>
          </w:p>
        </w:tc>
      </w:tr>
      <w:tr>
        <w:trPr>
          <w:trHeight w:val="371" w:hRule="exact"/>
        </w:trPr>
        <w:tc>
          <w:tcPr>
            <w:tcW w:w="3873" w:type="dxa"/>
            <w:tcBorders>
              <w:top w:val="nil" w:sz="6" w:space="0" w:color="auto"/>
              <w:left w:val="nil" w:sz="6" w:space="0" w:color="auto"/>
              <w:bottom w:val="nil" w:sz="6" w:space="0" w:color="auto"/>
              <w:right w:val="nil" w:sz="6" w:space="0" w:color="auto"/>
            </w:tcBorders>
          </w:tcPr>
          <w:p>
            <w:pPr>
              <w:pStyle w:val="TableParagraph"/>
              <w:spacing w:line="219"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其他应收款</w:t>
            </w:r>
          </w:p>
        </w:tc>
        <w:tc>
          <w:tcPr>
            <w:tcW w:w="25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07"/>
              <w:jc w:val="right"/>
              <w:rPr>
                <w:rFonts w:ascii="Arial" w:hAnsi="Arial" w:cs="Arial" w:eastAsia="Arial" w:hint="default"/>
                <w:sz w:val="20"/>
                <w:szCs w:val="20"/>
              </w:rPr>
            </w:pPr>
            <w:r>
              <w:rPr>
                <w:rFonts w:ascii="Arial"/>
                <w:w w:val="99"/>
                <w:sz w:val="20"/>
              </w:rPr>
            </w:r>
            <w:r>
              <w:rPr>
                <w:rFonts w:ascii="Arial"/>
                <w:spacing w:val="-1"/>
                <w:sz w:val="20"/>
                <w:u w:val="single" w:color="000000"/>
              </w:rPr>
              <w:t>417,923,290</w:t>
            </w:r>
            <w:r>
              <w:rPr>
                <w:rFonts w:ascii="Arial"/>
                <w:spacing w:val="-1"/>
                <w:sz w:val="20"/>
              </w:rPr>
            </w:r>
          </w:p>
        </w:tc>
        <w:tc>
          <w:tcPr>
            <w:tcW w:w="1883" w:type="dxa"/>
            <w:tcBorders>
              <w:top w:val="nil" w:sz="6" w:space="0" w:color="auto"/>
              <w:left w:val="nil" w:sz="6" w:space="0" w:color="auto"/>
              <w:bottom w:val="nil" w:sz="6" w:space="0" w:color="auto"/>
              <w:right w:val="nil" w:sz="6" w:space="0" w:color="auto"/>
            </w:tcBorders>
          </w:tcPr>
          <w:p>
            <w:pPr>
              <w:pStyle w:val="TableParagraph"/>
              <w:tabs>
                <w:tab w:pos="501" w:val="left" w:leader="none"/>
              </w:tabs>
              <w:spacing w:line="240" w:lineRule="auto" w:before="15"/>
              <w:ind w:right="0"/>
              <w:jc w:val="righ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ab/>
            </w:r>
            <w:r>
              <w:rPr>
                <w:rFonts w:ascii="Arial"/>
                <w:spacing w:val="-1"/>
                <w:sz w:val="20"/>
                <w:u w:val="single" w:color="000000"/>
              </w:rPr>
              <w:t>94,637,764</w:t>
            </w:r>
            <w:r>
              <w:rPr>
                <w:rFonts w:ascii="Arial"/>
                <w:spacing w:val="-1"/>
                <w:sz w:val="20"/>
              </w:rPr>
            </w:r>
          </w:p>
        </w:tc>
      </w:tr>
      <w:tr>
        <w:trPr>
          <w:trHeight w:val="330" w:hRule="exact"/>
        </w:trPr>
        <w:tc>
          <w:tcPr>
            <w:tcW w:w="3873" w:type="dxa"/>
            <w:tcBorders>
              <w:top w:val="nil" w:sz="6" w:space="0" w:color="auto"/>
              <w:left w:val="nil" w:sz="6" w:space="0" w:color="auto"/>
              <w:bottom w:val="nil" w:sz="6" w:space="0" w:color="auto"/>
              <w:right w:val="nil" w:sz="6" w:space="0" w:color="auto"/>
            </w:tcBorders>
          </w:tcPr>
          <w:p>
            <w:pPr/>
          </w:p>
        </w:tc>
        <w:tc>
          <w:tcPr>
            <w:tcW w:w="2591"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607"/>
              <w:jc w:val="right"/>
              <w:rPr>
                <w:rFonts w:ascii="Arial" w:hAnsi="Arial" w:cs="Arial" w:eastAsia="Arial" w:hint="default"/>
                <w:sz w:val="20"/>
                <w:szCs w:val="20"/>
              </w:rPr>
            </w:pPr>
            <w:r>
              <w:rPr>
                <w:rFonts w:ascii="Arial"/>
                <w:w w:val="99"/>
                <w:sz w:val="20"/>
              </w:rPr>
            </w:r>
            <w:r>
              <w:rPr>
                <w:rFonts w:ascii="Arial"/>
                <w:spacing w:val="-1"/>
                <w:sz w:val="20"/>
                <w:u w:val="thick" w:color="000000"/>
              </w:rPr>
              <w:t>417,923,290</w:t>
            </w:r>
            <w:r>
              <w:rPr>
                <w:rFonts w:ascii="Arial"/>
                <w:spacing w:val="-1"/>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0"/>
              <w:jc w:val="right"/>
              <w:rPr>
                <w:rFonts w:ascii="Arial" w:hAnsi="Arial" w:cs="Arial" w:eastAsia="Arial" w:hint="default"/>
                <w:sz w:val="20"/>
                <w:szCs w:val="20"/>
              </w:rPr>
            </w:pPr>
            <w:r>
              <w:rPr>
                <w:rFonts w:ascii="Arial"/>
                <w:w w:val="99"/>
                <w:sz w:val="20"/>
              </w:rPr>
            </w:r>
            <w:r>
              <w:rPr>
                <w:rFonts w:ascii="Arial"/>
                <w:w w:val="95"/>
                <w:sz w:val="20"/>
                <w:u w:val="thick" w:color="000000"/>
              </w:rPr>
              <w:t>1,900,561,312</w:t>
            </w:r>
            <w:r>
              <w:rPr>
                <w:rFonts w:ascii="Arial"/>
                <w:w w:val="95"/>
                <w:sz w:val="20"/>
              </w:rPr>
            </w:r>
            <w:r>
              <w:rPr>
                <w:rFonts w:ascii="Arial"/>
                <w:sz w:val="20"/>
              </w:rPr>
            </w:r>
          </w:p>
        </w:tc>
      </w:tr>
    </w:tbl>
    <w:p>
      <w:pPr>
        <w:spacing w:line="240" w:lineRule="auto" w:before="12"/>
        <w:rPr>
          <w:rFonts w:ascii="黑体" w:hAnsi="黑体" w:cs="黑体" w:eastAsia="黑体" w:hint="default"/>
          <w:sz w:val="12"/>
          <w:szCs w:val="12"/>
        </w:rPr>
      </w:pPr>
    </w:p>
    <w:p>
      <w:pPr>
        <w:spacing w:before="37"/>
        <w:ind w:left="298" w:right="0" w:firstLine="0"/>
        <w:jc w:val="both"/>
        <w:rPr>
          <w:rFonts w:ascii="黑体" w:hAnsi="黑体" w:cs="黑体" w:eastAsia="黑体" w:hint="default"/>
          <w:sz w:val="20"/>
          <w:szCs w:val="20"/>
        </w:rPr>
      </w:pPr>
      <w:r>
        <w:rPr>
          <w:rFonts w:ascii="Arial" w:hAnsi="Arial" w:cs="Arial" w:eastAsia="Arial" w:hint="default"/>
          <w:sz w:val="20"/>
          <w:szCs w:val="20"/>
        </w:rPr>
        <w:t>2018</w:t>
      </w:r>
      <w:r>
        <w:rPr>
          <w:rFonts w:ascii="黑体" w:hAnsi="黑体" w:cs="黑体" w:eastAsia="黑体" w:hint="default"/>
          <w:sz w:val="20"/>
          <w:szCs w:val="20"/>
        </w:rPr>
        <w:t>年</w:t>
      </w:r>
    </w:p>
    <w:p>
      <w:pPr>
        <w:spacing w:line="240" w:lineRule="auto" w:before="12"/>
        <w:rPr>
          <w:rFonts w:ascii="黑体" w:hAnsi="黑体" w:cs="黑体" w:eastAsia="黑体" w:hint="default"/>
          <w:sz w:val="17"/>
          <w:szCs w:val="17"/>
        </w:rPr>
      </w:pPr>
    </w:p>
    <w:p>
      <w:pPr>
        <w:spacing w:line="260" w:lineRule="exact" w:before="0"/>
        <w:ind w:left="298" w:right="212" w:firstLine="0"/>
        <w:jc w:val="both"/>
        <w:rPr>
          <w:rFonts w:ascii="黑体" w:hAnsi="黑体" w:cs="黑体" w:eastAsia="黑体" w:hint="default"/>
          <w:sz w:val="20"/>
          <w:szCs w:val="20"/>
        </w:rPr>
      </w:pPr>
      <w:r>
        <w:rPr>
          <w:rFonts w:ascii="黑体" w:hAnsi="黑体" w:cs="黑体" w:eastAsia="黑体" w:hint="default"/>
          <w:sz w:val="20"/>
          <w:szCs w:val="20"/>
        </w:rPr>
        <w:t>于</w:t>
      </w:r>
      <w:r>
        <w:rPr>
          <w:rFonts w:ascii="Arial" w:hAnsi="Arial" w:cs="Arial" w:eastAsia="Arial" w:hint="default"/>
          <w:sz w:val="20"/>
          <w:szCs w:val="20"/>
        </w:rPr>
        <w:t>2018</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日，本集团金融资产中无尚未逾期但已发生减值的金额，不存在已逾期已减值</w:t>
      </w:r>
      <w:r>
        <w:rPr>
          <w:rFonts w:ascii="黑体" w:hAnsi="黑体" w:cs="黑体" w:eastAsia="黑体" w:hint="default"/>
          <w:spacing w:val="-91"/>
          <w:sz w:val="20"/>
          <w:szCs w:val="20"/>
        </w:rPr>
        <w:t> </w:t>
      </w:r>
      <w:r>
        <w:rPr>
          <w:rFonts w:ascii="黑体" w:hAnsi="黑体" w:cs="黑体" w:eastAsia="黑体" w:hint="default"/>
          <w:spacing w:val="-91"/>
          <w:sz w:val="20"/>
          <w:szCs w:val="20"/>
        </w:rPr>
      </w:r>
      <w:r>
        <w:rPr>
          <w:rFonts w:ascii="黑体" w:hAnsi="黑体" w:cs="黑体" w:eastAsia="黑体" w:hint="default"/>
          <w:spacing w:val="-2"/>
          <w:w w:val="99"/>
          <w:sz w:val="20"/>
          <w:szCs w:val="20"/>
        </w:rPr>
        <w:t>但未计提减值准备的重大金融资产。本集团未逾期未减值及已逾期未减值的金融资产主要为账龄</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sz w:val="20"/>
          <w:szCs w:val="20"/>
        </w:rPr>
        <w:t>为</w:t>
      </w:r>
      <w:r>
        <w:rPr>
          <w:rFonts w:ascii="Arial" w:hAnsi="Arial" w:cs="Arial" w:eastAsia="Arial" w:hint="default"/>
          <w:spacing w:val="-2"/>
          <w:sz w:val="20"/>
          <w:szCs w:val="20"/>
        </w:rPr>
        <w:t>1</w:t>
      </w:r>
      <w:r>
        <w:rPr>
          <w:rFonts w:ascii="黑体" w:hAnsi="黑体" w:cs="黑体" w:eastAsia="黑体" w:hint="default"/>
          <w:spacing w:val="-2"/>
          <w:sz w:val="20"/>
          <w:szCs w:val="20"/>
        </w:rPr>
        <w:t>年以内的应收账款及其他应收款。于</w:t>
      </w:r>
      <w:r>
        <w:rPr>
          <w:rFonts w:ascii="Arial" w:hAnsi="Arial" w:cs="Arial" w:eastAsia="Arial" w:hint="default"/>
          <w:spacing w:val="-2"/>
          <w:sz w:val="20"/>
          <w:szCs w:val="20"/>
        </w:rPr>
        <w:t>2018</w:t>
      </w:r>
      <w:r>
        <w:rPr>
          <w:rFonts w:ascii="黑体" w:hAnsi="黑体" w:cs="黑体" w:eastAsia="黑体" w:hint="default"/>
          <w:spacing w:val="-2"/>
          <w:sz w:val="20"/>
          <w:szCs w:val="20"/>
        </w:rPr>
        <w:t>年</w:t>
      </w:r>
      <w:r>
        <w:rPr>
          <w:rFonts w:ascii="Arial" w:hAnsi="Arial" w:cs="Arial" w:eastAsia="Arial" w:hint="default"/>
          <w:spacing w:val="-2"/>
          <w:sz w:val="20"/>
          <w:szCs w:val="20"/>
        </w:rPr>
        <w:t>12</w:t>
      </w:r>
      <w:r>
        <w:rPr>
          <w:rFonts w:ascii="黑体" w:hAnsi="黑体" w:cs="黑体" w:eastAsia="黑体" w:hint="default"/>
          <w:spacing w:val="-2"/>
          <w:sz w:val="20"/>
          <w:szCs w:val="20"/>
        </w:rPr>
        <w:t>月</w:t>
      </w:r>
      <w:r>
        <w:rPr>
          <w:rFonts w:ascii="Arial" w:hAnsi="Arial" w:cs="Arial" w:eastAsia="Arial" w:hint="default"/>
          <w:spacing w:val="-2"/>
          <w:sz w:val="20"/>
          <w:szCs w:val="20"/>
        </w:rPr>
        <w:t>31</w:t>
      </w:r>
      <w:r>
        <w:rPr>
          <w:rFonts w:ascii="黑体" w:hAnsi="黑体" w:cs="黑体" w:eastAsia="黑体" w:hint="default"/>
          <w:spacing w:val="-2"/>
          <w:sz w:val="20"/>
          <w:szCs w:val="20"/>
        </w:rPr>
        <w:t>日，尚未逾期和发生减值的应收账款与大</w:t>
      </w:r>
      <w:r>
        <w:rPr>
          <w:rFonts w:ascii="黑体" w:hAnsi="黑体" w:cs="黑体" w:eastAsia="黑体" w:hint="default"/>
          <w:w w:val="99"/>
          <w:sz w:val="20"/>
          <w:szCs w:val="20"/>
        </w:rPr>
        <w:t> </w:t>
      </w:r>
      <w:r>
        <w:rPr>
          <w:rFonts w:ascii="黑体" w:hAnsi="黑体" w:cs="黑体" w:eastAsia="黑体" w:hint="default"/>
          <w:sz w:val="20"/>
          <w:szCs w:val="20"/>
        </w:rPr>
        <w:t>量的近期无违约记录的分散化的客户有关。</w:t>
      </w:r>
    </w:p>
    <w:p>
      <w:pPr>
        <w:spacing w:after="0" w:line="260" w:lineRule="exact"/>
        <w:jc w:val="both"/>
        <w:rPr>
          <w:rFonts w:ascii="黑体" w:hAnsi="黑体" w:cs="黑体" w:eastAsia="黑体" w:hint="default"/>
          <w:sz w:val="20"/>
          <w:szCs w:val="20"/>
        </w:rPr>
        <w:sectPr>
          <w:pgSz w:w="11910" w:h="16850"/>
          <w:pgMar w:header="745" w:footer="921" w:top="980" w:bottom="1120" w:left="1500" w:right="15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4"/>
          <w:szCs w:val="24"/>
        </w:rPr>
      </w:pPr>
    </w:p>
    <w:p>
      <w:pPr>
        <w:tabs>
          <w:tab w:pos="1010" w:val="left" w:leader="none"/>
        </w:tabs>
        <w:spacing w:line="424" w:lineRule="auto" w:before="37"/>
        <w:ind w:left="298" w:right="6353" w:firstLine="0"/>
        <w:jc w:val="left"/>
        <w:rPr>
          <w:rFonts w:ascii="Arial" w:hAnsi="Arial" w:cs="Arial" w:eastAsia="Arial" w:hint="default"/>
          <w:sz w:val="20"/>
          <w:szCs w:val="20"/>
        </w:rPr>
      </w:pPr>
      <w:r>
        <w:rPr>
          <w:rFonts w:ascii="Arial" w:hAnsi="Arial" w:cs="Arial" w:eastAsia="Arial" w:hint="default"/>
          <w:b/>
          <w:bCs/>
          <w:spacing w:val="-1"/>
          <w:sz w:val="20"/>
          <w:szCs w:val="20"/>
        </w:rPr>
        <w:t>2.</w:t>
        <w:tab/>
      </w:r>
      <w:r>
        <w:rPr>
          <w:rFonts w:ascii="黑体" w:hAnsi="黑体" w:cs="黑体" w:eastAsia="黑体" w:hint="default"/>
          <w:b/>
          <w:bCs/>
          <w:spacing w:val="1"/>
          <w:w w:val="95"/>
          <w:sz w:val="20"/>
          <w:szCs w:val="20"/>
        </w:rPr>
        <w:t>金融工具风险</w:t>
      </w:r>
      <w:r>
        <w:rPr>
          <w:rFonts w:ascii="Arial" w:hAnsi="Arial" w:cs="Arial" w:eastAsia="Arial" w:hint="default"/>
          <w:b/>
          <w:bCs/>
          <w:spacing w:val="1"/>
          <w:w w:val="95"/>
          <w:sz w:val="20"/>
          <w:szCs w:val="20"/>
        </w:rPr>
        <w:t>(</w:t>
      </w:r>
      <w:r>
        <w:rPr>
          <w:rFonts w:ascii="黑体" w:hAnsi="黑体" w:cs="黑体" w:eastAsia="黑体" w:hint="default"/>
          <w:b/>
          <w:bCs/>
          <w:spacing w:val="1"/>
          <w:w w:val="95"/>
          <w:sz w:val="20"/>
          <w:szCs w:val="20"/>
        </w:rPr>
        <w:t>续</w:t>
      </w:r>
      <w:r>
        <w:rPr>
          <w:rFonts w:ascii="Arial" w:hAnsi="Arial" w:cs="Arial" w:eastAsia="Arial" w:hint="default"/>
          <w:b/>
          <w:bCs/>
          <w:spacing w:val="1"/>
          <w:w w:val="95"/>
          <w:sz w:val="20"/>
          <w:szCs w:val="20"/>
        </w:rPr>
        <w:t>)</w:t>
      </w:r>
      <w:r>
        <w:rPr>
          <w:rFonts w:ascii="Arial" w:hAnsi="Arial" w:cs="Arial" w:eastAsia="Arial" w:hint="default"/>
          <w:b/>
          <w:bCs/>
          <w:spacing w:val="15"/>
          <w:w w:val="95"/>
          <w:sz w:val="20"/>
          <w:szCs w:val="20"/>
        </w:rPr>
        <w:t> </w:t>
      </w:r>
      <w:r>
        <w:rPr>
          <w:rFonts w:ascii="黑体" w:hAnsi="黑体" w:cs="黑体" w:eastAsia="黑体" w:hint="default"/>
          <w:b/>
          <w:bCs/>
          <w:sz w:val="20"/>
          <w:szCs w:val="20"/>
        </w:rPr>
        <w:t>信用风险</w:t>
      </w:r>
      <w:r>
        <w:rPr>
          <w:rFonts w:ascii="Arial" w:hAnsi="Arial" w:cs="Arial" w:eastAsia="Arial" w:hint="default"/>
          <w:b/>
          <w:bCs/>
          <w:sz w:val="20"/>
          <w:szCs w:val="20"/>
        </w:rPr>
        <w:t>(</w:t>
      </w:r>
      <w:r>
        <w:rPr>
          <w:rFonts w:ascii="黑体" w:hAnsi="黑体" w:cs="黑体" w:eastAsia="黑体" w:hint="default"/>
          <w:b/>
          <w:bCs/>
          <w:sz w:val="20"/>
          <w:szCs w:val="20"/>
        </w:rPr>
        <w:t>续</w:t>
      </w:r>
      <w:r>
        <w:rPr>
          <w:rFonts w:ascii="Arial" w:hAnsi="Arial" w:cs="Arial" w:eastAsia="Arial" w:hint="default"/>
          <w:b/>
          <w:bCs/>
          <w:sz w:val="20"/>
          <w:szCs w:val="20"/>
        </w:rPr>
        <w:t>)</w:t>
      </w:r>
      <w:r>
        <w:rPr>
          <w:rFonts w:ascii="Arial" w:hAnsi="Arial" w:cs="Arial" w:eastAsia="Arial" w:hint="default"/>
          <w:sz w:val="20"/>
          <w:szCs w:val="20"/>
        </w:rPr>
      </w:r>
    </w:p>
    <w:p>
      <w:pPr>
        <w:spacing w:before="34"/>
        <w:ind w:left="1418" w:right="6353" w:firstLine="0"/>
        <w:jc w:val="left"/>
        <w:rPr>
          <w:rFonts w:ascii="黑体" w:hAnsi="黑体" w:cs="黑体" w:eastAsia="黑体" w:hint="default"/>
          <w:sz w:val="20"/>
          <w:szCs w:val="20"/>
        </w:rPr>
      </w:pPr>
      <w:r>
        <w:rPr>
          <w:rFonts w:ascii="黑体" w:hAnsi="黑体" w:cs="黑体" w:eastAsia="黑体" w:hint="default"/>
          <w:sz w:val="20"/>
          <w:szCs w:val="20"/>
        </w:rPr>
        <w:t>流动性风险</w:t>
      </w:r>
    </w:p>
    <w:p>
      <w:pPr>
        <w:spacing w:line="240" w:lineRule="auto" w:before="5"/>
        <w:rPr>
          <w:rFonts w:ascii="黑体" w:hAnsi="黑体" w:cs="黑体" w:eastAsia="黑体" w:hint="default"/>
          <w:sz w:val="19"/>
          <w:szCs w:val="19"/>
        </w:rPr>
      </w:pPr>
    </w:p>
    <w:p>
      <w:pPr>
        <w:spacing w:line="260" w:lineRule="exact" w:before="0"/>
        <w:ind w:left="312" w:right="0" w:hanging="15"/>
        <w:jc w:val="left"/>
        <w:rPr>
          <w:rFonts w:ascii="黑体" w:hAnsi="黑体" w:cs="黑体" w:eastAsia="黑体" w:hint="default"/>
          <w:sz w:val="20"/>
          <w:szCs w:val="20"/>
        </w:rPr>
      </w:pPr>
      <w:r>
        <w:rPr>
          <w:rFonts w:ascii="黑体" w:hAnsi="黑体" w:cs="黑体" w:eastAsia="黑体" w:hint="default"/>
          <w:spacing w:val="-2"/>
          <w:w w:val="95"/>
          <w:sz w:val="20"/>
          <w:szCs w:val="20"/>
        </w:rPr>
        <w:t>本集团采用循环流动性计划工具管理资金短缺风险。该工具既考虑其金融工具的到期日，也考虑</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z w:val="20"/>
          <w:szCs w:val="20"/>
        </w:rPr>
        <w:t>本集团运营产生的预计现金流量。</w:t>
      </w:r>
    </w:p>
    <w:p>
      <w:pPr>
        <w:spacing w:line="240" w:lineRule="auto" w:before="7"/>
        <w:rPr>
          <w:rFonts w:ascii="黑体" w:hAnsi="黑体" w:cs="黑体" w:eastAsia="黑体" w:hint="default"/>
          <w:sz w:val="17"/>
          <w:szCs w:val="17"/>
        </w:rPr>
      </w:pPr>
    </w:p>
    <w:p>
      <w:pPr>
        <w:spacing w:line="260" w:lineRule="exact" w:before="0"/>
        <w:ind w:left="326" w:right="0" w:firstLine="0"/>
        <w:jc w:val="left"/>
        <w:rPr>
          <w:rFonts w:ascii="黑体" w:hAnsi="黑体" w:cs="黑体" w:eastAsia="黑体" w:hint="default"/>
          <w:sz w:val="20"/>
          <w:szCs w:val="20"/>
        </w:rPr>
      </w:pPr>
      <w:r>
        <w:rPr>
          <w:rFonts w:ascii="黑体" w:hAnsi="黑体" w:cs="黑体" w:eastAsia="黑体" w:hint="default"/>
          <w:spacing w:val="2"/>
          <w:w w:val="95"/>
          <w:sz w:val="20"/>
          <w:szCs w:val="20"/>
        </w:rPr>
        <w:t>本集团的目标是运用银行借款、应付债券、增发股本等多种融资手段以保持融资的持续性与灵</w:t>
      </w:r>
      <w:r>
        <w:rPr>
          <w:rFonts w:ascii="黑体" w:hAnsi="黑体" w:cs="黑体" w:eastAsia="黑体" w:hint="default"/>
          <w:spacing w:val="8"/>
          <w:w w:val="95"/>
          <w:sz w:val="20"/>
          <w:szCs w:val="20"/>
        </w:rPr>
        <w:t> </w:t>
      </w:r>
      <w:r>
        <w:rPr>
          <w:rFonts w:ascii="黑体" w:hAnsi="黑体" w:cs="黑体" w:eastAsia="黑体" w:hint="default"/>
          <w:spacing w:val="8"/>
          <w:w w:val="95"/>
          <w:sz w:val="20"/>
          <w:szCs w:val="20"/>
        </w:rPr>
      </w:r>
      <w:r>
        <w:rPr>
          <w:rFonts w:ascii="黑体" w:hAnsi="黑体" w:cs="黑体" w:eastAsia="黑体" w:hint="default"/>
          <w:sz w:val="20"/>
          <w:szCs w:val="20"/>
        </w:rPr>
        <w:t>活性的平衡。</w:t>
      </w:r>
    </w:p>
    <w:p>
      <w:pPr>
        <w:spacing w:line="240" w:lineRule="auto" w:before="8"/>
        <w:rPr>
          <w:rFonts w:ascii="黑体" w:hAnsi="黑体" w:cs="黑体" w:eastAsia="黑体" w:hint="default"/>
          <w:sz w:val="15"/>
          <w:szCs w:val="15"/>
        </w:rPr>
      </w:pPr>
    </w:p>
    <w:p>
      <w:pPr>
        <w:spacing w:before="0"/>
        <w:ind w:left="298" w:right="0" w:firstLine="0"/>
        <w:jc w:val="left"/>
        <w:rPr>
          <w:rFonts w:ascii="黑体" w:hAnsi="黑体" w:cs="黑体" w:eastAsia="黑体" w:hint="default"/>
          <w:sz w:val="20"/>
          <w:szCs w:val="20"/>
        </w:rPr>
      </w:pPr>
      <w:r>
        <w:rPr>
          <w:rFonts w:ascii="黑体" w:hAnsi="黑体" w:cs="黑体" w:eastAsia="黑体" w:hint="default"/>
          <w:sz w:val="20"/>
          <w:szCs w:val="20"/>
        </w:rPr>
        <w:t>下表概括了金融负债按未折现的合同现金流量所作的到期期限分析：</w:t>
      </w:r>
    </w:p>
    <w:p>
      <w:pPr>
        <w:spacing w:line="240" w:lineRule="auto" w:before="5"/>
        <w:rPr>
          <w:rFonts w:ascii="黑体" w:hAnsi="黑体" w:cs="黑体" w:eastAsia="黑体" w:hint="default"/>
          <w:sz w:val="17"/>
          <w:szCs w:val="17"/>
        </w:rPr>
      </w:pPr>
    </w:p>
    <w:p>
      <w:pPr>
        <w:spacing w:before="0"/>
        <w:ind w:left="298" w:right="6353" w:firstLine="0"/>
        <w:jc w:val="left"/>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w:t>
      </w:r>
    </w:p>
    <w:p>
      <w:pPr>
        <w:spacing w:line="240" w:lineRule="auto" w:before="1"/>
        <w:rPr>
          <w:rFonts w:ascii="黑体" w:hAnsi="黑体" w:cs="黑体" w:eastAsia="黑体" w:hint="default"/>
          <w:sz w:val="21"/>
          <w:szCs w:val="21"/>
        </w:rPr>
      </w:pPr>
    </w:p>
    <w:tbl>
      <w:tblPr>
        <w:tblW w:w="0" w:type="auto"/>
        <w:jc w:val="left"/>
        <w:tblInd w:w="112" w:type="dxa"/>
        <w:tblLayout w:type="fixed"/>
        <w:tblCellMar>
          <w:top w:w="0" w:type="dxa"/>
          <w:left w:w="0" w:type="dxa"/>
          <w:bottom w:w="0" w:type="dxa"/>
          <w:right w:w="0" w:type="dxa"/>
        </w:tblCellMar>
        <w:tblLook w:val="01E0"/>
      </w:tblPr>
      <w:tblGrid>
        <w:gridCol w:w="1687"/>
        <w:gridCol w:w="1119"/>
        <w:gridCol w:w="1069"/>
        <w:gridCol w:w="103"/>
        <w:gridCol w:w="1174"/>
        <w:gridCol w:w="1274"/>
        <w:gridCol w:w="722"/>
        <w:gridCol w:w="86"/>
        <w:gridCol w:w="1440"/>
      </w:tblGrid>
      <w:tr>
        <w:trPr>
          <w:trHeight w:val="548" w:hRule="exact"/>
        </w:trPr>
        <w:tc>
          <w:tcPr>
            <w:tcW w:w="1687" w:type="dxa"/>
            <w:tcBorders>
              <w:top w:val="nil" w:sz="6" w:space="0" w:color="auto"/>
              <w:left w:val="nil" w:sz="6" w:space="0" w:color="auto"/>
              <w:bottom w:val="nil" w:sz="6" w:space="0" w:color="auto"/>
              <w:right w:val="nil" w:sz="6" w:space="0" w:color="auto"/>
            </w:tcBorders>
          </w:tcPr>
          <w:p>
            <w:pPr/>
          </w:p>
        </w:tc>
        <w:tc>
          <w:tcPr>
            <w:tcW w:w="1119" w:type="dxa"/>
            <w:tcBorders>
              <w:top w:val="nil" w:sz="6" w:space="0" w:color="auto"/>
              <w:left w:val="nil" w:sz="6" w:space="0" w:color="auto"/>
              <w:bottom w:val="nil" w:sz="6" w:space="0" w:color="auto"/>
              <w:right w:val="nil" w:sz="6" w:space="0" w:color="auto"/>
            </w:tcBorders>
          </w:tcPr>
          <w:p>
            <w:pPr>
              <w:pStyle w:val="TableParagraph"/>
              <w:spacing w:line="185" w:lineRule="exact"/>
              <w:ind w:left="521" w:right="0"/>
              <w:jc w:val="center"/>
              <w:rPr>
                <w:rFonts w:ascii="黑体" w:hAnsi="黑体" w:cs="黑体" w:eastAsia="黑体" w:hint="default"/>
                <w:sz w:val="18"/>
                <w:szCs w:val="18"/>
              </w:rPr>
            </w:pPr>
            <w:r>
              <w:rPr>
                <w:rFonts w:ascii="Arial" w:hAnsi="Arial" w:cs="Arial" w:eastAsia="Arial" w:hint="default"/>
                <w:sz w:val="18"/>
                <w:szCs w:val="18"/>
              </w:rPr>
              <w:t>1</w:t>
            </w:r>
            <w:r>
              <w:rPr>
                <w:rFonts w:ascii="黑体" w:hAnsi="黑体" w:cs="黑体" w:eastAsia="黑体" w:hint="default"/>
                <w:sz w:val="18"/>
                <w:szCs w:val="18"/>
              </w:rPr>
              <w:t>个月</w:t>
            </w:r>
          </w:p>
          <w:p>
            <w:pPr>
              <w:pStyle w:val="TableParagraph"/>
              <w:spacing w:line="228" w:lineRule="exact"/>
              <w:ind w:left="622" w:right="0"/>
              <w:jc w:val="center"/>
              <w:rPr>
                <w:rFonts w:ascii="黑体" w:hAnsi="黑体" w:cs="黑体" w:eastAsia="黑体" w:hint="default"/>
                <w:sz w:val="18"/>
                <w:szCs w:val="18"/>
              </w:rPr>
            </w:pPr>
            <w:r>
              <w:rPr>
                <w:rFonts w:ascii="黑体" w:hAnsi="黑体" w:cs="黑体" w:eastAsia="黑体" w:hint="default"/>
                <w:sz w:val="18"/>
                <w:szCs w:val="18"/>
              </w:rPr>
              <w:t>以内</w:t>
            </w:r>
          </w:p>
        </w:tc>
        <w:tc>
          <w:tcPr>
            <w:tcW w:w="1069" w:type="dxa"/>
            <w:tcBorders>
              <w:top w:val="nil" w:sz="6" w:space="0" w:color="auto"/>
              <w:left w:val="nil" w:sz="6" w:space="0" w:color="auto"/>
              <w:bottom w:val="nil" w:sz="6" w:space="0" w:color="auto"/>
              <w:right w:val="nil" w:sz="6" w:space="0" w:color="auto"/>
            </w:tcBorders>
          </w:tcPr>
          <w:p>
            <w:pPr>
              <w:pStyle w:val="TableParagraph"/>
              <w:spacing w:line="185" w:lineRule="exact"/>
              <w:ind w:right="0"/>
              <w:jc w:val="right"/>
              <w:rPr>
                <w:rFonts w:ascii="黑体" w:hAnsi="黑体" w:cs="黑体" w:eastAsia="黑体" w:hint="default"/>
                <w:sz w:val="18"/>
                <w:szCs w:val="18"/>
              </w:rPr>
            </w:pPr>
            <w:r>
              <w:rPr>
                <w:rFonts w:ascii="Arial" w:hAnsi="Arial" w:cs="Arial" w:eastAsia="Arial" w:hint="default"/>
                <w:w w:val="95"/>
                <w:sz w:val="18"/>
                <w:szCs w:val="18"/>
              </w:rPr>
              <w:t>1</w:t>
            </w:r>
            <w:r>
              <w:rPr>
                <w:rFonts w:ascii="黑体" w:hAnsi="黑体" w:cs="黑体" w:eastAsia="黑体" w:hint="default"/>
                <w:w w:val="95"/>
                <w:sz w:val="18"/>
                <w:szCs w:val="18"/>
              </w:rPr>
              <w:t>至</w:t>
            </w:r>
          </w:p>
          <w:p>
            <w:pPr>
              <w:pStyle w:val="TableParagraph"/>
              <w:spacing w:line="241" w:lineRule="exact"/>
              <w:ind w:right="0"/>
              <w:jc w:val="right"/>
              <w:rPr>
                <w:rFonts w:ascii="黑体" w:hAnsi="黑体" w:cs="黑体" w:eastAsia="黑体" w:hint="default"/>
                <w:sz w:val="18"/>
                <w:szCs w:val="18"/>
              </w:rPr>
            </w:pPr>
            <w:r>
              <w:rPr>
                <w:rFonts w:ascii="Arial" w:hAnsi="Arial" w:cs="Arial" w:eastAsia="Arial" w:hint="default"/>
                <w:w w:val="95"/>
                <w:sz w:val="18"/>
                <w:szCs w:val="18"/>
              </w:rPr>
              <w:t>3</w:t>
            </w:r>
            <w:r>
              <w:rPr>
                <w:rFonts w:ascii="黑体" w:hAnsi="黑体" w:cs="黑体" w:eastAsia="黑体" w:hint="default"/>
                <w:w w:val="95"/>
                <w:sz w:val="18"/>
                <w:szCs w:val="18"/>
              </w:rPr>
              <w:t>个月</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185" w:lineRule="exact"/>
              <w:ind w:left="710" w:right="0"/>
              <w:jc w:val="left"/>
              <w:rPr>
                <w:rFonts w:ascii="黑体" w:hAnsi="黑体" w:cs="黑体" w:eastAsia="黑体" w:hint="default"/>
                <w:sz w:val="18"/>
                <w:szCs w:val="18"/>
              </w:rPr>
            </w:pPr>
            <w:r>
              <w:rPr>
                <w:rFonts w:ascii="Arial" w:hAnsi="Arial" w:cs="Arial" w:eastAsia="Arial" w:hint="default"/>
                <w:sz w:val="18"/>
                <w:szCs w:val="18"/>
              </w:rPr>
              <w:t>3</w:t>
            </w:r>
            <w:r>
              <w:rPr>
                <w:rFonts w:ascii="黑体" w:hAnsi="黑体" w:cs="黑体" w:eastAsia="黑体" w:hint="default"/>
                <w:sz w:val="18"/>
                <w:szCs w:val="18"/>
              </w:rPr>
              <w:t>个月</w:t>
            </w:r>
          </w:p>
          <w:p>
            <w:pPr>
              <w:pStyle w:val="TableParagraph"/>
              <w:spacing w:line="241" w:lineRule="exact"/>
              <w:ind w:left="710" w:right="0"/>
              <w:jc w:val="left"/>
              <w:rPr>
                <w:rFonts w:ascii="黑体" w:hAnsi="黑体" w:cs="黑体" w:eastAsia="黑体" w:hint="default"/>
                <w:sz w:val="18"/>
                <w:szCs w:val="18"/>
              </w:rPr>
            </w:pPr>
            <w:r>
              <w:rPr>
                <w:rFonts w:ascii="黑体" w:hAnsi="黑体" w:cs="黑体" w:eastAsia="黑体" w:hint="default"/>
                <w:sz w:val="18"/>
                <w:szCs w:val="18"/>
              </w:rPr>
              <w:t>至</w:t>
            </w:r>
            <w:r>
              <w:rPr>
                <w:rFonts w:ascii="Arial" w:hAnsi="Arial" w:cs="Arial" w:eastAsia="Arial" w:hint="default"/>
                <w:sz w:val="18"/>
                <w:szCs w:val="18"/>
              </w:rPr>
              <w:t>1</w:t>
            </w:r>
            <w:r>
              <w:rPr>
                <w:rFonts w:ascii="黑体" w:hAnsi="黑体" w:cs="黑体" w:eastAsia="黑体" w:hint="default"/>
                <w:sz w:val="18"/>
                <w:szCs w:val="18"/>
              </w:rPr>
              <w:t>年</w:t>
            </w:r>
          </w:p>
        </w:tc>
        <w:tc>
          <w:tcPr>
            <w:tcW w:w="1274" w:type="dxa"/>
            <w:tcBorders>
              <w:top w:val="nil" w:sz="6" w:space="0" w:color="auto"/>
              <w:left w:val="nil" w:sz="6" w:space="0" w:color="auto"/>
              <w:bottom w:val="nil" w:sz="6" w:space="0" w:color="auto"/>
              <w:right w:val="nil" w:sz="6" w:space="0" w:color="auto"/>
            </w:tcBorders>
          </w:tcPr>
          <w:p>
            <w:pPr>
              <w:pStyle w:val="TableParagraph"/>
              <w:spacing w:line="185" w:lineRule="exact"/>
              <w:ind w:left="787" w:right="0" w:firstLine="180"/>
              <w:jc w:val="left"/>
              <w:rPr>
                <w:rFonts w:ascii="黑体" w:hAnsi="黑体" w:cs="黑体" w:eastAsia="黑体" w:hint="default"/>
                <w:sz w:val="18"/>
                <w:szCs w:val="18"/>
              </w:rPr>
            </w:pPr>
            <w:r>
              <w:rPr>
                <w:rFonts w:ascii="Arial" w:hAnsi="Arial" w:cs="Arial" w:eastAsia="Arial" w:hint="default"/>
                <w:sz w:val="18"/>
                <w:szCs w:val="18"/>
              </w:rPr>
              <w:t>1</w:t>
            </w:r>
            <w:r>
              <w:rPr>
                <w:rFonts w:ascii="黑体" w:hAnsi="黑体" w:cs="黑体" w:eastAsia="黑体" w:hint="default"/>
                <w:sz w:val="18"/>
                <w:szCs w:val="18"/>
              </w:rPr>
              <w:t>年</w:t>
            </w:r>
          </w:p>
          <w:p>
            <w:pPr>
              <w:pStyle w:val="TableParagraph"/>
              <w:spacing w:line="241" w:lineRule="exact"/>
              <w:ind w:left="787" w:right="0"/>
              <w:jc w:val="left"/>
              <w:rPr>
                <w:rFonts w:ascii="黑体" w:hAnsi="黑体" w:cs="黑体" w:eastAsia="黑体" w:hint="default"/>
                <w:sz w:val="18"/>
                <w:szCs w:val="18"/>
              </w:rPr>
            </w:pPr>
            <w:r>
              <w:rPr>
                <w:rFonts w:ascii="黑体" w:hAnsi="黑体" w:cs="黑体" w:eastAsia="黑体" w:hint="default"/>
                <w:sz w:val="18"/>
                <w:szCs w:val="18"/>
              </w:rPr>
              <w:t>至</w:t>
            </w:r>
            <w:r>
              <w:rPr>
                <w:rFonts w:ascii="Arial" w:hAnsi="Arial" w:cs="Arial" w:eastAsia="Arial" w:hint="default"/>
                <w:sz w:val="18"/>
                <w:szCs w:val="18"/>
              </w:rPr>
              <w:t>5</w:t>
            </w:r>
            <w:r>
              <w:rPr>
                <w:rFonts w:ascii="黑体" w:hAnsi="黑体" w:cs="黑体" w:eastAsia="黑体" w:hint="default"/>
                <w:sz w:val="18"/>
                <w:szCs w:val="18"/>
              </w:rPr>
              <w:t>年</w:t>
            </w:r>
          </w:p>
        </w:tc>
        <w:tc>
          <w:tcPr>
            <w:tcW w:w="722" w:type="dxa"/>
            <w:tcBorders>
              <w:top w:val="nil" w:sz="6" w:space="0" w:color="auto"/>
              <w:left w:val="nil" w:sz="6" w:space="0" w:color="auto"/>
              <w:bottom w:val="nil" w:sz="6" w:space="0" w:color="auto"/>
              <w:right w:val="nil" w:sz="6" w:space="0" w:color="auto"/>
            </w:tcBorders>
          </w:tcPr>
          <w:p>
            <w:pPr>
              <w:pStyle w:val="TableParagraph"/>
              <w:spacing w:line="185" w:lineRule="exact"/>
              <w:ind w:left="360" w:right="0" w:firstLine="79"/>
              <w:jc w:val="left"/>
              <w:rPr>
                <w:rFonts w:ascii="黑体" w:hAnsi="黑体" w:cs="黑体" w:eastAsia="黑体" w:hint="default"/>
                <w:sz w:val="18"/>
                <w:szCs w:val="18"/>
              </w:rPr>
            </w:pPr>
            <w:r>
              <w:rPr>
                <w:rFonts w:ascii="Arial" w:hAnsi="Arial" w:cs="Arial" w:eastAsia="Arial" w:hint="default"/>
                <w:sz w:val="18"/>
                <w:szCs w:val="18"/>
              </w:rPr>
              <w:t>5</w:t>
            </w:r>
            <w:r>
              <w:rPr>
                <w:rFonts w:ascii="黑体" w:hAnsi="黑体" w:cs="黑体" w:eastAsia="黑体" w:hint="default"/>
                <w:sz w:val="18"/>
                <w:szCs w:val="18"/>
              </w:rPr>
              <w:t>年</w:t>
            </w:r>
          </w:p>
          <w:p>
            <w:pPr>
              <w:pStyle w:val="TableParagraph"/>
              <w:spacing w:line="228" w:lineRule="exact"/>
              <w:ind w:left="360" w:right="0"/>
              <w:jc w:val="left"/>
              <w:rPr>
                <w:rFonts w:ascii="黑体" w:hAnsi="黑体" w:cs="黑体" w:eastAsia="黑体" w:hint="default"/>
                <w:sz w:val="18"/>
                <w:szCs w:val="18"/>
              </w:rPr>
            </w:pPr>
            <w:r>
              <w:rPr>
                <w:rFonts w:ascii="黑体" w:hAnsi="黑体" w:cs="黑体" w:eastAsia="黑体" w:hint="default"/>
                <w:sz w:val="18"/>
                <w:szCs w:val="18"/>
              </w:rPr>
              <w:t>以上</w:t>
            </w:r>
          </w:p>
        </w:tc>
        <w:tc>
          <w:tcPr>
            <w:tcW w:w="86"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3"/>
                <w:szCs w:val="13"/>
              </w:rPr>
            </w:pPr>
          </w:p>
          <w:p>
            <w:pPr>
              <w:pStyle w:val="TableParagraph"/>
              <w:spacing w:line="240" w:lineRule="auto"/>
              <w:ind w:right="199"/>
              <w:jc w:val="right"/>
              <w:rPr>
                <w:rFonts w:ascii="黑体" w:hAnsi="黑体" w:cs="黑体" w:eastAsia="黑体" w:hint="default"/>
                <w:sz w:val="18"/>
                <w:szCs w:val="18"/>
              </w:rPr>
            </w:pPr>
            <w:r>
              <w:rPr>
                <w:rFonts w:ascii="黑体" w:hAnsi="黑体" w:cs="黑体" w:eastAsia="黑体" w:hint="default"/>
                <w:sz w:val="18"/>
                <w:szCs w:val="18"/>
              </w:rPr>
              <w:t>合计</w:t>
            </w:r>
          </w:p>
        </w:tc>
      </w:tr>
      <w:tr>
        <w:trPr>
          <w:trHeight w:val="344"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00" w:right="0"/>
              <w:jc w:val="left"/>
              <w:rPr>
                <w:rFonts w:ascii="黑体" w:hAnsi="黑体" w:cs="黑体" w:eastAsia="黑体" w:hint="default"/>
                <w:sz w:val="18"/>
                <w:szCs w:val="18"/>
              </w:rPr>
            </w:pPr>
            <w:r>
              <w:rPr>
                <w:rFonts w:ascii="黑体" w:hAnsi="黑体" w:cs="黑体" w:eastAsia="黑体" w:hint="default"/>
                <w:sz w:val="18"/>
                <w:szCs w:val="18"/>
              </w:rPr>
              <w:t>交易性金融负债</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66"/>
              <w:jc w:val="right"/>
              <w:rPr>
                <w:rFonts w:ascii="Arial" w:hAnsi="Arial" w:cs="Arial" w:eastAsia="Arial" w:hint="default"/>
                <w:sz w:val="18"/>
                <w:szCs w:val="18"/>
              </w:rPr>
            </w:pPr>
            <w:r>
              <w:rPr>
                <w:rFonts w:ascii="Arial"/>
                <w:w w:val="99"/>
                <w:sz w:val="18"/>
              </w:rPr>
              <w:t>-</w:t>
            </w:r>
            <w:r>
              <w:rPr>
                <w:rFonts w:ascii="Arial"/>
                <w:sz w:val="18"/>
              </w:rPr>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0"/>
              <w:jc w:val="right"/>
              <w:rPr>
                <w:rFonts w:ascii="Arial" w:hAnsi="Arial" w:cs="Arial" w:eastAsia="Arial" w:hint="default"/>
                <w:sz w:val="18"/>
                <w:szCs w:val="18"/>
              </w:rPr>
            </w:pPr>
            <w:r>
              <w:rPr>
                <w:rFonts w:ascii="Arial"/>
                <w:w w:val="99"/>
                <w:sz w:val="18"/>
              </w:rPr>
              <w:t>-</w:t>
            </w:r>
            <w:r>
              <w:rPr>
                <w:rFonts w:ascii="Arial"/>
                <w:sz w:val="18"/>
              </w:rPr>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0"/>
              <w:jc w:val="right"/>
              <w:rPr>
                <w:rFonts w:ascii="Arial" w:hAnsi="Arial" w:cs="Arial" w:eastAsia="Arial" w:hint="default"/>
                <w:sz w:val="18"/>
                <w:szCs w:val="18"/>
              </w:rPr>
            </w:pPr>
            <w:r>
              <w:rPr>
                <w:rFonts w:ascii="Arial"/>
                <w:spacing w:val="-1"/>
                <w:sz w:val="18"/>
              </w:rPr>
              <w:t>6,658,487</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4"/>
              <w:jc w:val="right"/>
              <w:rPr>
                <w:rFonts w:ascii="Arial" w:hAnsi="Arial" w:cs="Arial" w:eastAsia="Arial" w:hint="default"/>
                <w:sz w:val="18"/>
                <w:szCs w:val="18"/>
              </w:rPr>
            </w:pPr>
            <w:r>
              <w:rPr>
                <w:rFonts w:ascii="Arial"/>
                <w:w w:val="99"/>
                <w:sz w:val="18"/>
              </w:rPr>
              <w:t>-</w:t>
            </w:r>
            <w:r>
              <w:rPr>
                <w:rFonts w:ascii="Arial"/>
                <w:sz w:val="18"/>
              </w:rPr>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0"/>
              <w:jc w:val="right"/>
              <w:rPr>
                <w:rFonts w:ascii="Arial" w:hAnsi="Arial" w:cs="Arial" w:eastAsia="Arial" w:hint="default"/>
                <w:sz w:val="18"/>
                <w:szCs w:val="18"/>
              </w:rPr>
            </w:pPr>
            <w:r>
              <w:rPr>
                <w:rFonts w:ascii="Arial"/>
                <w:w w:val="99"/>
                <w:sz w:val="18"/>
              </w:rPr>
              <w:t>-</w:t>
            </w:r>
            <w:r>
              <w:rPr>
                <w:rFonts w:ascii="Arial"/>
                <w:sz w:val="18"/>
              </w:rPr>
            </w:r>
          </w:p>
        </w:tc>
        <w:tc>
          <w:tcPr>
            <w:tcW w:w="86"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8"/>
              <w:jc w:val="right"/>
              <w:rPr>
                <w:rFonts w:ascii="Arial" w:hAnsi="Arial" w:cs="Arial" w:eastAsia="Arial" w:hint="default"/>
                <w:sz w:val="18"/>
                <w:szCs w:val="18"/>
              </w:rPr>
            </w:pPr>
            <w:r>
              <w:rPr>
                <w:rFonts w:ascii="Arial"/>
                <w:spacing w:val="-1"/>
                <w:sz w:val="18"/>
              </w:rPr>
              <w:t>6,658,487</w:t>
            </w:r>
          </w:p>
        </w:tc>
      </w:tr>
      <w:tr>
        <w:trPr>
          <w:trHeight w:val="233"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195" w:lineRule="exact"/>
              <w:ind w:left="200" w:right="0"/>
              <w:jc w:val="left"/>
              <w:rPr>
                <w:rFonts w:ascii="黑体" w:hAnsi="黑体" w:cs="黑体" w:eastAsia="黑体" w:hint="default"/>
                <w:sz w:val="18"/>
                <w:szCs w:val="18"/>
              </w:rPr>
            </w:pPr>
            <w:r>
              <w:rPr>
                <w:rFonts w:ascii="黑体" w:hAnsi="黑体" w:cs="黑体" w:eastAsia="黑体" w:hint="default"/>
                <w:sz w:val="18"/>
                <w:szCs w:val="18"/>
              </w:rPr>
              <w:t>短期借款及利息</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8"/>
              <w:jc w:val="right"/>
              <w:rPr>
                <w:rFonts w:ascii="Arial" w:hAnsi="Arial" w:cs="Arial" w:eastAsia="Arial" w:hint="default"/>
                <w:sz w:val="18"/>
                <w:szCs w:val="18"/>
              </w:rPr>
            </w:pPr>
            <w:r>
              <w:rPr>
                <w:rFonts w:ascii="Arial"/>
                <w:spacing w:val="-1"/>
                <w:sz w:val="18"/>
              </w:rPr>
              <w:t>152,204,098</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
              <w:jc w:val="right"/>
              <w:rPr>
                <w:rFonts w:ascii="Arial" w:hAnsi="Arial" w:cs="Arial" w:eastAsia="Arial" w:hint="default"/>
                <w:sz w:val="18"/>
                <w:szCs w:val="18"/>
              </w:rPr>
            </w:pPr>
            <w:r>
              <w:rPr>
                <w:rFonts w:ascii="Arial"/>
                <w:spacing w:val="-1"/>
                <w:sz w:val="18"/>
              </w:rPr>
              <w:t>455,365,756</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spacing w:val="-1"/>
                <w:sz w:val="18"/>
              </w:rPr>
              <w:t>3,712,554,727</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
              <w:jc w:val="right"/>
              <w:rPr>
                <w:rFonts w:ascii="Arial" w:hAnsi="Arial" w:cs="Arial" w:eastAsia="Arial" w:hint="default"/>
                <w:sz w:val="18"/>
                <w:szCs w:val="18"/>
              </w:rPr>
            </w:pPr>
            <w:r>
              <w:rPr>
                <w:rFonts w:ascii="Arial"/>
                <w:w w:val="99"/>
                <w:sz w:val="18"/>
              </w:rPr>
              <w:t>-</w:t>
            </w:r>
            <w:r>
              <w:rPr>
                <w:rFonts w:ascii="Arial"/>
                <w:sz w:val="18"/>
              </w:rPr>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w w:val="99"/>
                <w:sz w:val="18"/>
              </w:rPr>
              <w:t>-</w:t>
            </w:r>
            <w:r>
              <w:rPr>
                <w:rFonts w:ascii="Arial"/>
                <w:sz w:val="18"/>
              </w:rPr>
            </w:r>
          </w:p>
        </w:tc>
        <w:tc>
          <w:tcPr>
            <w:tcW w:w="86"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9"/>
              <w:jc w:val="right"/>
              <w:rPr>
                <w:rFonts w:ascii="Arial" w:hAnsi="Arial" w:cs="Arial" w:eastAsia="Arial" w:hint="default"/>
                <w:sz w:val="18"/>
                <w:szCs w:val="18"/>
              </w:rPr>
            </w:pPr>
            <w:r>
              <w:rPr>
                <w:rFonts w:ascii="Arial"/>
                <w:spacing w:val="-1"/>
                <w:sz w:val="18"/>
              </w:rPr>
              <w:t>4,320,124,581</w:t>
            </w:r>
          </w:p>
        </w:tc>
      </w:tr>
      <w:tr>
        <w:trPr>
          <w:trHeight w:val="234"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195" w:lineRule="exact"/>
              <w:ind w:left="200" w:right="0"/>
              <w:jc w:val="left"/>
              <w:rPr>
                <w:rFonts w:ascii="黑体" w:hAnsi="黑体" w:cs="黑体" w:eastAsia="黑体" w:hint="default"/>
                <w:sz w:val="18"/>
                <w:szCs w:val="18"/>
              </w:rPr>
            </w:pPr>
            <w:r>
              <w:rPr>
                <w:rFonts w:ascii="黑体" w:hAnsi="黑体" w:cs="黑体" w:eastAsia="黑体" w:hint="default"/>
                <w:sz w:val="18"/>
                <w:szCs w:val="18"/>
              </w:rPr>
              <w:t>应付账款</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6"/>
              <w:jc w:val="right"/>
              <w:rPr>
                <w:rFonts w:ascii="Arial" w:hAnsi="Arial" w:cs="Arial" w:eastAsia="Arial" w:hint="default"/>
                <w:sz w:val="18"/>
                <w:szCs w:val="18"/>
              </w:rPr>
            </w:pPr>
            <w:r>
              <w:rPr>
                <w:rFonts w:ascii="Arial"/>
                <w:spacing w:val="-1"/>
                <w:sz w:val="18"/>
              </w:rPr>
              <w:t>504,548,214</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
              <w:jc w:val="right"/>
              <w:rPr>
                <w:rFonts w:ascii="Arial" w:hAnsi="Arial" w:cs="Arial" w:eastAsia="Arial" w:hint="default"/>
                <w:sz w:val="18"/>
                <w:szCs w:val="18"/>
              </w:rPr>
            </w:pPr>
            <w:r>
              <w:rPr>
                <w:rFonts w:ascii="Arial"/>
                <w:spacing w:val="-1"/>
                <w:sz w:val="18"/>
              </w:rPr>
              <w:t>92,500,944</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
              <w:jc w:val="right"/>
              <w:rPr>
                <w:rFonts w:ascii="Arial" w:hAnsi="Arial" w:cs="Arial" w:eastAsia="Arial" w:hint="default"/>
                <w:sz w:val="18"/>
                <w:szCs w:val="18"/>
              </w:rPr>
            </w:pPr>
            <w:r>
              <w:rPr>
                <w:rFonts w:ascii="Arial"/>
                <w:w w:val="99"/>
                <w:sz w:val="18"/>
              </w:rPr>
              <w:t>-</w:t>
            </w:r>
            <w:r>
              <w:rPr>
                <w:rFonts w:ascii="Arial"/>
                <w:sz w:val="18"/>
              </w:rPr>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w w:val="99"/>
                <w:sz w:val="18"/>
              </w:rPr>
              <w:t>-</w:t>
            </w:r>
            <w:r>
              <w:rPr>
                <w:rFonts w:ascii="Arial"/>
                <w:sz w:val="18"/>
              </w:rPr>
            </w:r>
          </w:p>
        </w:tc>
        <w:tc>
          <w:tcPr>
            <w:tcW w:w="86"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8"/>
              <w:jc w:val="right"/>
              <w:rPr>
                <w:rFonts w:ascii="Arial" w:hAnsi="Arial" w:cs="Arial" w:eastAsia="Arial" w:hint="default"/>
                <w:sz w:val="18"/>
                <w:szCs w:val="18"/>
              </w:rPr>
            </w:pPr>
            <w:r>
              <w:rPr>
                <w:rFonts w:ascii="Arial"/>
                <w:spacing w:val="-1"/>
                <w:sz w:val="18"/>
              </w:rPr>
              <w:t>597,049,158</w:t>
            </w:r>
          </w:p>
        </w:tc>
      </w:tr>
      <w:tr>
        <w:trPr>
          <w:trHeight w:val="234"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196" w:lineRule="exact"/>
              <w:ind w:left="200" w:right="0"/>
              <w:jc w:val="left"/>
              <w:rPr>
                <w:rFonts w:ascii="黑体" w:hAnsi="黑体" w:cs="黑体" w:eastAsia="黑体" w:hint="default"/>
                <w:sz w:val="18"/>
                <w:szCs w:val="18"/>
              </w:rPr>
            </w:pPr>
            <w:r>
              <w:rPr>
                <w:rFonts w:ascii="黑体" w:hAnsi="黑体" w:cs="黑体" w:eastAsia="黑体" w:hint="default"/>
                <w:sz w:val="18"/>
                <w:szCs w:val="18"/>
              </w:rPr>
              <w:t>其他应付款</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6"/>
              <w:jc w:val="right"/>
              <w:rPr>
                <w:rFonts w:ascii="Arial" w:hAnsi="Arial" w:cs="Arial" w:eastAsia="Arial" w:hint="default"/>
                <w:sz w:val="18"/>
                <w:szCs w:val="18"/>
              </w:rPr>
            </w:pPr>
            <w:r>
              <w:rPr>
                <w:rFonts w:ascii="Arial"/>
                <w:spacing w:val="-1"/>
                <w:sz w:val="18"/>
              </w:rPr>
              <w:t>153,226,491</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
              <w:jc w:val="right"/>
              <w:rPr>
                <w:rFonts w:ascii="Arial" w:hAnsi="Arial" w:cs="Arial" w:eastAsia="Arial" w:hint="default"/>
                <w:sz w:val="18"/>
                <w:szCs w:val="18"/>
              </w:rPr>
            </w:pPr>
            <w:r>
              <w:rPr>
                <w:rFonts w:ascii="Arial"/>
                <w:spacing w:val="-1"/>
                <w:sz w:val="18"/>
              </w:rPr>
              <w:t>3,171,624</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18"/>
                <w:szCs w:val="18"/>
              </w:rPr>
            </w:pPr>
            <w:r>
              <w:rPr>
                <w:rFonts w:ascii="Arial"/>
                <w:spacing w:val="-1"/>
                <w:sz w:val="18"/>
              </w:rPr>
              <w:t>1,176,355,905</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4"/>
              <w:jc w:val="right"/>
              <w:rPr>
                <w:rFonts w:ascii="Arial" w:hAnsi="Arial" w:cs="Arial" w:eastAsia="Arial" w:hint="default"/>
                <w:sz w:val="18"/>
                <w:szCs w:val="18"/>
              </w:rPr>
            </w:pPr>
            <w:r>
              <w:rPr>
                <w:rFonts w:ascii="Arial"/>
                <w:w w:val="99"/>
                <w:sz w:val="18"/>
              </w:rPr>
              <w:t>-</w:t>
            </w:r>
            <w:r>
              <w:rPr>
                <w:rFonts w:ascii="Arial"/>
                <w:sz w:val="18"/>
              </w:rPr>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18"/>
                <w:szCs w:val="18"/>
              </w:rPr>
            </w:pPr>
            <w:r>
              <w:rPr>
                <w:rFonts w:ascii="Arial"/>
                <w:w w:val="99"/>
                <w:sz w:val="18"/>
              </w:rPr>
              <w:t>-</w:t>
            </w:r>
            <w:r>
              <w:rPr>
                <w:rFonts w:ascii="Arial"/>
                <w:sz w:val="18"/>
              </w:rPr>
            </w:r>
          </w:p>
        </w:tc>
        <w:tc>
          <w:tcPr>
            <w:tcW w:w="86"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99"/>
              <w:jc w:val="right"/>
              <w:rPr>
                <w:rFonts w:ascii="Arial" w:hAnsi="Arial" w:cs="Arial" w:eastAsia="Arial" w:hint="default"/>
                <w:sz w:val="18"/>
                <w:szCs w:val="18"/>
              </w:rPr>
            </w:pPr>
            <w:r>
              <w:rPr>
                <w:rFonts w:ascii="Arial"/>
                <w:spacing w:val="-1"/>
                <w:sz w:val="18"/>
              </w:rPr>
              <w:t>1,332,754,020</w:t>
            </w:r>
          </w:p>
        </w:tc>
      </w:tr>
      <w:tr>
        <w:trPr>
          <w:trHeight w:val="466"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193" w:lineRule="exact"/>
              <w:ind w:left="200" w:right="0"/>
              <w:jc w:val="left"/>
              <w:rPr>
                <w:rFonts w:ascii="黑体" w:hAnsi="黑体" w:cs="黑体" w:eastAsia="黑体" w:hint="default"/>
                <w:sz w:val="18"/>
                <w:szCs w:val="18"/>
              </w:rPr>
            </w:pPr>
            <w:r>
              <w:rPr>
                <w:rFonts w:ascii="黑体" w:hAnsi="黑体" w:cs="黑体" w:eastAsia="黑体" w:hint="default"/>
                <w:sz w:val="18"/>
                <w:szCs w:val="18"/>
              </w:rPr>
              <w:t>一年内到期的长期</w:t>
            </w:r>
          </w:p>
          <w:p>
            <w:pPr>
              <w:pStyle w:val="TableParagraph"/>
              <w:spacing w:line="234" w:lineRule="exact"/>
              <w:ind w:left="380" w:right="0"/>
              <w:jc w:val="left"/>
              <w:rPr>
                <w:rFonts w:ascii="黑体" w:hAnsi="黑体" w:cs="黑体" w:eastAsia="黑体" w:hint="default"/>
                <w:sz w:val="18"/>
                <w:szCs w:val="18"/>
              </w:rPr>
            </w:pPr>
            <w:r>
              <w:rPr>
                <w:rFonts w:ascii="黑体" w:hAnsi="黑体" w:cs="黑体" w:eastAsia="黑体" w:hint="default"/>
                <w:sz w:val="18"/>
                <w:szCs w:val="18"/>
              </w:rPr>
              <w:t>借款及利息</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66"/>
              <w:jc w:val="right"/>
              <w:rPr>
                <w:rFonts w:ascii="Arial" w:hAnsi="Arial" w:cs="Arial" w:eastAsia="Arial" w:hint="default"/>
                <w:sz w:val="18"/>
                <w:szCs w:val="18"/>
              </w:rPr>
            </w:pPr>
            <w:r>
              <w:rPr>
                <w:rFonts w:ascii="Arial"/>
                <w:w w:val="99"/>
                <w:sz w:val="18"/>
              </w:rPr>
              <w:t>-</w:t>
            </w:r>
            <w:r>
              <w:rPr>
                <w:rFonts w:ascii="Arial"/>
                <w:sz w:val="18"/>
              </w:rPr>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0"/>
              <w:jc w:val="right"/>
              <w:rPr>
                <w:rFonts w:ascii="Arial" w:hAnsi="Arial" w:cs="Arial" w:eastAsia="Arial" w:hint="default"/>
                <w:sz w:val="18"/>
                <w:szCs w:val="18"/>
              </w:rPr>
            </w:pPr>
            <w:r>
              <w:rPr>
                <w:rFonts w:ascii="Arial"/>
                <w:w w:val="99"/>
                <w:sz w:val="18"/>
              </w:rPr>
              <w:t>-</w:t>
            </w:r>
            <w:r>
              <w:rPr>
                <w:rFonts w:ascii="Arial"/>
                <w:sz w:val="18"/>
              </w:rPr>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1"/>
              <w:jc w:val="right"/>
              <w:rPr>
                <w:rFonts w:ascii="Arial" w:hAnsi="Arial" w:cs="Arial" w:eastAsia="Arial" w:hint="default"/>
                <w:sz w:val="18"/>
                <w:szCs w:val="18"/>
              </w:rPr>
            </w:pPr>
            <w:r>
              <w:rPr>
                <w:rFonts w:ascii="Arial"/>
                <w:spacing w:val="-1"/>
                <w:sz w:val="18"/>
              </w:rPr>
              <w:t>93,574,375</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24"/>
              <w:jc w:val="right"/>
              <w:rPr>
                <w:rFonts w:ascii="Arial" w:hAnsi="Arial" w:cs="Arial" w:eastAsia="Arial" w:hint="default"/>
                <w:sz w:val="18"/>
                <w:szCs w:val="18"/>
              </w:rPr>
            </w:pPr>
            <w:r>
              <w:rPr>
                <w:rFonts w:ascii="Arial"/>
                <w:w w:val="99"/>
                <w:sz w:val="18"/>
              </w:rPr>
              <w:t>-</w:t>
            </w:r>
            <w:r>
              <w:rPr>
                <w:rFonts w:ascii="Arial"/>
                <w:sz w:val="18"/>
              </w:rPr>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0"/>
              <w:jc w:val="right"/>
              <w:rPr>
                <w:rFonts w:ascii="Arial" w:hAnsi="Arial" w:cs="Arial" w:eastAsia="Arial" w:hint="default"/>
                <w:sz w:val="18"/>
                <w:szCs w:val="18"/>
              </w:rPr>
            </w:pPr>
            <w:r>
              <w:rPr>
                <w:rFonts w:ascii="Arial"/>
                <w:w w:val="99"/>
                <w:sz w:val="18"/>
              </w:rPr>
              <w:t>-</w:t>
            </w:r>
            <w:r>
              <w:rPr>
                <w:rFonts w:ascii="Arial"/>
                <w:sz w:val="18"/>
              </w:rPr>
            </w:r>
          </w:p>
        </w:tc>
        <w:tc>
          <w:tcPr>
            <w:tcW w:w="86"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8"/>
                <w:szCs w:val="18"/>
              </w:rPr>
            </w:pPr>
          </w:p>
          <w:p>
            <w:pPr>
              <w:pStyle w:val="TableParagraph"/>
              <w:spacing w:line="240" w:lineRule="auto"/>
              <w:ind w:right="198"/>
              <w:jc w:val="right"/>
              <w:rPr>
                <w:rFonts w:ascii="Arial" w:hAnsi="Arial" w:cs="Arial" w:eastAsia="Arial" w:hint="default"/>
                <w:sz w:val="18"/>
                <w:szCs w:val="18"/>
              </w:rPr>
            </w:pPr>
            <w:r>
              <w:rPr>
                <w:rFonts w:ascii="Arial"/>
                <w:spacing w:val="-1"/>
                <w:sz w:val="18"/>
              </w:rPr>
              <w:t>93,574,375</w:t>
            </w:r>
          </w:p>
        </w:tc>
      </w:tr>
      <w:tr>
        <w:trPr>
          <w:trHeight w:val="418"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195" w:lineRule="exact"/>
              <w:ind w:left="200" w:right="0"/>
              <w:jc w:val="left"/>
              <w:rPr>
                <w:rFonts w:ascii="黑体" w:hAnsi="黑体" w:cs="黑体" w:eastAsia="黑体" w:hint="default"/>
                <w:sz w:val="18"/>
                <w:szCs w:val="18"/>
              </w:rPr>
            </w:pPr>
            <w:r>
              <w:rPr>
                <w:rFonts w:ascii="黑体" w:hAnsi="黑体" w:cs="黑体" w:eastAsia="黑体" w:hint="default"/>
                <w:sz w:val="18"/>
                <w:szCs w:val="18"/>
              </w:rPr>
              <w:t>其他流动负债</w:t>
            </w:r>
          </w:p>
        </w:tc>
        <w:tc>
          <w:tcPr>
            <w:tcW w:w="1119" w:type="dxa"/>
            <w:tcBorders>
              <w:top w:val="nil" w:sz="6" w:space="0" w:color="auto"/>
              <w:left w:val="nil" w:sz="6" w:space="0" w:color="auto"/>
              <w:bottom w:val="single" w:sz="5" w:space="0" w:color="000000"/>
              <w:right w:val="nil" w:sz="6" w:space="0" w:color="auto"/>
            </w:tcBorders>
          </w:tcPr>
          <w:p>
            <w:pPr>
              <w:pStyle w:val="TableParagraph"/>
              <w:spacing w:line="240" w:lineRule="auto" w:before="15"/>
              <w:ind w:right="66"/>
              <w:jc w:val="right"/>
              <w:rPr>
                <w:rFonts w:ascii="Arial" w:hAnsi="Arial" w:cs="Arial" w:eastAsia="Arial" w:hint="default"/>
                <w:sz w:val="18"/>
                <w:szCs w:val="18"/>
              </w:rPr>
            </w:pPr>
            <w:r>
              <w:rPr>
                <w:rFonts w:ascii="Arial"/>
                <w:w w:val="99"/>
                <w:sz w:val="18"/>
              </w:rPr>
              <w:t>-</w:t>
            </w:r>
            <w:r>
              <w:rPr>
                <w:rFonts w:ascii="Arial"/>
                <w:sz w:val="18"/>
              </w:rPr>
            </w:r>
          </w:p>
        </w:tc>
        <w:tc>
          <w:tcPr>
            <w:tcW w:w="1069" w:type="dxa"/>
            <w:tcBorders>
              <w:top w:val="nil" w:sz="6" w:space="0" w:color="auto"/>
              <w:left w:val="nil" w:sz="6" w:space="0" w:color="auto"/>
              <w:bottom w:val="single" w:sz="5" w:space="0" w:color="000000"/>
              <w:right w:val="nil" w:sz="6" w:space="0" w:color="auto"/>
            </w:tcBorders>
          </w:tcPr>
          <w:p>
            <w:pPr>
              <w:pStyle w:val="TableParagraph"/>
              <w:spacing w:line="240" w:lineRule="auto" w:before="15"/>
              <w:ind w:right="1"/>
              <w:jc w:val="right"/>
              <w:rPr>
                <w:rFonts w:ascii="Arial" w:hAnsi="Arial" w:cs="Arial" w:eastAsia="Arial" w:hint="default"/>
                <w:sz w:val="18"/>
                <w:szCs w:val="18"/>
              </w:rPr>
            </w:pPr>
            <w:r>
              <w:rPr>
                <w:rFonts w:ascii="Arial"/>
                <w:spacing w:val="-1"/>
                <w:sz w:val="18"/>
              </w:rPr>
              <w:t>2,580,476</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single" w:sz="5" w:space="0" w:color="000000"/>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w w:val="99"/>
                <w:sz w:val="18"/>
              </w:rPr>
              <w:t>-</w:t>
            </w:r>
            <w:r>
              <w:rPr>
                <w:rFonts w:ascii="Arial"/>
                <w:sz w:val="18"/>
              </w:rPr>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
              <w:jc w:val="right"/>
              <w:rPr>
                <w:rFonts w:ascii="Arial" w:hAnsi="Arial" w:cs="Arial" w:eastAsia="Arial" w:hint="default"/>
                <w:sz w:val="18"/>
                <w:szCs w:val="18"/>
              </w:rPr>
            </w:pPr>
            <w:r>
              <w:rPr>
                <w:rFonts w:ascii="Arial"/>
                <w:w w:val="99"/>
                <w:sz w:val="18"/>
              </w:rPr>
              <w:t>-</w:t>
            </w:r>
            <w:r>
              <w:rPr>
                <w:rFonts w:ascii="Arial"/>
                <w:sz w:val="18"/>
              </w:rPr>
            </w:r>
          </w:p>
        </w:tc>
        <w:tc>
          <w:tcPr>
            <w:tcW w:w="722" w:type="dxa"/>
            <w:tcBorders>
              <w:top w:val="nil" w:sz="6" w:space="0" w:color="auto"/>
              <w:left w:val="nil" w:sz="6" w:space="0" w:color="auto"/>
              <w:bottom w:val="single" w:sz="5" w:space="0" w:color="000000"/>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w w:val="99"/>
                <w:sz w:val="18"/>
              </w:rPr>
              <w:t>-</w:t>
            </w:r>
            <w:r>
              <w:rPr>
                <w:rFonts w:ascii="Arial"/>
                <w:sz w:val="18"/>
              </w:rPr>
            </w:r>
          </w:p>
        </w:tc>
        <w:tc>
          <w:tcPr>
            <w:tcW w:w="86"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8"/>
              <w:jc w:val="right"/>
              <w:rPr>
                <w:rFonts w:ascii="Arial" w:hAnsi="Arial" w:cs="Arial" w:eastAsia="Arial" w:hint="default"/>
                <w:sz w:val="18"/>
                <w:szCs w:val="18"/>
              </w:rPr>
            </w:pPr>
            <w:r>
              <w:rPr>
                <w:rFonts w:ascii="Arial"/>
                <w:spacing w:val="-1"/>
                <w:sz w:val="18"/>
              </w:rPr>
              <w:t>2,580,476</w:t>
            </w:r>
          </w:p>
        </w:tc>
      </w:tr>
      <w:tr>
        <w:trPr>
          <w:trHeight w:val="436" w:hRule="exact"/>
        </w:trPr>
        <w:tc>
          <w:tcPr>
            <w:tcW w:w="1687" w:type="dxa"/>
            <w:tcBorders>
              <w:top w:val="nil" w:sz="6" w:space="0" w:color="auto"/>
              <w:left w:val="nil" w:sz="6" w:space="0" w:color="auto"/>
              <w:bottom w:val="nil" w:sz="6" w:space="0" w:color="auto"/>
              <w:right w:val="nil" w:sz="6" w:space="0" w:color="auto"/>
            </w:tcBorders>
          </w:tcPr>
          <w:p>
            <w:pPr>
              <w:pStyle w:val="TableParagraph"/>
              <w:spacing w:line="192" w:lineRule="exact"/>
              <w:ind w:left="200" w:right="0"/>
              <w:jc w:val="left"/>
              <w:rPr>
                <w:rFonts w:ascii="黑体" w:hAnsi="黑体" w:cs="黑体" w:eastAsia="黑体" w:hint="default"/>
                <w:sz w:val="18"/>
                <w:szCs w:val="18"/>
              </w:rPr>
            </w:pPr>
            <w:r>
              <w:rPr>
                <w:rFonts w:ascii="黑体" w:hAnsi="黑体" w:cs="黑体" w:eastAsia="黑体" w:hint="default"/>
                <w:sz w:val="18"/>
                <w:szCs w:val="18"/>
              </w:rPr>
              <w:t>长期借款及利息</w:t>
            </w:r>
          </w:p>
        </w:tc>
        <w:tc>
          <w:tcPr>
            <w:tcW w:w="1119" w:type="dxa"/>
            <w:tcBorders>
              <w:top w:val="single" w:sz="5" w:space="0" w:color="000000"/>
              <w:left w:val="nil" w:sz="6" w:space="0" w:color="auto"/>
              <w:bottom w:val="nil" w:sz="6" w:space="0" w:color="auto"/>
              <w:right w:val="nil" w:sz="6" w:space="0" w:color="auto"/>
            </w:tcBorders>
          </w:tcPr>
          <w:p>
            <w:pPr>
              <w:pStyle w:val="TableParagraph"/>
              <w:tabs>
                <w:tab w:pos="631" w:val="left" w:leader="none"/>
              </w:tabs>
              <w:spacing w:line="240" w:lineRule="auto" w:before="6"/>
              <w:ind w:right="6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069" w:type="dxa"/>
            <w:tcBorders>
              <w:top w:val="single" w:sz="5" w:space="0" w:color="000000"/>
              <w:left w:val="nil" w:sz="6" w:space="0" w:color="auto"/>
              <w:bottom w:val="nil" w:sz="6" w:space="0" w:color="auto"/>
              <w:right w:val="nil" w:sz="6" w:space="0" w:color="auto"/>
            </w:tcBorders>
          </w:tcPr>
          <w:p>
            <w:pPr>
              <w:pStyle w:val="TableParagraph"/>
              <w:tabs>
                <w:tab w:pos="722" w:val="left" w:leader="none"/>
              </w:tabs>
              <w:spacing w:line="240" w:lineRule="auto" w:before="6"/>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single" w:sz="5" w:space="0" w:color="000000"/>
              <w:left w:val="nil" w:sz="6" w:space="0" w:color="auto"/>
              <w:bottom w:val="nil" w:sz="6" w:space="0" w:color="auto"/>
              <w:right w:val="nil" w:sz="6" w:space="0" w:color="auto"/>
            </w:tcBorders>
          </w:tcPr>
          <w:p>
            <w:pPr>
              <w:pStyle w:val="TableParagraph"/>
              <w:tabs>
                <w:tab w:pos="813" w:val="left" w:leader="none"/>
              </w:tabs>
              <w:spacing w:line="240" w:lineRule="auto" w:before="6"/>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3"/>
              <w:jc w:val="right"/>
              <w:rPr>
                <w:rFonts w:ascii="Arial" w:hAnsi="Arial" w:cs="Arial" w:eastAsia="Arial" w:hint="default"/>
                <w:sz w:val="18"/>
                <w:szCs w:val="18"/>
              </w:rPr>
            </w:pPr>
            <w:r>
              <w:rPr>
                <w:rFonts w:ascii="Arial"/>
                <w:w w:val="99"/>
                <w:sz w:val="18"/>
              </w:rPr>
            </w:r>
            <w:r>
              <w:rPr>
                <w:rFonts w:ascii="Arial"/>
                <w:spacing w:val="-1"/>
                <w:sz w:val="18"/>
                <w:u w:val="single" w:color="000000"/>
              </w:rPr>
              <w:t>45,166,250</w:t>
            </w:r>
            <w:r>
              <w:rPr>
                <w:rFonts w:ascii="Arial"/>
                <w:spacing w:val="-1"/>
                <w:sz w:val="18"/>
              </w:rPr>
            </w:r>
          </w:p>
        </w:tc>
        <w:tc>
          <w:tcPr>
            <w:tcW w:w="722" w:type="dxa"/>
            <w:tcBorders>
              <w:top w:val="single" w:sz="5" w:space="0" w:color="000000"/>
              <w:left w:val="nil" w:sz="6" w:space="0" w:color="auto"/>
              <w:bottom w:val="nil" w:sz="6" w:space="0" w:color="auto"/>
              <w:right w:val="nil" w:sz="6" w:space="0" w:color="auto"/>
            </w:tcBorders>
          </w:tcPr>
          <w:p>
            <w:pPr>
              <w:pStyle w:val="TableParagraph"/>
              <w:tabs>
                <w:tab w:pos="362" w:val="left" w:leader="none"/>
              </w:tabs>
              <w:spacing w:line="240" w:lineRule="auto" w:before="6"/>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86"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tabs>
                <w:tab w:pos="341" w:val="left" w:leader="none"/>
              </w:tabs>
              <w:spacing w:line="240" w:lineRule="auto" w:before="12"/>
              <w:ind w:left="-22" w:right="19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45,166,250</w:t>
            </w:r>
            <w:r>
              <w:rPr>
                <w:rFonts w:ascii="Arial"/>
                <w:spacing w:val="-1"/>
                <w:sz w:val="18"/>
              </w:rPr>
            </w:r>
          </w:p>
        </w:tc>
      </w:tr>
      <w:tr>
        <w:trPr>
          <w:trHeight w:val="388" w:hRule="exact"/>
        </w:trPr>
        <w:tc>
          <w:tcPr>
            <w:tcW w:w="1687" w:type="dxa"/>
            <w:tcBorders>
              <w:top w:val="nil" w:sz="6" w:space="0" w:color="auto"/>
              <w:left w:val="nil" w:sz="6" w:space="0" w:color="auto"/>
              <w:bottom w:val="nil" w:sz="6" w:space="0" w:color="auto"/>
              <w:right w:val="nil" w:sz="6" w:space="0" w:color="auto"/>
            </w:tcBorders>
          </w:tcPr>
          <w:p>
            <w:pP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5"/>
                <w:szCs w:val="15"/>
              </w:rPr>
            </w:pPr>
          </w:p>
          <w:p>
            <w:pPr>
              <w:pStyle w:val="TableParagraph"/>
              <w:spacing w:line="240" w:lineRule="auto"/>
              <w:ind w:right="66"/>
              <w:jc w:val="right"/>
              <w:rPr>
                <w:rFonts w:ascii="Arial" w:hAnsi="Arial" w:cs="Arial" w:eastAsia="Arial" w:hint="default"/>
                <w:sz w:val="18"/>
                <w:szCs w:val="18"/>
              </w:rPr>
            </w:pPr>
            <w:r>
              <w:rPr>
                <w:rFonts w:ascii="Arial"/>
                <w:w w:val="99"/>
                <w:sz w:val="18"/>
              </w:rPr>
            </w:r>
            <w:r>
              <w:rPr>
                <w:rFonts w:ascii="Arial"/>
                <w:spacing w:val="-1"/>
                <w:sz w:val="18"/>
                <w:u w:val="thick" w:color="000000"/>
              </w:rPr>
              <w:t>809,978,803</w:t>
            </w:r>
            <w:r>
              <w:rPr>
                <w:rFonts w:ascii="Arial"/>
                <w:spacing w:val="-1"/>
                <w:sz w:val="18"/>
              </w:rPr>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5"/>
                <w:szCs w:val="15"/>
              </w:rPr>
            </w:pPr>
          </w:p>
          <w:p>
            <w:pPr>
              <w:pStyle w:val="TableParagraph"/>
              <w:spacing w:line="240" w:lineRule="auto"/>
              <w:ind w:right="1"/>
              <w:jc w:val="right"/>
              <w:rPr>
                <w:rFonts w:ascii="Arial" w:hAnsi="Arial" w:cs="Arial" w:eastAsia="Arial" w:hint="default"/>
                <w:sz w:val="18"/>
                <w:szCs w:val="18"/>
              </w:rPr>
            </w:pPr>
            <w:r>
              <w:rPr>
                <w:rFonts w:ascii="Arial"/>
                <w:w w:val="99"/>
                <w:sz w:val="18"/>
              </w:rPr>
            </w:r>
            <w:r>
              <w:rPr>
                <w:rFonts w:ascii="Arial"/>
                <w:spacing w:val="-1"/>
                <w:sz w:val="18"/>
                <w:u w:val="thick" w:color="000000"/>
              </w:rPr>
              <w:t>553,618,800</w:t>
            </w:r>
            <w:r>
              <w:rPr>
                <w:rFonts w:ascii="Arial"/>
                <w:spacing w:val="-1"/>
                <w:sz w:val="18"/>
              </w:rPr>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5"/>
                <w:szCs w:val="15"/>
              </w:rPr>
            </w:pPr>
          </w:p>
          <w:p>
            <w:pPr>
              <w:pStyle w:val="TableParagraph"/>
              <w:spacing w:line="240" w:lineRule="auto"/>
              <w:ind w:right="0"/>
              <w:jc w:val="right"/>
              <w:rPr>
                <w:rFonts w:ascii="Arial" w:hAnsi="Arial" w:cs="Arial" w:eastAsia="Arial" w:hint="default"/>
                <w:sz w:val="18"/>
                <w:szCs w:val="18"/>
              </w:rPr>
            </w:pPr>
            <w:r>
              <w:rPr>
                <w:rFonts w:ascii="Arial"/>
                <w:w w:val="99"/>
                <w:sz w:val="18"/>
              </w:rPr>
            </w:r>
            <w:r>
              <w:rPr>
                <w:rFonts w:ascii="Arial"/>
                <w:spacing w:val="-1"/>
                <w:sz w:val="18"/>
                <w:u w:val="thick" w:color="000000"/>
              </w:rPr>
              <w:t>4,989,143,494</w:t>
            </w:r>
            <w:r>
              <w:rPr>
                <w:rFonts w:ascii="Arial"/>
                <w:spacing w:val="-1"/>
                <w:sz w:val="18"/>
              </w:rPr>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5"/>
                <w:szCs w:val="15"/>
              </w:rPr>
            </w:pPr>
          </w:p>
          <w:p>
            <w:pPr>
              <w:pStyle w:val="TableParagraph"/>
              <w:spacing w:line="240" w:lineRule="auto"/>
              <w:ind w:right="23"/>
              <w:jc w:val="right"/>
              <w:rPr>
                <w:rFonts w:ascii="Arial" w:hAnsi="Arial" w:cs="Arial" w:eastAsia="Arial" w:hint="default"/>
                <w:sz w:val="18"/>
                <w:szCs w:val="18"/>
              </w:rPr>
            </w:pPr>
            <w:r>
              <w:rPr>
                <w:rFonts w:ascii="Arial"/>
                <w:w w:val="99"/>
                <w:sz w:val="18"/>
              </w:rPr>
            </w:r>
            <w:r>
              <w:rPr>
                <w:rFonts w:ascii="Arial"/>
                <w:spacing w:val="-1"/>
                <w:sz w:val="18"/>
                <w:u w:val="thick" w:color="000000"/>
              </w:rPr>
              <w:t>45,166,250</w:t>
            </w:r>
            <w:r>
              <w:rPr>
                <w:rFonts w:ascii="Arial"/>
                <w:spacing w:val="-1"/>
                <w:sz w:val="18"/>
              </w:rPr>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5"/>
                <w:szCs w:val="15"/>
              </w:rPr>
            </w:pPr>
          </w:p>
          <w:p>
            <w:pPr>
              <w:pStyle w:val="TableParagraph"/>
              <w:spacing w:line="240" w:lineRule="auto"/>
              <w:ind w:right="0"/>
              <w:jc w:val="right"/>
              <w:rPr>
                <w:rFonts w:ascii="Arial" w:hAnsi="Arial" w:cs="Arial" w:eastAsia="Arial" w:hint="default"/>
                <w:sz w:val="18"/>
                <w:szCs w:val="18"/>
              </w:rPr>
            </w:pPr>
            <w:r>
              <w:rPr>
                <w:rFonts w:ascii="Arial"/>
                <w:w w:val="99"/>
                <w:sz w:val="18"/>
              </w:rPr>
              <w:t>-</w:t>
            </w:r>
            <w:r>
              <w:rPr>
                <w:rFonts w:ascii="Arial"/>
                <w:sz w:val="18"/>
              </w:rPr>
            </w:r>
          </w:p>
        </w:tc>
        <w:tc>
          <w:tcPr>
            <w:tcW w:w="86"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5"/>
                <w:szCs w:val="15"/>
              </w:rPr>
            </w:pPr>
          </w:p>
          <w:p>
            <w:pPr>
              <w:pStyle w:val="TableParagraph"/>
              <w:spacing w:line="240" w:lineRule="auto"/>
              <w:ind w:right="199"/>
              <w:jc w:val="right"/>
              <w:rPr>
                <w:rFonts w:ascii="Arial" w:hAnsi="Arial" w:cs="Arial" w:eastAsia="Arial" w:hint="default"/>
                <w:sz w:val="18"/>
                <w:szCs w:val="18"/>
              </w:rPr>
            </w:pPr>
            <w:r>
              <w:rPr>
                <w:rFonts w:ascii="Arial"/>
                <w:w w:val="99"/>
                <w:sz w:val="18"/>
              </w:rPr>
            </w:r>
            <w:r>
              <w:rPr>
                <w:rFonts w:ascii="Arial"/>
                <w:spacing w:val="-1"/>
                <w:sz w:val="18"/>
                <w:u w:val="thick" w:color="000000"/>
              </w:rPr>
              <w:t>6,397,907,347</w:t>
            </w:r>
            <w:r>
              <w:rPr>
                <w:rFonts w:ascii="Arial"/>
                <w:spacing w:val="-1"/>
                <w:sz w:val="18"/>
              </w:rPr>
            </w:r>
          </w:p>
        </w:tc>
      </w:tr>
    </w:tbl>
    <w:p>
      <w:pPr>
        <w:spacing w:line="240" w:lineRule="auto" w:before="0"/>
        <w:rPr>
          <w:rFonts w:ascii="黑体" w:hAnsi="黑体" w:cs="黑体" w:eastAsia="黑体" w:hint="default"/>
          <w:sz w:val="20"/>
          <w:szCs w:val="20"/>
        </w:rPr>
      </w:pPr>
    </w:p>
    <w:p>
      <w:pPr>
        <w:spacing w:before="179"/>
        <w:ind w:left="298" w:right="6353" w:firstLine="0"/>
        <w:jc w:val="left"/>
        <w:rPr>
          <w:rFonts w:ascii="黑体" w:hAnsi="黑体" w:cs="黑体" w:eastAsia="黑体" w:hint="default"/>
          <w:sz w:val="20"/>
          <w:szCs w:val="20"/>
        </w:rPr>
      </w:pPr>
      <w:r>
        <w:rPr>
          <w:rFonts w:ascii="Arial" w:hAnsi="Arial" w:cs="Arial" w:eastAsia="Arial" w:hint="default"/>
          <w:sz w:val="20"/>
          <w:szCs w:val="20"/>
        </w:rPr>
        <w:t>2018</w:t>
      </w:r>
      <w:r>
        <w:rPr>
          <w:rFonts w:ascii="黑体" w:hAnsi="黑体" w:cs="黑体" w:eastAsia="黑体" w:hint="default"/>
          <w:sz w:val="20"/>
          <w:szCs w:val="20"/>
        </w:rPr>
        <w:t>年</w:t>
      </w:r>
    </w:p>
    <w:p>
      <w:pPr>
        <w:spacing w:line="240" w:lineRule="auto" w:before="12"/>
        <w:rPr>
          <w:rFonts w:ascii="黑体" w:hAnsi="黑体" w:cs="黑体" w:eastAsia="黑体" w:hint="default"/>
          <w:sz w:val="20"/>
          <w:szCs w:val="20"/>
        </w:rPr>
      </w:pPr>
    </w:p>
    <w:tbl>
      <w:tblPr>
        <w:tblW w:w="0" w:type="auto"/>
        <w:jc w:val="left"/>
        <w:tblInd w:w="112" w:type="dxa"/>
        <w:tblLayout w:type="fixed"/>
        <w:tblCellMar>
          <w:top w:w="0" w:type="dxa"/>
          <w:left w:w="0" w:type="dxa"/>
          <w:bottom w:w="0" w:type="dxa"/>
          <w:right w:w="0" w:type="dxa"/>
        </w:tblCellMar>
        <w:tblLook w:val="01E0"/>
      </w:tblPr>
      <w:tblGrid>
        <w:gridCol w:w="1734"/>
        <w:gridCol w:w="1072"/>
        <w:gridCol w:w="1069"/>
        <w:gridCol w:w="103"/>
        <w:gridCol w:w="1174"/>
        <w:gridCol w:w="1286"/>
        <w:gridCol w:w="720"/>
        <w:gridCol w:w="74"/>
        <w:gridCol w:w="1428"/>
      </w:tblGrid>
      <w:tr>
        <w:trPr>
          <w:trHeight w:val="549" w:hRule="exact"/>
        </w:trPr>
        <w:tc>
          <w:tcPr>
            <w:tcW w:w="1734"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Style w:val="TableParagraph"/>
              <w:spacing w:line="186" w:lineRule="exact"/>
              <w:ind w:left="474" w:right="0"/>
              <w:jc w:val="center"/>
              <w:rPr>
                <w:rFonts w:ascii="黑体" w:hAnsi="黑体" w:cs="黑体" w:eastAsia="黑体" w:hint="default"/>
                <w:sz w:val="18"/>
                <w:szCs w:val="18"/>
              </w:rPr>
            </w:pPr>
            <w:r>
              <w:rPr>
                <w:rFonts w:ascii="Arial" w:hAnsi="Arial" w:cs="Arial" w:eastAsia="Arial" w:hint="default"/>
                <w:sz w:val="18"/>
                <w:szCs w:val="18"/>
              </w:rPr>
              <w:t>1</w:t>
            </w:r>
            <w:r>
              <w:rPr>
                <w:rFonts w:ascii="黑体" w:hAnsi="黑体" w:cs="黑体" w:eastAsia="黑体" w:hint="default"/>
                <w:sz w:val="18"/>
                <w:szCs w:val="18"/>
              </w:rPr>
              <w:t>个月</w:t>
            </w:r>
          </w:p>
          <w:p>
            <w:pPr>
              <w:pStyle w:val="TableParagraph"/>
              <w:spacing w:line="229" w:lineRule="exact"/>
              <w:ind w:left="575" w:right="0"/>
              <w:jc w:val="center"/>
              <w:rPr>
                <w:rFonts w:ascii="黑体" w:hAnsi="黑体" w:cs="黑体" w:eastAsia="黑体" w:hint="default"/>
                <w:sz w:val="18"/>
                <w:szCs w:val="18"/>
              </w:rPr>
            </w:pPr>
            <w:r>
              <w:rPr>
                <w:rFonts w:ascii="黑体" w:hAnsi="黑体" w:cs="黑体" w:eastAsia="黑体" w:hint="default"/>
                <w:sz w:val="18"/>
                <w:szCs w:val="18"/>
              </w:rPr>
              <w:t>以内</w:t>
            </w:r>
          </w:p>
        </w:tc>
        <w:tc>
          <w:tcPr>
            <w:tcW w:w="1069" w:type="dxa"/>
            <w:tcBorders>
              <w:top w:val="nil" w:sz="6" w:space="0" w:color="auto"/>
              <w:left w:val="nil" w:sz="6" w:space="0" w:color="auto"/>
              <w:bottom w:val="nil" w:sz="6" w:space="0" w:color="auto"/>
              <w:right w:val="nil" w:sz="6" w:space="0" w:color="auto"/>
            </w:tcBorders>
          </w:tcPr>
          <w:p>
            <w:pPr>
              <w:pStyle w:val="TableParagraph"/>
              <w:spacing w:line="186" w:lineRule="exact"/>
              <w:ind w:right="0"/>
              <w:jc w:val="right"/>
              <w:rPr>
                <w:rFonts w:ascii="黑体" w:hAnsi="黑体" w:cs="黑体" w:eastAsia="黑体" w:hint="default"/>
                <w:sz w:val="18"/>
                <w:szCs w:val="18"/>
              </w:rPr>
            </w:pPr>
            <w:r>
              <w:rPr>
                <w:rFonts w:ascii="Arial" w:hAnsi="Arial" w:cs="Arial" w:eastAsia="Arial" w:hint="default"/>
                <w:w w:val="95"/>
                <w:sz w:val="18"/>
                <w:szCs w:val="18"/>
              </w:rPr>
              <w:t>1</w:t>
            </w:r>
            <w:r>
              <w:rPr>
                <w:rFonts w:ascii="黑体" w:hAnsi="黑体" w:cs="黑体" w:eastAsia="黑体" w:hint="default"/>
                <w:w w:val="95"/>
                <w:sz w:val="18"/>
                <w:szCs w:val="18"/>
              </w:rPr>
              <w:t>至</w:t>
            </w:r>
          </w:p>
          <w:p>
            <w:pPr>
              <w:pStyle w:val="TableParagraph"/>
              <w:spacing w:line="242" w:lineRule="exact"/>
              <w:ind w:right="0"/>
              <w:jc w:val="right"/>
              <w:rPr>
                <w:rFonts w:ascii="黑体" w:hAnsi="黑体" w:cs="黑体" w:eastAsia="黑体" w:hint="default"/>
                <w:sz w:val="18"/>
                <w:szCs w:val="18"/>
              </w:rPr>
            </w:pPr>
            <w:r>
              <w:rPr>
                <w:rFonts w:ascii="Arial" w:hAnsi="Arial" w:cs="Arial" w:eastAsia="Arial" w:hint="default"/>
                <w:w w:val="95"/>
                <w:sz w:val="18"/>
                <w:szCs w:val="18"/>
              </w:rPr>
              <w:t>3</w:t>
            </w:r>
            <w:r>
              <w:rPr>
                <w:rFonts w:ascii="黑体" w:hAnsi="黑体" w:cs="黑体" w:eastAsia="黑体" w:hint="default"/>
                <w:w w:val="95"/>
                <w:sz w:val="18"/>
                <w:szCs w:val="18"/>
              </w:rPr>
              <w:t>个月</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186" w:lineRule="exact"/>
              <w:ind w:left="710" w:right="0"/>
              <w:jc w:val="left"/>
              <w:rPr>
                <w:rFonts w:ascii="黑体" w:hAnsi="黑体" w:cs="黑体" w:eastAsia="黑体" w:hint="default"/>
                <w:sz w:val="18"/>
                <w:szCs w:val="18"/>
              </w:rPr>
            </w:pPr>
            <w:r>
              <w:rPr>
                <w:rFonts w:ascii="Arial" w:hAnsi="Arial" w:cs="Arial" w:eastAsia="Arial" w:hint="default"/>
                <w:sz w:val="18"/>
                <w:szCs w:val="18"/>
              </w:rPr>
              <w:t>3</w:t>
            </w:r>
            <w:r>
              <w:rPr>
                <w:rFonts w:ascii="黑体" w:hAnsi="黑体" w:cs="黑体" w:eastAsia="黑体" w:hint="default"/>
                <w:sz w:val="18"/>
                <w:szCs w:val="18"/>
              </w:rPr>
              <w:t>个月</w:t>
            </w:r>
          </w:p>
          <w:p>
            <w:pPr>
              <w:pStyle w:val="TableParagraph"/>
              <w:spacing w:line="242" w:lineRule="exact"/>
              <w:ind w:left="710" w:right="0"/>
              <w:jc w:val="left"/>
              <w:rPr>
                <w:rFonts w:ascii="黑体" w:hAnsi="黑体" w:cs="黑体" w:eastAsia="黑体" w:hint="default"/>
                <w:sz w:val="18"/>
                <w:szCs w:val="18"/>
              </w:rPr>
            </w:pPr>
            <w:r>
              <w:rPr>
                <w:rFonts w:ascii="黑体" w:hAnsi="黑体" w:cs="黑体" w:eastAsia="黑体" w:hint="default"/>
                <w:sz w:val="18"/>
                <w:szCs w:val="18"/>
              </w:rPr>
              <w:t>至</w:t>
            </w:r>
            <w:r>
              <w:rPr>
                <w:rFonts w:ascii="Arial" w:hAnsi="Arial" w:cs="Arial" w:eastAsia="Arial" w:hint="default"/>
                <w:sz w:val="18"/>
                <w:szCs w:val="18"/>
              </w:rPr>
              <w:t>1</w:t>
            </w:r>
            <w:r>
              <w:rPr>
                <w:rFonts w:ascii="黑体" w:hAnsi="黑体" w:cs="黑体" w:eastAsia="黑体" w:hint="default"/>
                <w:sz w:val="18"/>
                <w:szCs w:val="18"/>
              </w:rPr>
              <w:t>年</w:t>
            </w:r>
          </w:p>
        </w:tc>
        <w:tc>
          <w:tcPr>
            <w:tcW w:w="1286" w:type="dxa"/>
            <w:tcBorders>
              <w:top w:val="nil" w:sz="6" w:space="0" w:color="auto"/>
              <w:left w:val="nil" w:sz="6" w:space="0" w:color="auto"/>
              <w:bottom w:val="nil" w:sz="6" w:space="0" w:color="auto"/>
              <w:right w:val="nil" w:sz="6" w:space="0" w:color="auto"/>
            </w:tcBorders>
          </w:tcPr>
          <w:p>
            <w:pPr>
              <w:pStyle w:val="TableParagraph"/>
              <w:spacing w:line="186" w:lineRule="exact"/>
              <w:ind w:left="787" w:right="0" w:firstLine="180"/>
              <w:jc w:val="left"/>
              <w:rPr>
                <w:rFonts w:ascii="黑体" w:hAnsi="黑体" w:cs="黑体" w:eastAsia="黑体" w:hint="default"/>
                <w:sz w:val="18"/>
                <w:szCs w:val="18"/>
              </w:rPr>
            </w:pPr>
            <w:r>
              <w:rPr>
                <w:rFonts w:ascii="Arial" w:hAnsi="Arial" w:cs="Arial" w:eastAsia="Arial" w:hint="default"/>
                <w:sz w:val="18"/>
                <w:szCs w:val="18"/>
              </w:rPr>
              <w:t>1</w:t>
            </w:r>
            <w:r>
              <w:rPr>
                <w:rFonts w:ascii="黑体" w:hAnsi="黑体" w:cs="黑体" w:eastAsia="黑体" w:hint="default"/>
                <w:sz w:val="18"/>
                <w:szCs w:val="18"/>
              </w:rPr>
              <w:t>年</w:t>
            </w:r>
          </w:p>
          <w:p>
            <w:pPr>
              <w:pStyle w:val="TableParagraph"/>
              <w:spacing w:line="242" w:lineRule="exact"/>
              <w:ind w:left="787" w:right="0"/>
              <w:jc w:val="left"/>
              <w:rPr>
                <w:rFonts w:ascii="黑体" w:hAnsi="黑体" w:cs="黑体" w:eastAsia="黑体" w:hint="default"/>
                <w:sz w:val="18"/>
                <w:szCs w:val="18"/>
              </w:rPr>
            </w:pPr>
            <w:r>
              <w:rPr>
                <w:rFonts w:ascii="黑体" w:hAnsi="黑体" w:cs="黑体" w:eastAsia="黑体" w:hint="default"/>
                <w:sz w:val="18"/>
                <w:szCs w:val="18"/>
              </w:rPr>
              <w:t>至</w:t>
            </w:r>
            <w:r>
              <w:rPr>
                <w:rFonts w:ascii="Arial" w:hAnsi="Arial" w:cs="Arial" w:eastAsia="Arial" w:hint="default"/>
                <w:sz w:val="18"/>
                <w:szCs w:val="18"/>
              </w:rPr>
              <w:t>5</w:t>
            </w:r>
            <w:r>
              <w:rPr>
                <w:rFonts w:ascii="黑体" w:hAnsi="黑体" w:cs="黑体" w:eastAsia="黑体" w:hint="default"/>
                <w:sz w:val="18"/>
                <w:szCs w:val="18"/>
              </w:rPr>
              <w:t>年</w:t>
            </w:r>
          </w:p>
        </w:tc>
        <w:tc>
          <w:tcPr>
            <w:tcW w:w="720" w:type="dxa"/>
            <w:tcBorders>
              <w:top w:val="nil" w:sz="6" w:space="0" w:color="auto"/>
              <w:left w:val="nil" w:sz="6" w:space="0" w:color="auto"/>
              <w:bottom w:val="nil" w:sz="6" w:space="0" w:color="auto"/>
              <w:right w:val="nil" w:sz="6" w:space="0" w:color="auto"/>
            </w:tcBorders>
          </w:tcPr>
          <w:p>
            <w:pPr>
              <w:pStyle w:val="TableParagraph"/>
              <w:spacing w:line="186" w:lineRule="exact"/>
              <w:ind w:left="360" w:right="0" w:firstLine="79"/>
              <w:jc w:val="left"/>
              <w:rPr>
                <w:rFonts w:ascii="黑体" w:hAnsi="黑体" w:cs="黑体" w:eastAsia="黑体" w:hint="default"/>
                <w:sz w:val="18"/>
                <w:szCs w:val="18"/>
              </w:rPr>
            </w:pPr>
            <w:r>
              <w:rPr>
                <w:rFonts w:ascii="Arial" w:hAnsi="Arial" w:cs="Arial" w:eastAsia="Arial" w:hint="default"/>
                <w:sz w:val="18"/>
                <w:szCs w:val="18"/>
              </w:rPr>
              <w:t>5</w:t>
            </w:r>
            <w:r>
              <w:rPr>
                <w:rFonts w:ascii="黑体" w:hAnsi="黑体" w:cs="黑体" w:eastAsia="黑体" w:hint="default"/>
                <w:sz w:val="18"/>
                <w:szCs w:val="18"/>
              </w:rPr>
              <w:t>年</w:t>
            </w:r>
          </w:p>
          <w:p>
            <w:pPr>
              <w:pStyle w:val="TableParagraph"/>
              <w:spacing w:line="229" w:lineRule="exact"/>
              <w:ind w:left="360" w:right="0"/>
              <w:jc w:val="left"/>
              <w:rPr>
                <w:rFonts w:ascii="黑体" w:hAnsi="黑体" w:cs="黑体" w:eastAsia="黑体" w:hint="default"/>
                <w:sz w:val="18"/>
                <w:szCs w:val="18"/>
              </w:rPr>
            </w:pPr>
            <w:r>
              <w:rPr>
                <w:rFonts w:ascii="黑体" w:hAnsi="黑体" w:cs="黑体" w:eastAsia="黑体" w:hint="default"/>
                <w:w w:val="95"/>
                <w:sz w:val="18"/>
                <w:szCs w:val="18"/>
              </w:rPr>
              <w:t>以上</w:t>
            </w:r>
          </w:p>
        </w:tc>
        <w:tc>
          <w:tcPr>
            <w:tcW w:w="74"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3"/>
                <w:szCs w:val="13"/>
              </w:rPr>
            </w:pPr>
          </w:p>
          <w:p>
            <w:pPr>
              <w:pStyle w:val="TableParagraph"/>
              <w:spacing w:line="240" w:lineRule="auto"/>
              <w:ind w:right="198"/>
              <w:jc w:val="right"/>
              <w:rPr>
                <w:rFonts w:ascii="黑体" w:hAnsi="黑体" w:cs="黑体" w:eastAsia="黑体" w:hint="default"/>
                <w:sz w:val="18"/>
                <w:szCs w:val="18"/>
              </w:rPr>
            </w:pPr>
            <w:r>
              <w:rPr>
                <w:rFonts w:ascii="黑体" w:hAnsi="黑体" w:cs="黑体" w:eastAsia="黑体" w:hint="default"/>
                <w:sz w:val="18"/>
                <w:szCs w:val="18"/>
              </w:rPr>
              <w:t>合计</w:t>
            </w:r>
          </w:p>
        </w:tc>
      </w:tr>
      <w:tr>
        <w:trPr>
          <w:trHeight w:val="344" w:hRule="exact"/>
        </w:trPr>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00" w:right="0"/>
              <w:jc w:val="left"/>
              <w:rPr>
                <w:rFonts w:ascii="黑体" w:hAnsi="黑体" w:cs="黑体" w:eastAsia="黑体" w:hint="default"/>
                <w:sz w:val="18"/>
                <w:szCs w:val="18"/>
              </w:rPr>
            </w:pPr>
            <w:r>
              <w:rPr>
                <w:rFonts w:ascii="黑体" w:hAnsi="黑体" w:cs="黑体" w:eastAsia="黑体" w:hint="default"/>
                <w:sz w:val="18"/>
                <w:szCs w:val="18"/>
              </w:rPr>
              <w:t>短期借款及利息</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66"/>
              <w:jc w:val="right"/>
              <w:rPr>
                <w:rFonts w:ascii="Arial" w:hAnsi="Arial" w:cs="Arial" w:eastAsia="Arial" w:hint="default"/>
                <w:sz w:val="18"/>
                <w:szCs w:val="18"/>
              </w:rPr>
            </w:pPr>
            <w:r>
              <w:rPr>
                <w:rFonts w:ascii="Arial"/>
                <w:spacing w:val="-1"/>
                <w:sz w:val="18"/>
              </w:rPr>
              <w:t>100,334,652</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
              <w:jc w:val="right"/>
              <w:rPr>
                <w:rFonts w:ascii="Arial" w:hAnsi="Arial" w:cs="Arial" w:eastAsia="Arial" w:hint="default"/>
                <w:sz w:val="18"/>
                <w:szCs w:val="18"/>
              </w:rPr>
            </w:pPr>
            <w:r>
              <w:rPr>
                <w:rFonts w:ascii="Arial"/>
                <w:spacing w:val="-1"/>
                <w:sz w:val="18"/>
              </w:rPr>
              <w:t>302,723,934</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0"/>
              <w:jc w:val="right"/>
              <w:rPr>
                <w:rFonts w:ascii="Arial" w:hAnsi="Arial" w:cs="Arial" w:eastAsia="Arial" w:hint="default"/>
                <w:sz w:val="18"/>
                <w:szCs w:val="18"/>
              </w:rPr>
            </w:pPr>
            <w:r>
              <w:rPr>
                <w:rFonts w:ascii="Arial"/>
                <w:spacing w:val="-1"/>
                <w:sz w:val="18"/>
              </w:rPr>
              <w:t>2,887,053,734</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36"/>
              <w:jc w:val="right"/>
              <w:rPr>
                <w:rFonts w:ascii="Arial" w:hAnsi="Arial" w:cs="Arial" w:eastAsia="Arial" w:hint="default"/>
                <w:sz w:val="18"/>
                <w:szCs w:val="18"/>
              </w:rPr>
            </w:pPr>
            <w:r>
              <w:rPr>
                <w:rFonts w:ascii="Arial"/>
                <w:w w:val="99"/>
                <w:sz w:val="18"/>
              </w:rPr>
              <w:t>-</w:t>
            </w:r>
            <w:r>
              <w:rPr>
                <w:rFonts w:ascii="Arial"/>
                <w:sz w:val="18"/>
              </w:rPr>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0"/>
              <w:jc w:val="right"/>
              <w:rPr>
                <w:rFonts w:ascii="Arial" w:hAnsi="Arial" w:cs="Arial" w:eastAsia="Arial" w:hint="default"/>
                <w:sz w:val="18"/>
                <w:szCs w:val="18"/>
              </w:rPr>
            </w:pPr>
            <w:r>
              <w:rPr>
                <w:rFonts w:ascii="Arial"/>
                <w:w w:val="99"/>
                <w:sz w:val="18"/>
              </w:rPr>
              <w:t>-</w:t>
            </w:r>
            <w:r>
              <w:rPr>
                <w:rFonts w:ascii="Arial"/>
                <w:sz w:val="18"/>
              </w:rPr>
            </w:r>
          </w:p>
        </w:tc>
        <w:tc>
          <w:tcPr>
            <w:tcW w:w="74"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9"/>
              <w:jc w:val="right"/>
              <w:rPr>
                <w:rFonts w:ascii="Arial" w:hAnsi="Arial" w:cs="Arial" w:eastAsia="Arial" w:hint="default"/>
                <w:sz w:val="18"/>
                <w:szCs w:val="18"/>
              </w:rPr>
            </w:pPr>
            <w:r>
              <w:rPr>
                <w:rFonts w:ascii="Arial"/>
                <w:spacing w:val="-1"/>
                <w:sz w:val="18"/>
              </w:rPr>
              <w:t>3,290,112,320</w:t>
            </w:r>
          </w:p>
        </w:tc>
      </w:tr>
      <w:tr>
        <w:trPr>
          <w:trHeight w:val="234" w:hRule="exact"/>
        </w:trPr>
        <w:tc>
          <w:tcPr>
            <w:tcW w:w="1734" w:type="dxa"/>
            <w:tcBorders>
              <w:top w:val="nil" w:sz="6" w:space="0" w:color="auto"/>
              <w:left w:val="nil" w:sz="6" w:space="0" w:color="auto"/>
              <w:bottom w:val="nil" w:sz="6" w:space="0" w:color="auto"/>
              <w:right w:val="nil" w:sz="6" w:space="0" w:color="auto"/>
            </w:tcBorders>
          </w:tcPr>
          <w:p>
            <w:pPr>
              <w:pStyle w:val="TableParagraph"/>
              <w:spacing w:line="196" w:lineRule="exact"/>
              <w:ind w:left="200" w:right="0"/>
              <w:jc w:val="left"/>
              <w:rPr>
                <w:rFonts w:ascii="黑体" w:hAnsi="黑体" w:cs="黑体" w:eastAsia="黑体" w:hint="default"/>
                <w:sz w:val="18"/>
                <w:szCs w:val="18"/>
              </w:rPr>
            </w:pPr>
            <w:r>
              <w:rPr>
                <w:rFonts w:ascii="黑体" w:hAnsi="黑体" w:cs="黑体" w:eastAsia="黑体" w:hint="default"/>
                <w:sz w:val="18"/>
                <w:szCs w:val="18"/>
              </w:rPr>
              <w:t>应付账款</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6"/>
              <w:jc w:val="right"/>
              <w:rPr>
                <w:rFonts w:ascii="Arial" w:hAnsi="Arial" w:cs="Arial" w:eastAsia="Arial" w:hint="default"/>
                <w:sz w:val="18"/>
                <w:szCs w:val="18"/>
              </w:rPr>
            </w:pPr>
            <w:r>
              <w:rPr>
                <w:rFonts w:ascii="Arial"/>
                <w:spacing w:val="-1"/>
                <w:sz w:val="18"/>
              </w:rPr>
              <w:t>398,612,126</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
              <w:jc w:val="right"/>
              <w:rPr>
                <w:rFonts w:ascii="Arial" w:hAnsi="Arial" w:cs="Arial" w:eastAsia="Arial" w:hint="default"/>
                <w:sz w:val="18"/>
                <w:szCs w:val="18"/>
              </w:rPr>
            </w:pPr>
            <w:r>
              <w:rPr>
                <w:rFonts w:ascii="Arial"/>
                <w:spacing w:val="-1"/>
                <w:sz w:val="18"/>
              </w:rPr>
              <w:t>57,010,358</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18"/>
                <w:szCs w:val="18"/>
              </w:rPr>
            </w:pPr>
            <w:r>
              <w:rPr>
                <w:rFonts w:ascii="Arial"/>
                <w:w w:val="99"/>
                <w:sz w:val="18"/>
              </w:rPr>
              <w:t>-</w:t>
            </w:r>
            <w:r>
              <w:rPr>
                <w:rFonts w:ascii="Arial"/>
                <w:sz w:val="18"/>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6"/>
              <w:jc w:val="right"/>
              <w:rPr>
                <w:rFonts w:ascii="Arial" w:hAnsi="Arial" w:cs="Arial" w:eastAsia="Arial" w:hint="default"/>
                <w:sz w:val="18"/>
                <w:szCs w:val="18"/>
              </w:rPr>
            </w:pPr>
            <w:r>
              <w:rPr>
                <w:rFonts w:ascii="Arial"/>
                <w:w w:val="99"/>
                <w:sz w:val="18"/>
              </w:rPr>
              <w:t>-</w:t>
            </w:r>
            <w:r>
              <w:rPr>
                <w:rFonts w:ascii="Arial"/>
                <w:sz w:val="18"/>
              </w:rPr>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0"/>
              <w:jc w:val="right"/>
              <w:rPr>
                <w:rFonts w:ascii="Arial" w:hAnsi="Arial" w:cs="Arial" w:eastAsia="Arial" w:hint="default"/>
                <w:sz w:val="18"/>
                <w:szCs w:val="18"/>
              </w:rPr>
            </w:pPr>
            <w:r>
              <w:rPr>
                <w:rFonts w:ascii="Arial"/>
                <w:w w:val="99"/>
                <w:sz w:val="18"/>
              </w:rPr>
              <w:t>-</w:t>
            </w:r>
            <w:r>
              <w:rPr>
                <w:rFonts w:ascii="Arial"/>
                <w:sz w:val="18"/>
              </w:rPr>
            </w:r>
          </w:p>
        </w:tc>
        <w:tc>
          <w:tcPr>
            <w:tcW w:w="74"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98"/>
              <w:jc w:val="right"/>
              <w:rPr>
                <w:rFonts w:ascii="Arial" w:hAnsi="Arial" w:cs="Arial" w:eastAsia="Arial" w:hint="default"/>
                <w:sz w:val="18"/>
                <w:szCs w:val="18"/>
              </w:rPr>
            </w:pPr>
            <w:r>
              <w:rPr>
                <w:rFonts w:ascii="Arial"/>
                <w:spacing w:val="-1"/>
                <w:sz w:val="18"/>
              </w:rPr>
              <w:t>455,622,484</w:t>
            </w:r>
          </w:p>
        </w:tc>
      </w:tr>
      <w:tr>
        <w:trPr>
          <w:trHeight w:val="233" w:hRule="exact"/>
        </w:trPr>
        <w:tc>
          <w:tcPr>
            <w:tcW w:w="1734" w:type="dxa"/>
            <w:tcBorders>
              <w:top w:val="nil" w:sz="6" w:space="0" w:color="auto"/>
              <w:left w:val="nil" w:sz="6" w:space="0" w:color="auto"/>
              <w:bottom w:val="nil" w:sz="6" w:space="0" w:color="auto"/>
              <w:right w:val="nil" w:sz="6" w:space="0" w:color="auto"/>
            </w:tcBorders>
          </w:tcPr>
          <w:p>
            <w:pPr>
              <w:pStyle w:val="TableParagraph"/>
              <w:spacing w:line="195" w:lineRule="exact"/>
              <w:ind w:left="200" w:right="0"/>
              <w:jc w:val="left"/>
              <w:rPr>
                <w:rFonts w:ascii="黑体" w:hAnsi="黑体" w:cs="黑体" w:eastAsia="黑体" w:hint="default"/>
                <w:sz w:val="18"/>
                <w:szCs w:val="18"/>
              </w:rPr>
            </w:pPr>
            <w:r>
              <w:rPr>
                <w:rFonts w:ascii="黑体" w:hAnsi="黑体" w:cs="黑体" w:eastAsia="黑体" w:hint="default"/>
                <w:sz w:val="18"/>
                <w:szCs w:val="18"/>
              </w:rPr>
              <w:t>其他应付款</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8"/>
              <w:jc w:val="right"/>
              <w:rPr>
                <w:rFonts w:ascii="Arial" w:hAnsi="Arial" w:cs="Arial" w:eastAsia="Arial" w:hint="default"/>
                <w:sz w:val="18"/>
                <w:szCs w:val="18"/>
              </w:rPr>
            </w:pPr>
            <w:r>
              <w:rPr>
                <w:rFonts w:ascii="Arial"/>
                <w:spacing w:val="-1"/>
                <w:sz w:val="18"/>
              </w:rPr>
              <w:t>100,139,630</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
              <w:jc w:val="right"/>
              <w:rPr>
                <w:rFonts w:ascii="Arial" w:hAnsi="Arial" w:cs="Arial" w:eastAsia="Arial" w:hint="default"/>
                <w:sz w:val="18"/>
                <w:szCs w:val="18"/>
              </w:rPr>
            </w:pPr>
            <w:r>
              <w:rPr>
                <w:rFonts w:ascii="Arial"/>
                <w:spacing w:val="-1"/>
                <w:sz w:val="18"/>
              </w:rPr>
              <w:t>1,950,000</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
              <w:jc w:val="right"/>
              <w:rPr>
                <w:rFonts w:ascii="Arial" w:hAnsi="Arial" w:cs="Arial" w:eastAsia="Arial" w:hint="default"/>
                <w:sz w:val="18"/>
                <w:szCs w:val="18"/>
              </w:rPr>
            </w:pPr>
            <w:r>
              <w:rPr>
                <w:rFonts w:ascii="Arial"/>
                <w:spacing w:val="-1"/>
                <w:sz w:val="18"/>
              </w:rPr>
              <w:t>738,651,542</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
              <w:jc w:val="right"/>
              <w:rPr>
                <w:rFonts w:ascii="Arial" w:hAnsi="Arial" w:cs="Arial" w:eastAsia="Arial" w:hint="default"/>
                <w:sz w:val="18"/>
                <w:szCs w:val="18"/>
              </w:rPr>
            </w:pPr>
            <w:r>
              <w:rPr>
                <w:rFonts w:ascii="Arial"/>
                <w:w w:val="99"/>
                <w:sz w:val="18"/>
              </w:rPr>
              <w:t>-</w:t>
            </w:r>
            <w:r>
              <w:rPr>
                <w:rFonts w:ascii="Arial"/>
                <w:sz w:val="18"/>
              </w:rPr>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right"/>
              <w:rPr>
                <w:rFonts w:ascii="Arial" w:hAnsi="Arial" w:cs="Arial" w:eastAsia="Arial" w:hint="default"/>
                <w:sz w:val="18"/>
                <w:szCs w:val="18"/>
              </w:rPr>
            </w:pPr>
            <w:r>
              <w:rPr>
                <w:rFonts w:ascii="Arial"/>
                <w:w w:val="99"/>
                <w:sz w:val="18"/>
              </w:rPr>
              <w:t>-</w:t>
            </w:r>
            <w:r>
              <w:rPr>
                <w:rFonts w:ascii="Arial"/>
                <w:sz w:val="18"/>
              </w:rPr>
            </w:r>
          </w:p>
        </w:tc>
        <w:tc>
          <w:tcPr>
            <w:tcW w:w="74"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8"/>
              <w:jc w:val="right"/>
              <w:rPr>
                <w:rFonts w:ascii="Arial" w:hAnsi="Arial" w:cs="Arial" w:eastAsia="Arial" w:hint="default"/>
                <w:sz w:val="18"/>
                <w:szCs w:val="18"/>
              </w:rPr>
            </w:pPr>
            <w:r>
              <w:rPr>
                <w:rFonts w:ascii="Arial"/>
                <w:spacing w:val="-1"/>
                <w:sz w:val="18"/>
              </w:rPr>
              <w:t>840,741,172</w:t>
            </w:r>
          </w:p>
        </w:tc>
      </w:tr>
      <w:tr>
        <w:trPr>
          <w:trHeight w:val="467" w:hRule="exact"/>
        </w:trPr>
        <w:tc>
          <w:tcPr>
            <w:tcW w:w="1734" w:type="dxa"/>
            <w:tcBorders>
              <w:top w:val="nil" w:sz="6" w:space="0" w:color="auto"/>
              <w:left w:val="nil" w:sz="6" w:space="0" w:color="auto"/>
              <w:bottom w:val="nil" w:sz="6" w:space="0" w:color="auto"/>
              <w:right w:val="nil" w:sz="6" w:space="0" w:color="auto"/>
            </w:tcBorders>
          </w:tcPr>
          <w:p>
            <w:pPr>
              <w:pStyle w:val="TableParagraph"/>
              <w:spacing w:line="194" w:lineRule="exact"/>
              <w:ind w:left="380" w:right="0" w:hanging="180"/>
              <w:jc w:val="left"/>
              <w:rPr>
                <w:rFonts w:ascii="黑体" w:hAnsi="黑体" w:cs="黑体" w:eastAsia="黑体" w:hint="default"/>
                <w:sz w:val="18"/>
                <w:szCs w:val="18"/>
              </w:rPr>
            </w:pPr>
            <w:r>
              <w:rPr>
                <w:rFonts w:ascii="黑体" w:hAnsi="黑体" w:cs="黑体" w:eastAsia="黑体" w:hint="default"/>
                <w:sz w:val="18"/>
                <w:szCs w:val="18"/>
              </w:rPr>
              <w:t>一年内到期的长</w:t>
            </w:r>
          </w:p>
          <w:p>
            <w:pPr>
              <w:pStyle w:val="TableParagraph"/>
              <w:spacing w:line="234" w:lineRule="exact"/>
              <w:ind w:left="380" w:right="0"/>
              <w:jc w:val="left"/>
              <w:rPr>
                <w:rFonts w:ascii="黑体" w:hAnsi="黑体" w:cs="黑体" w:eastAsia="黑体" w:hint="default"/>
                <w:sz w:val="18"/>
                <w:szCs w:val="18"/>
              </w:rPr>
            </w:pPr>
            <w:r>
              <w:rPr>
                <w:rFonts w:ascii="黑体" w:hAnsi="黑体" w:cs="黑体" w:eastAsia="黑体" w:hint="default"/>
                <w:sz w:val="18"/>
                <w:szCs w:val="18"/>
              </w:rPr>
              <w:t>期借款及利息</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8"/>
                <w:szCs w:val="18"/>
              </w:rPr>
            </w:pPr>
          </w:p>
          <w:p>
            <w:pPr>
              <w:pStyle w:val="TableParagraph"/>
              <w:spacing w:line="240" w:lineRule="auto"/>
              <w:ind w:right="66"/>
              <w:jc w:val="right"/>
              <w:rPr>
                <w:rFonts w:ascii="Arial" w:hAnsi="Arial" w:cs="Arial" w:eastAsia="Arial" w:hint="default"/>
                <w:sz w:val="18"/>
                <w:szCs w:val="18"/>
              </w:rPr>
            </w:pPr>
            <w:r>
              <w:rPr>
                <w:rFonts w:ascii="Arial"/>
                <w:spacing w:val="-1"/>
                <w:sz w:val="18"/>
              </w:rPr>
              <w:t>30,000,000</w:t>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8"/>
                <w:szCs w:val="18"/>
              </w:rPr>
            </w:pPr>
          </w:p>
          <w:p>
            <w:pPr>
              <w:pStyle w:val="TableParagraph"/>
              <w:spacing w:line="240" w:lineRule="auto"/>
              <w:ind w:right="1"/>
              <w:jc w:val="right"/>
              <w:rPr>
                <w:rFonts w:ascii="Arial" w:hAnsi="Arial" w:cs="Arial" w:eastAsia="Arial" w:hint="default"/>
                <w:sz w:val="18"/>
                <w:szCs w:val="18"/>
              </w:rPr>
            </w:pPr>
            <w:r>
              <w:rPr>
                <w:rFonts w:ascii="Arial"/>
                <w:spacing w:val="-1"/>
                <w:sz w:val="18"/>
              </w:rPr>
              <w:t>14,183,042</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8"/>
                <w:szCs w:val="18"/>
              </w:rPr>
            </w:pPr>
          </w:p>
          <w:p>
            <w:pPr>
              <w:pStyle w:val="TableParagraph"/>
              <w:spacing w:line="240" w:lineRule="auto"/>
              <w:ind w:right="0"/>
              <w:jc w:val="right"/>
              <w:rPr>
                <w:rFonts w:ascii="Arial" w:hAnsi="Arial" w:cs="Arial" w:eastAsia="Arial" w:hint="default"/>
                <w:sz w:val="18"/>
                <w:szCs w:val="18"/>
              </w:rPr>
            </w:pPr>
            <w:r>
              <w:rPr>
                <w:rFonts w:ascii="Arial"/>
                <w:spacing w:val="-1"/>
                <w:sz w:val="18"/>
              </w:rPr>
              <w:t>124,379,370</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8"/>
                <w:szCs w:val="18"/>
              </w:rPr>
            </w:pPr>
          </w:p>
          <w:p>
            <w:pPr>
              <w:pStyle w:val="TableParagraph"/>
              <w:spacing w:line="240" w:lineRule="auto"/>
              <w:ind w:right="36"/>
              <w:jc w:val="right"/>
              <w:rPr>
                <w:rFonts w:ascii="Arial" w:hAnsi="Arial" w:cs="Arial" w:eastAsia="Arial" w:hint="default"/>
                <w:sz w:val="18"/>
                <w:szCs w:val="18"/>
              </w:rPr>
            </w:pPr>
            <w:r>
              <w:rPr>
                <w:rFonts w:ascii="Arial"/>
                <w:w w:val="99"/>
                <w:sz w:val="18"/>
              </w:rPr>
              <w:t>-</w:t>
            </w:r>
            <w:r>
              <w:rPr>
                <w:rFonts w:ascii="Arial"/>
                <w:sz w:val="18"/>
              </w:rPr>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8"/>
                <w:szCs w:val="18"/>
              </w:rPr>
            </w:pPr>
          </w:p>
          <w:p>
            <w:pPr>
              <w:pStyle w:val="TableParagraph"/>
              <w:spacing w:line="240" w:lineRule="auto"/>
              <w:ind w:right="0"/>
              <w:jc w:val="right"/>
              <w:rPr>
                <w:rFonts w:ascii="Arial" w:hAnsi="Arial" w:cs="Arial" w:eastAsia="Arial" w:hint="default"/>
                <w:sz w:val="18"/>
                <w:szCs w:val="18"/>
              </w:rPr>
            </w:pPr>
            <w:r>
              <w:rPr>
                <w:rFonts w:ascii="Arial"/>
                <w:w w:val="99"/>
                <w:sz w:val="18"/>
              </w:rPr>
              <w:t>-</w:t>
            </w:r>
            <w:r>
              <w:rPr>
                <w:rFonts w:ascii="Arial"/>
                <w:sz w:val="18"/>
              </w:rPr>
            </w:r>
          </w:p>
        </w:tc>
        <w:tc>
          <w:tcPr>
            <w:tcW w:w="74"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18"/>
                <w:szCs w:val="18"/>
              </w:rPr>
            </w:pPr>
          </w:p>
          <w:p>
            <w:pPr>
              <w:pStyle w:val="TableParagraph"/>
              <w:spacing w:line="240" w:lineRule="auto"/>
              <w:ind w:right="198"/>
              <w:jc w:val="right"/>
              <w:rPr>
                <w:rFonts w:ascii="Arial" w:hAnsi="Arial" w:cs="Arial" w:eastAsia="Arial" w:hint="default"/>
                <w:sz w:val="18"/>
                <w:szCs w:val="18"/>
              </w:rPr>
            </w:pPr>
            <w:r>
              <w:rPr>
                <w:rFonts w:ascii="Arial"/>
                <w:spacing w:val="-1"/>
                <w:sz w:val="18"/>
              </w:rPr>
              <w:t>168,562,412</w:t>
            </w:r>
          </w:p>
        </w:tc>
      </w:tr>
      <w:tr>
        <w:trPr>
          <w:trHeight w:val="417" w:hRule="exact"/>
        </w:trPr>
        <w:tc>
          <w:tcPr>
            <w:tcW w:w="1734" w:type="dxa"/>
            <w:tcBorders>
              <w:top w:val="nil" w:sz="6" w:space="0" w:color="auto"/>
              <w:left w:val="nil" w:sz="6" w:space="0" w:color="auto"/>
              <w:bottom w:val="nil" w:sz="6" w:space="0" w:color="auto"/>
              <w:right w:val="nil" w:sz="6" w:space="0" w:color="auto"/>
            </w:tcBorders>
          </w:tcPr>
          <w:p>
            <w:pPr>
              <w:pStyle w:val="TableParagraph"/>
              <w:spacing w:line="196" w:lineRule="exact"/>
              <w:ind w:left="200" w:right="0"/>
              <w:jc w:val="left"/>
              <w:rPr>
                <w:rFonts w:ascii="黑体" w:hAnsi="黑体" w:cs="黑体" w:eastAsia="黑体" w:hint="default"/>
                <w:sz w:val="18"/>
                <w:szCs w:val="18"/>
              </w:rPr>
            </w:pPr>
            <w:r>
              <w:rPr>
                <w:rFonts w:ascii="黑体" w:hAnsi="黑体" w:cs="黑体" w:eastAsia="黑体" w:hint="default"/>
                <w:sz w:val="18"/>
                <w:szCs w:val="18"/>
              </w:rPr>
              <w:t>其他流动负债</w:t>
            </w:r>
          </w:p>
        </w:tc>
        <w:tc>
          <w:tcPr>
            <w:tcW w:w="1072" w:type="dxa"/>
            <w:tcBorders>
              <w:top w:val="nil" w:sz="6" w:space="0" w:color="auto"/>
              <w:left w:val="nil" w:sz="6" w:space="0" w:color="auto"/>
              <w:bottom w:val="single" w:sz="5" w:space="0" w:color="000000"/>
              <w:right w:val="nil" w:sz="6" w:space="0" w:color="auto"/>
            </w:tcBorders>
          </w:tcPr>
          <w:p>
            <w:pPr>
              <w:pStyle w:val="TableParagraph"/>
              <w:spacing w:line="240" w:lineRule="auto" w:before="16"/>
              <w:ind w:right="66"/>
              <w:jc w:val="right"/>
              <w:rPr>
                <w:rFonts w:ascii="Arial" w:hAnsi="Arial" w:cs="Arial" w:eastAsia="Arial" w:hint="default"/>
                <w:sz w:val="18"/>
                <w:szCs w:val="18"/>
              </w:rPr>
            </w:pPr>
            <w:r>
              <w:rPr>
                <w:rFonts w:ascii="Arial"/>
                <w:w w:val="99"/>
                <w:sz w:val="18"/>
              </w:rPr>
              <w:t>-</w:t>
            </w:r>
            <w:r>
              <w:rPr>
                <w:rFonts w:ascii="Arial"/>
                <w:sz w:val="18"/>
              </w:rPr>
            </w:r>
          </w:p>
        </w:tc>
        <w:tc>
          <w:tcPr>
            <w:tcW w:w="1069" w:type="dxa"/>
            <w:tcBorders>
              <w:top w:val="nil" w:sz="6" w:space="0" w:color="auto"/>
              <w:left w:val="nil" w:sz="6" w:space="0" w:color="auto"/>
              <w:bottom w:val="single" w:sz="5" w:space="0" w:color="000000"/>
              <w:right w:val="nil" w:sz="6" w:space="0" w:color="auto"/>
            </w:tcBorders>
          </w:tcPr>
          <w:p>
            <w:pPr>
              <w:pStyle w:val="TableParagraph"/>
              <w:spacing w:line="240" w:lineRule="auto" w:before="16"/>
              <w:ind w:right="1"/>
              <w:jc w:val="right"/>
              <w:rPr>
                <w:rFonts w:ascii="Arial" w:hAnsi="Arial" w:cs="Arial" w:eastAsia="Arial" w:hint="default"/>
                <w:sz w:val="18"/>
                <w:szCs w:val="18"/>
              </w:rPr>
            </w:pPr>
            <w:r>
              <w:rPr>
                <w:rFonts w:ascii="Arial"/>
                <w:spacing w:val="-1"/>
                <w:sz w:val="18"/>
              </w:rPr>
              <w:t>2,431,350</w:t>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single" w:sz="5" w:space="0" w:color="000000"/>
              <w:right w:val="nil" w:sz="6" w:space="0" w:color="auto"/>
            </w:tcBorders>
          </w:tcPr>
          <w:p>
            <w:pPr>
              <w:pStyle w:val="TableParagraph"/>
              <w:spacing w:line="240" w:lineRule="auto" w:before="16"/>
              <w:ind w:right="0"/>
              <w:jc w:val="right"/>
              <w:rPr>
                <w:rFonts w:ascii="Arial" w:hAnsi="Arial" w:cs="Arial" w:eastAsia="Arial" w:hint="default"/>
                <w:sz w:val="18"/>
                <w:szCs w:val="18"/>
              </w:rPr>
            </w:pPr>
            <w:r>
              <w:rPr>
                <w:rFonts w:ascii="Arial"/>
                <w:w w:val="99"/>
                <w:sz w:val="18"/>
              </w:rPr>
              <w:t>-</w:t>
            </w:r>
            <w:r>
              <w:rPr>
                <w:rFonts w:ascii="Arial"/>
                <w:sz w:val="18"/>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6"/>
              <w:jc w:val="right"/>
              <w:rPr>
                <w:rFonts w:ascii="Arial" w:hAnsi="Arial" w:cs="Arial" w:eastAsia="Arial" w:hint="default"/>
                <w:sz w:val="18"/>
                <w:szCs w:val="18"/>
              </w:rPr>
            </w:pPr>
            <w:r>
              <w:rPr>
                <w:rFonts w:ascii="Arial"/>
                <w:w w:val="99"/>
                <w:sz w:val="18"/>
              </w:rPr>
              <w:t>-</w:t>
            </w:r>
            <w:r>
              <w:rPr>
                <w:rFonts w:ascii="Arial"/>
                <w:sz w:val="18"/>
              </w:rPr>
            </w:r>
          </w:p>
        </w:tc>
        <w:tc>
          <w:tcPr>
            <w:tcW w:w="720" w:type="dxa"/>
            <w:tcBorders>
              <w:top w:val="nil" w:sz="6" w:space="0" w:color="auto"/>
              <w:left w:val="nil" w:sz="6" w:space="0" w:color="auto"/>
              <w:bottom w:val="single" w:sz="5" w:space="0" w:color="000000"/>
              <w:right w:val="nil" w:sz="6" w:space="0" w:color="auto"/>
            </w:tcBorders>
          </w:tcPr>
          <w:p>
            <w:pPr>
              <w:pStyle w:val="TableParagraph"/>
              <w:spacing w:line="240" w:lineRule="auto" w:before="16"/>
              <w:ind w:right="0"/>
              <w:jc w:val="right"/>
              <w:rPr>
                <w:rFonts w:ascii="Arial" w:hAnsi="Arial" w:cs="Arial" w:eastAsia="Arial" w:hint="default"/>
                <w:sz w:val="18"/>
                <w:szCs w:val="18"/>
              </w:rPr>
            </w:pPr>
            <w:r>
              <w:rPr>
                <w:rFonts w:ascii="Arial"/>
                <w:w w:val="99"/>
                <w:sz w:val="18"/>
              </w:rPr>
              <w:t>-</w:t>
            </w:r>
            <w:r>
              <w:rPr>
                <w:rFonts w:ascii="Arial"/>
                <w:sz w:val="18"/>
              </w:rPr>
            </w:r>
          </w:p>
        </w:tc>
        <w:tc>
          <w:tcPr>
            <w:tcW w:w="74"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98"/>
              <w:jc w:val="right"/>
              <w:rPr>
                <w:rFonts w:ascii="Arial" w:hAnsi="Arial" w:cs="Arial" w:eastAsia="Arial" w:hint="default"/>
                <w:sz w:val="18"/>
                <w:szCs w:val="18"/>
              </w:rPr>
            </w:pPr>
            <w:r>
              <w:rPr>
                <w:rFonts w:ascii="Arial"/>
                <w:spacing w:val="-1"/>
                <w:sz w:val="18"/>
              </w:rPr>
              <w:t>2,431,350</w:t>
            </w:r>
          </w:p>
        </w:tc>
      </w:tr>
      <w:tr>
        <w:trPr>
          <w:trHeight w:val="206" w:hRule="exact"/>
        </w:trPr>
        <w:tc>
          <w:tcPr>
            <w:tcW w:w="1734" w:type="dxa"/>
            <w:tcBorders>
              <w:top w:val="nil" w:sz="6" w:space="0" w:color="auto"/>
              <w:left w:val="nil" w:sz="6" w:space="0" w:color="auto"/>
              <w:bottom w:val="nil" w:sz="6" w:space="0" w:color="auto"/>
              <w:right w:val="nil" w:sz="6" w:space="0" w:color="auto"/>
            </w:tcBorders>
          </w:tcPr>
          <w:p>
            <w:pPr>
              <w:pStyle w:val="TableParagraph"/>
              <w:spacing w:line="192" w:lineRule="exact"/>
              <w:ind w:left="200" w:right="0"/>
              <w:jc w:val="left"/>
              <w:rPr>
                <w:rFonts w:ascii="黑体" w:hAnsi="黑体" w:cs="黑体" w:eastAsia="黑体" w:hint="default"/>
                <w:sz w:val="18"/>
                <w:szCs w:val="18"/>
              </w:rPr>
            </w:pPr>
            <w:r>
              <w:rPr>
                <w:rFonts w:ascii="黑体" w:hAnsi="黑体" w:cs="黑体" w:eastAsia="黑体" w:hint="default"/>
                <w:sz w:val="18"/>
                <w:szCs w:val="18"/>
              </w:rPr>
              <w:t>长期借款及利息</w:t>
            </w:r>
          </w:p>
        </w:tc>
        <w:tc>
          <w:tcPr>
            <w:tcW w:w="1072" w:type="dxa"/>
            <w:tcBorders>
              <w:top w:val="single" w:sz="5" w:space="0" w:color="000000"/>
              <w:left w:val="nil" w:sz="6" w:space="0" w:color="auto"/>
              <w:bottom w:val="nil" w:sz="6" w:space="0" w:color="auto"/>
              <w:right w:val="nil" w:sz="6" w:space="0" w:color="auto"/>
            </w:tcBorders>
          </w:tcPr>
          <w:p>
            <w:pPr>
              <w:pStyle w:val="TableParagraph"/>
              <w:tabs>
                <w:tab w:pos="722" w:val="left" w:leader="none"/>
              </w:tabs>
              <w:spacing w:line="240" w:lineRule="auto" w:before="6"/>
              <w:ind w:right="6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069" w:type="dxa"/>
            <w:tcBorders>
              <w:top w:val="single" w:sz="5" w:space="0" w:color="000000"/>
              <w:left w:val="nil" w:sz="6" w:space="0" w:color="auto"/>
              <w:bottom w:val="nil" w:sz="6" w:space="0" w:color="auto"/>
              <w:right w:val="nil" w:sz="6" w:space="0" w:color="auto"/>
            </w:tcBorders>
          </w:tcPr>
          <w:p>
            <w:pPr>
              <w:pStyle w:val="TableParagraph"/>
              <w:tabs>
                <w:tab w:pos="722" w:val="left" w:leader="none"/>
              </w:tabs>
              <w:spacing w:line="240" w:lineRule="auto" w:before="6"/>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single" w:sz="5" w:space="0" w:color="000000"/>
              <w:left w:val="nil" w:sz="6" w:space="0" w:color="auto"/>
              <w:bottom w:val="nil" w:sz="6" w:space="0" w:color="auto"/>
              <w:right w:val="nil" w:sz="6" w:space="0" w:color="auto"/>
            </w:tcBorders>
          </w:tcPr>
          <w:p>
            <w:pPr>
              <w:pStyle w:val="TableParagraph"/>
              <w:tabs>
                <w:tab w:pos="813" w:val="left" w:leader="none"/>
              </w:tabs>
              <w:spacing w:line="240" w:lineRule="auto" w:before="6"/>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r>
            <w:r>
              <w:rPr>
                <w:rFonts w:ascii="Arial"/>
                <w:sz w:val="18"/>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5"/>
              <w:jc w:val="right"/>
              <w:rPr>
                <w:rFonts w:ascii="Arial" w:hAnsi="Arial" w:cs="Arial" w:eastAsia="Arial" w:hint="default"/>
                <w:sz w:val="18"/>
                <w:szCs w:val="18"/>
              </w:rPr>
            </w:pPr>
            <w:r>
              <w:rPr>
                <w:rFonts w:ascii="Arial"/>
                <w:w w:val="99"/>
                <w:sz w:val="18"/>
              </w:rPr>
            </w:r>
            <w:r>
              <w:rPr>
                <w:rFonts w:ascii="Arial"/>
                <w:spacing w:val="-1"/>
                <w:sz w:val="18"/>
                <w:u w:val="single" w:color="000000"/>
              </w:rPr>
              <w:t>198,643,170</w:t>
            </w:r>
            <w:r>
              <w:rPr>
                <w:rFonts w:ascii="Arial"/>
                <w:spacing w:val="-1"/>
                <w:sz w:val="18"/>
              </w:rPr>
            </w:r>
          </w:p>
        </w:tc>
        <w:tc>
          <w:tcPr>
            <w:tcW w:w="720" w:type="dxa"/>
            <w:tcBorders>
              <w:top w:val="single" w:sz="5" w:space="0" w:color="000000"/>
              <w:left w:val="nil" w:sz="6" w:space="0" w:color="auto"/>
              <w:bottom w:val="nil" w:sz="6" w:space="0" w:color="auto"/>
              <w:right w:val="nil" w:sz="6" w:space="0" w:color="auto"/>
            </w:tcBorders>
          </w:tcPr>
          <w:p>
            <w:pPr>
              <w:pStyle w:val="TableParagraph"/>
              <w:spacing w:line="240" w:lineRule="auto" w:before="6"/>
              <w:ind w:right="0"/>
              <w:jc w:val="right"/>
              <w:rPr>
                <w:rFonts w:ascii="Arial" w:hAnsi="Arial" w:cs="Arial" w:eastAsia="Arial" w:hint="default"/>
                <w:sz w:val="18"/>
                <w:szCs w:val="18"/>
              </w:rPr>
            </w:pPr>
            <w:r>
              <w:rPr>
                <w:rFonts w:ascii="Arial"/>
                <w:w w:val="99"/>
                <w:sz w:val="18"/>
              </w:rPr>
              <w:t>-</w:t>
            </w:r>
            <w:r>
              <w:rPr>
                <w:rFonts w:ascii="Arial"/>
                <w:sz w:val="18"/>
              </w:rPr>
            </w:r>
          </w:p>
        </w:tc>
        <w:tc>
          <w:tcPr>
            <w:tcW w:w="74"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98"/>
              <w:jc w:val="right"/>
              <w:rPr>
                <w:rFonts w:ascii="Arial" w:hAnsi="Arial" w:cs="Arial" w:eastAsia="Arial" w:hint="default"/>
                <w:sz w:val="18"/>
                <w:szCs w:val="18"/>
              </w:rPr>
            </w:pPr>
            <w:r>
              <w:rPr>
                <w:rFonts w:ascii="Arial"/>
                <w:w w:val="99"/>
                <w:sz w:val="18"/>
              </w:rPr>
            </w:r>
            <w:r>
              <w:rPr>
                <w:rFonts w:ascii="Arial"/>
                <w:spacing w:val="-1"/>
                <w:sz w:val="18"/>
                <w:u w:val="single" w:color="000000"/>
              </w:rPr>
              <w:t>198,643,170</w:t>
            </w:r>
            <w:r>
              <w:rPr>
                <w:rFonts w:ascii="Arial"/>
                <w:spacing w:val="-1"/>
                <w:sz w:val="18"/>
              </w:rPr>
            </w:r>
          </w:p>
        </w:tc>
      </w:tr>
      <w:tr>
        <w:trPr>
          <w:trHeight w:val="618" w:hRule="exact"/>
        </w:trPr>
        <w:tc>
          <w:tcPr>
            <w:tcW w:w="1734"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66"/>
              <w:jc w:val="right"/>
              <w:rPr>
                <w:rFonts w:ascii="Arial" w:hAnsi="Arial" w:cs="Arial" w:eastAsia="Arial" w:hint="default"/>
                <w:sz w:val="18"/>
                <w:szCs w:val="18"/>
              </w:rPr>
            </w:pPr>
            <w:r>
              <w:rPr>
                <w:rFonts w:ascii="Arial"/>
                <w:w w:val="99"/>
                <w:sz w:val="18"/>
              </w:rPr>
            </w:r>
            <w:r>
              <w:rPr>
                <w:rFonts w:ascii="Arial"/>
                <w:spacing w:val="-1"/>
                <w:sz w:val="18"/>
                <w:u w:val="thick" w:color="000000"/>
              </w:rPr>
              <w:t>629,086,408</w:t>
            </w:r>
            <w:r>
              <w:rPr>
                <w:rFonts w:ascii="Arial"/>
                <w:spacing w:val="-1"/>
                <w:sz w:val="18"/>
              </w:rPr>
            </w:r>
          </w:p>
        </w:tc>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1"/>
              <w:jc w:val="right"/>
              <w:rPr>
                <w:rFonts w:ascii="Arial" w:hAnsi="Arial" w:cs="Arial" w:eastAsia="Arial" w:hint="default"/>
                <w:sz w:val="18"/>
                <w:szCs w:val="18"/>
              </w:rPr>
            </w:pPr>
            <w:r>
              <w:rPr>
                <w:rFonts w:ascii="Arial"/>
                <w:w w:val="99"/>
                <w:sz w:val="18"/>
              </w:rPr>
            </w:r>
            <w:r>
              <w:rPr>
                <w:rFonts w:ascii="Arial"/>
                <w:spacing w:val="-1"/>
                <w:sz w:val="18"/>
                <w:u w:val="thick" w:color="000000"/>
              </w:rPr>
              <w:t>378,298,684</w:t>
            </w:r>
            <w:r>
              <w:rPr>
                <w:rFonts w:ascii="Arial"/>
                <w:spacing w:val="-1"/>
                <w:sz w:val="18"/>
              </w:rPr>
            </w:r>
          </w:p>
        </w:tc>
        <w:tc>
          <w:tcPr>
            <w:tcW w:w="10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0"/>
              <w:jc w:val="right"/>
              <w:rPr>
                <w:rFonts w:ascii="Arial" w:hAnsi="Arial" w:cs="Arial" w:eastAsia="Arial" w:hint="default"/>
                <w:sz w:val="18"/>
                <w:szCs w:val="18"/>
              </w:rPr>
            </w:pPr>
            <w:r>
              <w:rPr>
                <w:rFonts w:ascii="Arial"/>
                <w:w w:val="99"/>
                <w:sz w:val="18"/>
              </w:rPr>
            </w:r>
            <w:r>
              <w:rPr>
                <w:rFonts w:ascii="Arial"/>
                <w:spacing w:val="-1"/>
                <w:sz w:val="18"/>
                <w:u w:val="thick" w:color="000000"/>
              </w:rPr>
              <w:t>3,750,084,646</w:t>
            </w:r>
            <w:r>
              <w:rPr>
                <w:rFonts w:ascii="Arial"/>
                <w:spacing w:val="-1"/>
                <w:sz w:val="18"/>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35"/>
              <w:jc w:val="right"/>
              <w:rPr>
                <w:rFonts w:ascii="Arial" w:hAnsi="Arial" w:cs="Arial" w:eastAsia="Arial" w:hint="default"/>
                <w:sz w:val="18"/>
                <w:szCs w:val="18"/>
              </w:rPr>
            </w:pPr>
            <w:r>
              <w:rPr>
                <w:rFonts w:ascii="Arial"/>
                <w:w w:val="99"/>
                <w:sz w:val="18"/>
              </w:rPr>
            </w:r>
            <w:r>
              <w:rPr>
                <w:rFonts w:ascii="Arial"/>
                <w:spacing w:val="-1"/>
                <w:sz w:val="18"/>
                <w:u w:val="thick" w:color="000000"/>
              </w:rPr>
              <w:t>198,643,170</w:t>
            </w:r>
            <w:r>
              <w:rPr>
                <w:rFonts w:ascii="Arial"/>
                <w:spacing w:val="-1"/>
                <w:sz w:val="18"/>
              </w:rPr>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0"/>
              <w:jc w:val="right"/>
              <w:rPr>
                <w:rFonts w:ascii="Arial" w:hAnsi="Arial" w:cs="Arial" w:eastAsia="Arial" w:hint="default"/>
                <w:sz w:val="18"/>
                <w:szCs w:val="18"/>
              </w:rPr>
            </w:pPr>
            <w:r>
              <w:rPr>
                <w:rFonts w:ascii="Arial"/>
                <w:w w:val="99"/>
                <w:sz w:val="18"/>
              </w:rPr>
              <w:t>-</w:t>
            </w:r>
            <w:r>
              <w:rPr>
                <w:rFonts w:ascii="Arial"/>
                <w:sz w:val="18"/>
              </w:rPr>
            </w:r>
          </w:p>
        </w:tc>
        <w:tc>
          <w:tcPr>
            <w:tcW w:w="74"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199"/>
              <w:jc w:val="right"/>
              <w:rPr>
                <w:rFonts w:ascii="Arial" w:hAnsi="Arial" w:cs="Arial" w:eastAsia="Arial" w:hint="default"/>
                <w:sz w:val="18"/>
                <w:szCs w:val="18"/>
              </w:rPr>
            </w:pPr>
            <w:r>
              <w:rPr>
                <w:rFonts w:ascii="Arial"/>
                <w:w w:val="99"/>
                <w:sz w:val="18"/>
              </w:rPr>
            </w:r>
            <w:r>
              <w:rPr>
                <w:rFonts w:ascii="Arial"/>
                <w:spacing w:val="-1"/>
                <w:sz w:val="18"/>
                <w:u w:val="thick" w:color="000000"/>
              </w:rPr>
              <w:t>4,956,112,908</w:t>
            </w:r>
            <w:r>
              <w:rPr>
                <w:rFonts w:ascii="Arial"/>
                <w:spacing w:val="-1"/>
                <w:sz w:val="18"/>
              </w:rPr>
            </w:r>
          </w:p>
        </w:tc>
      </w:tr>
    </w:tbl>
    <w:p>
      <w:pPr>
        <w:spacing w:after="0" w:line="240" w:lineRule="auto"/>
        <w:jc w:val="right"/>
        <w:rPr>
          <w:rFonts w:ascii="Arial" w:hAnsi="Arial" w:cs="Arial" w:eastAsia="Arial" w:hint="default"/>
          <w:sz w:val="18"/>
          <w:szCs w:val="18"/>
        </w:rPr>
        <w:sectPr>
          <w:pgSz w:w="11910" w:h="16850"/>
          <w:pgMar w:header="745" w:footer="921" w:top="980" w:bottom="1120" w:left="1500" w:right="150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26"/>
          <w:szCs w:val="26"/>
        </w:rPr>
      </w:pPr>
    </w:p>
    <w:p>
      <w:pPr>
        <w:tabs>
          <w:tab w:pos="1030" w:val="left" w:leader="none"/>
        </w:tabs>
        <w:spacing w:line="424" w:lineRule="auto" w:before="37"/>
        <w:ind w:left="318" w:right="5621" w:firstLine="0"/>
        <w:jc w:val="left"/>
        <w:rPr>
          <w:rFonts w:ascii="Arial" w:hAnsi="Arial" w:cs="Arial" w:eastAsia="Arial" w:hint="default"/>
          <w:sz w:val="20"/>
          <w:szCs w:val="20"/>
        </w:rPr>
      </w:pPr>
      <w:r>
        <w:rPr>
          <w:rFonts w:ascii="黑体" w:hAnsi="黑体" w:cs="黑体" w:eastAsia="黑体" w:hint="default"/>
          <w:b/>
          <w:bCs/>
          <w:w w:val="95"/>
          <w:sz w:val="20"/>
          <w:szCs w:val="20"/>
        </w:rPr>
        <w:t>八、</w:t>
        <w:tab/>
      </w:r>
      <w:r>
        <w:rPr>
          <w:rFonts w:ascii="黑体" w:hAnsi="黑体" w:cs="黑体" w:eastAsia="黑体" w:hint="default"/>
          <w:b/>
          <w:bCs/>
          <w:sz w:val="20"/>
          <w:szCs w:val="20"/>
        </w:rPr>
        <w:t>与金融工具相关的风险</w:t>
      </w:r>
      <w:r>
        <w:rPr>
          <w:rFonts w:ascii="Arial" w:hAnsi="Arial" w:cs="Arial" w:eastAsia="Arial" w:hint="default"/>
          <w:b/>
          <w:bCs/>
          <w:sz w:val="20"/>
          <w:szCs w:val="20"/>
        </w:rPr>
        <w:t>(</w:t>
      </w:r>
      <w:r>
        <w:rPr>
          <w:rFonts w:ascii="黑体" w:hAnsi="黑体" w:cs="黑体" w:eastAsia="黑体" w:hint="default"/>
          <w:b/>
          <w:bCs/>
          <w:sz w:val="20"/>
          <w:szCs w:val="20"/>
        </w:rPr>
        <w:t>续</w:t>
      </w:r>
      <w:r>
        <w:rPr>
          <w:rFonts w:ascii="Arial" w:hAnsi="Arial" w:cs="Arial" w:eastAsia="Arial" w:hint="default"/>
          <w:b/>
          <w:bCs/>
          <w:sz w:val="20"/>
          <w:szCs w:val="20"/>
        </w:rPr>
        <w:t>)</w:t>
      </w:r>
      <w:r>
        <w:rPr>
          <w:rFonts w:ascii="Arial" w:hAnsi="Arial" w:cs="Arial" w:eastAsia="Arial" w:hint="default"/>
          <w:b/>
          <w:bCs/>
          <w:w w:val="99"/>
          <w:sz w:val="20"/>
          <w:szCs w:val="20"/>
        </w:rPr>
        <w:t> </w:t>
      </w:r>
      <w:r>
        <w:rPr>
          <w:rFonts w:ascii="Arial" w:hAnsi="Arial" w:cs="Arial" w:eastAsia="Arial" w:hint="default"/>
          <w:b/>
          <w:bCs/>
          <w:spacing w:val="-1"/>
          <w:sz w:val="20"/>
          <w:szCs w:val="20"/>
        </w:rPr>
        <w:t>2.</w:t>
        <w:tab/>
      </w:r>
      <w:r>
        <w:rPr>
          <w:rFonts w:ascii="黑体" w:hAnsi="黑体" w:cs="黑体" w:eastAsia="黑体" w:hint="default"/>
          <w:b/>
          <w:bCs/>
          <w:spacing w:val="1"/>
          <w:sz w:val="20"/>
          <w:szCs w:val="20"/>
        </w:rPr>
        <w:t>金融工具风险</w:t>
      </w:r>
      <w:r>
        <w:rPr>
          <w:rFonts w:ascii="Arial" w:hAnsi="Arial" w:cs="Arial" w:eastAsia="Arial" w:hint="default"/>
          <w:b/>
          <w:bCs/>
          <w:spacing w:val="1"/>
          <w:sz w:val="20"/>
          <w:szCs w:val="20"/>
        </w:rPr>
        <w:t>(</w:t>
      </w:r>
      <w:r>
        <w:rPr>
          <w:rFonts w:ascii="黑体" w:hAnsi="黑体" w:cs="黑体" w:eastAsia="黑体" w:hint="default"/>
          <w:b/>
          <w:bCs/>
          <w:spacing w:val="1"/>
          <w:sz w:val="20"/>
          <w:szCs w:val="20"/>
        </w:rPr>
        <w:t>续</w:t>
      </w:r>
      <w:r>
        <w:rPr>
          <w:rFonts w:ascii="Arial" w:hAnsi="Arial" w:cs="Arial" w:eastAsia="Arial" w:hint="default"/>
          <w:b/>
          <w:bCs/>
          <w:spacing w:val="1"/>
          <w:sz w:val="20"/>
          <w:szCs w:val="20"/>
        </w:rPr>
        <w:t>)</w:t>
      </w:r>
      <w:r>
        <w:rPr>
          <w:rFonts w:ascii="Arial" w:hAnsi="Arial" w:cs="Arial" w:eastAsia="Arial" w:hint="default"/>
          <w:spacing w:val="1"/>
          <w:sz w:val="20"/>
          <w:szCs w:val="20"/>
        </w:rPr>
      </w:r>
    </w:p>
    <w:p>
      <w:pPr>
        <w:spacing w:line="448" w:lineRule="auto" w:before="36"/>
        <w:ind w:left="318" w:right="7465" w:firstLine="400"/>
        <w:jc w:val="left"/>
        <w:rPr>
          <w:rFonts w:ascii="黑体" w:hAnsi="黑体" w:cs="黑体" w:eastAsia="黑体" w:hint="default"/>
          <w:sz w:val="20"/>
          <w:szCs w:val="20"/>
        </w:rPr>
      </w:pPr>
      <w:r>
        <w:rPr>
          <w:rFonts w:ascii="黑体" w:hAnsi="黑体" w:cs="黑体" w:eastAsia="黑体" w:hint="default"/>
          <w:b/>
          <w:bCs/>
          <w:sz w:val="20"/>
          <w:szCs w:val="20"/>
        </w:rPr>
        <w:t>市场风险</w:t>
      </w:r>
      <w:r>
        <w:rPr>
          <w:rFonts w:ascii="黑体" w:hAnsi="黑体" w:cs="黑体" w:eastAsia="黑体" w:hint="default"/>
          <w:b/>
          <w:bCs/>
          <w:spacing w:val="2"/>
          <w:w w:val="99"/>
          <w:sz w:val="20"/>
          <w:szCs w:val="20"/>
        </w:rPr>
        <w:t> </w:t>
      </w:r>
      <w:r>
        <w:rPr>
          <w:rFonts w:ascii="黑体" w:hAnsi="黑体" w:cs="黑体" w:eastAsia="黑体" w:hint="default"/>
          <w:spacing w:val="2"/>
          <w:w w:val="99"/>
          <w:sz w:val="20"/>
          <w:szCs w:val="20"/>
        </w:rPr>
      </w:r>
      <w:r>
        <w:rPr>
          <w:rFonts w:ascii="黑体" w:hAnsi="黑体" w:cs="黑体" w:eastAsia="黑体" w:hint="default"/>
          <w:sz w:val="20"/>
          <w:szCs w:val="20"/>
          <w:u w:val="single" w:color="000000"/>
        </w:rPr>
        <w:t>利率风险</w:t>
      </w:r>
      <w:r>
        <w:rPr>
          <w:rFonts w:ascii="黑体" w:hAnsi="黑体" w:cs="黑体" w:eastAsia="黑体" w:hint="default"/>
          <w:sz w:val="20"/>
          <w:szCs w:val="20"/>
        </w:rPr>
      </w:r>
    </w:p>
    <w:p>
      <w:pPr>
        <w:spacing w:line="448" w:lineRule="auto" w:before="51"/>
        <w:ind w:left="318" w:right="3268" w:firstLine="0"/>
        <w:jc w:val="left"/>
        <w:rPr>
          <w:rFonts w:ascii="黑体" w:hAnsi="黑体" w:cs="黑体" w:eastAsia="黑体" w:hint="default"/>
          <w:sz w:val="20"/>
          <w:szCs w:val="20"/>
        </w:rPr>
      </w:pPr>
      <w:r>
        <w:rPr>
          <w:rFonts w:ascii="黑体" w:hAnsi="黑体" w:cs="黑体" w:eastAsia="黑体" w:hint="default"/>
          <w:sz w:val="20"/>
          <w:szCs w:val="20"/>
        </w:rPr>
        <w:t>本集团无以浮动利率计息的长期负债，因此不存在利率风险。</w:t>
      </w:r>
      <w:r>
        <w:rPr>
          <w:rFonts w:ascii="黑体" w:hAnsi="黑体" w:cs="黑体" w:eastAsia="黑体" w:hint="default"/>
          <w:w w:val="99"/>
          <w:sz w:val="20"/>
          <w:szCs w:val="20"/>
        </w:rPr>
        <w:t> </w:t>
      </w:r>
      <w:r>
        <w:rPr>
          <w:rFonts w:ascii="黑体" w:hAnsi="黑体" w:cs="黑体" w:eastAsia="黑体" w:hint="default"/>
          <w:sz w:val="20"/>
          <w:szCs w:val="20"/>
          <w:u w:val="single" w:color="000000"/>
        </w:rPr>
        <w:t>汇率风险</w:t>
      </w:r>
      <w:r>
        <w:rPr>
          <w:rFonts w:ascii="黑体" w:hAnsi="黑体" w:cs="黑体" w:eastAsia="黑体" w:hint="default"/>
          <w:sz w:val="20"/>
          <w:szCs w:val="20"/>
        </w:rPr>
      </w:r>
    </w:p>
    <w:p>
      <w:pPr>
        <w:spacing w:before="54"/>
        <w:ind w:left="318" w:right="0" w:firstLine="0"/>
        <w:jc w:val="left"/>
        <w:rPr>
          <w:rFonts w:ascii="黑体" w:hAnsi="黑体" w:cs="黑体" w:eastAsia="黑体" w:hint="default"/>
          <w:sz w:val="20"/>
          <w:szCs w:val="20"/>
        </w:rPr>
      </w:pPr>
      <w:r>
        <w:rPr>
          <w:rFonts w:ascii="黑体" w:hAnsi="黑体" w:cs="黑体" w:eastAsia="黑体" w:hint="default"/>
          <w:sz w:val="20"/>
          <w:szCs w:val="20"/>
        </w:rPr>
        <w:t>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日及</w:t>
      </w:r>
      <w:r>
        <w:rPr>
          <w:rFonts w:ascii="Arial" w:hAnsi="Arial" w:cs="Arial" w:eastAsia="Arial" w:hint="default"/>
          <w:sz w:val="20"/>
          <w:szCs w:val="20"/>
        </w:rPr>
        <w:t>2018</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日，本集团以外币计价的货币资金情况详见除附注七、</w:t>
      </w:r>
      <w:r>
        <w:rPr>
          <w:rFonts w:ascii="Arial" w:hAnsi="Arial" w:cs="Arial" w:eastAsia="Arial" w:hint="default"/>
          <w:sz w:val="20"/>
          <w:szCs w:val="20"/>
        </w:rPr>
        <w:t>80</w:t>
      </w:r>
      <w:r>
        <w:rPr>
          <w:rFonts w:ascii="黑体" w:hAnsi="黑体" w:cs="黑体" w:eastAsia="黑体" w:hint="default"/>
          <w:sz w:val="20"/>
          <w:szCs w:val="20"/>
        </w:rPr>
        <w:t>。</w:t>
      </w:r>
    </w:p>
    <w:p>
      <w:pPr>
        <w:spacing w:line="240" w:lineRule="auto" w:before="4"/>
        <w:rPr>
          <w:rFonts w:ascii="黑体" w:hAnsi="黑体" w:cs="黑体" w:eastAsia="黑体" w:hint="default"/>
          <w:sz w:val="18"/>
          <w:szCs w:val="18"/>
        </w:rPr>
      </w:pPr>
    </w:p>
    <w:p>
      <w:pPr>
        <w:spacing w:line="260" w:lineRule="exact" w:before="0"/>
        <w:ind w:left="318" w:right="268" w:firstLine="0"/>
        <w:jc w:val="left"/>
        <w:rPr>
          <w:rFonts w:ascii="黑体" w:hAnsi="黑体" w:cs="黑体" w:eastAsia="黑体" w:hint="default"/>
          <w:sz w:val="20"/>
          <w:szCs w:val="20"/>
        </w:rPr>
      </w:pPr>
      <w:r>
        <w:rPr>
          <w:rFonts w:ascii="黑体" w:hAnsi="黑体" w:cs="黑体" w:eastAsia="黑体" w:hint="default"/>
          <w:sz w:val="20"/>
          <w:szCs w:val="20"/>
        </w:rPr>
        <w:t>下表为汇率风险的敏感性分析，反映了在所有其他变量保持不变的假设下，港币汇率发生合理、</w:t>
      </w:r>
      <w:r>
        <w:rPr>
          <w:rFonts w:ascii="黑体" w:hAnsi="黑体" w:cs="黑体" w:eastAsia="黑体" w:hint="default"/>
          <w:w w:val="99"/>
          <w:sz w:val="20"/>
          <w:szCs w:val="20"/>
        </w:rPr>
        <w:t> </w:t>
      </w:r>
      <w:r>
        <w:rPr>
          <w:rFonts w:ascii="黑体" w:hAnsi="黑体" w:cs="黑体" w:eastAsia="黑体" w:hint="default"/>
          <w:sz w:val="20"/>
          <w:szCs w:val="20"/>
        </w:rPr>
        <w:t>可能的变动时，将对净损益的税后净额产生的影响。</w:t>
      </w:r>
    </w:p>
    <w:p>
      <w:pPr>
        <w:spacing w:line="240" w:lineRule="auto" w:before="13"/>
        <w:rPr>
          <w:rFonts w:ascii="黑体" w:hAnsi="黑体" w:cs="黑体" w:eastAsia="黑体" w:hint="default"/>
          <w:sz w:val="15"/>
          <w:szCs w:val="15"/>
        </w:rPr>
      </w:pPr>
    </w:p>
    <w:p>
      <w:pPr>
        <w:spacing w:before="0"/>
        <w:ind w:left="318" w:right="5621" w:firstLine="0"/>
        <w:jc w:val="left"/>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w:t>
      </w:r>
    </w:p>
    <w:p>
      <w:pPr>
        <w:spacing w:line="240" w:lineRule="auto" w:before="1"/>
        <w:rPr>
          <w:rFonts w:ascii="黑体" w:hAnsi="黑体" w:cs="黑体" w:eastAsia="黑体" w:hint="default"/>
          <w:sz w:val="21"/>
          <w:szCs w:val="21"/>
        </w:rPr>
      </w:pPr>
    </w:p>
    <w:tbl>
      <w:tblPr>
        <w:tblW w:w="0" w:type="auto"/>
        <w:jc w:val="left"/>
        <w:tblInd w:w="118" w:type="dxa"/>
        <w:tblLayout w:type="fixed"/>
        <w:tblCellMar>
          <w:top w:w="0" w:type="dxa"/>
          <w:left w:w="0" w:type="dxa"/>
          <w:bottom w:w="0" w:type="dxa"/>
          <w:right w:w="0" w:type="dxa"/>
        </w:tblCellMar>
        <w:tblLook w:val="01E0"/>
      </w:tblPr>
      <w:tblGrid>
        <w:gridCol w:w="3054"/>
        <w:gridCol w:w="2028"/>
        <w:gridCol w:w="1475"/>
        <w:gridCol w:w="527"/>
        <w:gridCol w:w="1418"/>
        <w:gridCol w:w="268"/>
      </w:tblGrid>
      <w:tr>
        <w:trPr>
          <w:trHeight w:val="724" w:hRule="exact"/>
        </w:trPr>
        <w:tc>
          <w:tcPr>
            <w:tcW w:w="3054" w:type="dxa"/>
            <w:tcBorders>
              <w:top w:val="nil" w:sz="6" w:space="0" w:color="auto"/>
              <w:left w:val="nil" w:sz="6" w:space="0" w:color="auto"/>
              <w:bottom w:val="nil" w:sz="6" w:space="0" w:color="auto"/>
              <w:right w:val="nil" w:sz="6" w:space="0" w:color="auto"/>
            </w:tcBorders>
          </w:tcPr>
          <w:p>
            <w:pPr/>
          </w:p>
        </w:tc>
        <w:tc>
          <w:tcPr>
            <w:tcW w:w="2028" w:type="dxa"/>
            <w:tcBorders>
              <w:top w:val="nil" w:sz="6" w:space="0" w:color="auto"/>
              <w:left w:val="nil" w:sz="6" w:space="0" w:color="auto"/>
              <w:bottom w:val="nil" w:sz="6" w:space="0" w:color="auto"/>
              <w:right w:val="nil" w:sz="6" w:space="0" w:color="auto"/>
            </w:tcBorders>
          </w:tcPr>
          <w:p>
            <w:pPr>
              <w:pStyle w:val="TableParagraph"/>
              <w:spacing w:line="198" w:lineRule="exact"/>
              <w:ind w:left="552" w:right="0" w:firstLine="189"/>
              <w:jc w:val="left"/>
              <w:rPr>
                <w:rFonts w:ascii="黑体" w:hAnsi="黑体" w:cs="黑体" w:eastAsia="黑体" w:hint="default"/>
                <w:sz w:val="20"/>
                <w:szCs w:val="20"/>
              </w:rPr>
            </w:pPr>
            <w:r>
              <w:rPr>
                <w:rFonts w:ascii="黑体" w:hAnsi="黑体" w:cs="黑体" w:eastAsia="黑体" w:hint="default"/>
                <w:sz w:val="20"/>
                <w:szCs w:val="20"/>
              </w:rPr>
              <w:t>港币汇率</w:t>
            </w:r>
          </w:p>
          <w:p>
            <w:pPr>
              <w:pStyle w:val="TableParagraph"/>
              <w:spacing w:line="275" w:lineRule="exact"/>
              <w:ind w:left="552" w:right="0"/>
              <w:jc w:val="left"/>
              <w:rPr>
                <w:rFonts w:ascii="Arial" w:hAnsi="Arial" w:cs="Arial" w:eastAsia="Arial" w:hint="default"/>
                <w:sz w:val="20"/>
                <w:szCs w:val="20"/>
              </w:rPr>
            </w:pPr>
            <w:r>
              <w:rPr>
                <w:rFonts w:ascii="黑体" w:hAnsi="黑体" w:cs="黑体" w:eastAsia="黑体" w:hint="default"/>
                <w:sz w:val="20"/>
                <w:szCs w:val="20"/>
              </w:rPr>
              <w:t>增加</w:t>
            </w:r>
            <w:r>
              <w:rPr>
                <w:rFonts w:ascii="Arial" w:hAnsi="Arial" w:cs="Arial" w:eastAsia="Arial" w:hint="default"/>
                <w:sz w:val="20"/>
                <w:szCs w:val="20"/>
              </w:rPr>
              <w:t>/(</w:t>
            </w:r>
            <w:r>
              <w:rPr>
                <w:rFonts w:ascii="黑体" w:hAnsi="黑体" w:cs="黑体" w:eastAsia="黑体" w:hint="default"/>
                <w:sz w:val="20"/>
                <w:szCs w:val="20"/>
              </w:rPr>
              <w:t>减少</w:t>
            </w:r>
            <w:r>
              <w:rPr>
                <w:rFonts w:ascii="Arial" w:hAnsi="Arial" w:cs="Arial" w:eastAsia="Arial" w:hint="default"/>
                <w:sz w:val="20"/>
                <w:szCs w:val="20"/>
              </w:rPr>
              <w:t>)</w:t>
            </w:r>
          </w:p>
        </w:tc>
        <w:tc>
          <w:tcPr>
            <w:tcW w:w="1475" w:type="dxa"/>
            <w:tcBorders>
              <w:top w:val="nil" w:sz="6" w:space="0" w:color="auto"/>
              <w:left w:val="nil" w:sz="6" w:space="0" w:color="auto"/>
              <w:bottom w:val="nil" w:sz="6" w:space="0" w:color="auto"/>
              <w:right w:val="nil" w:sz="6" w:space="0" w:color="auto"/>
            </w:tcBorders>
          </w:tcPr>
          <w:p>
            <w:pPr>
              <w:pStyle w:val="TableParagraph"/>
              <w:spacing w:line="198" w:lineRule="exact"/>
              <w:ind w:left="485" w:right="-1" w:firstLine="388"/>
              <w:jc w:val="left"/>
              <w:rPr>
                <w:rFonts w:ascii="黑体" w:hAnsi="黑体" w:cs="黑体" w:eastAsia="黑体" w:hint="default"/>
                <w:sz w:val="20"/>
                <w:szCs w:val="20"/>
              </w:rPr>
            </w:pPr>
            <w:r>
              <w:rPr>
                <w:rFonts w:ascii="黑体" w:hAnsi="黑体" w:cs="黑体" w:eastAsia="黑体" w:hint="default"/>
                <w:sz w:val="20"/>
                <w:szCs w:val="20"/>
              </w:rPr>
              <w:t>净损益</w:t>
            </w:r>
          </w:p>
          <w:p>
            <w:pPr>
              <w:pStyle w:val="TableParagraph"/>
              <w:spacing w:line="275" w:lineRule="exact"/>
              <w:ind w:left="485" w:right="-1"/>
              <w:jc w:val="left"/>
              <w:rPr>
                <w:rFonts w:ascii="Arial" w:hAnsi="Arial" w:cs="Arial" w:eastAsia="Arial" w:hint="default"/>
                <w:sz w:val="20"/>
                <w:szCs w:val="20"/>
              </w:rPr>
            </w:pPr>
            <w:r>
              <w:rPr>
                <w:rFonts w:ascii="黑体" w:hAnsi="黑体" w:cs="黑体" w:eastAsia="黑体" w:hint="default"/>
                <w:sz w:val="20"/>
                <w:szCs w:val="20"/>
              </w:rPr>
              <w:t>增加</w:t>
            </w:r>
            <w:r>
              <w:rPr>
                <w:rFonts w:ascii="Arial" w:hAnsi="Arial" w:cs="Arial" w:eastAsia="Arial" w:hint="default"/>
                <w:sz w:val="20"/>
                <w:szCs w:val="20"/>
              </w:rPr>
              <w:t>/(</w:t>
            </w:r>
            <w:r>
              <w:rPr>
                <w:rFonts w:ascii="黑体" w:hAnsi="黑体" w:cs="黑体" w:eastAsia="黑体" w:hint="default"/>
                <w:sz w:val="20"/>
                <w:szCs w:val="20"/>
              </w:rPr>
              <w:t>减少</w:t>
            </w:r>
            <w:r>
              <w:rPr>
                <w:rFonts w:ascii="Arial" w:hAnsi="Arial" w:cs="Arial" w:eastAsia="Arial" w:hint="default"/>
                <w:sz w:val="20"/>
                <w:szCs w:val="20"/>
              </w:rPr>
              <w:t>)</w:t>
            </w:r>
          </w:p>
        </w:tc>
        <w:tc>
          <w:tcPr>
            <w:tcW w:w="527"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198" w:lineRule="exact"/>
              <w:ind w:left="430" w:right="-3" w:hanging="212"/>
              <w:jc w:val="left"/>
              <w:rPr>
                <w:rFonts w:ascii="黑体" w:hAnsi="黑体" w:cs="黑体" w:eastAsia="黑体" w:hint="default"/>
                <w:sz w:val="20"/>
                <w:szCs w:val="20"/>
              </w:rPr>
            </w:pPr>
            <w:r>
              <w:rPr>
                <w:rFonts w:ascii="黑体" w:hAnsi="黑体" w:cs="黑体" w:eastAsia="黑体" w:hint="default"/>
                <w:sz w:val="20"/>
                <w:szCs w:val="20"/>
              </w:rPr>
              <w:t>股东权益合计</w:t>
            </w:r>
          </w:p>
          <w:p>
            <w:pPr>
              <w:pStyle w:val="TableParagraph"/>
              <w:spacing w:line="275" w:lineRule="exact"/>
              <w:ind w:left="430" w:right="-3"/>
              <w:jc w:val="left"/>
              <w:rPr>
                <w:rFonts w:ascii="Arial" w:hAnsi="Arial" w:cs="Arial" w:eastAsia="Arial" w:hint="default"/>
                <w:sz w:val="20"/>
                <w:szCs w:val="20"/>
              </w:rPr>
            </w:pPr>
            <w:r>
              <w:rPr>
                <w:rFonts w:ascii="黑体" w:hAnsi="黑体" w:cs="黑体" w:eastAsia="黑体" w:hint="default"/>
                <w:sz w:val="20"/>
                <w:szCs w:val="20"/>
              </w:rPr>
              <w:t>增加</w:t>
            </w:r>
            <w:r>
              <w:rPr>
                <w:rFonts w:ascii="Arial" w:hAnsi="Arial" w:cs="Arial" w:eastAsia="Arial" w:hint="default"/>
                <w:sz w:val="20"/>
                <w:szCs w:val="20"/>
              </w:rPr>
              <w:t>/(</w:t>
            </w:r>
            <w:r>
              <w:rPr>
                <w:rFonts w:ascii="黑体" w:hAnsi="黑体" w:cs="黑体" w:eastAsia="黑体" w:hint="default"/>
                <w:sz w:val="20"/>
                <w:szCs w:val="20"/>
              </w:rPr>
              <w:t>减少</w:t>
            </w:r>
            <w:r>
              <w:rPr>
                <w:rFonts w:ascii="Arial" w:hAnsi="Arial" w:cs="Arial" w:eastAsia="Arial" w:hint="default"/>
                <w:sz w:val="20"/>
                <w:szCs w:val="20"/>
              </w:rPr>
              <w:t>)</w:t>
            </w:r>
          </w:p>
        </w:tc>
        <w:tc>
          <w:tcPr>
            <w:tcW w:w="268" w:type="dxa"/>
            <w:tcBorders>
              <w:top w:val="nil" w:sz="6" w:space="0" w:color="auto"/>
              <w:left w:val="nil" w:sz="6" w:space="0" w:color="auto"/>
              <w:bottom w:val="nil" w:sz="6" w:space="0" w:color="auto"/>
              <w:right w:val="nil" w:sz="6" w:space="0" w:color="auto"/>
            </w:tcBorders>
          </w:tcPr>
          <w:p>
            <w:pPr/>
          </w:p>
        </w:tc>
      </w:tr>
      <w:tr>
        <w:trPr>
          <w:trHeight w:val="496" w:hRule="exact"/>
        </w:trPr>
        <w:tc>
          <w:tcPr>
            <w:tcW w:w="30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left="200" w:right="0"/>
              <w:jc w:val="left"/>
              <w:rPr>
                <w:rFonts w:ascii="黑体" w:hAnsi="黑体" w:cs="黑体" w:eastAsia="黑体" w:hint="default"/>
                <w:sz w:val="20"/>
                <w:szCs w:val="20"/>
              </w:rPr>
            </w:pPr>
            <w:r>
              <w:rPr>
                <w:rFonts w:ascii="黑体" w:hAnsi="黑体" w:cs="黑体" w:eastAsia="黑体" w:hint="default"/>
                <w:sz w:val="20"/>
                <w:szCs w:val="20"/>
              </w:rPr>
              <w:t>人民币对港币贬值</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485"/>
              <w:jc w:val="right"/>
              <w:rPr>
                <w:rFonts w:ascii="Arial" w:hAnsi="Arial" w:cs="Arial" w:eastAsia="Arial" w:hint="default"/>
                <w:sz w:val="20"/>
                <w:szCs w:val="20"/>
              </w:rPr>
            </w:pPr>
            <w:r>
              <w:rPr>
                <w:rFonts w:ascii="Arial"/>
                <w:spacing w:val="-1"/>
                <w:w w:val="95"/>
                <w:sz w:val="20"/>
              </w:rPr>
              <w:t>5%</w:t>
            </w:r>
            <w:r>
              <w:rPr>
                <w:rFonts w:ascii="Arial"/>
                <w:sz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1"/>
              <w:jc w:val="right"/>
              <w:rPr>
                <w:rFonts w:ascii="Arial" w:hAnsi="Arial" w:cs="Arial" w:eastAsia="Arial" w:hint="default"/>
                <w:sz w:val="20"/>
                <w:szCs w:val="20"/>
              </w:rPr>
            </w:pPr>
            <w:r>
              <w:rPr>
                <w:rFonts w:ascii="Arial"/>
                <w:w w:val="95"/>
                <w:sz w:val="20"/>
              </w:rPr>
              <w:t>(6,953,483</w:t>
            </w:r>
            <w:r>
              <w:rPr>
                <w:rFonts w:ascii="Arial"/>
                <w:sz w:val="20"/>
              </w:rPr>
            </w:r>
          </w:p>
        </w:tc>
        <w:tc>
          <w:tcPr>
            <w:tcW w:w="52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left="-1" w:right="0"/>
              <w:jc w:val="left"/>
              <w:rPr>
                <w:rFonts w:ascii="Arial" w:hAnsi="Arial" w:cs="Arial" w:eastAsia="Arial" w:hint="default"/>
                <w:sz w:val="20"/>
                <w:szCs w:val="20"/>
              </w:rPr>
            </w:pPr>
            <w:r>
              <w:rPr>
                <w:rFonts w:ascii="Arial"/>
                <w:w w:val="99"/>
                <w:sz w:val="20"/>
              </w:rPr>
              <w:t>)</w:t>
            </w:r>
            <w:r>
              <w:rPr>
                <w:rFonts w:ascii="Arial"/>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1"/>
              <w:jc w:val="right"/>
              <w:rPr>
                <w:rFonts w:ascii="Arial" w:hAnsi="Arial" w:cs="Arial" w:eastAsia="Arial" w:hint="default"/>
                <w:sz w:val="20"/>
                <w:szCs w:val="20"/>
              </w:rPr>
            </w:pPr>
            <w:r>
              <w:rPr>
                <w:rFonts w:ascii="Arial"/>
                <w:w w:val="95"/>
                <w:sz w:val="20"/>
              </w:rPr>
              <w:t>(6,953,483</w:t>
            </w:r>
            <w:r>
              <w:rPr>
                <w:rFonts w:ascii="Arial"/>
                <w:sz w:val="20"/>
              </w:rPr>
            </w:r>
          </w:p>
        </w:tc>
        <w:tc>
          <w:tcPr>
            <w:tcW w:w="26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left="1" w:right="0"/>
              <w:jc w:val="left"/>
              <w:rPr>
                <w:rFonts w:ascii="Arial" w:hAnsi="Arial" w:cs="Arial" w:eastAsia="Arial" w:hint="default"/>
                <w:sz w:val="20"/>
                <w:szCs w:val="20"/>
              </w:rPr>
            </w:pPr>
            <w:r>
              <w:rPr>
                <w:rFonts w:ascii="Arial"/>
                <w:w w:val="99"/>
                <w:sz w:val="20"/>
              </w:rPr>
              <w:t>)</w:t>
            </w:r>
            <w:r>
              <w:rPr>
                <w:rFonts w:ascii="Arial"/>
                <w:sz w:val="20"/>
              </w:rPr>
            </w:r>
          </w:p>
        </w:tc>
      </w:tr>
      <w:tr>
        <w:trPr>
          <w:trHeight w:val="240" w:hRule="exact"/>
        </w:trPr>
        <w:tc>
          <w:tcPr>
            <w:tcW w:w="3054"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人民币对港币升值</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85"/>
              <w:jc w:val="right"/>
              <w:rPr>
                <w:rFonts w:ascii="Arial" w:hAnsi="Arial" w:cs="Arial" w:eastAsia="Arial" w:hint="default"/>
                <w:sz w:val="20"/>
                <w:szCs w:val="20"/>
              </w:rPr>
            </w:pPr>
            <w:r>
              <w:rPr>
                <w:rFonts w:ascii="Arial"/>
                <w:spacing w:val="-1"/>
                <w:w w:val="95"/>
                <w:sz w:val="20"/>
              </w:rPr>
              <w:t>5%</w:t>
            </w:r>
            <w:r>
              <w:rPr>
                <w:rFonts w:ascii="Arial"/>
                <w:sz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right"/>
              <w:rPr>
                <w:rFonts w:ascii="Arial" w:hAnsi="Arial" w:cs="Arial" w:eastAsia="Arial" w:hint="default"/>
                <w:sz w:val="20"/>
                <w:szCs w:val="20"/>
              </w:rPr>
            </w:pPr>
            <w:r>
              <w:rPr>
                <w:rFonts w:ascii="Arial"/>
                <w:w w:val="95"/>
                <w:sz w:val="20"/>
              </w:rPr>
              <w:t>6,953,483</w:t>
            </w:r>
            <w:r>
              <w:rPr>
                <w:rFonts w:ascii="Arial"/>
                <w:sz w:val="20"/>
              </w:rPr>
            </w:r>
          </w:p>
        </w:tc>
        <w:tc>
          <w:tcPr>
            <w:tcW w:w="527"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5"/>
                <w:sz w:val="20"/>
              </w:rPr>
              <w:t>6,953,483</w:t>
            </w:r>
            <w:r>
              <w:rPr>
                <w:rFonts w:ascii="Arial"/>
                <w:sz w:val="20"/>
              </w:rPr>
            </w:r>
          </w:p>
        </w:tc>
        <w:tc>
          <w:tcPr>
            <w:tcW w:w="268" w:type="dxa"/>
            <w:tcBorders>
              <w:top w:val="nil" w:sz="6" w:space="0" w:color="auto"/>
              <w:left w:val="nil" w:sz="6" w:space="0" w:color="auto"/>
              <w:bottom w:val="nil" w:sz="6" w:space="0" w:color="auto"/>
              <w:right w:val="nil" w:sz="6" w:space="0" w:color="auto"/>
            </w:tcBorders>
          </w:tcPr>
          <w:p>
            <w:pPr/>
          </w:p>
        </w:tc>
      </w:tr>
    </w:tbl>
    <w:p>
      <w:pPr>
        <w:spacing w:line="240" w:lineRule="auto" w:before="12"/>
        <w:rPr>
          <w:rFonts w:ascii="黑体" w:hAnsi="黑体" w:cs="黑体" w:eastAsia="黑体" w:hint="default"/>
          <w:sz w:val="12"/>
          <w:szCs w:val="12"/>
        </w:rPr>
      </w:pPr>
    </w:p>
    <w:p>
      <w:pPr>
        <w:spacing w:before="37"/>
        <w:ind w:left="318" w:right="5621" w:firstLine="0"/>
        <w:jc w:val="left"/>
        <w:rPr>
          <w:rFonts w:ascii="黑体" w:hAnsi="黑体" w:cs="黑体" w:eastAsia="黑体" w:hint="default"/>
          <w:sz w:val="20"/>
          <w:szCs w:val="20"/>
        </w:rPr>
      </w:pPr>
      <w:r>
        <w:rPr>
          <w:rFonts w:ascii="Arial" w:hAnsi="Arial" w:cs="Arial" w:eastAsia="Arial" w:hint="default"/>
          <w:sz w:val="20"/>
          <w:szCs w:val="20"/>
        </w:rPr>
        <w:t>2018</w:t>
      </w:r>
      <w:r>
        <w:rPr>
          <w:rFonts w:ascii="黑体" w:hAnsi="黑体" w:cs="黑体" w:eastAsia="黑体" w:hint="default"/>
          <w:sz w:val="20"/>
          <w:szCs w:val="20"/>
        </w:rPr>
        <w:t>年</w:t>
      </w:r>
    </w:p>
    <w:p>
      <w:pPr>
        <w:spacing w:line="240" w:lineRule="auto" w:before="7"/>
        <w:rPr>
          <w:rFonts w:ascii="黑体" w:hAnsi="黑体" w:cs="黑体" w:eastAsia="黑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3054"/>
        <w:gridCol w:w="2028"/>
        <w:gridCol w:w="1475"/>
        <w:gridCol w:w="611"/>
        <w:gridCol w:w="1334"/>
        <w:gridCol w:w="267"/>
      </w:tblGrid>
      <w:tr>
        <w:trPr>
          <w:trHeight w:val="724" w:hRule="exact"/>
        </w:trPr>
        <w:tc>
          <w:tcPr>
            <w:tcW w:w="3054" w:type="dxa"/>
            <w:tcBorders>
              <w:top w:val="nil" w:sz="6" w:space="0" w:color="auto"/>
              <w:left w:val="nil" w:sz="6" w:space="0" w:color="auto"/>
              <w:bottom w:val="nil" w:sz="6" w:space="0" w:color="auto"/>
              <w:right w:val="nil" w:sz="6" w:space="0" w:color="auto"/>
            </w:tcBorders>
          </w:tcPr>
          <w:p>
            <w:pPr/>
          </w:p>
        </w:tc>
        <w:tc>
          <w:tcPr>
            <w:tcW w:w="2028" w:type="dxa"/>
            <w:tcBorders>
              <w:top w:val="nil" w:sz="6" w:space="0" w:color="auto"/>
              <w:left w:val="nil" w:sz="6" w:space="0" w:color="auto"/>
              <w:bottom w:val="nil" w:sz="6" w:space="0" w:color="auto"/>
              <w:right w:val="nil" w:sz="6" w:space="0" w:color="auto"/>
            </w:tcBorders>
          </w:tcPr>
          <w:p>
            <w:pPr>
              <w:pStyle w:val="TableParagraph"/>
              <w:spacing w:line="198" w:lineRule="exact"/>
              <w:ind w:left="552" w:right="0" w:firstLine="189"/>
              <w:jc w:val="left"/>
              <w:rPr>
                <w:rFonts w:ascii="黑体" w:hAnsi="黑体" w:cs="黑体" w:eastAsia="黑体" w:hint="default"/>
                <w:sz w:val="20"/>
                <w:szCs w:val="20"/>
              </w:rPr>
            </w:pPr>
            <w:r>
              <w:rPr>
                <w:rFonts w:ascii="黑体" w:hAnsi="黑体" w:cs="黑体" w:eastAsia="黑体" w:hint="default"/>
                <w:sz w:val="20"/>
                <w:szCs w:val="20"/>
              </w:rPr>
              <w:t>港币汇率</w:t>
            </w:r>
          </w:p>
          <w:p>
            <w:pPr>
              <w:pStyle w:val="TableParagraph"/>
              <w:spacing w:line="275" w:lineRule="exact"/>
              <w:ind w:left="552" w:right="0"/>
              <w:jc w:val="left"/>
              <w:rPr>
                <w:rFonts w:ascii="Arial" w:hAnsi="Arial" w:cs="Arial" w:eastAsia="Arial" w:hint="default"/>
                <w:sz w:val="20"/>
                <w:szCs w:val="20"/>
              </w:rPr>
            </w:pPr>
            <w:r>
              <w:rPr>
                <w:rFonts w:ascii="黑体" w:hAnsi="黑体" w:cs="黑体" w:eastAsia="黑体" w:hint="default"/>
                <w:sz w:val="20"/>
                <w:szCs w:val="20"/>
              </w:rPr>
              <w:t>增加</w:t>
            </w:r>
            <w:r>
              <w:rPr>
                <w:rFonts w:ascii="Arial" w:hAnsi="Arial" w:cs="Arial" w:eastAsia="Arial" w:hint="default"/>
                <w:sz w:val="20"/>
                <w:szCs w:val="20"/>
              </w:rPr>
              <w:t>/(</w:t>
            </w:r>
            <w:r>
              <w:rPr>
                <w:rFonts w:ascii="黑体" w:hAnsi="黑体" w:cs="黑体" w:eastAsia="黑体" w:hint="default"/>
                <w:sz w:val="20"/>
                <w:szCs w:val="20"/>
              </w:rPr>
              <w:t>减少</w:t>
            </w:r>
            <w:r>
              <w:rPr>
                <w:rFonts w:ascii="Arial" w:hAnsi="Arial" w:cs="Arial" w:eastAsia="Arial" w:hint="default"/>
                <w:sz w:val="20"/>
                <w:szCs w:val="20"/>
              </w:rPr>
              <w:t>)</w:t>
            </w:r>
          </w:p>
        </w:tc>
        <w:tc>
          <w:tcPr>
            <w:tcW w:w="1475" w:type="dxa"/>
            <w:tcBorders>
              <w:top w:val="nil" w:sz="6" w:space="0" w:color="auto"/>
              <w:left w:val="nil" w:sz="6" w:space="0" w:color="auto"/>
              <w:bottom w:val="nil" w:sz="6" w:space="0" w:color="auto"/>
              <w:right w:val="nil" w:sz="6" w:space="0" w:color="auto"/>
            </w:tcBorders>
          </w:tcPr>
          <w:p>
            <w:pPr>
              <w:pStyle w:val="TableParagraph"/>
              <w:spacing w:line="198" w:lineRule="exact"/>
              <w:ind w:left="485" w:right="-1" w:firstLine="388"/>
              <w:jc w:val="left"/>
              <w:rPr>
                <w:rFonts w:ascii="黑体" w:hAnsi="黑体" w:cs="黑体" w:eastAsia="黑体" w:hint="default"/>
                <w:sz w:val="20"/>
                <w:szCs w:val="20"/>
              </w:rPr>
            </w:pPr>
            <w:r>
              <w:rPr>
                <w:rFonts w:ascii="黑体" w:hAnsi="黑体" w:cs="黑体" w:eastAsia="黑体" w:hint="default"/>
                <w:sz w:val="20"/>
                <w:szCs w:val="20"/>
              </w:rPr>
              <w:t>净损益</w:t>
            </w:r>
          </w:p>
          <w:p>
            <w:pPr>
              <w:pStyle w:val="TableParagraph"/>
              <w:spacing w:line="275" w:lineRule="exact"/>
              <w:ind w:left="485" w:right="-1"/>
              <w:jc w:val="left"/>
              <w:rPr>
                <w:rFonts w:ascii="Arial" w:hAnsi="Arial" w:cs="Arial" w:eastAsia="Arial" w:hint="default"/>
                <w:sz w:val="20"/>
                <w:szCs w:val="20"/>
              </w:rPr>
            </w:pPr>
            <w:r>
              <w:rPr>
                <w:rFonts w:ascii="黑体" w:hAnsi="黑体" w:cs="黑体" w:eastAsia="黑体" w:hint="default"/>
                <w:sz w:val="20"/>
                <w:szCs w:val="20"/>
              </w:rPr>
              <w:t>增加</w:t>
            </w:r>
            <w:r>
              <w:rPr>
                <w:rFonts w:ascii="Arial" w:hAnsi="Arial" w:cs="Arial" w:eastAsia="Arial" w:hint="default"/>
                <w:sz w:val="20"/>
                <w:szCs w:val="20"/>
              </w:rPr>
              <w:t>/(</w:t>
            </w:r>
            <w:r>
              <w:rPr>
                <w:rFonts w:ascii="黑体" w:hAnsi="黑体" w:cs="黑体" w:eastAsia="黑体" w:hint="default"/>
                <w:sz w:val="20"/>
                <w:szCs w:val="20"/>
              </w:rPr>
              <w:t>减少</w:t>
            </w:r>
            <w:r>
              <w:rPr>
                <w:rFonts w:ascii="Arial" w:hAnsi="Arial" w:cs="Arial" w:eastAsia="Arial" w:hint="default"/>
                <w:sz w:val="20"/>
                <w:szCs w:val="20"/>
              </w:rPr>
              <w:t>)</w:t>
            </w:r>
          </w:p>
        </w:tc>
        <w:tc>
          <w:tcPr>
            <w:tcW w:w="611"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198" w:lineRule="exact"/>
              <w:ind w:left="346" w:right="-3" w:hanging="212"/>
              <w:jc w:val="left"/>
              <w:rPr>
                <w:rFonts w:ascii="黑体" w:hAnsi="黑体" w:cs="黑体" w:eastAsia="黑体" w:hint="default"/>
                <w:sz w:val="20"/>
                <w:szCs w:val="20"/>
              </w:rPr>
            </w:pPr>
            <w:r>
              <w:rPr>
                <w:rFonts w:ascii="黑体" w:hAnsi="黑体" w:cs="黑体" w:eastAsia="黑体" w:hint="default"/>
                <w:sz w:val="20"/>
                <w:szCs w:val="20"/>
              </w:rPr>
              <w:t>股东权益合计</w:t>
            </w:r>
          </w:p>
          <w:p>
            <w:pPr>
              <w:pStyle w:val="TableParagraph"/>
              <w:spacing w:line="275" w:lineRule="exact"/>
              <w:ind w:left="346" w:right="-3"/>
              <w:jc w:val="left"/>
              <w:rPr>
                <w:rFonts w:ascii="Arial" w:hAnsi="Arial" w:cs="Arial" w:eastAsia="Arial" w:hint="default"/>
                <w:sz w:val="20"/>
                <w:szCs w:val="20"/>
              </w:rPr>
            </w:pPr>
            <w:r>
              <w:rPr>
                <w:rFonts w:ascii="黑体" w:hAnsi="黑体" w:cs="黑体" w:eastAsia="黑体" w:hint="default"/>
                <w:sz w:val="20"/>
                <w:szCs w:val="20"/>
              </w:rPr>
              <w:t>增加</w:t>
            </w:r>
            <w:r>
              <w:rPr>
                <w:rFonts w:ascii="Arial" w:hAnsi="Arial" w:cs="Arial" w:eastAsia="Arial" w:hint="default"/>
                <w:sz w:val="20"/>
                <w:szCs w:val="20"/>
              </w:rPr>
              <w:t>/(</w:t>
            </w:r>
            <w:r>
              <w:rPr>
                <w:rFonts w:ascii="黑体" w:hAnsi="黑体" w:cs="黑体" w:eastAsia="黑体" w:hint="default"/>
                <w:sz w:val="20"/>
                <w:szCs w:val="20"/>
              </w:rPr>
              <w:t>减少</w:t>
            </w:r>
            <w:r>
              <w:rPr>
                <w:rFonts w:ascii="Arial" w:hAnsi="Arial" w:cs="Arial" w:eastAsia="Arial" w:hint="default"/>
                <w:sz w:val="20"/>
                <w:szCs w:val="20"/>
              </w:rPr>
              <w:t>)</w:t>
            </w:r>
          </w:p>
        </w:tc>
        <w:tc>
          <w:tcPr>
            <w:tcW w:w="267" w:type="dxa"/>
            <w:tcBorders>
              <w:top w:val="nil" w:sz="6" w:space="0" w:color="auto"/>
              <w:left w:val="nil" w:sz="6" w:space="0" w:color="auto"/>
              <w:bottom w:val="nil" w:sz="6" w:space="0" w:color="auto"/>
              <w:right w:val="nil" w:sz="6" w:space="0" w:color="auto"/>
            </w:tcBorders>
          </w:tcPr>
          <w:p>
            <w:pPr/>
          </w:p>
        </w:tc>
      </w:tr>
      <w:tr>
        <w:trPr>
          <w:trHeight w:val="496" w:hRule="exact"/>
        </w:trPr>
        <w:tc>
          <w:tcPr>
            <w:tcW w:w="30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left="200" w:right="0"/>
              <w:jc w:val="left"/>
              <w:rPr>
                <w:rFonts w:ascii="黑体" w:hAnsi="黑体" w:cs="黑体" w:eastAsia="黑体" w:hint="default"/>
                <w:sz w:val="20"/>
                <w:szCs w:val="20"/>
              </w:rPr>
            </w:pPr>
            <w:r>
              <w:rPr>
                <w:rFonts w:ascii="黑体" w:hAnsi="黑体" w:cs="黑体" w:eastAsia="黑体" w:hint="default"/>
                <w:sz w:val="20"/>
                <w:szCs w:val="20"/>
              </w:rPr>
              <w:t>人民币对港币贬值</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485"/>
              <w:jc w:val="right"/>
              <w:rPr>
                <w:rFonts w:ascii="Arial" w:hAnsi="Arial" w:cs="Arial" w:eastAsia="Arial" w:hint="default"/>
                <w:sz w:val="20"/>
                <w:szCs w:val="20"/>
              </w:rPr>
            </w:pPr>
            <w:r>
              <w:rPr>
                <w:rFonts w:ascii="Arial"/>
                <w:spacing w:val="-1"/>
                <w:w w:val="95"/>
                <w:sz w:val="20"/>
              </w:rPr>
              <w:t>5%</w:t>
            </w:r>
            <w:r>
              <w:rPr>
                <w:rFonts w:ascii="Arial"/>
                <w:sz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0"/>
              <w:jc w:val="right"/>
              <w:rPr>
                <w:rFonts w:ascii="Arial" w:hAnsi="Arial" w:cs="Arial" w:eastAsia="Arial" w:hint="default"/>
                <w:sz w:val="20"/>
                <w:szCs w:val="20"/>
              </w:rPr>
            </w:pPr>
            <w:r>
              <w:rPr>
                <w:rFonts w:ascii="Arial"/>
                <w:w w:val="95"/>
                <w:sz w:val="20"/>
              </w:rPr>
              <w:t>(982,309</w:t>
            </w:r>
            <w:r>
              <w:rPr>
                <w:rFonts w:ascii="Arial"/>
                <w:sz w:val="20"/>
              </w:rPr>
            </w:r>
          </w:p>
        </w:tc>
        <w:tc>
          <w:tcPr>
            <w:tcW w:w="6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left="-1" w:right="0"/>
              <w:jc w:val="left"/>
              <w:rPr>
                <w:rFonts w:ascii="Arial" w:hAnsi="Arial" w:cs="Arial" w:eastAsia="Arial" w:hint="default"/>
                <w:sz w:val="20"/>
                <w:szCs w:val="20"/>
              </w:rPr>
            </w:pPr>
            <w:r>
              <w:rPr>
                <w:rFonts w:ascii="Arial"/>
                <w:w w:val="99"/>
                <w:sz w:val="20"/>
              </w:rPr>
              <w:t>)</w:t>
            </w:r>
            <w:r>
              <w:rPr>
                <w:rFonts w:ascii="Arial"/>
                <w:sz w:val="20"/>
              </w:rPr>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right="1"/>
              <w:jc w:val="right"/>
              <w:rPr>
                <w:rFonts w:ascii="Arial" w:hAnsi="Arial" w:cs="Arial" w:eastAsia="Arial" w:hint="default"/>
                <w:sz w:val="20"/>
                <w:szCs w:val="20"/>
              </w:rPr>
            </w:pPr>
            <w:r>
              <w:rPr>
                <w:rFonts w:ascii="Arial"/>
                <w:w w:val="95"/>
                <w:sz w:val="20"/>
              </w:rPr>
              <w:t>(982,309</w:t>
            </w:r>
            <w:r>
              <w:rPr>
                <w:rFonts w:ascii="Arial"/>
                <w:sz w:val="20"/>
              </w:rPr>
            </w:r>
          </w:p>
        </w:tc>
        <w:tc>
          <w:tcPr>
            <w:tcW w:w="26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19"/>
                <w:szCs w:val="19"/>
              </w:rPr>
            </w:pPr>
          </w:p>
          <w:p>
            <w:pPr>
              <w:pStyle w:val="TableParagraph"/>
              <w:spacing w:line="240" w:lineRule="auto"/>
              <w:ind w:left="1" w:right="0"/>
              <w:jc w:val="left"/>
              <w:rPr>
                <w:rFonts w:ascii="Arial" w:hAnsi="Arial" w:cs="Arial" w:eastAsia="Arial" w:hint="default"/>
                <w:sz w:val="20"/>
                <w:szCs w:val="20"/>
              </w:rPr>
            </w:pPr>
            <w:r>
              <w:rPr>
                <w:rFonts w:ascii="Arial"/>
                <w:w w:val="99"/>
                <w:sz w:val="20"/>
              </w:rPr>
              <w:t>)</w:t>
            </w:r>
            <w:r>
              <w:rPr>
                <w:rFonts w:ascii="Arial"/>
                <w:sz w:val="20"/>
              </w:rPr>
            </w:r>
          </w:p>
        </w:tc>
      </w:tr>
      <w:tr>
        <w:trPr>
          <w:trHeight w:val="240" w:hRule="exact"/>
        </w:trPr>
        <w:tc>
          <w:tcPr>
            <w:tcW w:w="3054"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人民币对港币升值</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85"/>
              <w:jc w:val="right"/>
              <w:rPr>
                <w:rFonts w:ascii="Arial" w:hAnsi="Arial" w:cs="Arial" w:eastAsia="Arial" w:hint="default"/>
                <w:sz w:val="20"/>
                <w:szCs w:val="20"/>
              </w:rPr>
            </w:pPr>
            <w:r>
              <w:rPr>
                <w:rFonts w:ascii="Arial"/>
                <w:spacing w:val="-1"/>
                <w:w w:val="95"/>
                <w:sz w:val="20"/>
              </w:rPr>
              <w:t>5%</w:t>
            </w:r>
            <w:r>
              <w:rPr>
                <w:rFonts w:ascii="Arial"/>
                <w:sz w:val="20"/>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right"/>
              <w:rPr>
                <w:rFonts w:ascii="Arial" w:hAnsi="Arial" w:cs="Arial" w:eastAsia="Arial" w:hint="default"/>
                <w:sz w:val="20"/>
                <w:szCs w:val="20"/>
              </w:rPr>
            </w:pPr>
            <w:r>
              <w:rPr>
                <w:rFonts w:ascii="Arial"/>
                <w:spacing w:val="-1"/>
                <w:sz w:val="20"/>
              </w:rPr>
              <w:t>982,309</w:t>
            </w:r>
          </w:p>
        </w:tc>
        <w:tc>
          <w:tcPr>
            <w:tcW w:w="611"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right"/>
              <w:rPr>
                <w:rFonts w:ascii="Arial" w:hAnsi="Arial" w:cs="Arial" w:eastAsia="Arial" w:hint="default"/>
                <w:sz w:val="20"/>
                <w:szCs w:val="20"/>
              </w:rPr>
            </w:pPr>
            <w:r>
              <w:rPr>
                <w:rFonts w:ascii="Arial"/>
                <w:spacing w:val="-1"/>
                <w:sz w:val="20"/>
              </w:rPr>
              <w:t>982,309</w:t>
            </w:r>
          </w:p>
        </w:tc>
        <w:tc>
          <w:tcPr>
            <w:tcW w:w="267" w:type="dxa"/>
            <w:tcBorders>
              <w:top w:val="nil" w:sz="6" w:space="0" w:color="auto"/>
              <w:left w:val="nil" w:sz="6" w:space="0" w:color="auto"/>
              <w:bottom w:val="nil" w:sz="6" w:space="0" w:color="auto"/>
              <w:right w:val="nil" w:sz="6" w:space="0" w:color="auto"/>
            </w:tcBorders>
          </w:tcPr>
          <w:p>
            <w:pPr/>
          </w:p>
        </w:tc>
      </w:tr>
    </w:tbl>
    <w:p>
      <w:pPr>
        <w:spacing w:after="0"/>
        <w:sectPr>
          <w:pgSz w:w="11910" w:h="16850"/>
          <w:pgMar w:header="745" w:footer="921" w:top="980" w:bottom="1120" w:left="1480" w:right="142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26"/>
          <w:szCs w:val="26"/>
        </w:rPr>
      </w:pPr>
    </w:p>
    <w:p>
      <w:pPr>
        <w:tabs>
          <w:tab w:pos="977" w:val="left" w:leader="none"/>
        </w:tabs>
        <w:spacing w:line="424" w:lineRule="auto" w:before="37"/>
        <w:ind w:left="258" w:right="5621" w:firstLine="0"/>
        <w:jc w:val="left"/>
        <w:rPr>
          <w:rFonts w:ascii="黑体" w:hAnsi="黑体" w:cs="黑体" w:eastAsia="黑体" w:hint="default"/>
          <w:sz w:val="20"/>
          <w:szCs w:val="20"/>
        </w:rPr>
      </w:pPr>
      <w:r>
        <w:rPr>
          <w:rFonts w:ascii="黑体" w:hAnsi="黑体" w:cs="黑体" w:eastAsia="黑体" w:hint="default"/>
          <w:b/>
          <w:bCs/>
          <w:w w:val="95"/>
          <w:sz w:val="20"/>
          <w:szCs w:val="20"/>
        </w:rPr>
        <w:t>八、</w:t>
        <w:tab/>
      </w:r>
      <w:r>
        <w:rPr>
          <w:rFonts w:ascii="黑体" w:hAnsi="黑体" w:cs="黑体" w:eastAsia="黑体" w:hint="default"/>
          <w:b/>
          <w:bCs/>
          <w:sz w:val="20"/>
          <w:szCs w:val="20"/>
        </w:rPr>
        <w:t>与金融工具相关的风险</w:t>
      </w:r>
      <w:r>
        <w:rPr>
          <w:rFonts w:ascii="Arial" w:hAnsi="Arial" w:cs="Arial" w:eastAsia="Arial" w:hint="default"/>
          <w:b/>
          <w:bCs/>
          <w:sz w:val="20"/>
          <w:szCs w:val="20"/>
        </w:rPr>
        <w:t>(</w:t>
      </w:r>
      <w:r>
        <w:rPr>
          <w:rFonts w:ascii="黑体" w:hAnsi="黑体" w:cs="黑体" w:eastAsia="黑体" w:hint="default"/>
          <w:b/>
          <w:bCs/>
          <w:sz w:val="20"/>
          <w:szCs w:val="20"/>
        </w:rPr>
        <w:t>续</w:t>
      </w:r>
      <w:r>
        <w:rPr>
          <w:rFonts w:ascii="Arial" w:hAnsi="Arial" w:cs="Arial" w:eastAsia="Arial" w:hint="default"/>
          <w:b/>
          <w:bCs/>
          <w:sz w:val="20"/>
          <w:szCs w:val="20"/>
        </w:rPr>
        <w:t>)</w:t>
      </w:r>
      <w:r>
        <w:rPr>
          <w:rFonts w:ascii="Arial" w:hAnsi="Arial" w:cs="Arial" w:eastAsia="Arial" w:hint="default"/>
          <w:b/>
          <w:bCs/>
          <w:w w:val="99"/>
          <w:sz w:val="20"/>
          <w:szCs w:val="20"/>
        </w:rPr>
        <w:t> </w:t>
      </w:r>
      <w:r>
        <w:rPr>
          <w:rFonts w:ascii="Arial" w:hAnsi="Arial" w:cs="Arial" w:eastAsia="Arial" w:hint="default"/>
          <w:b/>
          <w:bCs/>
          <w:spacing w:val="-1"/>
          <w:sz w:val="20"/>
          <w:szCs w:val="20"/>
        </w:rPr>
        <w:t>3.</w:t>
        <w:tab/>
      </w:r>
      <w:r>
        <w:rPr>
          <w:rFonts w:ascii="黑体" w:hAnsi="黑体" w:cs="黑体" w:eastAsia="黑体" w:hint="default"/>
          <w:b/>
          <w:bCs/>
          <w:spacing w:val="2"/>
          <w:sz w:val="20"/>
          <w:szCs w:val="20"/>
        </w:rPr>
        <w:t>资本管理</w:t>
      </w:r>
      <w:r>
        <w:rPr>
          <w:rFonts w:ascii="黑体" w:hAnsi="黑体" w:cs="黑体" w:eastAsia="黑体" w:hint="default"/>
          <w:sz w:val="20"/>
          <w:szCs w:val="20"/>
        </w:rPr>
      </w:r>
    </w:p>
    <w:p>
      <w:pPr>
        <w:spacing w:line="260" w:lineRule="exact" w:before="67"/>
        <w:ind w:left="258" w:right="375" w:firstLine="0"/>
        <w:jc w:val="both"/>
        <w:rPr>
          <w:rFonts w:ascii="黑体" w:hAnsi="黑体" w:cs="黑体" w:eastAsia="黑体" w:hint="default"/>
          <w:sz w:val="20"/>
          <w:szCs w:val="20"/>
        </w:rPr>
      </w:pPr>
      <w:r>
        <w:rPr>
          <w:rFonts w:ascii="黑体" w:hAnsi="黑体" w:cs="黑体" w:eastAsia="黑体" w:hint="default"/>
          <w:spacing w:val="-2"/>
          <w:w w:val="95"/>
          <w:sz w:val="20"/>
          <w:szCs w:val="20"/>
        </w:rPr>
        <w:t>本集团资本管理的主要目标是确保本集团持续经营的能力，并保持健康的资本比率，以支持业务</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发展并使股东价值最大化。</w:t>
      </w:r>
    </w:p>
    <w:p>
      <w:pPr>
        <w:spacing w:line="240" w:lineRule="auto" w:before="7"/>
        <w:rPr>
          <w:rFonts w:ascii="黑体" w:hAnsi="黑体" w:cs="黑体" w:eastAsia="黑体" w:hint="default"/>
          <w:sz w:val="17"/>
          <w:szCs w:val="17"/>
        </w:rPr>
      </w:pPr>
    </w:p>
    <w:p>
      <w:pPr>
        <w:spacing w:line="260" w:lineRule="exact" w:before="0"/>
        <w:ind w:left="258" w:right="375" w:firstLine="0"/>
        <w:jc w:val="both"/>
        <w:rPr>
          <w:rFonts w:ascii="黑体" w:hAnsi="黑体" w:cs="黑体" w:eastAsia="黑体" w:hint="default"/>
          <w:sz w:val="20"/>
          <w:szCs w:val="20"/>
        </w:rPr>
      </w:pPr>
      <w:r>
        <w:rPr>
          <w:rFonts w:ascii="黑体" w:hAnsi="黑体" w:cs="黑体" w:eastAsia="黑体" w:hint="default"/>
          <w:spacing w:val="-2"/>
          <w:w w:val="99"/>
          <w:sz w:val="20"/>
          <w:szCs w:val="20"/>
        </w:rPr>
        <w:t>本集团管理资本结构并根据经济形势以及相关资产的风险特征的变化对其进行调整。为维持或调</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w w:val="95"/>
          <w:sz w:val="20"/>
          <w:szCs w:val="20"/>
        </w:rPr>
        <w:t>整资本结构，本集团可以调整对股东的利润分配、向股东归还资本或发行新股。本集团不受外部</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强制性资本要求约束。</w:t>
      </w:r>
      <w:r>
        <w:rPr>
          <w:rFonts w:ascii="Arial" w:hAnsi="Arial" w:cs="Arial" w:eastAsia="Arial" w:hint="default"/>
          <w:sz w:val="20"/>
          <w:szCs w:val="20"/>
        </w:rPr>
        <w:t>2019</w:t>
      </w:r>
      <w:r>
        <w:rPr>
          <w:rFonts w:ascii="黑体" w:hAnsi="黑体" w:cs="黑体" w:eastAsia="黑体" w:hint="default"/>
          <w:sz w:val="20"/>
          <w:szCs w:val="20"/>
        </w:rPr>
        <w:t>年度和</w:t>
      </w:r>
      <w:r>
        <w:rPr>
          <w:rFonts w:ascii="Arial" w:hAnsi="Arial" w:cs="Arial" w:eastAsia="Arial" w:hint="default"/>
          <w:sz w:val="20"/>
          <w:szCs w:val="20"/>
        </w:rPr>
        <w:t>2018</w:t>
      </w:r>
      <w:r>
        <w:rPr>
          <w:rFonts w:ascii="黑体" w:hAnsi="黑体" w:cs="黑体" w:eastAsia="黑体" w:hint="default"/>
          <w:sz w:val="20"/>
          <w:szCs w:val="20"/>
        </w:rPr>
        <w:t>年度，资本管理目标、政策或程序未发生变化。</w:t>
      </w:r>
    </w:p>
    <w:p>
      <w:pPr>
        <w:spacing w:line="240" w:lineRule="auto" w:before="10"/>
        <w:rPr>
          <w:rFonts w:ascii="黑体" w:hAnsi="黑体" w:cs="黑体" w:eastAsia="黑体" w:hint="default"/>
          <w:sz w:val="15"/>
          <w:szCs w:val="15"/>
        </w:rPr>
      </w:pPr>
    </w:p>
    <w:p>
      <w:pPr>
        <w:spacing w:line="237" w:lineRule="auto" w:before="0"/>
        <w:ind w:left="258" w:right="375" w:firstLine="0"/>
        <w:jc w:val="both"/>
        <w:rPr>
          <w:rFonts w:ascii="黑体" w:hAnsi="黑体" w:cs="黑体" w:eastAsia="黑体" w:hint="default"/>
          <w:sz w:val="20"/>
          <w:szCs w:val="20"/>
        </w:rPr>
      </w:pPr>
      <w:r>
        <w:rPr>
          <w:rFonts w:ascii="黑体" w:hAnsi="黑体" w:cs="黑体" w:eastAsia="黑体" w:hint="default"/>
          <w:spacing w:val="-2"/>
          <w:w w:val="95"/>
          <w:sz w:val="20"/>
          <w:szCs w:val="20"/>
        </w:rPr>
        <w:t>本集团采用杠杆比率来管理资本，杠杆比率是指净负债和调整后资本加净负债的比率。净负债包</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pacing w:val="-2"/>
          <w:w w:val="95"/>
          <w:sz w:val="20"/>
          <w:szCs w:val="20"/>
        </w:rPr>
        <w:t>括所有借款款项、应付账款、其他应付款及应付债券减现金和现金等价物后的净额。资本包括归</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属于母公司股东权益，本集团于资产负债表日的杠杆比率如下：</w:t>
      </w:r>
    </w:p>
    <w:p>
      <w:pPr>
        <w:spacing w:line="240" w:lineRule="auto" w:before="3"/>
        <w:rPr>
          <w:rFonts w:ascii="黑体" w:hAnsi="黑体" w:cs="黑体" w:eastAsia="黑体" w:hint="default"/>
          <w:sz w:val="22"/>
          <w:szCs w:val="22"/>
        </w:rPr>
      </w:pPr>
    </w:p>
    <w:tbl>
      <w:tblPr>
        <w:tblW w:w="0" w:type="auto"/>
        <w:jc w:val="left"/>
        <w:tblInd w:w="113" w:type="dxa"/>
        <w:tblLayout w:type="fixed"/>
        <w:tblCellMar>
          <w:top w:w="0" w:type="dxa"/>
          <w:left w:w="0" w:type="dxa"/>
          <w:bottom w:w="0" w:type="dxa"/>
          <w:right w:w="0" w:type="dxa"/>
        </w:tblCellMar>
        <w:tblLook w:val="01E0"/>
      </w:tblPr>
      <w:tblGrid>
        <w:gridCol w:w="3717"/>
        <w:gridCol w:w="2697"/>
        <w:gridCol w:w="315"/>
        <w:gridCol w:w="1726"/>
        <w:gridCol w:w="268"/>
      </w:tblGrid>
      <w:tr>
        <w:trPr>
          <w:trHeight w:val="349" w:hRule="exact"/>
        </w:trPr>
        <w:tc>
          <w:tcPr>
            <w:tcW w:w="3717" w:type="dxa"/>
            <w:tcBorders>
              <w:top w:val="nil" w:sz="6" w:space="0" w:color="auto"/>
              <w:left w:val="nil" w:sz="6" w:space="0" w:color="auto"/>
              <w:bottom w:val="nil" w:sz="6" w:space="0" w:color="auto"/>
              <w:right w:val="nil" w:sz="6" w:space="0" w:color="auto"/>
            </w:tcBorders>
          </w:tcPr>
          <w:p>
            <w:pPr/>
          </w:p>
        </w:tc>
        <w:tc>
          <w:tcPr>
            <w:tcW w:w="2697" w:type="dxa"/>
            <w:tcBorders>
              <w:top w:val="nil" w:sz="6" w:space="0" w:color="auto"/>
              <w:left w:val="nil" w:sz="6" w:space="0" w:color="auto"/>
              <w:bottom w:val="nil" w:sz="6" w:space="0" w:color="auto"/>
              <w:right w:val="nil" w:sz="6" w:space="0" w:color="auto"/>
            </w:tcBorders>
          </w:tcPr>
          <w:p>
            <w:pPr>
              <w:pStyle w:val="TableParagraph"/>
              <w:spacing w:line="214" w:lineRule="exact"/>
              <w:ind w:right="2"/>
              <w:jc w:val="right"/>
              <w:rPr>
                <w:rFonts w:ascii="黑体" w:hAnsi="黑体" w:cs="黑体" w:eastAsia="黑体" w:hint="default"/>
                <w:sz w:val="20"/>
                <w:szCs w:val="20"/>
              </w:rPr>
            </w:pP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14" w:lineRule="exact"/>
              <w:ind w:right="0"/>
              <w:jc w:val="right"/>
              <w:rPr>
                <w:rFonts w:ascii="黑体" w:hAnsi="黑体" w:cs="黑体" w:eastAsia="黑体" w:hint="default"/>
                <w:sz w:val="20"/>
                <w:szCs w:val="20"/>
              </w:rPr>
            </w:pPr>
            <w:r>
              <w:rPr>
                <w:rFonts w:ascii="Arial" w:hAnsi="Arial" w:cs="Arial" w:eastAsia="Arial" w:hint="default"/>
                <w:spacing w:val="-1"/>
                <w:w w:val="95"/>
                <w:sz w:val="20"/>
                <w:szCs w:val="20"/>
              </w:rPr>
              <w:t>2018</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268" w:type="dxa"/>
            <w:tcBorders>
              <w:top w:val="nil" w:sz="6" w:space="0" w:color="auto"/>
              <w:left w:val="nil" w:sz="6" w:space="0" w:color="auto"/>
              <w:bottom w:val="nil" w:sz="6" w:space="0" w:color="auto"/>
              <w:right w:val="nil" w:sz="6" w:space="0" w:color="auto"/>
            </w:tcBorders>
          </w:tcPr>
          <w:p>
            <w:pPr/>
          </w:p>
        </w:tc>
      </w:tr>
      <w:tr>
        <w:trPr>
          <w:trHeight w:val="380"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黑体" w:hAnsi="黑体" w:cs="黑体" w:eastAsia="黑体" w:hint="default"/>
                <w:sz w:val="20"/>
                <w:szCs w:val="20"/>
              </w:rPr>
            </w:pPr>
            <w:r>
              <w:rPr>
                <w:rFonts w:ascii="黑体" w:hAnsi="黑体" w:cs="黑体" w:eastAsia="黑体" w:hint="default"/>
                <w:sz w:val="20"/>
                <w:szCs w:val="20"/>
              </w:rPr>
              <w:t>短期借款</w:t>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0"/>
              <w:jc w:val="right"/>
              <w:rPr>
                <w:rFonts w:ascii="Arial" w:hAnsi="Arial" w:cs="Arial" w:eastAsia="Arial" w:hint="default"/>
                <w:sz w:val="20"/>
                <w:szCs w:val="20"/>
              </w:rPr>
            </w:pPr>
            <w:r>
              <w:rPr>
                <w:rFonts w:ascii="Arial"/>
                <w:w w:val="95"/>
                <w:sz w:val="20"/>
              </w:rPr>
              <w:t>4,235,544,650</w:t>
            </w:r>
            <w:r>
              <w:rPr>
                <w:rFonts w:ascii="Arial"/>
                <w:sz w:val="20"/>
              </w:rPr>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0"/>
              <w:jc w:val="right"/>
              <w:rPr>
                <w:rFonts w:ascii="Arial" w:hAnsi="Arial" w:cs="Arial" w:eastAsia="Arial" w:hint="default"/>
                <w:sz w:val="20"/>
                <w:szCs w:val="20"/>
              </w:rPr>
            </w:pPr>
            <w:r>
              <w:rPr>
                <w:rFonts w:ascii="Arial"/>
                <w:w w:val="95"/>
                <w:sz w:val="20"/>
              </w:rPr>
              <w:t>3,156,404,000</w:t>
            </w:r>
            <w:r>
              <w:rPr>
                <w:rFonts w:ascii="Arial"/>
                <w:sz w:val="20"/>
              </w:rPr>
            </w:r>
          </w:p>
        </w:tc>
        <w:tc>
          <w:tcPr>
            <w:tcW w:w="268" w:type="dxa"/>
            <w:tcBorders>
              <w:top w:val="nil" w:sz="6" w:space="0" w:color="auto"/>
              <w:left w:val="nil" w:sz="6" w:space="0" w:color="auto"/>
              <w:bottom w:val="nil" w:sz="6" w:space="0" w:color="auto"/>
              <w:right w:val="nil" w:sz="6" w:space="0" w:color="auto"/>
            </w:tcBorders>
          </w:tcPr>
          <w:p>
            <w:pPr/>
          </w:p>
        </w:tc>
      </w:tr>
      <w:tr>
        <w:trPr>
          <w:trHeight w:val="259"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应付账款</w:t>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
              <w:jc w:val="right"/>
              <w:rPr>
                <w:rFonts w:ascii="Arial" w:hAnsi="Arial" w:cs="Arial" w:eastAsia="Arial" w:hint="default"/>
                <w:sz w:val="20"/>
                <w:szCs w:val="20"/>
              </w:rPr>
            </w:pPr>
            <w:r>
              <w:rPr>
                <w:rFonts w:ascii="Arial"/>
                <w:spacing w:val="-1"/>
                <w:sz w:val="20"/>
              </w:rPr>
              <w:t>597,049,158</w:t>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right"/>
              <w:rPr>
                <w:rFonts w:ascii="Arial" w:hAnsi="Arial" w:cs="Arial" w:eastAsia="Arial" w:hint="default"/>
                <w:sz w:val="20"/>
                <w:szCs w:val="20"/>
              </w:rPr>
            </w:pPr>
            <w:r>
              <w:rPr>
                <w:rFonts w:ascii="Arial"/>
                <w:spacing w:val="-1"/>
                <w:sz w:val="20"/>
              </w:rPr>
              <w:t>455,622,484</w:t>
            </w:r>
          </w:p>
        </w:tc>
        <w:tc>
          <w:tcPr>
            <w:tcW w:w="268" w:type="dxa"/>
            <w:tcBorders>
              <w:top w:val="nil" w:sz="6" w:space="0" w:color="auto"/>
              <w:left w:val="nil" w:sz="6" w:space="0" w:color="auto"/>
              <w:bottom w:val="nil" w:sz="6" w:space="0" w:color="auto"/>
              <w:right w:val="nil" w:sz="6" w:space="0" w:color="auto"/>
            </w:tcBorders>
          </w:tcPr>
          <w:p>
            <w:pPr/>
          </w:p>
        </w:tc>
      </w:tr>
      <w:tr>
        <w:trPr>
          <w:trHeight w:val="259"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其他应付款</w:t>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5"/>
                <w:sz w:val="20"/>
              </w:rPr>
              <w:t>1,332,754,020</w:t>
            </w:r>
            <w:r>
              <w:rPr>
                <w:rFonts w:ascii="Arial"/>
                <w:sz w:val="20"/>
              </w:rPr>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right"/>
              <w:rPr>
                <w:rFonts w:ascii="Arial" w:hAnsi="Arial" w:cs="Arial" w:eastAsia="Arial" w:hint="default"/>
                <w:sz w:val="20"/>
                <w:szCs w:val="20"/>
              </w:rPr>
            </w:pPr>
            <w:r>
              <w:rPr>
                <w:rFonts w:ascii="Arial"/>
                <w:spacing w:val="-1"/>
                <w:sz w:val="20"/>
              </w:rPr>
              <w:t>840,741,172</w:t>
            </w:r>
          </w:p>
        </w:tc>
        <w:tc>
          <w:tcPr>
            <w:tcW w:w="268" w:type="dxa"/>
            <w:tcBorders>
              <w:top w:val="nil" w:sz="6" w:space="0" w:color="auto"/>
              <w:left w:val="nil" w:sz="6" w:space="0" w:color="auto"/>
              <w:bottom w:val="nil" w:sz="6" w:space="0" w:color="auto"/>
              <w:right w:val="nil" w:sz="6" w:space="0" w:color="auto"/>
            </w:tcBorders>
          </w:tcPr>
          <w:p>
            <w:pPr/>
          </w:p>
        </w:tc>
      </w:tr>
      <w:tr>
        <w:trPr>
          <w:trHeight w:val="259"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其他流动负债</w:t>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5"/>
                <w:sz w:val="20"/>
              </w:rPr>
              <w:t>2,580,476</w:t>
            </w:r>
            <w:r>
              <w:rPr>
                <w:rFonts w:ascii="Arial"/>
                <w:sz w:val="20"/>
              </w:rPr>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5"/>
                <w:sz w:val="20"/>
              </w:rPr>
              <w:t>2,431,350</w:t>
            </w:r>
            <w:r>
              <w:rPr>
                <w:rFonts w:ascii="Arial"/>
                <w:sz w:val="20"/>
              </w:rPr>
            </w:r>
          </w:p>
        </w:tc>
        <w:tc>
          <w:tcPr>
            <w:tcW w:w="268" w:type="dxa"/>
            <w:tcBorders>
              <w:top w:val="nil" w:sz="6" w:space="0" w:color="auto"/>
              <w:left w:val="nil" w:sz="6" w:space="0" w:color="auto"/>
              <w:bottom w:val="nil" w:sz="6" w:space="0" w:color="auto"/>
              <w:right w:val="nil" w:sz="6" w:space="0" w:color="auto"/>
            </w:tcBorders>
          </w:tcPr>
          <w:p>
            <w:pPr/>
          </w:p>
        </w:tc>
      </w:tr>
      <w:tr>
        <w:trPr>
          <w:trHeight w:val="259"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33" w:lineRule="exact"/>
              <w:ind w:left="200" w:right="0"/>
              <w:jc w:val="left"/>
              <w:rPr>
                <w:rFonts w:ascii="Arial" w:hAnsi="Arial" w:cs="Arial" w:eastAsia="Arial" w:hint="default"/>
                <w:sz w:val="20"/>
                <w:szCs w:val="20"/>
              </w:rPr>
            </w:pPr>
            <w:r>
              <w:rPr>
                <w:rFonts w:ascii="黑体" w:hAnsi="黑体" w:cs="黑体" w:eastAsia="黑体" w:hint="default"/>
                <w:sz w:val="20"/>
                <w:szCs w:val="20"/>
              </w:rPr>
              <w:t>长期借款</w:t>
            </w:r>
            <w:r>
              <w:rPr>
                <w:rFonts w:ascii="Arial" w:hAnsi="Arial" w:cs="Arial" w:eastAsia="Arial" w:hint="default"/>
                <w:sz w:val="20"/>
                <w:szCs w:val="20"/>
              </w:rPr>
              <w:t>(</w:t>
            </w:r>
            <w:r>
              <w:rPr>
                <w:rFonts w:ascii="黑体" w:hAnsi="黑体" w:cs="黑体" w:eastAsia="黑体" w:hint="default"/>
                <w:sz w:val="20"/>
                <w:szCs w:val="20"/>
              </w:rPr>
              <w:t>含一年内到期</w:t>
            </w:r>
            <w:r>
              <w:rPr>
                <w:rFonts w:ascii="Arial" w:hAnsi="Arial" w:cs="Arial" w:eastAsia="Arial" w:hint="default"/>
                <w:sz w:val="20"/>
                <w:szCs w:val="20"/>
              </w:rPr>
              <w:t>)</w:t>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
              <w:jc w:val="right"/>
              <w:rPr>
                <w:rFonts w:ascii="Arial" w:hAnsi="Arial" w:cs="Arial" w:eastAsia="Arial" w:hint="default"/>
                <w:sz w:val="20"/>
                <w:szCs w:val="20"/>
              </w:rPr>
            </w:pPr>
            <w:r>
              <w:rPr>
                <w:rFonts w:ascii="Arial"/>
                <w:spacing w:val="-1"/>
                <w:sz w:val="20"/>
              </w:rPr>
              <w:t>135,000,000</w:t>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right"/>
              <w:rPr>
                <w:rFonts w:ascii="Arial" w:hAnsi="Arial" w:cs="Arial" w:eastAsia="Arial" w:hint="default"/>
                <w:sz w:val="20"/>
                <w:szCs w:val="20"/>
              </w:rPr>
            </w:pPr>
            <w:r>
              <w:rPr>
                <w:rFonts w:ascii="Arial"/>
                <w:spacing w:val="-1"/>
                <w:sz w:val="20"/>
              </w:rPr>
              <w:t>305,137,891</w:t>
            </w:r>
          </w:p>
        </w:tc>
        <w:tc>
          <w:tcPr>
            <w:tcW w:w="268" w:type="dxa"/>
            <w:tcBorders>
              <w:top w:val="nil" w:sz="6" w:space="0" w:color="auto"/>
              <w:left w:val="nil" w:sz="6" w:space="0" w:color="auto"/>
              <w:bottom w:val="nil" w:sz="6" w:space="0" w:color="auto"/>
              <w:right w:val="nil" w:sz="6" w:space="0" w:color="auto"/>
            </w:tcBorders>
          </w:tcPr>
          <w:p>
            <w:pPr/>
          </w:p>
        </w:tc>
      </w:tr>
      <w:tr>
        <w:trPr>
          <w:trHeight w:val="374"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减：货币资金</w:t>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9"/>
                <w:sz w:val="20"/>
              </w:rPr>
            </w:r>
            <w:r>
              <w:rPr>
                <w:rFonts w:ascii="Arial"/>
                <w:w w:val="95"/>
                <w:sz w:val="20"/>
                <w:u w:val="single" w:color="000000"/>
              </w:rPr>
              <w:t>7,147,448,420</w:t>
            </w:r>
            <w:r>
              <w:rPr>
                <w:rFonts w:ascii="Arial"/>
                <w:w w:val="95"/>
                <w:sz w:val="20"/>
              </w:rPr>
            </w:r>
            <w:r>
              <w:rPr>
                <w:rFonts w:ascii="Arial"/>
                <w:sz w:val="20"/>
              </w:rPr>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9"/>
                <w:sz w:val="20"/>
              </w:rPr>
            </w:r>
            <w:r>
              <w:rPr>
                <w:rFonts w:ascii="Arial"/>
                <w:w w:val="95"/>
                <w:sz w:val="20"/>
                <w:u w:val="single" w:color="000000"/>
              </w:rPr>
              <w:t>5,530,811,375</w:t>
            </w:r>
            <w:r>
              <w:rPr>
                <w:rFonts w:ascii="Arial"/>
                <w:w w:val="95"/>
                <w:sz w:val="20"/>
              </w:rPr>
            </w:r>
            <w:r>
              <w:rPr>
                <w:rFonts w:ascii="Arial"/>
                <w:sz w:val="20"/>
              </w:rPr>
            </w:r>
          </w:p>
        </w:tc>
        <w:tc>
          <w:tcPr>
            <w:tcW w:w="268" w:type="dxa"/>
            <w:tcBorders>
              <w:top w:val="nil" w:sz="6" w:space="0" w:color="auto"/>
              <w:left w:val="nil" w:sz="6" w:space="0" w:color="auto"/>
              <w:bottom w:val="nil" w:sz="6" w:space="0" w:color="auto"/>
              <w:right w:val="nil" w:sz="6" w:space="0" w:color="auto"/>
            </w:tcBorders>
          </w:tcPr>
          <w:p>
            <w:pPr/>
          </w:p>
        </w:tc>
      </w:tr>
      <w:tr>
        <w:trPr>
          <w:trHeight w:val="374"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黑体" w:hAnsi="黑体" w:cs="黑体" w:eastAsia="黑体" w:hint="default"/>
                <w:sz w:val="20"/>
                <w:szCs w:val="20"/>
              </w:rPr>
            </w:pPr>
            <w:r>
              <w:rPr>
                <w:rFonts w:ascii="黑体" w:hAnsi="黑体" w:cs="黑体" w:eastAsia="黑体" w:hint="default"/>
                <w:sz w:val="20"/>
                <w:szCs w:val="20"/>
              </w:rPr>
              <w:t>净负债</w:t>
            </w:r>
          </w:p>
        </w:tc>
        <w:tc>
          <w:tcPr>
            <w:tcW w:w="2697" w:type="dxa"/>
            <w:tcBorders>
              <w:top w:val="nil" w:sz="6" w:space="0" w:color="auto"/>
              <w:left w:val="nil" w:sz="6" w:space="0" w:color="auto"/>
              <w:bottom w:val="nil" w:sz="6" w:space="0" w:color="auto"/>
              <w:right w:val="nil" w:sz="6" w:space="0" w:color="auto"/>
            </w:tcBorders>
          </w:tcPr>
          <w:p>
            <w:pPr>
              <w:pStyle w:val="TableParagraph"/>
              <w:tabs>
                <w:tab w:pos="268" w:val="left" w:leader="none"/>
              </w:tabs>
              <w:spacing w:line="240" w:lineRule="auto" w:before="130"/>
              <w:ind w:right="1"/>
              <w:jc w:val="right"/>
              <w:rPr>
                <w:rFonts w:ascii="Arial" w:hAnsi="Arial" w:cs="Arial" w:eastAsia="Arial" w:hint="default"/>
                <w:sz w:val="20"/>
                <w:szCs w:val="20"/>
              </w:rPr>
            </w:pPr>
            <w:r>
              <w:rPr>
                <w:rFonts w:ascii="Arial"/>
                <w:w w:val="95"/>
                <w:sz w:val="20"/>
              </w:rPr>
              <w:t>(</w:t>
              <w:tab/>
              <w:t>844,520,116</w:t>
            </w:r>
            <w:r>
              <w:rPr>
                <w:rFonts w:ascii="Arial"/>
                <w:sz w:val="20"/>
              </w:rPr>
            </w:r>
          </w:p>
        </w:tc>
        <w:tc>
          <w:tcPr>
            <w:tcW w:w="315"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 w:right="0"/>
              <w:jc w:val="left"/>
              <w:rPr>
                <w:rFonts w:ascii="Arial" w:hAnsi="Arial" w:cs="Arial" w:eastAsia="Arial" w:hint="default"/>
                <w:sz w:val="20"/>
                <w:szCs w:val="20"/>
              </w:rPr>
            </w:pPr>
            <w:r>
              <w:rPr>
                <w:rFonts w:ascii="Arial"/>
                <w:w w:val="99"/>
                <w:sz w:val="20"/>
              </w:rPr>
              <w:t>)</w:t>
            </w:r>
            <w:r>
              <w:rPr>
                <w:rFonts w:ascii="Arial"/>
                <w:sz w:val="20"/>
              </w:rPr>
            </w:r>
          </w:p>
        </w:tc>
        <w:tc>
          <w:tcPr>
            <w:tcW w:w="1726" w:type="dxa"/>
            <w:tcBorders>
              <w:top w:val="nil" w:sz="6" w:space="0" w:color="auto"/>
              <w:left w:val="nil" w:sz="6" w:space="0" w:color="auto"/>
              <w:bottom w:val="nil" w:sz="6" w:space="0" w:color="auto"/>
              <w:right w:val="nil" w:sz="6" w:space="0" w:color="auto"/>
            </w:tcBorders>
          </w:tcPr>
          <w:p>
            <w:pPr>
              <w:pStyle w:val="TableParagraph"/>
              <w:tabs>
                <w:tab w:pos="368" w:val="left" w:leader="none"/>
              </w:tabs>
              <w:spacing w:line="240" w:lineRule="auto" w:before="130"/>
              <w:ind w:right="1"/>
              <w:jc w:val="right"/>
              <w:rPr>
                <w:rFonts w:ascii="Arial" w:hAnsi="Arial" w:cs="Arial" w:eastAsia="Arial" w:hint="default"/>
                <w:sz w:val="20"/>
                <w:szCs w:val="20"/>
              </w:rPr>
            </w:pPr>
            <w:r>
              <w:rPr>
                <w:rFonts w:ascii="Arial"/>
                <w:w w:val="95"/>
                <w:sz w:val="20"/>
              </w:rPr>
              <w:t>(</w:t>
              <w:tab/>
            </w:r>
            <w:r>
              <w:rPr>
                <w:rFonts w:ascii="Arial"/>
                <w:spacing w:val="-1"/>
                <w:sz w:val="20"/>
              </w:rPr>
              <w:t>770,474,478</w:t>
            </w:r>
          </w:p>
        </w:tc>
        <w:tc>
          <w:tcPr>
            <w:tcW w:w="268"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 w:right="0"/>
              <w:jc w:val="left"/>
              <w:rPr>
                <w:rFonts w:ascii="Arial" w:hAnsi="Arial" w:cs="Arial" w:eastAsia="Arial" w:hint="default"/>
                <w:sz w:val="20"/>
                <w:szCs w:val="20"/>
              </w:rPr>
            </w:pPr>
            <w:r>
              <w:rPr>
                <w:rFonts w:ascii="Arial"/>
                <w:w w:val="99"/>
                <w:sz w:val="20"/>
              </w:rPr>
              <w:t>)</w:t>
            </w:r>
            <w:r>
              <w:rPr>
                <w:rFonts w:ascii="Arial"/>
                <w:sz w:val="20"/>
              </w:rPr>
            </w:r>
          </w:p>
        </w:tc>
      </w:tr>
      <w:tr>
        <w:trPr>
          <w:trHeight w:val="375"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归属于母公司的股东权益</w:t>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9"/>
                <w:sz w:val="20"/>
              </w:rPr>
            </w:r>
            <w:r>
              <w:rPr>
                <w:rFonts w:ascii="Arial"/>
                <w:w w:val="95"/>
                <w:sz w:val="20"/>
                <w:u w:val="single" w:color="000000"/>
              </w:rPr>
              <w:t>7,172,633,891</w:t>
            </w:r>
            <w:r>
              <w:rPr>
                <w:rFonts w:ascii="Arial"/>
                <w:w w:val="95"/>
                <w:sz w:val="20"/>
              </w:rPr>
            </w:r>
            <w:r>
              <w:rPr>
                <w:rFonts w:ascii="Arial"/>
                <w:sz w:val="20"/>
              </w:rPr>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right"/>
              <w:rPr>
                <w:rFonts w:ascii="Arial" w:hAnsi="Arial" w:cs="Arial" w:eastAsia="Arial" w:hint="default"/>
                <w:sz w:val="20"/>
                <w:szCs w:val="20"/>
              </w:rPr>
            </w:pPr>
            <w:r>
              <w:rPr>
                <w:rFonts w:ascii="Arial"/>
                <w:w w:val="99"/>
                <w:sz w:val="20"/>
              </w:rPr>
            </w:r>
            <w:r>
              <w:rPr>
                <w:rFonts w:ascii="Arial"/>
                <w:w w:val="95"/>
                <w:sz w:val="20"/>
                <w:u w:val="single" w:color="000000"/>
              </w:rPr>
              <w:t>6,570,697,503</w:t>
            </w:r>
            <w:r>
              <w:rPr>
                <w:rFonts w:ascii="Arial"/>
                <w:w w:val="95"/>
                <w:sz w:val="20"/>
              </w:rPr>
            </w:r>
            <w:r>
              <w:rPr>
                <w:rFonts w:ascii="Arial"/>
                <w:sz w:val="20"/>
              </w:rPr>
            </w:r>
          </w:p>
        </w:tc>
        <w:tc>
          <w:tcPr>
            <w:tcW w:w="268" w:type="dxa"/>
            <w:tcBorders>
              <w:top w:val="nil" w:sz="6" w:space="0" w:color="auto"/>
              <w:left w:val="nil" w:sz="6" w:space="0" w:color="auto"/>
              <w:bottom w:val="nil" w:sz="6" w:space="0" w:color="auto"/>
              <w:right w:val="nil" w:sz="6" w:space="0" w:color="auto"/>
            </w:tcBorders>
          </w:tcPr>
          <w:p>
            <w:pPr/>
          </w:p>
        </w:tc>
      </w:tr>
      <w:tr>
        <w:trPr>
          <w:trHeight w:val="589"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黑体" w:hAnsi="黑体" w:cs="黑体" w:eastAsia="黑体" w:hint="default"/>
                <w:sz w:val="20"/>
                <w:szCs w:val="20"/>
              </w:rPr>
            </w:pPr>
            <w:r>
              <w:rPr>
                <w:rFonts w:ascii="黑体" w:hAnsi="黑体" w:cs="黑体" w:eastAsia="黑体" w:hint="default"/>
                <w:sz w:val="20"/>
                <w:szCs w:val="20"/>
              </w:rPr>
              <w:t>资本和净负债</w:t>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
              <w:jc w:val="right"/>
              <w:rPr>
                <w:rFonts w:ascii="Arial" w:hAnsi="Arial" w:cs="Arial" w:eastAsia="Arial" w:hint="default"/>
                <w:sz w:val="20"/>
                <w:szCs w:val="20"/>
              </w:rPr>
            </w:pPr>
            <w:r>
              <w:rPr>
                <w:rFonts w:ascii="Arial"/>
                <w:w w:val="99"/>
                <w:sz w:val="20"/>
              </w:rPr>
            </w:r>
            <w:r>
              <w:rPr>
                <w:rFonts w:ascii="Arial"/>
                <w:w w:val="95"/>
                <w:sz w:val="20"/>
                <w:u w:val="thick" w:color="000000"/>
              </w:rPr>
              <w:t>6,328,113,775</w:t>
            </w:r>
            <w:r>
              <w:rPr>
                <w:rFonts w:ascii="Arial"/>
                <w:w w:val="95"/>
                <w:sz w:val="20"/>
              </w:rPr>
            </w:r>
            <w:r>
              <w:rPr>
                <w:rFonts w:ascii="Arial"/>
                <w:sz w:val="20"/>
              </w:rPr>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0"/>
              <w:jc w:val="right"/>
              <w:rPr>
                <w:rFonts w:ascii="Arial" w:hAnsi="Arial" w:cs="Arial" w:eastAsia="Arial" w:hint="default"/>
                <w:sz w:val="20"/>
                <w:szCs w:val="20"/>
              </w:rPr>
            </w:pPr>
            <w:r>
              <w:rPr>
                <w:rFonts w:ascii="Arial"/>
                <w:w w:val="99"/>
                <w:sz w:val="20"/>
              </w:rPr>
            </w:r>
            <w:r>
              <w:rPr>
                <w:rFonts w:ascii="Arial"/>
                <w:w w:val="95"/>
                <w:sz w:val="20"/>
                <w:u w:val="thick" w:color="000000"/>
              </w:rPr>
              <w:t>5,800,223,025</w:t>
            </w:r>
            <w:r>
              <w:rPr>
                <w:rFonts w:ascii="Arial"/>
                <w:w w:val="95"/>
                <w:sz w:val="20"/>
              </w:rPr>
            </w:r>
            <w:r>
              <w:rPr>
                <w:rFonts w:ascii="Arial"/>
                <w:sz w:val="20"/>
              </w:rPr>
            </w:r>
          </w:p>
        </w:tc>
        <w:tc>
          <w:tcPr>
            <w:tcW w:w="268" w:type="dxa"/>
            <w:tcBorders>
              <w:top w:val="nil" w:sz="6" w:space="0" w:color="auto"/>
              <w:left w:val="nil" w:sz="6" w:space="0" w:color="auto"/>
              <w:bottom w:val="nil" w:sz="6" w:space="0" w:color="auto"/>
              <w:right w:val="nil" w:sz="6" w:space="0" w:color="auto"/>
            </w:tcBorders>
          </w:tcPr>
          <w:p>
            <w:pPr/>
          </w:p>
        </w:tc>
      </w:tr>
      <w:tr>
        <w:trPr>
          <w:trHeight w:val="457" w:hRule="exact"/>
        </w:trPr>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171"/>
              <w:ind w:left="200" w:right="0"/>
              <w:jc w:val="left"/>
              <w:rPr>
                <w:rFonts w:ascii="黑体" w:hAnsi="黑体" w:cs="黑体" w:eastAsia="黑体" w:hint="default"/>
                <w:sz w:val="20"/>
                <w:szCs w:val="20"/>
              </w:rPr>
            </w:pPr>
            <w:r>
              <w:rPr>
                <w:rFonts w:ascii="黑体" w:hAnsi="黑体" w:cs="黑体" w:eastAsia="黑体" w:hint="default"/>
                <w:sz w:val="20"/>
                <w:szCs w:val="20"/>
              </w:rPr>
              <w:t>杠杆比率</w:t>
            </w:r>
          </w:p>
        </w:tc>
        <w:tc>
          <w:tcPr>
            <w:tcW w:w="26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7"/>
                <w:szCs w:val="17"/>
              </w:rPr>
            </w:pPr>
          </w:p>
          <w:p>
            <w:pPr>
              <w:pStyle w:val="TableParagraph"/>
              <w:spacing w:line="240" w:lineRule="auto"/>
              <w:ind w:right="1"/>
              <w:jc w:val="right"/>
              <w:rPr>
                <w:rFonts w:ascii="Arial" w:hAnsi="Arial" w:cs="Arial" w:eastAsia="Arial" w:hint="default"/>
                <w:sz w:val="20"/>
                <w:szCs w:val="20"/>
              </w:rPr>
            </w:pPr>
            <w:r>
              <w:rPr>
                <w:rFonts w:ascii="Arial"/>
                <w:w w:val="99"/>
                <w:sz w:val="20"/>
              </w:rPr>
            </w:r>
            <w:r>
              <w:rPr>
                <w:rFonts w:ascii="Arial"/>
                <w:w w:val="95"/>
                <w:sz w:val="20"/>
                <w:u w:val="thick" w:color="000000"/>
              </w:rPr>
              <w:t>N/A</w:t>
            </w:r>
            <w:r>
              <w:rPr>
                <w:rFonts w:ascii="Arial"/>
                <w:w w:val="95"/>
                <w:sz w:val="20"/>
              </w:rPr>
            </w:r>
            <w:r>
              <w:rPr>
                <w:rFonts w:ascii="Arial"/>
                <w:sz w:val="20"/>
              </w:rPr>
            </w:r>
          </w:p>
        </w:tc>
        <w:tc>
          <w:tcPr>
            <w:tcW w:w="31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17"/>
                <w:szCs w:val="17"/>
              </w:rPr>
            </w:pPr>
          </w:p>
          <w:p>
            <w:pPr>
              <w:pStyle w:val="TableParagraph"/>
              <w:tabs>
                <w:tab w:pos="1396" w:val="left" w:leader="none"/>
              </w:tabs>
              <w:spacing w:line="240" w:lineRule="auto"/>
              <w:ind w:left="-88" w:right="-3"/>
              <w:jc w:val="right"/>
              <w:rPr>
                <w:rFonts w:ascii="Arial" w:hAnsi="Arial" w:cs="Arial" w:eastAsia="Arial" w:hint="default"/>
                <w:sz w:val="20"/>
                <w:szCs w:val="20"/>
              </w:rPr>
            </w:pPr>
            <w:r>
              <w:rPr>
                <w:rFonts w:ascii="Arial"/>
                <w:w w:val="99"/>
                <w:sz w:val="20"/>
              </w:rPr>
            </w:r>
            <w:r>
              <w:rPr>
                <w:rFonts w:ascii="Arial"/>
                <w:w w:val="99"/>
                <w:sz w:val="20"/>
                <w:u w:val="thick" w:color="000000"/>
              </w:rPr>
              <w:t> </w:t>
            </w:r>
            <w:r>
              <w:rPr>
                <w:rFonts w:ascii="Arial"/>
                <w:sz w:val="20"/>
                <w:u w:val="thick" w:color="000000"/>
              </w:rPr>
              <w:tab/>
            </w:r>
            <w:r>
              <w:rPr>
                <w:rFonts w:ascii="Arial"/>
                <w:w w:val="95"/>
                <w:sz w:val="20"/>
                <w:u w:val="thick" w:color="000000"/>
              </w:rPr>
              <w:t>N/A</w:t>
            </w:r>
            <w:r>
              <w:rPr>
                <w:rFonts w:ascii="Arial"/>
                <w:w w:val="95"/>
                <w:sz w:val="20"/>
              </w:rPr>
            </w:r>
            <w:r>
              <w:rPr>
                <w:rFonts w:ascii="Arial"/>
                <w:sz w:val="20"/>
              </w:rPr>
            </w:r>
          </w:p>
        </w:tc>
        <w:tc>
          <w:tcPr>
            <w:tcW w:w="268" w:type="dxa"/>
            <w:tcBorders>
              <w:top w:val="nil" w:sz="6" w:space="0" w:color="auto"/>
              <w:left w:val="nil" w:sz="6" w:space="0" w:color="auto"/>
              <w:bottom w:val="nil" w:sz="6" w:space="0" w:color="auto"/>
              <w:right w:val="nil" w:sz="6" w:space="0" w:color="auto"/>
            </w:tcBorders>
          </w:tcPr>
          <w:p>
            <w:pPr/>
          </w:p>
        </w:tc>
      </w:tr>
    </w:tbl>
    <w:p>
      <w:pPr>
        <w:spacing w:after="0"/>
        <w:sectPr>
          <w:pgSz w:w="11910" w:h="16850"/>
          <w:pgMar w:header="745" w:footer="921" w:top="980" w:bottom="1120" w:left="1540" w:right="142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15"/>
          <w:szCs w:val="15"/>
        </w:rPr>
      </w:pPr>
    </w:p>
    <w:p>
      <w:pPr>
        <w:spacing w:after="0" w:line="240" w:lineRule="auto"/>
        <w:rPr>
          <w:rFonts w:ascii="黑体" w:hAnsi="黑体" w:cs="黑体" w:eastAsia="黑体" w:hint="default"/>
          <w:sz w:val="15"/>
          <w:szCs w:val="15"/>
        </w:rPr>
        <w:sectPr>
          <w:pgSz w:w="11910" w:h="16850"/>
          <w:pgMar w:header="745" w:footer="921" w:top="980" w:bottom="1120" w:left="1660" w:right="1640"/>
        </w:sectPr>
      </w:pPr>
    </w:p>
    <w:p>
      <w:pPr>
        <w:spacing w:before="37"/>
        <w:ind w:left="138" w:right="-16" w:firstLine="0"/>
        <w:jc w:val="left"/>
        <w:rPr>
          <w:rFonts w:ascii="宋体" w:hAnsi="宋体" w:cs="宋体" w:eastAsia="宋体" w:hint="default"/>
          <w:sz w:val="20"/>
          <w:szCs w:val="20"/>
        </w:rPr>
      </w:pPr>
      <w:r>
        <w:rPr>
          <w:rFonts w:ascii="宋体" w:hAnsi="宋体" w:cs="宋体" w:eastAsia="宋体" w:hint="default"/>
          <w:b/>
          <w:bCs/>
          <w:sz w:val="20"/>
          <w:szCs w:val="20"/>
        </w:rPr>
        <w:t>十一、 </w:t>
      </w:r>
      <w:r>
        <w:rPr>
          <w:rFonts w:ascii="宋体" w:hAnsi="宋体" w:cs="宋体" w:eastAsia="宋体" w:hint="default"/>
          <w:b/>
          <w:bCs/>
          <w:spacing w:val="33"/>
          <w:sz w:val="20"/>
          <w:szCs w:val="20"/>
        </w:rPr>
        <w:t> </w:t>
      </w:r>
      <w:r>
        <w:rPr>
          <w:rFonts w:ascii="宋体" w:hAnsi="宋体" w:cs="宋体" w:eastAsia="宋体" w:hint="default"/>
          <w:b/>
          <w:bCs/>
          <w:spacing w:val="33"/>
          <w:sz w:val="20"/>
          <w:szCs w:val="20"/>
        </w:rPr>
      </w:r>
      <w:r>
        <w:rPr>
          <w:rFonts w:ascii="宋体" w:hAnsi="宋体" w:cs="宋体" w:eastAsia="宋体" w:hint="default"/>
          <w:b/>
          <w:bCs/>
          <w:sz w:val="20"/>
          <w:szCs w:val="20"/>
        </w:rPr>
        <w:t>公允价值的披露</w:t>
      </w:r>
      <w:r>
        <w:rPr>
          <w:rFonts w:ascii="宋体" w:hAnsi="宋体" w:cs="宋体" w:eastAsia="宋体" w:hint="default"/>
          <w:b/>
          <w:bCs/>
          <w:w w:val="98"/>
          <w:sz w:val="20"/>
          <w:szCs w:val="20"/>
        </w:rPr>
        <w:t> </w:t>
      </w:r>
      <w:r>
        <w:rPr>
          <w:rFonts w:ascii="宋体" w:hAnsi="宋体" w:cs="宋体" w:eastAsia="宋体" w:hint="default"/>
          <w:sz w:val="20"/>
          <w:szCs w:val="20"/>
        </w:rPr>
      </w:r>
    </w:p>
    <w:p>
      <w:pPr>
        <w:spacing w:before="57"/>
        <w:ind w:left="138" w:right="-16"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z w:val="20"/>
          <w:szCs w:val="20"/>
        </w:rPr>
        <w:t>、</w:t>
      </w:r>
      <w:r>
        <w:rPr>
          <w:rFonts w:ascii="宋体" w:hAnsi="宋体" w:cs="宋体" w:eastAsia="宋体" w:hint="default"/>
          <w:b/>
          <w:bCs/>
          <w:spacing w:val="15"/>
          <w:sz w:val="20"/>
          <w:szCs w:val="20"/>
        </w:rPr>
        <w:t> </w:t>
      </w:r>
      <w:r>
        <w:rPr>
          <w:rFonts w:ascii="宋体" w:hAnsi="宋体" w:cs="宋体" w:eastAsia="宋体" w:hint="default"/>
          <w:b/>
          <w:bCs/>
          <w:sz w:val="20"/>
          <w:szCs w:val="20"/>
        </w:rPr>
        <w:t>以公允价值计量的资产和负债的期末公允价值</w:t>
      </w:r>
      <w:r>
        <w:rPr>
          <w:rFonts w:ascii="宋体" w:hAnsi="宋体" w:cs="宋体" w:eastAsia="宋体" w:hint="default"/>
          <w:sz w:val="20"/>
          <w:szCs w:val="20"/>
        </w:rPr>
      </w:r>
    </w:p>
    <w:p>
      <w:pPr>
        <w:pStyle w:val="BodyText"/>
        <w:spacing w:line="240" w:lineRule="auto" w:before="49"/>
        <w:ind w:left="138" w:right="-16"/>
        <w:jc w:val="left"/>
      </w:pPr>
      <w:r>
        <w:rPr/>
        <w:t>√适用</w:t>
      </w:r>
      <w:r>
        <w:rPr>
          <w:spacing w:val="-1"/>
        </w:rPr>
        <w:t> </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6"/>
          <w:szCs w:val="26"/>
        </w:rPr>
      </w:pPr>
    </w:p>
    <w:p>
      <w:pPr>
        <w:pStyle w:val="BodyText"/>
        <w:tabs>
          <w:tab w:pos="1165" w:val="left" w:leader="none"/>
        </w:tabs>
        <w:spacing w:line="240" w:lineRule="auto"/>
        <w:ind w:left="138"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50"/>
          <w:pgMar w:top="1120" w:bottom="1380" w:left="1660" w:right="1640"/>
          <w:cols w:num="2" w:equalWidth="0">
            <w:col w:w="4576" w:space="1444"/>
            <w:col w:w="2590"/>
          </w:cols>
        </w:sectPr>
      </w:pPr>
    </w:p>
    <w:tbl>
      <w:tblPr>
        <w:tblW w:w="0" w:type="auto"/>
        <w:jc w:val="left"/>
        <w:tblInd w:w="104" w:type="dxa"/>
        <w:tblLayout w:type="fixed"/>
        <w:tblCellMar>
          <w:top w:w="0" w:type="dxa"/>
          <w:left w:w="0" w:type="dxa"/>
          <w:bottom w:w="0" w:type="dxa"/>
          <w:right w:w="0" w:type="dxa"/>
        </w:tblCellMar>
        <w:tblLook w:val="01E0"/>
      </w:tblPr>
      <w:tblGrid>
        <w:gridCol w:w="2233"/>
        <w:gridCol w:w="1572"/>
        <w:gridCol w:w="1534"/>
        <w:gridCol w:w="1596"/>
        <w:gridCol w:w="1436"/>
      </w:tblGrid>
      <w:tr>
        <w:trPr>
          <w:trHeight w:val="319" w:hRule="exact"/>
        </w:trPr>
        <w:tc>
          <w:tcPr>
            <w:tcW w:w="223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6138"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 w:right="0"/>
              <w:jc w:val="center"/>
              <w:rPr>
                <w:rFonts w:ascii="宋体" w:hAnsi="宋体" w:cs="宋体" w:eastAsia="宋体" w:hint="default"/>
                <w:sz w:val="24"/>
                <w:szCs w:val="24"/>
              </w:rPr>
            </w:pPr>
            <w:r>
              <w:rPr>
                <w:rFonts w:ascii="宋体" w:hAnsi="宋体" w:cs="宋体" w:eastAsia="宋体" w:hint="default"/>
                <w:sz w:val="24"/>
                <w:szCs w:val="24"/>
              </w:rPr>
              <w:t>期末公允价值</w:t>
            </w:r>
          </w:p>
        </w:tc>
      </w:tr>
      <w:tr>
        <w:trPr>
          <w:trHeight w:val="634" w:hRule="exact"/>
        </w:trPr>
        <w:tc>
          <w:tcPr>
            <w:tcW w:w="2233" w:type="dxa"/>
            <w:vMerge/>
            <w:tcBorders>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第一层次公允</w:t>
            </w:r>
          </w:p>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价值计量</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第二层次公允</w:t>
            </w:r>
          </w:p>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价值计量</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第三层次公允</w:t>
            </w:r>
          </w:p>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价值计量</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473" w:right="0"/>
              <w:jc w:val="left"/>
              <w:rPr>
                <w:rFonts w:ascii="宋体" w:hAnsi="宋体" w:cs="宋体" w:eastAsia="宋体" w:hint="default"/>
                <w:sz w:val="24"/>
                <w:szCs w:val="24"/>
              </w:rPr>
            </w:pPr>
            <w:r>
              <w:rPr>
                <w:rFonts w:ascii="宋体" w:hAnsi="宋体" w:cs="宋体" w:eastAsia="宋体" w:hint="default"/>
                <w:sz w:val="24"/>
                <w:szCs w:val="24"/>
              </w:rPr>
              <w:t>合计</w:t>
            </w:r>
          </w:p>
        </w:tc>
      </w:tr>
      <w:tr>
        <w:trPr>
          <w:trHeight w:val="631"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一、持续的公允价值</w:t>
            </w:r>
            <w:r>
              <w:rPr>
                <w:rFonts w:ascii="宋体" w:hAnsi="宋体" w:cs="宋体" w:eastAsia="宋体" w:hint="default"/>
                <w:sz w:val="24"/>
                <w:szCs w:val="24"/>
              </w:rPr>
            </w:r>
          </w:p>
          <w:p>
            <w:pPr>
              <w:pStyle w:val="TableParagraph"/>
              <w:spacing w:line="31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计量</w:t>
            </w:r>
            <w:r>
              <w:rPr>
                <w:rFonts w:ascii="宋体" w:hAnsi="宋体" w:cs="宋体" w:eastAsia="宋体" w:hint="default"/>
                <w:sz w:val="24"/>
                <w:szCs w:val="24"/>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306,946,169</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976,752,946</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
              <w:jc w:val="right"/>
              <w:rPr>
                <w:rFonts w:ascii="Times New Roman" w:hAnsi="Times New Roman" w:cs="Times New Roman" w:eastAsia="Times New Roman" w:hint="default"/>
                <w:sz w:val="24"/>
                <w:szCs w:val="24"/>
              </w:rPr>
            </w:pPr>
            <w:r>
              <w:rPr>
                <w:rFonts w:ascii="Times New Roman"/>
                <w:sz w:val="24"/>
              </w:rPr>
              <w:t>1,283,699,115</w:t>
            </w:r>
          </w:p>
        </w:tc>
      </w:tr>
      <w:tr>
        <w:trPr>
          <w:trHeight w:val="634"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23" w:right="0"/>
              <w:jc w:val="left"/>
              <w:rPr>
                <w:rFonts w:ascii="宋体" w:hAnsi="宋体" w:cs="宋体" w:eastAsia="宋体" w:hint="default"/>
                <w:sz w:val="24"/>
                <w:szCs w:val="24"/>
              </w:rPr>
            </w:pPr>
            <w:r>
              <w:rPr>
                <w:rFonts w:ascii="宋体" w:hAnsi="宋体" w:cs="宋体" w:eastAsia="宋体" w:hint="default"/>
                <w:sz w:val="24"/>
                <w:szCs w:val="24"/>
              </w:rPr>
              <w:t>（一）交易性金融资</w:t>
            </w:r>
          </w:p>
          <w:p>
            <w:pPr>
              <w:pStyle w:val="TableParagraph"/>
              <w:spacing w:line="312" w:lineRule="exact"/>
              <w:ind w:left="23" w:right="0"/>
              <w:jc w:val="left"/>
              <w:rPr>
                <w:rFonts w:ascii="宋体" w:hAnsi="宋体" w:cs="宋体" w:eastAsia="宋体" w:hint="default"/>
                <w:sz w:val="24"/>
                <w:szCs w:val="24"/>
              </w:rPr>
            </w:pPr>
            <w:r>
              <w:rPr>
                <w:rFonts w:ascii="宋体" w:hAnsi="宋体" w:cs="宋体" w:eastAsia="宋体" w:hint="default"/>
                <w:sz w:val="24"/>
                <w:szCs w:val="24"/>
              </w:rPr>
              <w:t>产</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23"/>
              <w:jc w:val="right"/>
              <w:rPr>
                <w:rFonts w:ascii="Times New Roman" w:hAnsi="Times New Roman" w:cs="Times New Roman" w:eastAsia="Times New Roman" w:hint="default"/>
                <w:sz w:val="24"/>
                <w:szCs w:val="24"/>
              </w:rPr>
            </w:pPr>
            <w:r>
              <w:rPr>
                <w:rFonts w:ascii="Times New Roman"/>
                <w:sz w:val="24"/>
              </w:rPr>
              <w:t>306,946,169</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22"/>
              <w:jc w:val="right"/>
              <w:rPr>
                <w:rFonts w:ascii="Times New Roman" w:hAnsi="Times New Roman" w:cs="Times New Roman" w:eastAsia="Times New Roman" w:hint="default"/>
                <w:sz w:val="24"/>
                <w:szCs w:val="24"/>
              </w:rPr>
            </w:pPr>
            <w:r>
              <w:rPr>
                <w:rFonts w:ascii="Times New Roman"/>
                <w:sz w:val="24"/>
              </w:rPr>
              <w:t>983,411,433</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20"/>
              <w:jc w:val="right"/>
              <w:rPr>
                <w:rFonts w:ascii="Times New Roman" w:hAnsi="Times New Roman" w:cs="Times New Roman" w:eastAsia="Times New Roman" w:hint="default"/>
                <w:sz w:val="24"/>
                <w:szCs w:val="24"/>
              </w:rPr>
            </w:pPr>
            <w:r>
              <w:rPr>
                <w:rFonts w:ascii="Times New Roman"/>
                <w:sz w:val="24"/>
              </w:rPr>
              <w:t>1,290,357,602</w:t>
            </w:r>
          </w:p>
        </w:tc>
      </w:tr>
      <w:tr>
        <w:trPr>
          <w:trHeight w:val="943"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以公允价值计量且</w:t>
            </w:r>
          </w:p>
          <w:p>
            <w:pPr>
              <w:pStyle w:val="TableParagraph"/>
              <w:spacing w:line="312" w:lineRule="exact" w:before="20"/>
              <w:ind w:left="23" w:right="36"/>
              <w:jc w:val="left"/>
              <w:rPr>
                <w:rFonts w:ascii="宋体" w:hAnsi="宋体" w:cs="宋体" w:eastAsia="宋体" w:hint="default"/>
                <w:sz w:val="24"/>
                <w:szCs w:val="24"/>
              </w:rPr>
            </w:pPr>
            <w:r>
              <w:rPr>
                <w:rFonts w:ascii="宋体" w:hAnsi="宋体" w:cs="宋体" w:eastAsia="宋体" w:hint="default"/>
                <w:sz w:val="24"/>
                <w:szCs w:val="24"/>
              </w:rPr>
              <w:t>变动计入当期损益的 金融资产</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221,059,354</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
              <w:jc w:val="right"/>
              <w:rPr>
                <w:rFonts w:ascii="Times New Roman" w:hAnsi="Times New Roman" w:cs="Times New Roman" w:eastAsia="Times New Roman" w:hint="default"/>
                <w:sz w:val="24"/>
                <w:szCs w:val="24"/>
              </w:rPr>
            </w:pPr>
            <w:r>
              <w:rPr>
                <w:rFonts w:ascii="Times New Roman"/>
                <w:sz w:val="24"/>
              </w:rPr>
              <w:t>221,059,354</w:t>
            </w: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）债务工具投资</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220,674,648</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
              <w:jc w:val="right"/>
              <w:rPr>
                <w:rFonts w:ascii="Times New Roman" w:hAnsi="Times New Roman" w:cs="Times New Roman" w:eastAsia="Times New Roman" w:hint="default"/>
                <w:sz w:val="24"/>
                <w:szCs w:val="24"/>
              </w:rPr>
            </w:pPr>
            <w:r>
              <w:rPr>
                <w:rFonts w:ascii="Times New Roman"/>
                <w:sz w:val="24"/>
              </w:rPr>
              <w:t>220,674,648</w:t>
            </w: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）权益工具投资</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3</w:t>
            </w:r>
            <w:r>
              <w:rPr>
                <w:rFonts w:ascii="宋体" w:hAnsi="宋体" w:cs="宋体" w:eastAsia="宋体" w:hint="default"/>
                <w:sz w:val="24"/>
                <w:szCs w:val="24"/>
              </w:rPr>
              <w:t>）衍生金融资产</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82"/>
              <w:jc w:val="right"/>
              <w:rPr>
                <w:rFonts w:ascii="Times New Roman" w:hAnsi="Times New Roman" w:cs="Times New Roman" w:eastAsia="Times New Roman" w:hint="default"/>
                <w:sz w:val="24"/>
                <w:szCs w:val="24"/>
              </w:rPr>
            </w:pPr>
            <w:r>
              <w:rPr>
                <w:rFonts w:ascii="Times New Roman"/>
                <w:sz w:val="24"/>
              </w:rPr>
              <w:t>384,706</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9"/>
              <w:jc w:val="right"/>
              <w:rPr>
                <w:rFonts w:ascii="Times New Roman" w:hAnsi="Times New Roman" w:cs="Times New Roman" w:eastAsia="Times New Roman" w:hint="default"/>
                <w:sz w:val="24"/>
                <w:szCs w:val="24"/>
              </w:rPr>
            </w:pPr>
            <w:r>
              <w:rPr>
                <w:rFonts w:ascii="Times New Roman"/>
                <w:sz w:val="24"/>
              </w:rPr>
              <w:t>384,706</w:t>
            </w:r>
          </w:p>
        </w:tc>
      </w:tr>
      <w:tr>
        <w:trPr>
          <w:trHeight w:val="944"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Times New Roman" w:hAnsi="Times New Roman" w:cs="Times New Roman" w:eastAsia="Times New Roman" w:hint="default"/>
                <w:spacing w:val="59"/>
                <w:sz w:val="24"/>
                <w:szCs w:val="24"/>
              </w:rPr>
              <w:t> </w:t>
            </w:r>
            <w:r>
              <w:rPr>
                <w:rFonts w:ascii="宋体" w:hAnsi="宋体" w:cs="宋体" w:eastAsia="宋体" w:hint="default"/>
                <w:sz w:val="24"/>
                <w:szCs w:val="24"/>
              </w:rPr>
              <w:t>指定以公允价值</w:t>
            </w:r>
          </w:p>
          <w:p>
            <w:pPr>
              <w:pStyle w:val="TableParagraph"/>
              <w:spacing w:line="310" w:lineRule="exact" w:before="22"/>
              <w:ind w:left="23" w:right="36"/>
              <w:jc w:val="left"/>
              <w:rPr>
                <w:rFonts w:ascii="宋体" w:hAnsi="宋体" w:cs="宋体" w:eastAsia="宋体" w:hint="default"/>
                <w:sz w:val="24"/>
                <w:szCs w:val="24"/>
              </w:rPr>
            </w:pPr>
            <w:r>
              <w:rPr>
                <w:rFonts w:ascii="宋体" w:hAnsi="宋体" w:cs="宋体" w:eastAsia="宋体" w:hint="default"/>
                <w:sz w:val="24"/>
                <w:szCs w:val="24"/>
              </w:rPr>
              <w:t>计量且其变动计入当 期损益的金融资产</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306,946,169</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762,352,079</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
              <w:jc w:val="right"/>
              <w:rPr>
                <w:rFonts w:ascii="Times New Roman" w:hAnsi="Times New Roman" w:cs="Times New Roman" w:eastAsia="Times New Roman" w:hint="default"/>
                <w:sz w:val="24"/>
                <w:szCs w:val="24"/>
              </w:rPr>
            </w:pPr>
            <w:r>
              <w:rPr>
                <w:rFonts w:ascii="Times New Roman"/>
                <w:sz w:val="24"/>
              </w:rPr>
              <w:t>1,069,298,248</w:t>
            </w: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）债务工具投资</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）权益工具投资</w:t>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306,946,169</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762,352,079</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
              <w:jc w:val="right"/>
              <w:rPr>
                <w:rFonts w:ascii="Times New Roman" w:hAnsi="Times New Roman" w:cs="Times New Roman" w:eastAsia="Times New Roman" w:hint="default"/>
                <w:sz w:val="24"/>
                <w:szCs w:val="24"/>
              </w:rPr>
            </w:pPr>
            <w:r>
              <w:rPr>
                <w:rFonts w:ascii="Times New Roman"/>
                <w:sz w:val="24"/>
              </w:rPr>
              <w:t>1,069,298,248</w:t>
            </w: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（二）其他债权投资</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3" w:right="0"/>
              <w:jc w:val="left"/>
              <w:rPr>
                <w:rFonts w:ascii="宋体" w:hAnsi="宋体" w:cs="宋体" w:eastAsia="宋体" w:hint="default"/>
                <w:sz w:val="24"/>
                <w:szCs w:val="24"/>
              </w:rPr>
            </w:pPr>
            <w:r>
              <w:rPr>
                <w:rFonts w:ascii="宋体" w:hAnsi="宋体" w:cs="宋体" w:eastAsia="宋体" w:hint="default"/>
                <w:sz w:val="24"/>
                <w:szCs w:val="24"/>
              </w:rPr>
              <w:t>（三）其他权益工具</w:t>
            </w:r>
          </w:p>
          <w:p>
            <w:pPr>
              <w:pStyle w:val="TableParagraph"/>
              <w:spacing w:line="312" w:lineRule="exact"/>
              <w:ind w:left="23" w:right="0"/>
              <w:jc w:val="left"/>
              <w:rPr>
                <w:rFonts w:ascii="宋体" w:hAnsi="宋体" w:cs="宋体" w:eastAsia="宋体" w:hint="default"/>
                <w:sz w:val="24"/>
                <w:szCs w:val="24"/>
              </w:rPr>
            </w:pPr>
            <w:r>
              <w:rPr>
                <w:rFonts w:ascii="宋体" w:hAnsi="宋体" w:cs="宋体" w:eastAsia="宋体" w:hint="default"/>
                <w:sz w:val="24"/>
                <w:szCs w:val="24"/>
              </w:rPr>
              <w:t>投资</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（四）投资性房地产</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出租用的土地使用</w:t>
            </w:r>
          </w:p>
          <w:p>
            <w:pPr>
              <w:pStyle w:val="TableParagraph"/>
              <w:spacing w:line="304" w:lineRule="exact"/>
              <w:ind w:left="23" w:right="0"/>
              <w:jc w:val="left"/>
              <w:rPr>
                <w:rFonts w:ascii="宋体" w:hAnsi="宋体" w:cs="宋体" w:eastAsia="宋体" w:hint="default"/>
                <w:sz w:val="24"/>
                <w:szCs w:val="24"/>
              </w:rPr>
            </w:pPr>
            <w:r>
              <w:rPr>
                <w:rFonts w:ascii="宋体" w:hAnsi="宋体" w:cs="宋体" w:eastAsia="宋体" w:hint="default"/>
                <w:sz w:val="24"/>
                <w:szCs w:val="24"/>
              </w:rPr>
              <w:t>权</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出租的建筑物</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持有并准备增值后</w:t>
            </w:r>
          </w:p>
          <w:p>
            <w:pPr>
              <w:pStyle w:val="TableParagraph"/>
              <w:spacing w:line="303" w:lineRule="exact"/>
              <w:ind w:left="23" w:right="0"/>
              <w:jc w:val="left"/>
              <w:rPr>
                <w:rFonts w:ascii="宋体" w:hAnsi="宋体" w:cs="宋体" w:eastAsia="宋体" w:hint="default"/>
                <w:sz w:val="24"/>
                <w:szCs w:val="24"/>
              </w:rPr>
            </w:pPr>
            <w:r>
              <w:rPr>
                <w:rFonts w:ascii="宋体" w:hAnsi="宋体" w:cs="宋体" w:eastAsia="宋体" w:hint="default"/>
                <w:sz w:val="24"/>
                <w:szCs w:val="24"/>
              </w:rPr>
              <w:t>转让的土地使用权</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（五）生物资产</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消耗性生物资产</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生产性生物资产</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2233"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233"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持续以公允价值计量</w:t>
            </w:r>
            <w:r>
              <w:rPr>
                <w:rFonts w:ascii="宋体" w:hAnsi="宋体" w:cs="宋体" w:eastAsia="宋体" w:hint="default"/>
                <w:sz w:val="24"/>
                <w:szCs w:val="24"/>
              </w:rPr>
            </w:r>
          </w:p>
          <w:p>
            <w:pPr>
              <w:pStyle w:val="TableParagraph"/>
              <w:spacing w:line="31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的资产总额</w:t>
            </w:r>
            <w:r>
              <w:rPr>
                <w:rFonts w:ascii="宋体" w:hAnsi="宋体" w:cs="宋体" w:eastAsia="宋体" w:hint="default"/>
                <w:sz w:val="24"/>
                <w:szCs w:val="24"/>
              </w:rPr>
            </w:r>
          </w:p>
        </w:tc>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306,946,169</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983,411,433</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0"/>
              <w:jc w:val="right"/>
              <w:rPr>
                <w:rFonts w:ascii="Times New Roman" w:hAnsi="Times New Roman" w:cs="Times New Roman" w:eastAsia="Times New Roman" w:hint="default"/>
                <w:sz w:val="24"/>
                <w:szCs w:val="24"/>
              </w:rPr>
            </w:pPr>
            <w:r>
              <w:rPr>
                <w:rFonts w:ascii="Times New Roman"/>
                <w:sz w:val="24"/>
              </w:rPr>
              <w:t>1,290,357,602</w:t>
            </w:r>
          </w:p>
        </w:tc>
      </w:tr>
      <w:tr>
        <w:trPr>
          <w:trHeight w:val="634"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3" w:right="0"/>
              <w:jc w:val="left"/>
              <w:rPr>
                <w:rFonts w:ascii="宋体" w:hAnsi="宋体" w:cs="宋体" w:eastAsia="宋体" w:hint="default"/>
                <w:sz w:val="24"/>
                <w:szCs w:val="24"/>
              </w:rPr>
            </w:pPr>
            <w:r>
              <w:rPr>
                <w:rFonts w:ascii="宋体" w:hAnsi="宋体" w:cs="宋体" w:eastAsia="宋体" w:hint="default"/>
                <w:sz w:val="24"/>
                <w:szCs w:val="24"/>
              </w:rPr>
              <w:t>（六）交易性金融负</w:t>
            </w:r>
          </w:p>
          <w:p>
            <w:pPr>
              <w:pStyle w:val="TableParagraph"/>
              <w:spacing w:line="313" w:lineRule="exact"/>
              <w:ind w:left="23" w:right="0"/>
              <w:jc w:val="left"/>
              <w:rPr>
                <w:rFonts w:ascii="宋体" w:hAnsi="宋体" w:cs="宋体" w:eastAsia="宋体" w:hint="default"/>
                <w:sz w:val="24"/>
                <w:szCs w:val="24"/>
              </w:rPr>
            </w:pPr>
            <w:r>
              <w:rPr>
                <w:rFonts w:ascii="宋体" w:hAnsi="宋体" w:cs="宋体" w:eastAsia="宋体" w:hint="default"/>
                <w:sz w:val="24"/>
                <w:szCs w:val="24"/>
              </w:rPr>
              <w:t>债</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6,658,487</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9"/>
              <w:jc w:val="right"/>
              <w:rPr>
                <w:rFonts w:ascii="Times New Roman" w:hAnsi="Times New Roman" w:cs="Times New Roman" w:eastAsia="Times New Roman" w:hint="default"/>
                <w:sz w:val="24"/>
                <w:szCs w:val="24"/>
              </w:rPr>
            </w:pPr>
            <w:r>
              <w:rPr>
                <w:rFonts w:ascii="Times New Roman"/>
                <w:sz w:val="24"/>
              </w:rPr>
              <w:t>6,658,487</w:t>
            </w:r>
          </w:p>
        </w:tc>
      </w:tr>
      <w:tr>
        <w:trPr>
          <w:trHeight w:val="634"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以公允价值计量且</w:t>
            </w:r>
          </w:p>
          <w:p>
            <w:pPr>
              <w:pStyle w:val="TableParagraph"/>
              <w:spacing w:line="304" w:lineRule="exact"/>
              <w:ind w:left="23" w:right="0"/>
              <w:jc w:val="left"/>
              <w:rPr>
                <w:rFonts w:ascii="宋体" w:hAnsi="宋体" w:cs="宋体" w:eastAsia="宋体" w:hint="default"/>
                <w:sz w:val="24"/>
                <w:szCs w:val="24"/>
              </w:rPr>
            </w:pPr>
            <w:r>
              <w:rPr>
                <w:rFonts w:ascii="宋体" w:hAnsi="宋体" w:cs="宋体" w:eastAsia="宋体" w:hint="default"/>
                <w:sz w:val="24"/>
                <w:szCs w:val="24"/>
              </w:rPr>
              <w:t>变动计入当期损益的</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50"/>
          <w:pgMar w:top="1120" w:bottom="1380" w:left="1660" w:right="164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04" w:type="dxa"/>
        <w:tblLayout w:type="fixed"/>
        <w:tblCellMar>
          <w:top w:w="0" w:type="dxa"/>
          <w:left w:w="0" w:type="dxa"/>
          <w:bottom w:w="0" w:type="dxa"/>
          <w:right w:w="0" w:type="dxa"/>
        </w:tblCellMar>
        <w:tblLook w:val="01E0"/>
      </w:tblPr>
      <w:tblGrid>
        <w:gridCol w:w="2233"/>
        <w:gridCol w:w="1572"/>
        <w:gridCol w:w="1534"/>
        <w:gridCol w:w="1596"/>
        <w:gridCol w:w="1436"/>
      </w:tblGrid>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金融负债</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3" w:right="0"/>
              <w:jc w:val="left"/>
              <w:rPr>
                <w:rFonts w:ascii="宋体" w:hAnsi="宋体" w:cs="宋体" w:eastAsia="宋体" w:hint="default"/>
                <w:sz w:val="24"/>
                <w:szCs w:val="24"/>
              </w:rPr>
            </w:pPr>
            <w:r>
              <w:rPr>
                <w:rFonts w:ascii="宋体" w:hAnsi="宋体" w:cs="宋体" w:eastAsia="宋体" w:hint="default"/>
                <w:sz w:val="24"/>
                <w:szCs w:val="24"/>
              </w:rPr>
              <w:t>其中：发行的交易性</w:t>
            </w:r>
          </w:p>
          <w:p>
            <w:pPr>
              <w:pStyle w:val="TableParagraph"/>
              <w:spacing w:line="313" w:lineRule="exact"/>
              <w:ind w:left="23" w:right="0"/>
              <w:jc w:val="left"/>
              <w:rPr>
                <w:rFonts w:ascii="宋体" w:hAnsi="宋体" w:cs="宋体" w:eastAsia="宋体" w:hint="default"/>
                <w:sz w:val="24"/>
                <w:szCs w:val="24"/>
              </w:rPr>
            </w:pPr>
            <w:r>
              <w:rPr>
                <w:rFonts w:ascii="宋体" w:hAnsi="宋体" w:cs="宋体" w:eastAsia="宋体" w:hint="default"/>
                <w:sz w:val="24"/>
                <w:szCs w:val="24"/>
              </w:rPr>
              <w:t>债券</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43" w:right="0"/>
              <w:jc w:val="left"/>
              <w:rPr>
                <w:rFonts w:ascii="宋体" w:hAnsi="宋体" w:cs="宋体" w:eastAsia="宋体" w:hint="default"/>
                <w:sz w:val="24"/>
                <w:szCs w:val="24"/>
              </w:rPr>
            </w:pPr>
            <w:r>
              <w:rPr>
                <w:rFonts w:ascii="宋体" w:hAnsi="宋体" w:cs="宋体" w:eastAsia="宋体" w:hint="default"/>
                <w:sz w:val="24"/>
                <w:szCs w:val="24"/>
              </w:rPr>
              <w:t>衍生金融负债</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2"/>
              <w:jc w:val="right"/>
              <w:rPr>
                <w:rFonts w:ascii="Times New Roman" w:hAnsi="Times New Roman" w:cs="Times New Roman" w:eastAsia="Times New Roman" w:hint="default"/>
                <w:sz w:val="24"/>
                <w:szCs w:val="24"/>
              </w:rPr>
            </w:pPr>
            <w:r>
              <w:rPr>
                <w:rFonts w:ascii="Times New Roman"/>
                <w:sz w:val="24"/>
              </w:rPr>
              <w:t>6,658,487</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9"/>
              <w:jc w:val="right"/>
              <w:rPr>
                <w:rFonts w:ascii="Times New Roman" w:hAnsi="Times New Roman" w:cs="Times New Roman" w:eastAsia="Times New Roman" w:hint="default"/>
                <w:sz w:val="24"/>
                <w:szCs w:val="24"/>
              </w:rPr>
            </w:pPr>
            <w:r>
              <w:rPr>
                <w:rFonts w:ascii="Times New Roman"/>
                <w:sz w:val="24"/>
              </w:rPr>
              <w:t>6,658,487</w:t>
            </w: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53"/>
              <w:jc w:val="center"/>
              <w:rPr>
                <w:rFonts w:ascii="宋体" w:hAnsi="宋体" w:cs="宋体" w:eastAsia="宋体" w:hint="default"/>
                <w:sz w:val="24"/>
                <w:szCs w:val="24"/>
              </w:rPr>
            </w:pPr>
            <w:r>
              <w:rPr>
                <w:rFonts w:ascii="宋体" w:hAnsi="宋体" w:cs="宋体" w:eastAsia="宋体" w:hint="default"/>
                <w:sz w:val="24"/>
                <w:szCs w:val="24"/>
              </w:rPr>
              <w:t>其他</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2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指定为以公允价值</w:t>
            </w:r>
          </w:p>
          <w:p>
            <w:pPr>
              <w:pStyle w:val="TableParagraph"/>
              <w:spacing w:line="312" w:lineRule="exact" w:before="20"/>
              <w:ind w:left="23" w:right="36"/>
              <w:jc w:val="left"/>
              <w:rPr>
                <w:rFonts w:ascii="宋体" w:hAnsi="宋体" w:cs="宋体" w:eastAsia="宋体" w:hint="default"/>
                <w:sz w:val="24"/>
                <w:szCs w:val="24"/>
              </w:rPr>
            </w:pPr>
            <w:r>
              <w:rPr>
                <w:rFonts w:ascii="宋体" w:hAnsi="宋体" w:cs="宋体" w:eastAsia="宋体" w:hint="default"/>
                <w:sz w:val="24"/>
                <w:szCs w:val="24"/>
              </w:rPr>
              <w:t>计量且变动计入当期 损益的金融负债</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233"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2233"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持续以公允价值计量</w:t>
            </w:r>
            <w:r>
              <w:rPr>
                <w:rFonts w:ascii="宋体" w:hAnsi="宋体" w:cs="宋体" w:eastAsia="宋体" w:hint="default"/>
                <w:sz w:val="24"/>
                <w:szCs w:val="24"/>
              </w:rPr>
            </w:r>
          </w:p>
          <w:p>
            <w:pPr>
              <w:pStyle w:val="TableParagraph"/>
              <w:spacing w:line="31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的负债总额</w:t>
            </w:r>
            <w:r>
              <w:rPr>
                <w:rFonts w:ascii="宋体" w:hAnsi="宋体" w:cs="宋体" w:eastAsia="宋体" w:hint="default"/>
                <w:sz w:val="24"/>
                <w:szCs w:val="24"/>
              </w:rPr>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6,658,487</w:t>
            </w: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9"/>
              <w:jc w:val="right"/>
              <w:rPr>
                <w:rFonts w:ascii="Times New Roman" w:hAnsi="Times New Roman" w:cs="Times New Roman" w:eastAsia="Times New Roman" w:hint="default"/>
                <w:sz w:val="24"/>
                <w:szCs w:val="24"/>
              </w:rPr>
            </w:pPr>
            <w:r>
              <w:rPr>
                <w:rFonts w:ascii="Times New Roman"/>
                <w:sz w:val="24"/>
              </w:rPr>
              <w:t>6,658,487</w:t>
            </w:r>
          </w:p>
        </w:tc>
      </w:tr>
      <w:tr>
        <w:trPr>
          <w:trHeight w:val="634"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二、非持续的公允价</w:t>
            </w:r>
            <w:r>
              <w:rPr>
                <w:rFonts w:ascii="宋体" w:hAnsi="宋体" w:cs="宋体" w:eastAsia="宋体" w:hint="default"/>
                <w:sz w:val="24"/>
                <w:szCs w:val="24"/>
              </w:rPr>
            </w:r>
          </w:p>
          <w:p>
            <w:pPr>
              <w:pStyle w:val="TableParagraph"/>
              <w:spacing w:line="31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值计量</w:t>
            </w:r>
            <w:r>
              <w:rPr>
                <w:rFonts w:ascii="宋体" w:hAnsi="宋体" w:cs="宋体" w:eastAsia="宋体" w:hint="default"/>
                <w:sz w:val="24"/>
                <w:szCs w:val="24"/>
              </w:rPr>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（一）持有待售资产</w:t>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233"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233"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非持续以公允价值计</w:t>
            </w:r>
            <w:r>
              <w:rPr>
                <w:rFonts w:ascii="宋体" w:hAnsi="宋体" w:cs="宋体" w:eastAsia="宋体" w:hint="default"/>
                <w:sz w:val="24"/>
                <w:szCs w:val="24"/>
              </w:rPr>
            </w:r>
          </w:p>
          <w:p>
            <w:pPr>
              <w:pStyle w:val="TableParagraph"/>
              <w:spacing w:line="31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量的资产总额</w:t>
            </w:r>
            <w:r>
              <w:rPr>
                <w:rFonts w:ascii="宋体" w:hAnsi="宋体" w:cs="宋体" w:eastAsia="宋体" w:hint="default"/>
                <w:sz w:val="24"/>
                <w:szCs w:val="24"/>
              </w:rPr>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2233"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2233" w:type="dxa"/>
            <w:tcBorders>
              <w:top w:val="single" w:sz="4" w:space="0" w:color="000000"/>
              <w:left w:val="single" w:sz="4" w:space="0" w:color="000000"/>
              <w:bottom w:val="single" w:sz="4" w:space="0" w:color="000000"/>
              <w:right w:val="single" w:sz="4" w:space="0" w:color="000000"/>
            </w:tcBorders>
          </w:tcPr>
          <w:p>
            <w:pP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223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非持续以公允价值计</w:t>
            </w:r>
            <w:r>
              <w:rPr>
                <w:rFonts w:ascii="宋体" w:hAnsi="宋体" w:cs="宋体" w:eastAsia="宋体" w:hint="default"/>
                <w:sz w:val="24"/>
                <w:szCs w:val="24"/>
              </w:rPr>
            </w:r>
          </w:p>
          <w:p>
            <w:pPr>
              <w:pStyle w:val="TableParagraph"/>
              <w:spacing w:line="313" w:lineRule="exact"/>
              <w:ind w:left="23" w:right="0"/>
              <w:jc w:val="left"/>
              <w:rPr>
                <w:rFonts w:ascii="宋体" w:hAnsi="宋体" w:cs="宋体" w:eastAsia="宋体" w:hint="default"/>
                <w:sz w:val="24"/>
                <w:szCs w:val="24"/>
              </w:rPr>
            </w:pPr>
            <w:r>
              <w:rPr>
                <w:rFonts w:ascii="宋体" w:hAnsi="宋体" w:cs="宋体" w:eastAsia="宋体" w:hint="default"/>
                <w:b/>
                <w:bCs/>
                <w:sz w:val="24"/>
                <w:szCs w:val="24"/>
              </w:rPr>
              <w:t>量的负债总额</w:t>
            </w:r>
            <w:r>
              <w:rPr>
                <w:rFonts w:ascii="宋体" w:hAnsi="宋体" w:cs="宋体" w:eastAsia="宋体" w:hint="default"/>
                <w:sz w:val="24"/>
                <w:szCs w:val="24"/>
              </w:rPr>
            </w:r>
          </w:p>
        </w:tc>
        <w:tc>
          <w:tcPr>
            <w:tcW w:w="1572"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43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16"/>
          <w:szCs w:val="16"/>
        </w:rPr>
      </w:pPr>
    </w:p>
    <w:p>
      <w:pPr>
        <w:pStyle w:val="BodyText"/>
        <w:spacing w:line="312" w:lineRule="exact" w:before="56"/>
        <w:ind w:left="138" w:right="169"/>
        <w:jc w:val="left"/>
      </w:pPr>
      <w:r>
        <w:rPr/>
        <w:t>于</w:t>
      </w:r>
      <w:r>
        <w:rPr>
          <w:spacing w:val="-61"/>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日，本集团对权益工具投资，套期工具及银行理财均采用公 允价值计量。</w:t>
      </w:r>
    </w:p>
    <w:p>
      <w:pPr>
        <w:spacing w:before="37"/>
        <w:ind w:left="138" w:right="169"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w:t>
      </w:r>
      <w:r>
        <w:rPr>
          <w:rFonts w:ascii="宋体" w:hAnsi="宋体" w:cs="宋体" w:eastAsia="宋体" w:hint="default"/>
          <w:b/>
          <w:bCs/>
          <w:spacing w:val="19"/>
          <w:sz w:val="20"/>
          <w:szCs w:val="20"/>
        </w:rPr>
        <w:t> </w:t>
      </w:r>
      <w:r>
        <w:rPr>
          <w:rFonts w:ascii="宋体" w:hAnsi="宋体" w:cs="宋体" w:eastAsia="宋体" w:hint="default"/>
          <w:b/>
          <w:bCs/>
          <w:sz w:val="20"/>
          <w:szCs w:val="20"/>
        </w:rPr>
        <w:t>持续和非持续第一层次公允价值计量项目市价的确定依据</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097" w:val="left" w:leader="none"/>
        </w:tabs>
        <w:spacing w:line="240" w:lineRule="auto" w:before="49"/>
        <w:ind w:left="138" w:right="169"/>
        <w:jc w:val="left"/>
      </w:pPr>
      <w:r>
        <w:rPr/>
        <w:t>□适用</w:t>
        <w:tab/>
        <w:t>√不适用</w:t>
      </w:r>
    </w:p>
    <w:p>
      <w:pPr>
        <w:spacing w:line="240" w:lineRule="auto" w:before="2"/>
        <w:rPr>
          <w:rFonts w:ascii="宋体" w:hAnsi="宋体" w:cs="宋体" w:eastAsia="宋体" w:hint="default"/>
          <w:sz w:val="26"/>
          <w:szCs w:val="26"/>
        </w:rPr>
      </w:pPr>
    </w:p>
    <w:p>
      <w:pPr>
        <w:spacing w:before="0"/>
        <w:ind w:left="138" w:right="169"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z w:val="20"/>
          <w:szCs w:val="20"/>
        </w:rPr>
        <w:t>、</w:t>
      </w:r>
      <w:r>
        <w:rPr>
          <w:rFonts w:ascii="宋体" w:hAnsi="宋体" w:cs="宋体" w:eastAsia="宋体" w:hint="default"/>
          <w:b/>
          <w:bCs/>
          <w:spacing w:val="11"/>
          <w:sz w:val="20"/>
          <w:szCs w:val="20"/>
        </w:rPr>
        <w:t> </w:t>
      </w:r>
      <w:r>
        <w:rPr>
          <w:rFonts w:ascii="宋体" w:hAnsi="宋体" w:cs="宋体" w:eastAsia="宋体" w:hint="default"/>
          <w:b/>
          <w:bCs/>
          <w:sz w:val="20"/>
          <w:szCs w:val="20"/>
        </w:rPr>
        <w:t>持续和非持续第二层次公允价值计量项目，采用的估值技术和重要参数的定性及定量信息</w:t>
      </w:r>
      <w:r>
        <w:rPr>
          <w:rFonts w:ascii="宋体" w:hAnsi="宋体" w:cs="宋体" w:eastAsia="宋体" w:hint="default"/>
          <w:sz w:val="20"/>
          <w:szCs w:val="20"/>
        </w:rPr>
      </w:r>
    </w:p>
    <w:p>
      <w:pPr>
        <w:pStyle w:val="BodyText"/>
        <w:tabs>
          <w:tab w:pos="1097" w:val="left" w:leader="none"/>
        </w:tabs>
        <w:spacing w:line="240" w:lineRule="auto" w:before="49"/>
        <w:ind w:left="138" w:right="169"/>
        <w:jc w:val="left"/>
      </w:pPr>
      <w:r>
        <w:rPr/>
        <w:t>□适用</w:t>
        <w:tab/>
        <w:t>√不适用</w:t>
      </w:r>
    </w:p>
    <w:p>
      <w:pPr>
        <w:spacing w:line="240" w:lineRule="auto" w:before="0"/>
        <w:rPr>
          <w:rFonts w:ascii="宋体" w:hAnsi="宋体" w:cs="宋体" w:eastAsia="宋体" w:hint="default"/>
          <w:sz w:val="26"/>
          <w:szCs w:val="26"/>
        </w:rPr>
      </w:pPr>
    </w:p>
    <w:p>
      <w:pPr>
        <w:spacing w:before="0"/>
        <w:ind w:left="138" w:right="169"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z w:val="20"/>
          <w:szCs w:val="20"/>
        </w:rPr>
        <w:t>、</w:t>
      </w:r>
      <w:r>
        <w:rPr>
          <w:rFonts w:ascii="宋体" w:hAnsi="宋体" w:cs="宋体" w:eastAsia="宋体" w:hint="default"/>
          <w:b/>
          <w:bCs/>
          <w:spacing w:val="11"/>
          <w:sz w:val="20"/>
          <w:szCs w:val="20"/>
        </w:rPr>
        <w:t> </w:t>
      </w:r>
      <w:r>
        <w:rPr>
          <w:rFonts w:ascii="宋体" w:hAnsi="宋体" w:cs="宋体" w:eastAsia="宋体" w:hint="default"/>
          <w:b/>
          <w:bCs/>
          <w:sz w:val="20"/>
          <w:szCs w:val="20"/>
        </w:rPr>
        <w:t>持续和非持续第三层次公允价值计量项目，采用的估值技术和重要参数的定性及定量信息</w:t>
      </w:r>
      <w:r>
        <w:rPr>
          <w:rFonts w:ascii="宋体" w:hAnsi="宋体" w:cs="宋体" w:eastAsia="宋体" w:hint="default"/>
          <w:sz w:val="20"/>
          <w:szCs w:val="20"/>
        </w:rPr>
      </w:r>
    </w:p>
    <w:p>
      <w:pPr>
        <w:pStyle w:val="BodyText"/>
        <w:tabs>
          <w:tab w:pos="1097" w:val="left" w:leader="none"/>
        </w:tabs>
        <w:spacing w:line="240" w:lineRule="auto" w:before="49"/>
        <w:ind w:left="138" w:right="169"/>
        <w:jc w:val="left"/>
      </w:pPr>
      <w:r>
        <w:rPr/>
        <w:t>□适用</w:t>
        <w:tab/>
        <w:t>√不适用</w:t>
      </w:r>
    </w:p>
    <w:p>
      <w:pPr>
        <w:spacing w:line="240" w:lineRule="auto" w:before="1"/>
        <w:rPr>
          <w:rFonts w:ascii="宋体" w:hAnsi="宋体" w:cs="宋体" w:eastAsia="宋体" w:hint="default"/>
          <w:sz w:val="28"/>
          <w:szCs w:val="28"/>
        </w:rPr>
      </w:pPr>
    </w:p>
    <w:p>
      <w:pPr>
        <w:spacing w:line="260" w:lineRule="exact" w:before="0"/>
        <w:ind w:left="562" w:right="150" w:hanging="425"/>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z w:val="20"/>
          <w:szCs w:val="20"/>
        </w:rPr>
        <w:t>、</w:t>
      </w:r>
      <w:r>
        <w:rPr>
          <w:rFonts w:ascii="宋体" w:hAnsi="宋体" w:cs="宋体" w:eastAsia="宋体" w:hint="default"/>
          <w:b/>
          <w:bCs/>
          <w:spacing w:val="-12"/>
          <w:sz w:val="20"/>
          <w:szCs w:val="20"/>
        </w:rPr>
        <w:t> </w:t>
      </w:r>
      <w:r>
        <w:rPr>
          <w:rFonts w:ascii="宋体" w:hAnsi="宋体" w:cs="宋体" w:eastAsia="宋体" w:hint="default"/>
          <w:b/>
          <w:bCs/>
          <w:spacing w:val="2"/>
          <w:sz w:val="20"/>
          <w:szCs w:val="20"/>
        </w:rPr>
        <w:t>持续的第三层次公允价值计量项目，期初与期末账面价值间的调节信息及不可观察参数敏</w:t>
      </w:r>
      <w:r>
        <w:rPr>
          <w:rFonts w:ascii="宋体" w:hAnsi="宋体" w:cs="宋体" w:eastAsia="宋体" w:hint="default"/>
          <w:b/>
          <w:bCs/>
          <w:w w:val="99"/>
          <w:sz w:val="20"/>
          <w:szCs w:val="20"/>
        </w:rPr>
        <w:t> </w:t>
      </w:r>
      <w:r>
        <w:rPr>
          <w:rFonts w:ascii="宋体" w:hAnsi="宋体" w:cs="宋体" w:eastAsia="宋体" w:hint="default"/>
          <w:b/>
          <w:bCs/>
          <w:sz w:val="20"/>
          <w:szCs w:val="20"/>
        </w:rPr>
        <w:t>感性分析</w:t>
      </w:r>
      <w:r>
        <w:rPr>
          <w:rFonts w:ascii="宋体" w:hAnsi="宋体" w:cs="宋体" w:eastAsia="宋体" w:hint="default"/>
          <w:sz w:val="20"/>
          <w:szCs w:val="20"/>
        </w:rPr>
      </w:r>
    </w:p>
    <w:p>
      <w:pPr>
        <w:pStyle w:val="BodyText"/>
        <w:tabs>
          <w:tab w:pos="1097" w:val="left" w:leader="none"/>
        </w:tabs>
        <w:spacing w:line="240" w:lineRule="auto" w:before="25"/>
        <w:ind w:left="138" w:right="169"/>
        <w:jc w:val="left"/>
      </w:pPr>
      <w:r>
        <w:rPr/>
        <w:t>□适用</w:t>
        <w:tab/>
        <w:t>√不适用</w:t>
      </w:r>
    </w:p>
    <w:p>
      <w:pPr>
        <w:spacing w:line="240" w:lineRule="auto" w:before="1"/>
        <w:rPr>
          <w:rFonts w:ascii="宋体" w:hAnsi="宋体" w:cs="宋体" w:eastAsia="宋体" w:hint="default"/>
          <w:sz w:val="28"/>
          <w:szCs w:val="28"/>
        </w:rPr>
      </w:pPr>
    </w:p>
    <w:p>
      <w:pPr>
        <w:spacing w:line="260" w:lineRule="exact" w:before="0"/>
        <w:ind w:left="562" w:right="150" w:hanging="425"/>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z w:val="20"/>
          <w:szCs w:val="20"/>
        </w:rPr>
        <w:t>、</w:t>
      </w:r>
      <w:r>
        <w:rPr>
          <w:rFonts w:ascii="宋体" w:hAnsi="宋体" w:cs="宋体" w:eastAsia="宋体" w:hint="default"/>
          <w:b/>
          <w:bCs/>
          <w:spacing w:val="-12"/>
          <w:sz w:val="20"/>
          <w:szCs w:val="20"/>
        </w:rPr>
        <w:t> </w:t>
      </w:r>
      <w:r>
        <w:rPr>
          <w:rFonts w:ascii="宋体" w:hAnsi="宋体" w:cs="宋体" w:eastAsia="宋体" w:hint="default"/>
          <w:b/>
          <w:bCs/>
          <w:spacing w:val="2"/>
          <w:sz w:val="20"/>
          <w:szCs w:val="20"/>
        </w:rPr>
        <w:t>持续的公允价值计量项目，本期内发生各层级之间转换的，转换的原因及确定转换时点的</w:t>
      </w:r>
      <w:r>
        <w:rPr>
          <w:rFonts w:ascii="宋体" w:hAnsi="宋体" w:cs="宋体" w:eastAsia="宋体" w:hint="default"/>
          <w:b/>
          <w:bCs/>
          <w:w w:val="99"/>
          <w:sz w:val="20"/>
          <w:szCs w:val="20"/>
        </w:rPr>
        <w:t> </w:t>
      </w:r>
      <w:r>
        <w:rPr>
          <w:rFonts w:ascii="宋体" w:hAnsi="宋体" w:cs="宋体" w:eastAsia="宋体" w:hint="default"/>
          <w:b/>
          <w:bCs/>
          <w:sz w:val="20"/>
          <w:szCs w:val="20"/>
        </w:rPr>
        <w:t>政策</w:t>
      </w:r>
      <w:r>
        <w:rPr>
          <w:rFonts w:ascii="宋体" w:hAnsi="宋体" w:cs="宋体" w:eastAsia="宋体" w:hint="default"/>
          <w:sz w:val="20"/>
          <w:szCs w:val="20"/>
        </w:rPr>
      </w:r>
    </w:p>
    <w:p>
      <w:pPr>
        <w:pStyle w:val="BodyText"/>
        <w:tabs>
          <w:tab w:pos="1097" w:val="left" w:leader="none"/>
        </w:tabs>
        <w:spacing w:line="240" w:lineRule="auto" w:before="25"/>
        <w:ind w:left="138" w:right="169"/>
        <w:jc w:val="left"/>
      </w:pPr>
      <w:r>
        <w:rPr/>
        <w:t>□适用</w:t>
        <w:tab/>
        <w:t>√不适用</w:t>
      </w:r>
    </w:p>
    <w:p>
      <w:pPr>
        <w:spacing w:after="0" w:line="240" w:lineRule="auto"/>
        <w:jc w:val="left"/>
        <w:sectPr>
          <w:pgSz w:w="11910" w:h="16850"/>
          <w:pgMar w:header="745" w:footer="921" w:top="980" w:bottom="1120" w:left="1660" w:right="1640"/>
        </w:sectPr>
      </w:pPr>
    </w:p>
    <w:p>
      <w:pPr>
        <w:spacing w:line="240" w:lineRule="auto" w:before="2"/>
        <w:rPr>
          <w:rFonts w:ascii="宋体" w:hAnsi="宋体" w:cs="宋体" w:eastAsia="宋体" w:hint="default"/>
          <w:sz w:val="29"/>
          <w:szCs w:val="29"/>
        </w:rPr>
      </w:pPr>
    </w:p>
    <w:p>
      <w:pPr>
        <w:spacing w:before="37"/>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7</w:t>
      </w:r>
      <w:r>
        <w:rPr>
          <w:rFonts w:ascii="宋体" w:hAnsi="宋体" w:cs="宋体" w:eastAsia="宋体" w:hint="default"/>
          <w:b/>
          <w:bCs/>
          <w:sz w:val="20"/>
          <w:szCs w:val="20"/>
        </w:rPr>
        <w:t>、</w:t>
      </w:r>
      <w:r>
        <w:rPr>
          <w:rFonts w:ascii="宋体" w:hAnsi="宋体" w:cs="宋体" w:eastAsia="宋体" w:hint="default"/>
          <w:b/>
          <w:bCs/>
          <w:spacing w:val="16"/>
          <w:sz w:val="20"/>
          <w:szCs w:val="20"/>
        </w:rPr>
        <w:t> </w:t>
      </w:r>
      <w:r>
        <w:rPr>
          <w:rFonts w:ascii="宋体" w:hAnsi="宋体" w:cs="宋体" w:eastAsia="宋体" w:hint="default"/>
          <w:b/>
          <w:bCs/>
          <w:sz w:val="20"/>
          <w:szCs w:val="20"/>
        </w:rPr>
        <w:t>本期内发生的估值技术变更及变更原因</w:t>
      </w:r>
      <w:r>
        <w:rPr>
          <w:rFonts w:ascii="宋体" w:hAnsi="宋体" w:cs="宋体" w:eastAsia="宋体" w:hint="default"/>
          <w:sz w:val="20"/>
          <w:szCs w:val="20"/>
        </w:rPr>
      </w:r>
    </w:p>
    <w:p>
      <w:pPr>
        <w:pStyle w:val="BodyText"/>
        <w:tabs>
          <w:tab w:pos="1277" w:val="left" w:leader="none"/>
        </w:tabs>
        <w:spacing w:line="240" w:lineRule="auto" w:before="49"/>
        <w:ind w:left="318" w:right="0"/>
        <w:jc w:val="left"/>
      </w:pPr>
      <w:r>
        <w:rPr/>
        <w:t>□适用</w:t>
        <w:tab/>
        <w:t>√不适用</w:t>
      </w:r>
    </w:p>
    <w:p>
      <w:pPr>
        <w:spacing w:line="240" w:lineRule="auto" w:before="2"/>
        <w:rPr>
          <w:rFonts w:ascii="宋体" w:hAnsi="宋体" w:cs="宋体" w:eastAsia="宋体" w:hint="default"/>
          <w:sz w:val="26"/>
          <w:szCs w:val="26"/>
        </w:rPr>
      </w:pPr>
    </w:p>
    <w:p>
      <w:pPr>
        <w:spacing w:before="0"/>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8</w:t>
      </w:r>
      <w:r>
        <w:rPr>
          <w:rFonts w:ascii="宋体" w:hAnsi="宋体" w:cs="宋体" w:eastAsia="宋体" w:hint="default"/>
          <w:b/>
          <w:bCs/>
          <w:sz w:val="20"/>
          <w:szCs w:val="20"/>
        </w:rPr>
        <w:t>、</w:t>
      </w:r>
      <w:r>
        <w:rPr>
          <w:rFonts w:ascii="宋体" w:hAnsi="宋体" w:cs="宋体" w:eastAsia="宋体" w:hint="default"/>
          <w:b/>
          <w:bCs/>
          <w:spacing w:val="15"/>
          <w:sz w:val="20"/>
          <w:szCs w:val="20"/>
        </w:rPr>
        <w:t> </w:t>
      </w:r>
      <w:r>
        <w:rPr>
          <w:rFonts w:ascii="宋体" w:hAnsi="宋体" w:cs="宋体" w:eastAsia="宋体" w:hint="default"/>
          <w:b/>
          <w:bCs/>
          <w:sz w:val="20"/>
          <w:szCs w:val="20"/>
        </w:rPr>
        <w:t>不以公允价值计量的金融资产和金融负债的公允价值情况</w:t>
      </w:r>
      <w:r>
        <w:rPr>
          <w:rFonts w:ascii="宋体" w:hAnsi="宋体" w:cs="宋体" w:eastAsia="宋体" w:hint="default"/>
          <w:sz w:val="20"/>
          <w:szCs w:val="20"/>
        </w:rPr>
      </w:r>
    </w:p>
    <w:p>
      <w:pPr>
        <w:pStyle w:val="BodyText"/>
        <w:tabs>
          <w:tab w:pos="1277" w:val="left" w:leader="none"/>
        </w:tabs>
        <w:spacing w:line="240" w:lineRule="auto" w:before="49"/>
        <w:ind w:left="318" w:right="0"/>
        <w:jc w:val="left"/>
      </w:pPr>
      <w:r>
        <w:rPr/>
        <w:t>□适用</w:t>
        <w:tab/>
        <w:t>√不适用</w:t>
      </w:r>
    </w:p>
    <w:p>
      <w:pPr>
        <w:spacing w:line="240" w:lineRule="auto" w:before="2"/>
        <w:rPr>
          <w:rFonts w:ascii="宋体" w:hAnsi="宋体" w:cs="宋体" w:eastAsia="宋体" w:hint="default"/>
          <w:sz w:val="26"/>
          <w:szCs w:val="26"/>
        </w:rPr>
      </w:pPr>
    </w:p>
    <w:p>
      <w:pPr>
        <w:spacing w:before="0"/>
        <w:ind w:left="318" w:right="0" w:firstLine="0"/>
        <w:jc w:val="left"/>
        <w:rPr>
          <w:rFonts w:ascii="宋体" w:hAnsi="宋体" w:cs="宋体" w:eastAsia="宋体" w:hint="default"/>
          <w:sz w:val="20"/>
          <w:szCs w:val="20"/>
        </w:rPr>
      </w:pPr>
      <w:r>
        <w:rPr>
          <w:rFonts w:ascii="宋体" w:hAnsi="宋体" w:cs="宋体" w:eastAsia="宋体" w:hint="default"/>
          <w:b/>
          <w:bCs/>
          <w:sz w:val="20"/>
          <w:szCs w:val="20"/>
        </w:rPr>
        <w:t>9</w:t>
      </w:r>
      <w:r>
        <w:rPr>
          <w:rFonts w:ascii="宋体" w:hAnsi="宋体" w:cs="宋体" w:eastAsia="宋体" w:hint="default"/>
          <w:b/>
          <w:bCs/>
          <w:sz w:val="20"/>
          <w:szCs w:val="20"/>
        </w:rPr>
        <w:t>、</w:t>
      </w:r>
      <w:r>
        <w:rPr>
          <w:rFonts w:ascii="宋体" w:hAnsi="宋体" w:cs="宋体" w:eastAsia="宋体" w:hint="default"/>
          <w:b/>
          <w:bCs/>
          <w:spacing w:val="22"/>
          <w:sz w:val="20"/>
          <w:szCs w:val="20"/>
        </w:rPr>
        <w:t> </w:t>
      </w:r>
      <w:r>
        <w:rPr>
          <w:rFonts w:ascii="宋体" w:hAnsi="宋体" w:cs="宋体" w:eastAsia="宋体" w:hint="default"/>
          <w:b/>
          <w:bCs/>
          <w:sz w:val="20"/>
          <w:szCs w:val="20"/>
        </w:rPr>
        <w:t>其他</w:t>
      </w:r>
      <w:r>
        <w:rPr>
          <w:rFonts w:ascii="宋体" w:hAnsi="宋体" w:cs="宋体" w:eastAsia="宋体" w:hint="default"/>
          <w:sz w:val="20"/>
          <w:szCs w:val="20"/>
        </w:rPr>
      </w:r>
    </w:p>
    <w:p>
      <w:pPr>
        <w:tabs>
          <w:tab w:pos="1277" w:val="left" w:leader="none"/>
        </w:tabs>
        <w:spacing w:line="310" w:lineRule="exact" w:before="81"/>
        <w:ind w:left="318" w:right="6626" w:firstLine="0"/>
        <w:jc w:val="left"/>
        <w:rPr>
          <w:rFonts w:ascii="宋体" w:hAnsi="宋体" w:cs="宋体" w:eastAsia="宋体" w:hint="default"/>
          <w:sz w:val="24"/>
          <w:szCs w:val="24"/>
        </w:rPr>
      </w:pPr>
      <w:r>
        <w:rPr>
          <w:rFonts w:ascii="宋体" w:hAnsi="宋体" w:cs="宋体" w:eastAsia="宋体" w:hint="default"/>
          <w:sz w:val="24"/>
          <w:szCs w:val="24"/>
        </w:rPr>
        <w:t>√适用</w:t>
        <w:tab/>
        <w:t>□不适用 </w:t>
      </w:r>
      <w:r>
        <w:rPr>
          <w:rFonts w:ascii="宋体" w:hAnsi="宋体" w:cs="宋体" w:eastAsia="宋体" w:hint="default"/>
          <w:b/>
          <w:bCs/>
          <w:sz w:val="24"/>
          <w:szCs w:val="24"/>
        </w:rPr>
        <w:t>公允价值估值</w:t>
      </w:r>
      <w:r>
        <w:rPr>
          <w:rFonts w:ascii="宋体" w:hAnsi="宋体" w:cs="宋体" w:eastAsia="宋体" w:hint="default"/>
          <w:sz w:val="24"/>
          <w:szCs w:val="24"/>
        </w:rPr>
      </w:r>
    </w:p>
    <w:p>
      <w:pPr>
        <w:spacing w:line="240" w:lineRule="auto" w:before="1"/>
        <w:rPr>
          <w:rFonts w:ascii="宋体" w:hAnsi="宋体" w:cs="宋体" w:eastAsia="宋体" w:hint="default"/>
          <w:b/>
          <w:bCs/>
          <w:sz w:val="19"/>
          <w:szCs w:val="19"/>
        </w:rPr>
      </w:pPr>
    </w:p>
    <w:p>
      <w:pPr>
        <w:spacing w:before="0"/>
        <w:ind w:left="318" w:right="0" w:firstLine="0"/>
        <w:jc w:val="left"/>
        <w:rPr>
          <w:rFonts w:ascii="黑体" w:hAnsi="黑体" w:cs="黑体" w:eastAsia="黑体" w:hint="default"/>
          <w:sz w:val="20"/>
          <w:szCs w:val="20"/>
        </w:rPr>
      </w:pPr>
      <w:r>
        <w:rPr>
          <w:rFonts w:ascii="黑体" w:hAnsi="黑体" w:cs="黑体" w:eastAsia="黑体" w:hint="default"/>
          <w:w w:val="99"/>
          <w:sz w:val="20"/>
          <w:szCs w:val="20"/>
        </w:rPr>
      </w:r>
      <w:r>
        <w:rPr>
          <w:rFonts w:ascii="黑体" w:hAnsi="黑体" w:cs="黑体" w:eastAsia="黑体" w:hint="default"/>
          <w:sz w:val="20"/>
          <w:szCs w:val="20"/>
          <w:u w:val="single" w:color="000000"/>
        </w:rPr>
        <w:t>金融工具公允价值</w:t>
      </w:r>
      <w:r>
        <w:rPr>
          <w:rFonts w:ascii="黑体" w:hAnsi="黑体" w:cs="黑体" w:eastAsia="黑体" w:hint="default"/>
          <w:sz w:val="20"/>
          <w:szCs w:val="20"/>
        </w:rPr>
      </w:r>
    </w:p>
    <w:p>
      <w:pPr>
        <w:spacing w:line="240" w:lineRule="auto" w:before="12"/>
        <w:rPr>
          <w:rFonts w:ascii="黑体" w:hAnsi="黑体" w:cs="黑体" w:eastAsia="黑体" w:hint="default"/>
          <w:sz w:val="14"/>
          <w:szCs w:val="14"/>
        </w:rPr>
      </w:pPr>
    </w:p>
    <w:p>
      <w:pPr>
        <w:spacing w:line="260" w:lineRule="exact" w:before="63"/>
        <w:ind w:left="303" w:right="0" w:firstLine="0"/>
        <w:jc w:val="left"/>
        <w:rPr>
          <w:rFonts w:ascii="黑体" w:hAnsi="黑体" w:cs="黑体" w:eastAsia="黑体" w:hint="default"/>
          <w:sz w:val="20"/>
          <w:szCs w:val="20"/>
        </w:rPr>
      </w:pPr>
      <w:r>
        <w:rPr>
          <w:rFonts w:ascii="黑体" w:hAnsi="黑体" w:cs="黑体" w:eastAsia="黑体" w:hint="default"/>
          <w:spacing w:val="3"/>
          <w:w w:val="95"/>
          <w:sz w:val="20"/>
          <w:szCs w:val="20"/>
        </w:rPr>
        <w:t>以下是本集团除账面价值与公允价值差异很小的金融工具之外的各类别金融工具的账面价值与</w:t>
      </w:r>
      <w:r>
        <w:rPr>
          <w:rFonts w:ascii="黑体" w:hAnsi="黑体" w:cs="黑体" w:eastAsia="黑体" w:hint="default"/>
          <w:spacing w:val="96"/>
          <w:w w:val="95"/>
          <w:sz w:val="20"/>
          <w:szCs w:val="20"/>
        </w:rPr>
        <w:t> </w:t>
      </w:r>
      <w:r>
        <w:rPr>
          <w:rFonts w:ascii="黑体" w:hAnsi="黑体" w:cs="黑体" w:eastAsia="黑体" w:hint="default"/>
          <w:spacing w:val="96"/>
          <w:w w:val="95"/>
          <w:sz w:val="20"/>
          <w:szCs w:val="20"/>
        </w:rPr>
      </w:r>
      <w:r>
        <w:rPr>
          <w:rFonts w:ascii="黑体" w:hAnsi="黑体" w:cs="黑体" w:eastAsia="黑体" w:hint="default"/>
          <w:sz w:val="20"/>
          <w:szCs w:val="20"/>
        </w:rPr>
        <w:t>公允价值的比较：</w:t>
      </w:r>
    </w:p>
    <w:p>
      <w:pPr>
        <w:spacing w:line="240" w:lineRule="auto" w:before="6"/>
        <w:rPr>
          <w:rFonts w:ascii="黑体" w:hAnsi="黑体" w:cs="黑体" w:eastAsia="黑体" w:hint="default"/>
          <w:sz w:val="23"/>
          <w:szCs w:val="23"/>
        </w:rPr>
      </w:pPr>
    </w:p>
    <w:tbl>
      <w:tblPr>
        <w:tblW w:w="0" w:type="auto"/>
        <w:jc w:val="left"/>
        <w:tblInd w:w="118" w:type="dxa"/>
        <w:tblLayout w:type="fixed"/>
        <w:tblCellMar>
          <w:top w:w="0" w:type="dxa"/>
          <w:left w:w="0" w:type="dxa"/>
          <w:bottom w:w="0" w:type="dxa"/>
          <w:right w:w="0" w:type="dxa"/>
        </w:tblCellMar>
        <w:tblLook w:val="01E0"/>
      </w:tblPr>
      <w:tblGrid>
        <w:gridCol w:w="2043"/>
        <w:gridCol w:w="1606"/>
        <w:gridCol w:w="1539"/>
        <w:gridCol w:w="115"/>
        <w:gridCol w:w="1700"/>
        <w:gridCol w:w="1629"/>
      </w:tblGrid>
      <w:tr>
        <w:trPr>
          <w:trHeight w:val="238" w:hRule="exact"/>
        </w:trPr>
        <w:tc>
          <w:tcPr>
            <w:tcW w:w="5188" w:type="dxa"/>
            <w:gridSpan w:val="3"/>
            <w:tcBorders>
              <w:top w:val="nil" w:sz="6" w:space="0" w:color="auto"/>
              <w:left w:val="nil" w:sz="6" w:space="0" w:color="auto"/>
              <w:bottom w:val="nil" w:sz="6" w:space="0" w:color="auto"/>
              <w:right w:val="nil" w:sz="6" w:space="0" w:color="auto"/>
            </w:tcBorders>
          </w:tcPr>
          <w:p>
            <w:pPr>
              <w:pStyle w:val="TableParagraph"/>
              <w:spacing w:line="199" w:lineRule="exact"/>
              <w:ind w:left="3214" w:right="0"/>
              <w:jc w:val="left"/>
              <w:rPr>
                <w:rFonts w:ascii="黑体" w:hAnsi="黑体" w:cs="黑体" w:eastAsia="黑体" w:hint="default"/>
                <w:sz w:val="20"/>
                <w:szCs w:val="20"/>
              </w:rPr>
            </w:pPr>
            <w:r>
              <w:rPr>
                <w:rFonts w:ascii="黑体" w:hAnsi="黑体" w:cs="黑体" w:eastAsia="黑体" w:hint="default"/>
                <w:sz w:val="20"/>
                <w:szCs w:val="20"/>
              </w:rPr>
              <w:t>账面价值</w:t>
            </w:r>
          </w:p>
        </w:tc>
        <w:tc>
          <w:tcPr>
            <w:tcW w:w="3445" w:type="dxa"/>
            <w:gridSpan w:val="3"/>
            <w:tcBorders>
              <w:top w:val="nil" w:sz="6" w:space="0" w:color="auto"/>
              <w:left w:val="nil" w:sz="6" w:space="0" w:color="auto"/>
              <w:bottom w:val="single" w:sz="4" w:space="0" w:color="000000"/>
              <w:right w:val="nil" w:sz="6" w:space="0" w:color="auto"/>
            </w:tcBorders>
          </w:tcPr>
          <w:p>
            <w:pPr>
              <w:pStyle w:val="TableParagraph"/>
              <w:spacing w:line="199" w:lineRule="exact"/>
              <w:ind w:left="114" w:right="0"/>
              <w:jc w:val="center"/>
              <w:rPr>
                <w:rFonts w:ascii="黑体" w:hAnsi="黑体" w:cs="黑体" w:eastAsia="黑体" w:hint="default"/>
                <w:sz w:val="20"/>
                <w:szCs w:val="20"/>
              </w:rPr>
            </w:pPr>
            <w:r>
              <w:rPr>
                <w:rFonts w:ascii="黑体" w:hAnsi="黑体" w:cs="黑体" w:eastAsia="黑体" w:hint="default"/>
                <w:sz w:val="20"/>
                <w:szCs w:val="20"/>
              </w:rPr>
              <w:t>公允价值</w:t>
            </w:r>
          </w:p>
        </w:tc>
      </w:tr>
      <w:tr>
        <w:trPr>
          <w:trHeight w:val="264" w:hRule="exact"/>
        </w:trPr>
        <w:tc>
          <w:tcPr>
            <w:tcW w:w="2043" w:type="dxa"/>
            <w:tcBorders>
              <w:top w:val="nil" w:sz="6" w:space="0" w:color="auto"/>
              <w:left w:val="nil" w:sz="6" w:space="0" w:color="auto"/>
              <w:bottom w:val="nil" w:sz="6" w:space="0" w:color="auto"/>
              <w:right w:val="nil" w:sz="6" w:space="0" w:color="auto"/>
            </w:tcBorders>
          </w:tcPr>
          <w:p>
            <w:pPr/>
          </w:p>
        </w:tc>
        <w:tc>
          <w:tcPr>
            <w:tcW w:w="1606" w:type="dxa"/>
            <w:tcBorders>
              <w:top w:val="single" w:sz="4" w:space="0" w:color="000000"/>
              <w:left w:val="nil" w:sz="6" w:space="0" w:color="auto"/>
              <w:bottom w:val="nil" w:sz="6" w:space="0" w:color="auto"/>
              <w:right w:val="nil" w:sz="6" w:space="0" w:color="auto"/>
            </w:tcBorders>
          </w:tcPr>
          <w:p>
            <w:pPr>
              <w:pStyle w:val="TableParagraph"/>
              <w:spacing w:line="239" w:lineRule="exact"/>
              <w:ind w:right="48"/>
              <w:jc w:val="right"/>
              <w:rPr>
                <w:rFonts w:ascii="黑体" w:hAnsi="黑体" w:cs="黑体" w:eastAsia="黑体" w:hint="default"/>
                <w:sz w:val="20"/>
                <w:szCs w:val="20"/>
              </w:rPr>
            </w:pPr>
            <w:r>
              <w:rPr>
                <w:rFonts w:ascii="Arial" w:hAnsi="Arial" w:cs="Arial" w:eastAsia="Arial" w:hint="default"/>
                <w:spacing w:val="-1"/>
                <w:sz w:val="20"/>
                <w:szCs w:val="20"/>
              </w:rPr>
              <w:t>2019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539" w:type="dxa"/>
            <w:tcBorders>
              <w:top w:val="single" w:sz="4" w:space="0" w:color="000000"/>
              <w:left w:val="nil" w:sz="6" w:space="0" w:color="auto"/>
              <w:bottom w:val="nil" w:sz="6" w:space="0" w:color="auto"/>
              <w:right w:val="nil" w:sz="6" w:space="0" w:color="auto"/>
            </w:tcBorders>
          </w:tcPr>
          <w:p>
            <w:pPr>
              <w:pStyle w:val="TableParagraph"/>
              <w:spacing w:line="239" w:lineRule="exact"/>
              <w:ind w:right="2"/>
              <w:jc w:val="right"/>
              <w:rPr>
                <w:rFonts w:ascii="黑体" w:hAnsi="黑体" w:cs="黑体" w:eastAsia="黑体" w:hint="default"/>
                <w:sz w:val="20"/>
                <w:szCs w:val="20"/>
              </w:rPr>
            </w:pPr>
            <w:r>
              <w:rPr>
                <w:rFonts w:ascii="Arial" w:hAnsi="Arial" w:cs="Arial" w:eastAsia="Arial" w:hint="default"/>
                <w:spacing w:val="-1"/>
                <w:sz w:val="20"/>
                <w:szCs w:val="20"/>
              </w:rPr>
              <w:t>2018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15" w:type="dxa"/>
            <w:tcBorders>
              <w:top w:val="nil" w:sz="6" w:space="0" w:color="auto"/>
              <w:left w:val="nil" w:sz="6" w:space="0" w:color="auto"/>
              <w:bottom w:val="nil" w:sz="6" w:space="0" w:color="auto"/>
              <w:right w:val="nil" w:sz="6" w:space="0" w:color="auto"/>
            </w:tcBorders>
          </w:tcPr>
          <w:p>
            <w:pPr/>
          </w:p>
        </w:tc>
        <w:tc>
          <w:tcPr>
            <w:tcW w:w="1700" w:type="dxa"/>
            <w:tcBorders>
              <w:top w:val="single" w:sz="4" w:space="0" w:color="000000"/>
              <w:left w:val="nil" w:sz="6" w:space="0" w:color="auto"/>
              <w:bottom w:val="nil" w:sz="6" w:space="0" w:color="auto"/>
              <w:right w:val="nil" w:sz="6" w:space="0" w:color="auto"/>
            </w:tcBorders>
          </w:tcPr>
          <w:p>
            <w:pPr>
              <w:pStyle w:val="TableParagraph"/>
              <w:spacing w:line="239" w:lineRule="exact"/>
              <w:ind w:right="138"/>
              <w:jc w:val="right"/>
              <w:rPr>
                <w:rFonts w:ascii="黑体" w:hAnsi="黑体" w:cs="黑体" w:eastAsia="黑体" w:hint="default"/>
                <w:sz w:val="20"/>
                <w:szCs w:val="20"/>
              </w:rPr>
            </w:pPr>
            <w:r>
              <w:rPr>
                <w:rFonts w:ascii="Arial" w:hAnsi="Arial" w:cs="Arial" w:eastAsia="Arial" w:hint="default"/>
                <w:spacing w:val="-1"/>
                <w:sz w:val="20"/>
                <w:szCs w:val="20"/>
              </w:rPr>
              <w:t>2019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c>
          <w:tcPr>
            <w:tcW w:w="1629" w:type="dxa"/>
            <w:tcBorders>
              <w:top w:val="single" w:sz="4" w:space="0" w:color="000000"/>
              <w:left w:val="nil" w:sz="6" w:space="0" w:color="auto"/>
              <w:bottom w:val="nil" w:sz="6" w:space="0" w:color="auto"/>
              <w:right w:val="nil" w:sz="6" w:space="0" w:color="auto"/>
            </w:tcBorders>
          </w:tcPr>
          <w:p>
            <w:pPr>
              <w:pStyle w:val="TableParagraph"/>
              <w:spacing w:line="239" w:lineRule="exact"/>
              <w:ind w:right="2"/>
              <w:jc w:val="right"/>
              <w:rPr>
                <w:rFonts w:ascii="黑体" w:hAnsi="黑体" w:cs="黑体" w:eastAsia="黑体" w:hint="default"/>
                <w:sz w:val="20"/>
                <w:szCs w:val="20"/>
              </w:rPr>
            </w:pPr>
            <w:r>
              <w:rPr>
                <w:rFonts w:ascii="Arial" w:hAnsi="Arial" w:cs="Arial" w:eastAsia="Arial" w:hint="default"/>
                <w:spacing w:val="-1"/>
                <w:sz w:val="20"/>
                <w:szCs w:val="20"/>
              </w:rPr>
              <w:t>2018</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254"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24" w:lineRule="exact"/>
              <w:ind w:left="200" w:right="0"/>
              <w:jc w:val="left"/>
              <w:rPr>
                <w:rFonts w:ascii="黑体" w:hAnsi="黑体" w:cs="黑体" w:eastAsia="黑体" w:hint="default"/>
                <w:sz w:val="20"/>
                <w:szCs w:val="20"/>
              </w:rPr>
            </w:pPr>
            <w:r>
              <w:rPr>
                <w:rFonts w:ascii="黑体" w:hAnsi="黑体" w:cs="黑体" w:eastAsia="黑体" w:hint="default"/>
                <w:sz w:val="20"/>
                <w:szCs w:val="20"/>
              </w:rPr>
              <w:t>金融资产</w:t>
            </w:r>
          </w:p>
        </w:tc>
        <w:tc>
          <w:tcPr>
            <w:tcW w:w="1606"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nil" w:sz="6" w:space="0" w:color="auto"/>
            </w:tcBorders>
          </w:tcPr>
          <w:p>
            <w:pPr/>
          </w:p>
        </w:tc>
        <w:tc>
          <w:tcPr>
            <w:tcW w:w="115"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
        </w:tc>
      </w:tr>
      <w:tr>
        <w:trPr>
          <w:trHeight w:val="234"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29" w:lineRule="exact"/>
              <w:ind w:left="200" w:right="0"/>
              <w:jc w:val="left"/>
              <w:rPr>
                <w:rFonts w:ascii="黑体" w:hAnsi="黑体" w:cs="黑体" w:eastAsia="黑体" w:hint="default"/>
                <w:sz w:val="20"/>
                <w:szCs w:val="20"/>
              </w:rPr>
            </w:pPr>
            <w:r>
              <w:rPr>
                <w:rFonts w:ascii="黑体" w:hAnsi="黑体" w:cs="黑体" w:eastAsia="黑体" w:hint="default"/>
                <w:sz w:val="20"/>
                <w:szCs w:val="20"/>
              </w:rPr>
              <w:t>长期应收款</w:t>
            </w:r>
          </w:p>
        </w:tc>
        <w:tc>
          <w:tcPr>
            <w:tcW w:w="1606"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nil" w:sz="6" w:space="0" w:color="auto"/>
            </w:tcBorders>
          </w:tcPr>
          <w:p>
            <w:pPr/>
          </w:p>
        </w:tc>
        <w:tc>
          <w:tcPr>
            <w:tcW w:w="115"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
        </w:tc>
      </w:tr>
      <w:tr>
        <w:trPr>
          <w:trHeight w:val="204" w:hRule="exact"/>
        </w:trPr>
        <w:tc>
          <w:tcPr>
            <w:tcW w:w="2043"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09" w:lineRule="exact"/>
              <w:ind w:right="46"/>
              <w:jc w:val="right"/>
              <w:rPr>
                <w:rFonts w:ascii="Arial" w:hAnsi="Arial" w:cs="Arial" w:eastAsia="Arial" w:hint="default"/>
                <w:sz w:val="20"/>
                <w:szCs w:val="20"/>
              </w:rPr>
            </w:pPr>
            <w:r>
              <w:rPr>
                <w:rFonts w:ascii="Arial"/>
                <w:w w:val="99"/>
                <w:sz w:val="20"/>
              </w:rPr>
            </w:r>
            <w:r>
              <w:rPr>
                <w:rFonts w:ascii="Arial"/>
                <w:w w:val="95"/>
                <w:sz w:val="20"/>
                <w:u w:val="thick" w:color="000000"/>
              </w:rPr>
              <w:t>26,029,129</w:t>
            </w:r>
            <w:r>
              <w:rPr>
                <w:rFonts w:ascii="Arial"/>
                <w:w w:val="95"/>
                <w:sz w:val="20"/>
              </w:rPr>
            </w:r>
            <w:r>
              <w:rPr>
                <w:rFonts w:ascii="Arial"/>
                <w:sz w:val="20"/>
              </w:rPr>
            </w:r>
          </w:p>
        </w:tc>
        <w:tc>
          <w:tcPr>
            <w:tcW w:w="1539" w:type="dxa"/>
            <w:tcBorders>
              <w:top w:val="nil" w:sz="6" w:space="0" w:color="auto"/>
              <w:left w:val="nil" w:sz="6" w:space="0" w:color="auto"/>
              <w:bottom w:val="nil" w:sz="6" w:space="0" w:color="auto"/>
              <w:right w:val="nil" w:sz="6" w:space="0" w:color="auto"/>
            </w:tcBorders>
          </w:tcPr>
          <w:p>
            <w:pPr>
              <w:pStyle w:val="TableParagraph"/>
              <w:spacing w:line="209" w:lineRule="exact"/>
              <w:ind w:right="0"/>
              <w:jc w:val="right"/>
              <w:rPr>
                <w:rFonts w:ascii="Arial" w:hAnsi="Arial" w:cs="Arial" w:eastAsia="Arial" w:hint="default"/>
                <w:sz w:val="20"/>
                <w:szCs w:val="20"/>
              </w:rPr>
            </w:pPr>
            <w:r>
              <w:rPr>
                <w:rFonts w:ascii="Arial"/>
                <w:w w:val="99"/>
                <w:sz w:val="20"/>
              </w:rPr>
              <w:t>-</w:t>
            </w:r>
            <w:r>
              <w:rPr>
                <w:rFonts w:ascii="Arial"/>
                <w:sz w:val="20"/>
              </w:rPr>
            </w:r>
          </w:p>
        </w:tc>
        <w:tc>
          <w:tcPr>
            <w:tcW w:w="115"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Style w:val="TableParagraph"/>
              <w:spacing w:line="209" w:lineRule="exact"/>
              <w:ind w:right="136"/>
              <w:jc w:val="right"/>
              <w:rPr>
                <w:rFonts w:ascii="Arial" w:hAnsi="Arial" w:cs="Arial" w:eastAsia="Arial" w:hint="default"/>
                <w:sz w:val="20"/>
                <w:szCs w:val="20"/>
              </w:rPr>
            </w:pPr>
            <w:r>
              <w:rPr>
                <w:rFonts w:ascii="Arial"/>
                <w:w w:val="99"/>
                <w:sz w:val="20"/>
              </w:rPr>
            </w:r>
            <w:r>
              <w:rPr>
                <w:rFonts w:ascii="Arial"/>
                <w:w w:val="95"/>
                <w:sz w:val="20"/>
                <w:u w:val="thick" w:color="000000"/>
              </w:rPr>
              <w:t>26,029,129</w:t>
            </w:r>
            <w:r>
              <w:rPr>
                <w:rFonts w:ascii="Arial"/>
                <w:w w:val="95"/>
                <w:sz w:val="20"/>
              </w:rPr>
            </w:r>
            <w:r>
              <w:rPr>
                <w:rFonts w:ascii="Arial"/>
                <w:sz w:val="20"/>
              </w:rPr>
            </w:r>
          </w:p>
        </w:tc>
        <w:tc>
          <w:tcPr>
            <w:tcW w:w="1629" w:type="dxa"/>
            <w:tcBorders>
              <w:top w:val="nil" w:sz="6" w:space="0" w:color="auto"/>
              <w:left w:val="nil" w:sz="6" w:space="0" w:color="auto"/>
              <w:bottom w:val="nil" w:sz="6" w:space="0" w:color="auto"/>
              <w:right w:val="nil" w:sz="6" w:space="0" w:color="auto"/>
            </w:tcBorders>
          </w:tcPr>
          <w:p>
            <w:pPr>
              <w:pStyle w:val="TableParagraph"/>
              <w:spacing w:line="209" w:lineRule="exact"/>
              <w:ind w:right="0"/>
              <w:jc w:val="right"/>
              <w:rPr>
                <w:rFonts w:ascii="Arial" w:hAnsi="Arial" w:cs="Arial" w:eastAsia="Arial" w:hint="default"/>
                <w:sz w:val="20"/>
                <w:szCs w:val="20"/>
              </w:rPr>
            </w:pPr>
            <w:r>
              <w:rPr>
                <w:rFonts w:ascii="Arial"/>
                <w:w w:val="99"/>
                <w:sz w:val="20"/>
              </w:rPr>
              <w:t>-</w:t>
            </w:r>
            <w:r>
              <w:rPr>
                <w:rFonts w:ascii="Arial"/>
                <w:sz w:val="20"/>
              </w:rPr>
            </w:r>
          </w:p>
        </w:tc>
      </w:tr>
      <w:tr>
        <w:trPr>
          <w:trHeight w:val="512"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6"/>
                <w:szCs w:val="16"/>
              </w:rPr>
            </w:pPr>
          </w:p>
          <w:p>
            <w:pPr>
              <w:pStyle w:val="TableParagraph"/>
              <w:spacing w:line="240" w:lineRule="auto"/>
              <w:ind w:left="200" w:right="0"/>
              <w:jc w:val="left"/>
              <w:rPr>
                <w:rFonts w:ascii="黑体" w:hAnsi="黑体" w:cs="黑体" w:eastAsia="黑体" w:hint="default"/>
                <w:sz w:val="20"/>
                <w:szCs w:val="20"/>
              </w:rPr>
            </w:pPr>
            <w:r>
              <w:rPr>
                <w:rFonts w:ascii="黑体" w:hAnsi="黑体" w:cs="黑体" w:eastAsia="黑体" w:hint="default"/>
                <w:sz w:val="20"/>
                <w:szCs w:val="20"/>
              </w:rPr>
              <w:t>金融负债</w:t>
            </w:r>
          </w:p>
        </w:tc>
        <w:tc>
          <w:tcPr>
            <w:tcW w:w="1606"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nil" w:sz="6" w:space="0" w:color="auto"/>
            </w:tcBorders>
          </w:tcPr>
          <w:p>
            <w:pPr/>
          </w:p>
        </w:tc>
        <w:tc>
          <w:tcPr>
            <w:tcW w:w="115"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
        </w:tc>
      </w:tr>
      <w:tr>
        <w:trPr>
          <w:trHeight w:val="237" w:hRule="exact"/>
        </w:trPr>
        <w:tc>
          <w:tcPr>
            <w:tcW w:w="2043" w:type="dxa"/>
            <w:tcBorders>
              <w:top w:val="nil" w:sz="6" w:space="0" w:color="auto"/>
              <w:left w:val="nil" w:sz="6" w:space="0" w:color="auto"/>
              <w:bottom w:val="nil" w:sz="6" w:space="0" w:color="auto"/>
              <w:right w:val="nil" w:sz="6" w:space="0" w:color="auto"/>
            </w:tcBorders>
          </w:tcPr>
          <w:p>
            <w:pPr>
              <w:pStyle w:val="TableParagraph"/>
              <w:spacing w:line="229" w:lineRule="exact"/>
              <w:ind w:left="200" w:right="0"/>
              <w:jc w:val="left"/>
              <w:rPr>
                <w:rFonts w:ascii="黑体" w:hAnsi="黑体" w:cs="黑体" w:eastAsia="黑体" w:hint="default"/>
                <w:sz w:val="20"/>
                <w:szCs w:val="20"/>
              </w:rPr>
            </w:pPr>
            <w:r>
              <w:rPr>
                <w:rFonts w:ascii="黑体" w:hAnsi="黑体" w:cs="黑体" w:eastAsia="黑体" w:hint="default"/>
                <w:sz w:val="20"/>
                <w:szCs w:val="20"/>
              </w:rPr>
              <w:t>长期借款</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6"/>
              <w:jc w:val="right"/>
              <w:rPr>
                <w:rFonts w:ascii="Arial" w:hAnsi="Arial" w:cs="Arial" w:eastAsia="Arial" w:hint="default"/>
                <w:sz w:val="20"/>
                <w:szCs w:val="20"/>
              </w:rPr>
            </w:pPr>
            <w:r>
              <w:rPr>
                <w:rFonts w:ascii="Arial"/>
                <w:w w:val="99"/>
                <w:sz w:val="20"/>
              </w:rPr>
            </w:r>
            <w:r>
              <w:rPr>
                <w:rFonts w:ascii="Arial"/>
                <w:w w:val="95"/>
                <w:sz w:val="20"/>
                <w:u w:val="thick" w:color="000000"/>
              </w:rPr>
              <w:t>45,000,000</w:t>
            </w:r>
            <w:r>
              <w:rPr>
                <w:rFonts w:ascii="Arial"/>
                <w:w w:val="95"/>
                <w:sz w:val="20"/>
              </w:rPr>
            </w:r>
            <w:r>
              <w:rPr>
                <w:rFonts w:ascii="Arial"/>
                <w:sz w:val="20"/>
              </w:rPr>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
              <w:jc w:val="right"/>
              <w:rPr>
                <w:rFonts w:ascii="Arial" w:hAnsi="Arial" w:cs="Arial" w:eastAsia="Arial" w:hint="default"/>
                <w:sz w:val="20"/>
                <w:szCs w:val="20"/>
              </w:rPr>
            </w:pPr>
            <w:r>
              <w:rPr>
                <w:rFonts w:ascii="Arial"/>
                <w:w w:val="99"/>
                <w:sz w:val="20"/>
              </w:rPr>
            </w:r>
            <w:r>
              <w:rPr>
                <w:rFonts w:ascii="Arial"/>
                <w:spacing w:val="-1"/>
                <w:sz w:val="20"/>
                <w:u w:val="thick" w:color="000000"/>
              </w:rPr>
              <w:t>171,666,664</w:t>
            </w:r>
            <w:r>
              <w:rPr>
                <w:rFonts w:ascii="Arial"/>
                <w:spacing w:val="-1"/>
                <w:sz w:val="20"/>
              </w:rPr>
            </w:r>
          </w:p>
        </w:tc>
        <w:tc>
          <w:tcPr>
            <w:tcW w:w="115"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36"/>
              <w:jc w:val="right"/>
              <w:rPr>
                <w:rFonts w:ascii="Arial" w:hAnsi="Arial" w:cs="Arial" w:eastAsia="Arial" w:hint="default"/>
                <w:sz w:val="20"/>
                <w:szCs w:val="20"/>
              </w:rPr>
            </w:pPr>
            <w:r>
              <w:rPr>
                <w:rFonts w:ascii="Arial"/>
                <w:w w:val="99"/>
                <w:sz w:val="20"/>
              </w:rPr>
            </w:r>
            <w:r>
              <w:rPr>
                <w:rFonts w:ascii="Arial"/>
                <w:w w:val="95"/>
                <w:sz w:val="20"/>
                <w:u w:val="thick" w:color="000000"/>
              </w:rPr>
              <w:t>45,000,000</w:t>
            </w:r>
            <w:r>
              <w:rPr>
                <w:rFonts w:ascii="Arial"/>
                <w:w w:val="95"/>
                <w:sz w:val="20"/>
              </w:rPr>
            </w:r>
            <w:r>
              <w:rPr>
                <w:rFonts w:ascii="Arial"/>
                <w:sz w:val="20"/>
              </w:rPr>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right"/>
              <w:rPr>
                <w:rFonts w:ascii="Arial" w:hAnsi="Arial" w:cs="Arial" w:eastAsia="Arial" w:hint="default"/>
                <w:sz w:val="20"/>
                <w:szCs w:val="20"/>
              </w:rPr>
            </w:pPr>
            <w:r>
              <w:rPr>
                <w:rFonts w:ascii="Arial"/>
                <w:w w:val="99"/>
                <w:sz w:val="20"/>
              </w:rPr>
            </w:r>
            <w:r>
              <w:rPr>
                <w:rFonts w:ascii="Arial"/>
                <w:spacing w:val="-1"/>
                <w:sz w:val="20"/>
                <w:u w:val="thick" w:color="000000"/>
              </w:rPr>
              <w:t>160,254,188</w:t>
            </w:r>
            <w:r>
              <w:rPr>
                <w:rFonts w:ascii="Arial"/>
                <w:spacing w:val="-1"/>
                <w:sz w:val="20"/>
              </w:rPr>
            </w:r>
          </w:p>
        </w:tc>
      </w:tr>
    </w:tbl>
    <w:p>
      <w:pPr>
        <w:spacing w:line="240" w:lineRule="auto" w:before="11"/>
        <w:rPr>
          <w:rFonts w:ascii="黑体" w:hAnsi="黑体" w:cs="黑体" w:eastAsia="黑体" w:hint="default"/>
          <w:sz w:val="17"/>
          <w:szCs w:val="17"/>
        </w:rPr>
      </w:pPr>
    </w:p>
    <w:p>
      <w:pPr>
        <w:spacing w:line="260" w:lineRule="exact" w:before="63"/>
        <w:ind w:left="318" w:right="149" w:firstLine="0"/>
        <w:jc w:val="both"/>
        <w:rPr>
          <w:rFonts w:ascii="黑体" w:hAnsi="黑体" w:cs="黑体" w:eastAsia="黑体" w:hint="default"/>
          <w:sz w:val="20"/>
          <w:szCs w:val="20"/>
        </w:rPr>
      </w:pPr>
      <w:r>
        <w:rPr>
          <w:rFonts w:ascii="黑体" w:hAnsi="黑体" w:cs="黑体" w:eastAsia="黑体" w:hint="default"/>
          <w:w w:val="95"/>
          <w:sz w:val="20"/>
          <w:szCs w:val="20"/>
        </w:rPr>
        <w:t>管理层已经评估了货币资金、应收票据、应收账款、其他应收款、其他流动资产、短期借款、应</w:t>
      </w:r>
      <w:r>
        <w:rPr>
          <w:rFonts w:ascii="黑体" w:hAnsi="黑体" w:cs="黑体" w:eastAsia="黑体" w:hint="default"/>
          <w:spacing w:val="40"/>
          <w:w w:val="95"/>
          <w:sz w:val="20"/>
          <w:szCs w:val="20"/>
        </w:rPr>
        <w:t> </w:t>
      </w:r>
      <w:r>
        <w:rPr>
          <w:rFonts w:ascii="黑体" w:hAnsi="黑体" w:cs="黑体" w:eastAsia="黑体" w:hint="default"/>
          <w:spacing w:val="40"/>
          <w:w w:val="95"/>
          <w:sz w:val="20"/>
          <w:szCs w:val="20"/>
        </w:rPr>
      </w:r>
      <w:r>
        <w:rPr>
          <w:rFonts w:ascii="黑体" w:hAnsi="黑体" w:cs="黑体" w:eastAsia="黑体" w:hint="default"/>
          <w:sz w:val="20"/>
          <w:szCs w:val="20"/>
        </w:rPr>
        <w:t>付账款、其他应付款、一年内到期的长期借款等，因剩余期限不长，公允价值与账面价值相若。</w:t>
      </w:r>
    </w:p>
    <w:p>
      <w:pPr>
        <w:spacing w:line="240" w:lineRule="auto" w:before="8"/>
        <w:rPr>
          <w:rFonts w:ascii="黑体" w:hAnsi="黑体" w:cs="黑体" w:eastAsia="黑体" w:hint="default"/>
          <w:sz w:val="15"/>
          <w:szCs w:val="15"/>
        </w:rPr>
      </w:pPr>
    </w:p>
    <w:p>
      <w:pPr>
        <w:spacing w:before="0"/>
        <w:ind w:left="318" w:right="0" w:firstLine="0"/>
        <w:jc w:val="both"/>
        <w:rPr>
          <w:rFonts w:ascii="黑体" w:hAnsi="黑体" w:cs="黑体" w:eastAsia="黑体" w:hint="default"/>
          <w:sz w:val="20"/>
          <w:szCs w:val="20"/>
        </w:rPr>
      </w:pPr>
      <w:r>
        <w:rPr>
          <w:rFonts w:ascii="黑体" w:hAnsi="黑体" w:cs="黑体" w:eastAsia="黑体" w:hint="default"/>
          <w:sz w:val="20"/>
          <w:szCs w:val="20"/>
        </w:rPr>
        <w:t>本集团所持有的其他非流动金融资产以及交易性金融资产均按公允价值计量。</w:t>
      </w:r>
    </w:p>
    <w:p>
      <w:pPr>
        <w:spacing w:line="240" w:lineRule="auto" w:before="5"/>
        <w:rPr>
          <w:rFonts w:ascii="黑体" w:hAnsi="黑体" w:cs="黑体" w:eastAsia="黑体" w:hint="default"/>
          <w:sz w:val="19"/>
          <w:szCs w:val="19"/>
        </w:rPr>
      </w:pPr>
    </w:p>
    <w:p>
      <w:pPr>
        <w:spacing w:line="260" w:lineRule="exact" w:before="0"/>
        <w:ind w:left="318" w:right="235" w:firstLine="0"/>
        <w:jc w:val="both"/>
        <w:rPr>
          <w:rFonts w:ascii="黑体" w:hAnsi="黑体" w:cs="黑体" w:eastAsia="黑体" w:hint="default"/>
          <w:sz w:val="20"/>
          <w:szCs w:val="20"/>
        </w:rPr>
      </w:pPr>
      <w:r>
        <w:rPr>
          <w:rFonts w:ascii="黑体" w:hAnsi="黑体" w:cs="黑体" w:eastAsia="黑体" w:hint="default"/>
          <w:spacing w:val="-2"/>
          <w:w w:val="95"/>
          <w:sz w:val="20"/>
          <w:szCs w:val="20"/>
        </w:rPr>
        <w:t>本集团的财务部门由财务经理领导，负责制定金融工具公允价值计量的政策和程序。财务经理直</w:t>
      </w:r>
      <w:r>
        <w:rPr>
          <w:rFonts w:ascii="黑体" w:hAnsi="黑体" w:cs="黑体" w:eastAsia="黑体" w:hint="default"/>
          <w:spacing w:val="32"/>
          <w:w w:val="95"/>
          <w:sz w:val="20"/>
          <w:szCs w:val="20"/>
        </w:rPr>
        <w:t> </w:t>
      </w:r>
      <w:r>
        <w:rPr>
          <w:rFonts w:ascii="黑体" w:hAnsi="黑体" w:cs="黑体" w:eastAsia="黑体" w:hint="default"/>
          <w:spacing w:val="32"/>
          <w:w w:val="95"/>
          <w:sz w:val="20"/>
          <w:szCs w:val="20"/>
        </w:rPr>
      </w:r>
      <w:r>
        <w:rPr>
          <w:rFonts w:ascii="黑体" w:hAnsi="黑体" w:cs="黑体" w:eastAsia="黑体" w:hint="default"/>
          <w:spacing w:val="-2"/>
          <w:w w:val="95"/>
          <w:sz w:val="20"/>
          <w:szCs w:val="20"/>
        </w:rPr>
        <w:t>接向财务总监和审计委员会报告。每个资产负债表日，财务部门分析金融工具价值变动，确定估</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值适用的主要输入值。估值须经财务总监审核批准。</w:t>
      </w:r>
    </w:p>
    <w:p>
      <w:pPr>
        <w:spacing w:line="240" w:lineRule="auto" w:before="7"/>
        <w:rPr>
          <w:rFonts w:ascii="黑体" w:hAnsi="黑体" w:cs="黑体" w:eastAsia="黑体" w:hint="default"/>
          <w:sz w:val="17"/>
          <w:szCs w:val="17"/>
        </w:rPr>
      </w:pPr>
    </w:p>
    <w:p>
      <w:pPr>
        <w:spacing w:line="260" w:lineRule="exact" w:before="0"/>
        <w:ind w:left="318" w:right="235" w:firstLine="0"/>
        <w:jc w:val="both"/>
        <w:rPr>
          <w:rFonts w:ascii="黑体" w:hAnsi="黑体" w:cs="黑体" w:eastAsia="黑体" w:hint="default"/>
          <w:sz w:val="20"/>
          <w:szCs w:val="20"/>
        </w:rPr>
      </w:pPr>
      <w:r>
        <w:rPr>
          <w:rFonts w:ascii="黑体" w:hAnsi="黑体" w:cs="黑体" w:eastAsia="黑体" w:hint="default"/>
          <w:spacing w:val="-2"/>
          <w:w w:val="95"/>
          <w:sz w:val="20"/>
          <w:szCs w:val="20"/>
        </w:rPr>
        <w:t>金融资产和金融负债的公允价值，是指以在公平交易中，熟悉情况的交易双方自愿进行资产交换</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pacing w:val="-2"/>
          <w:w w:val="95"/>
          <w:sz w:val="20"/>
          <w:szCs w:val="20"/>
        </w:rPr>
        <w:t>或者债务清偿的金额确定，而不是被迫出售或清算情况下的金额。以下方法和假设用于估计公允</w:t>
      </w:r>
      <w:r>
        <w:rPr>
          <w:rFonts w:ascii="黑体" w:hAnsi="黑体" w:cs="黑体" w:eastAsia="黑体" w:hint="default"/>
          <w:w w:val="95"/>
          <w:sz w:val="20"/>
          <w:szCs w:val="20"/>
        </w:rPr>
        <w:t>  </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z w:val="20"/>
          <w:szCs w:val="20"/>
        </w:rPr>
        <w:t>价值。</w:t>
      </w:r>
    </w:p>
    <w:p>
      <w:pPr>
        <w:spacing w:line="240" w:lineRule="auto" w:before="8"/>
        <w:rPr>
          <w:rFonts w:ascii="黑体" w:hAnsi="黑体" w:cs="黑体" w:eastAsia="黑体" w:hint="default"/>
          <w:sz w:val="17"/>
          <w:szCs w:val="17"/>
        </w:rPr>
      </w:pPr>
    </w:p>
    <w:p>
      <w:pPr>
        <w:spacing w:line="260" w:lineRule="exact" w:before="0"/>
        <w:ind w:left="318" w:right="233" w:firstLine="0"/>
        <w:jc w:val="both"/>
        <w:rPr>
          <w:rFonts w:ascii="黑体" w:hAnsi="黑体" w:cs="黑体" w:eastAsia="黑体" w:hint="default"/>
          <w:sz w:val="20"/>
          <w:szCs w:val="20"/>
        </w:rPr>
      </w:pPr>
      <w:r>
        <w:rPr>
          <w:rFonts w:ascii="黑体" w:hAnsi="黑体" w:cs="黑体" w:eastAsia="黑体" w:hint="default"/>
          <w:spacing w:val="-2"/>
          <w:w w:val="95"/>
          <w:sz w:val="20"/>
          <w:szCs w:val="20"/>
        </w:rPr>
        <w:t>长短期借款采用未来现金流量折现法确定公允价值，以有相似合同条款、信用风险和剩余期限的</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z w:val="20"/>
          <w:szCs w:val="20"/>
        </w:rPr>
        <w:t>其他金融工具的市场收益率作为折现率。</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日，针对长短期借款的自身不履约风险</w:t>
      </w:r>
      <w:r>
        <w:rPr>
          <w:rFonts w:ascii="黑体" w:hAnsi="黑体" w:cs="黑体" w:eastAsia="黑体" w:hint="default"/>
          <w:spacing w:val="-88"/>
          <w:sz w:val="20"/>
          <w:szCs w:val="20"/>
        </w:rPr>
        <w:t> </w:t>
      </w:r>
      <w:r>
        <w:rPr>
          <w:rFonts w:ascii="黑体" w:hAnsi="黑体" w:cs="黑体" w:eastAsia="黑体" w:hint="default"/>
          <w:spacing w:val="-88"/>
          <w:sz w:val="20"/>
          <w:szCs w:val="20"/>
        </w:rPr>
      </w:r>
      <w:r>
        <w:rPr>
          <w:rFonts w:ascii="黑体" w:hAnsi="黑体" w:cs="黑体" w:eastAsia="黑体" w:hint="default"/>
          <w:spacing w:val="-2"/>
          <w:w w:val="95"/>
          <w:sz w:val="20"/>
          <w:szCs w:val="20"/>
        </w:rPr>
        <w:t>评估为不重大。上市的权益工具投资，以市场报价确定公允价值。非上市的权益工具，采用近期</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z w:val="20"/>
          <w:szCs w:val="20"/>
        </w:rPr>
        <w:t>交易法、可比公司乘数法、投资成本法及资产基础法确定公允价值。</w:t>
      </w:r>
    </w:p>
    <w:p>
      <w:pPr>
        <w:spacing w:line="240" w:lineRule="auto" w:before="7"/>
        <w:rPr>
          <w:rFonts w:ascii="黑体" w:hAnsi="黑体" w:cs="黑体" w:eastAsia="黑体" w:hint="default"/>
          <w:sz w:val="17"/>
          <w:szCs w:val="17"/>
        </w:rPr>
      </w:pPr>
    </w:p>
    <w:p>
      <w:pPr>
        <w:spacing w:line="260" w:lineRule="exact" w:before="0"/>
        <w:ind w:left="318" w:right="0" w:firstLine="0"/>
        <w:jc w:val="left"/>
        <w:rPr>
          <w:rFonts w:ascii="黑体" w:hAnsi="黑体" w:cs="黑体" w:eastAsia="黑体" w:hint="default"/>
          <w:sz w:val="20"/>
          <w:szCs w:val="20"/>
        </w:rPr>
      </w:pPr>
      <w:r>
        <w:rPr>
          <w:rFonts w:ascii="黑体" w:hAnsi="黑体" w:cs="黑体" w:eastAsia="黑体" w:hint="default"/>
          <w:w w:val="95"/>
          <w:sz w:val="20"/>
          <w:szCs w:val="20"/>
        </w:rPr>
        <w:t>上市的权益工具投资，以市场报价确定公允价值。非上市的权益工具，采用近期交易法、可比公</w:t>
      </w:r>
      <w:r>
        <w:rPr>
          <w:rFonts w:ascii="黑体" w:hAnsi="黑体" w:cs="黑体" w:eastAsia="黑体" w:hint="default"/>
          <w:spacing w:val="41"/>
          <w:w w:val="95"/>
          <w:sz w:val="20"/>
          <w:szCs w:val="20"/>
        </w:rPr>
        <w:t> </w:t>
      </w:r>
      <w:r>
        <w:rPr>
          <w:rFonts w:ascii="黑体" w:hAnsi="黑体" w:cs="黑体" w:eastAsia="黑体" w:hint="default"/>
          <w:spacing w:val="41"/>
          <w:w w:val="95"/>
          <w:sz w:val="20"/>
          <w:szCs w:val="20"/>
        </w:rPr>
      </w:r>
      <w:r>
        <w:rPr>
          <w:rFonts w:ascii="黑体" w:hAnsi="黑体" w:cs="黑体" w:eastAsia="黑体" w:hint="default"/>
          <w:sz w:val="20"/>
          <w:szCs w:val="20"/>
        </w:rPr>
        <w:t>司乘数法、投资成本法及资产基础法等确定公允价值。</w:t>
      </w:r>
    </w:p>
    <w:p>
      <w:pPr>
        <w:spacing w:line="240" w:lineRule="auto" w:before="12"/>
        <w:rPr>
          <w:rFonts w:ascii="黑体" w:hAnsi="黑体" w:cs="黑体" w:eastAsia="黑体" w:hint="default"/>
          <w:sz w:val="15"/>
          <w:szCs w:val="15"/>
        </w:rPr>
      </w:pPr>
    </w:p>
    <w:p>
      <w:pPr>
        <w:spacing w:line="235" w:lineRule="auto" w:before="0"/>
        <w:ind w:left="318" w:right="0" w:firstLine="0"/>
        <w:jc w:val="left"/>
        <w:rPr>
          <w:rFonts w:ascii="黑体" w:hAnsi="黑体" w:cs="黑体" w:eastAsia="黑体" w:hint="default"/>
          <w:sz w:val="20"/>
          <w:szCs w:val="20"/>
        </w:rPr>
      </w:pPr>
      <w:r>
        <w:rPr>
          <w:rFonts w:ascii="黑体" w:hAnsi="黑体" w:cs="黑体" w:eastAsia="黑体" w:hint="default"/>
          <w:spacing w:val="-4"/>
          <w:w w:val="95"/>
          <w:sz w:val="20"/>
          <w:szCs w:val="20"/>
        </w:rPr>
        <w:t>本集团与多个交易对手（主要是星展银行及汇丰银行）订立了衍生金融工具合同。衍生金融工具，</w:t>
      </w:r>
      <w:r>
        <w:rPr>
          <w:rFonts w:ascii="黑体" w:hAnsi="黑体" w:cs="黑体" w:eastAsia="黑体" w:hint="default"/>
          <w:spacing w:val="41"/>
          <w:w w:val="95"/>
          <w:sz w:val="20"/>
          <w:szCs w:val="20"/>
        </w:rPr>
        <w:t> </w:t>
      </w:r>
      <w:r>
        <w:rPr>
          <w:rFonts w:ascii="黑体" w:hAnsi="黑体" w:cs="黑体" w:eastAsia="黑体" w:hint="default"/>
          <w:spacing w:val="41"/>
          <w:w w:val="95"/>
          <w:sz w:val="20"/>
          <w:szCs w:val="20"/>
        </w:rPr>
      </w:r>
      <w:r>
        <w:rPr>
          <w:rFonts w:ascii="黑体" w:hAnsi="黑体" w:cs="黑体" w:eastAsia="黑体" w:hint="default"/>
          <w:spacing w:val="-2"/>
          <w:w w:val="99"/>
          <w:sz w:val="20"/>
          <w:szCs w:val="20"/>
        </w:rPr>
        <w:t>包括外汇远期合同和利率互换，采用类似于远期定价和互换模型以及现值方法的估值技术进行计</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w w:val="95"/>
          <w:sz w:val="20"/>
          <w:szCs w:val="20"/>
        </w:rPr>
        <w:t>量。模型涵盖了多个市场可观察到的输入值，包括交易对手的信用质量、即期和远期汇率和利率</w:t>
      </w:r>
      <w:r>
        <w:rPr>
          <w:rFonts w:ascii="黑体" w:hAnsi="黑体" w:cs="黑体" w:eastAsia="黑体" w:hint="default"/>
          <w:spacing w:val="42"/>
          <w:w w:val="95"/>
          <w:sz w:val="20"/>
          <w:szCs w:val="20"/>
        </w:rPr>
        <w:t> </w:t>
      </w:r>
      <w:r>
        <w:rPr>
          <w:rFonts w:ascii="黑体" w:hAnsi="黑体" w:cs="黑体" w:eastAsia="黑体" w:hint="default"/>
          <w:spacing w:val="42"/>
          <w:w w:val="95"/>
          <w:sz w:val="20"/>
          <w:szCs w:val="20"/>
        </w:rPr>
      </w:r>
      <w:r>
        <w:rPr>
          <w:rFonts w:ascii="黑体" w:hAnsi="黑体" w:cs="黑体" w:eastAsia="黑体" w:hint="default"/>
          <w:sz w:val="20"/>
          <w:szCs w:val="20"/>
        </w:rPr>
        <w:t>曲线。外汇远期合同和利率互换的账面价值，与公允价值相同。于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日，衍生金融</w:t>
      </w:r>
      <w:r>
        <w:rPr>
          <w:rFonts w:ascii="黑体" w:hAnsi="黑体" w:cs="黑体" w:eastAsia="黑体" w:hint="default"/>
          <w:spacing w:val="-86"/>
          <w:sz w:val="20"/>
          <w:szCs w:val="20"/>
        </w:rPr>
        <w:t> </w:t>
      </w:r>
      <w:r>
        <w:rPr>
          <w:rFonts w:ascii="黑体" w:hAnsi="黑体" w:cs="黑体" w:eastAsia="黑体" w:hint="default"/>
          <w:spacing w:val="-86"/>
          <w:sz w:val="20"/>
          <w:szCs w:val="20"/>
        </w:rPr>
      </w:r>
      <w:r>
        <w:rPr>
          <w:rFonts w:ascii="黑体" w:hAnsi="黑体" w:cs="黑体" w:eastAsia="黑体" w:hint="default"/>
          <w:w w:val="95"/>
          <w:sz w:val="20"/>
          <w:szCs w:val="20"/>
        </w:rPr>
        <w:t>资产的盯市价值，是抵销了归属于衍生工具交易对手违约风险的信用估值调整之后的净值。交易</w:t>
      </w:r>
      <w:r>
        <w:rPr>
          <w:rFonts w:ascii="黑体" w:hAnsi="黑体" w:cs="黑体" w:eastAsia="黑体" w:hint="default"/>
          <w:spacing w:val="44"/>
          <w:w w:val="95"/>
          <w:sz w:val="20"/>
          <w:szCs w:val="20"/>
        </w:rPr>
        <w:t> </w:t>
      </w:r>
      <w:r>
        <w:rPr>
          <w:rFonts w:ascii="黑体" w:hAnsi="黑体" w:cs="黑体" w:eastAsia="黑体" w:hint="default"/>
          <w:spacing w:val="44"/>
          <w:w w:val="95"/>
          <w:sz w:val="20"/>
          <w:szCs w:val="20"/>
        </w:rPr>
      </w:r>
      <w:r>
        <w:rPr>
          <w:rFonts w:ascii="黑体" w:hAnsi="黑体" w:cs="黑体" w:eastAsia="黑体" w:hint="default"/>
          <w:spacing w:val="-2"/>
          <w:w w:val="99"/>
          <w:sz w:val="20"/>
          <w:szCs w:val="20"/>
        </w:rPr>
        <w:t>对手信用风险的变化，对于套期关系中指定衍生工具的套期有效性的评价和其他以公允价值计量</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的金融工具，均无重大影响。</w:t>
      </w:r>
    </w:p>
    <w:p>
      <w:pPr>
        <w:spacing w:after="0" w:line="235" w:lineRule="auto"/>
        <w:jc w:val="left"/>
        <w:rPr>
          <w:rFonts w:ascii="黑体" w:hAnsi="黑体" w:cs="黑体" w:eastAsia="黑体" w:hint="default"/>
          <w:sz w:val="20"/>
          <w:szCs w:val="20"/>
        </w:rPr>
        <w:sectPr>
          <w:footerReference w:type="default" r:id="rId83"/>
          <w:pgSz w:w="11910" w:h="16850"/>
          <w:pgMar w:footer="921" w:header="745" w:top="980" w:bottom="1120" w:left="1480" w:right="156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25"/>
          <w:szCs w:val="25"/>
        </w:rPr>
      </w:pPr>
    </w:p>
    <w:p>
      <w:pPr>
        <w:tabs>
          <w:tab w:pos="637" w:val="left" w:leader="none"/>
        </w:tabs>
        <w:spacing w:before="37"/>
        <w:ind w:left="218" w:right="6141" w:firstLine="0"/>
        <w:jc w:val="left"/>
        <w:rPr>
          <w:rFonts w:ascii="宋体" w:hAnsi="宋体" w:cs="宋体" w:eastAsia="宋体" w:hint="default"/>
          <w:sz w:val="20"/>
          <w:szCs w:val="20"/>
        </w:rPr>
      </w:pPr>
      <w:r>
        <w:rPr>
          <w:rFonts w:ascii="Cambria" w:hAnsi="Cambria" w:cs="Cambria" w:eastAsia="Cambria" w:hint="default"/>
          <w:b/>
          <w:bCs/>
          <w:spacing w:val="-1"/>
          <w:sz w:val="20"/>
          <w:szCs w:val="20"/>
        </w:rPr>
        <w:t>3.</w:t>
        <w:tab/>
      </w:r>
      <w:r>
        <w:rPr>
          <w:rFonts w:ascii="宋体" w:hAnsi="宋体" w:cs="宋体" w:eastAsia="宋体" w:hint="default"/>
          <w:b/>
          <w:bCs/>
          <w:spacing w:val="1"/>
          <w:sz w:val="20"/>
          <w:szCs w:val="20"/>
        </w:rPr>
        <w:t>公允价值层次转换</w:t>
      </w:r>
      <w:r>
        <w:rPr>
          <w:rFonts w:ascii="宋体" w:hAnsi="宋体" w:cs="宋体" w:eastAsia="宋体" w:hint="default"/>
          <w:spacing w:val="1"/>
          <w:sz w:val="20"/>
          <w:szCs w:val="20"/>
        </w:rPr>
      </w:r>
    </w:p>
    <w:p>
      <w:pPr>
        <w:spacing w:line="240" w:lineRule="auto" w:before="9"/>
        <w:rPr>
          <w:rFonts w:ascii="宋体" w:hAnsi="宋体" w:cs="宋体" w:eastAsia="宋体" w:hint="default"/>
          <w:b/>
          <w:bCs/>
          <w:sz w:val="22"/>
          <w:szCs w:val="22"/>
        </w:rPr>
      </w:pPr>
    </w:p>
    <w:p>
      <w:pPr>
        <w:spacing w:line="260" w:lineRule="exact" w:before="0"/>
        <w:ind w:left="218" w:right="0" w:firstLine="0"/>
        <w:jc w:val="left"/>
        <w:rPr>
          <w:rFonts w:ascii="宋体" w:hAnsi="宋体" w:cs="宋体" w:eastAsia="宋体" w:hint="default"/>
          <w:sz w:val="24"/>
          <w:szCs w:val="24"/>
        </w:rPr>
      </w:pPr>
      <w:r>
        <w:rPr>
          <w:rFonts w:ascii="黑体" w:hAnsi="黑体" w:cs="黑体" w:eastAsia="黑体" w:hint="default"/>
          <w:sz w:val="20"/>
          <w:szCs w:val="20"/>
        </w:rPr>
        <w:t>截至 </w:t>
      </w:r>
      <w:r>
        <w:rPr>
          <w:rFonts w:ascii="Arial" w:hAnsi="Arial" w:cs="Arial" w:eastAsia="Arial" w:hint="default"/>
          <w:sz w:val="20"/>
          <w:szCs w:val="20"/>
        </w:rPr>
        <w:t>2019 </w:t>
      </w:r>
      <w:r>
        <w:rPr>
          <w:rFonts w:ascii="黑体" w:hAnsi="黑体" w:cs="黑体" w:eastAsia="黑体" w:hint="default"/>
          <w:sz w:val="20"/>
          <w:szCs w:val="20"/>
        </w:rPr>
        <w:t>年 </w:t>
      </w:r>
      <w:r>
        <w:rPr>
          <w:rFonts w:ascii="Arial" w:hAnsi="Arial" w:cs="Arial" w:eastAsia="Arial" w:hint="default"/>
          <w:sz w:val="20"/>
          <w:szCs w:val="20"/>
        </w:rPr>
        <w:t>12 </w:t>
      </w:r>
      <w:r>
        <w:rPr>
          <w:rFonts w:ascii="黑体" w:hAnsi="黑体" w:cs="黑体" w:eastAsia="黑体" w:hint="default"/>
          <w:sz w:val="20"/>
          <w:szCs w:val="20"/>
        </w:rPr>
        <w:t>月 </w:t>
      </w:r>
      <w:r>
        <w:rPr>
          <w:rFonts w:ascii="Arial" w:hAnsi="Arial" w:cs="Arial" w:eastAsia="Arial" w:hint="default"/>
          <w:sz w:val="20"/>
          <w:szCs w:val="20"/>
        </w:rPr>
        <w:t>31</w:t>
      </w:r>
      <w:r>
        <w:rPr>
          <w:rFonts w:ascii="Arial" w:hAnsi="Arial" w:cs="Arial" w:eastAsia="Arial" w:hint="default"/>
          <w:spacing w:val="19"/>
          <w:sz w:val="20"/>
          <w:szCs w:val="20"/>
        </w:rPr>
        <w:t> </w:t>
      </w:r>
      <w:r>
        <w:rPr>
          <w:rFonts w:ascii="黑体" w:hAnsi="黑体" w:cs="黑体" w:eastAsia="黑体" w:hint="default"/>
          <w:sz w:val="20"/>
          <w:szCs w:val="20"/>
        </w:rPr>
        <w:t>日，并无金融资产和金融负债公允价值计量在第一层次和第二层次之</w:t>
      </w:r>
      <w:r>
        <w:rPr>
          <w:rFonts w:ascii="黑体" w:hAnsi="黑体" w:cs="黑体" w:eastAsia="黑体" w:hint="default"/>
          <w:w w:val="99"/>
          <w:sz w:val="20"/>
          <w:szCs w:val="20"/>
        </w:rPr>
        <w:t> </w:t>
      </w:r>
      <w:r>
        <w:rPr>
          <w:rFonts w:ascii="黑体" w:hAnsi="黑体" w:cs="黑体" w:eastAsia="黑体" w:hint="default"/>
          <w:sz w:val="20"/>
          <w:szCs w:val="20"/>
        </w:rPr>
        <w:t>间的</w:t>
      </w:r>
      <w:r>
        <w:rPr>
          <w:rFonts w:ascii="黑体" w:hAnsi="黑体" w:cs="黑体" w:eastAsia="黑体" w:hint="default"/>
          <w:spacing w:val="-4"/>
          <w:sz w:val="20"/>
          <w:szCs w:val="20"/>
        </w:rPr>
        <w:t> </w:t>
      </w:r>
      <w:r>
        <w:rPr>
          <w:rFonts w:ascii="黑体" w:hAnsi="黑体" w:cs="黑体" w:eastAsia="黑体" w:hint="default"/>
          <w:sz w:val="20"/>
          <w:szCs w:val="20"/>
        </w:rPr>
        <w:t>转移，亦无转入或转出第三层次的情况。</w:t>
      </w:r>
      <w:r>
        <w:rPr>
          <w:rFonts w:ascii="宋体" w:hAnsi="宋体" w:cs="宋体" w:eastAsia="宋体" w:hint="default"/>
          <w:sz w:val="24"/>
          <w:szCs w:val="24"/>
        </w:rPr>
        <w:t> </w:t>
      </w:r>
    </w:p>
    <w:p>
      <w:pPr>
        <w:spacing w:line="240" w:lineRule="auto" w:before="1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footerReference w:type="default" r:id="rId84"/>
          <w:pgSz w:w="11910" w:h="16850"/>
          <w:pgMar w:footer="921" w:header="745" w:top="980" w:bottom="1120" w:left="1580" w:right="1560"/>
          <w:pgNumType w:start="161"/>
        </w:sectPr>
      </w:pPr>
    </w:p>
    <w:p>
      <w:pPr>
        <w:spacing w:line="292" w:lineRule="auto" w:before="37"/>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十二、</w:t>
      </w:r>
      <w:r>
        <w:rPr>
          <w:rFonts w:ascii="宋体" w:hAnsi="宋体" w:cs="宋体" w:eastAsia="宋体" w:hint="default"/>
          <w:b/>
          <w:bCs/>
          <w:spacing w:val="33"/>
          <w:sz w:val="20"/>
          <w:szCs w:val="20"/>
        </w:rPr>
        <w:t> </w:t>
      </w:r>
      <w:r>
        <w:rPr>
          <w:rFonts w:ascii="宋体" w:hAnsi="宋体" w:cs="宋体" w:eastAsia="宋体" w:hint="default"/>
          <w:b/>
          <w:bCs/>
          <w:spacing w:val="33"/>
          <w:sz w:val="20"/>
          <w:szCs w:val="20"/>
        </w:rPr>
      </w:r>
      <w:r>
        <w:rPr>
          <w:rFonts w:ascii="宋体" w:hAnsi="宋体" w:cs="宋体" w:eastAsia="宋体" w:hint="default"/>
          <w:b/>
          <w:bCs/>
          <w:sz w:val="20"/>
          <w:szCs w:val="20"/>
        </w:rPr>
        <w:t>关联方及关联交易</w:t>
      </w:r>
      <w:r>
        <w:rPr>
          <w:rFonts w:ascii="宋体" w:hAnsi="宋体" w:cs="宋体" w:eastAsia="宋体" w:hint="default"/>
          <w:b/>
          <w:bCs/>
          <w:w w:val="98"/>
          <w:sz w:val="20"/>
          <w:szCs w:val="20"/>
        </w:rPr>
        <w:t> </w:t>
      </w:r>
      <w:r>
        <w:rPr>
          <w:rFonts w:ascii="宋体" w:hAnsi="宋体" w:cs="宋体" w:eastAsia="宋体" w:hint="default"/>
          <w:b/>
          <w:bCs/>
          <w:sz w:val="20"/>
          <w:szCs w:val="20"/>
        </w:rPr>
        <w:t>1</w:t>
      </w:r>
      <w:r>
        <w:rPr>
          <w:rFonts w:ascii="宋体" w:hAnsi="宋体" w:cs="宋体" w:eastAsia="宋体" w:hint="default"/>
          <w:b/>
          <w:bCs/>
          <w:sz w:val="20"/>
          <w:szCs w:val="20"/>
        </w:rPr>
        <w:t>、</w:t>
      </w:r>
      <w:r>
        <w:rPr>
          <w:rFonts w:ascii="宋体" w:hAnsi="宋体" w:cs="宋体" w:eastAsia="宋体" w:hint="default"/>
          <w:b/>
          <w:bCs/>
          <w:spacing w:val="18"/>
          <w:sz w:val="20"/>
          <w:szCs w:val="20"/>
        </w:rPr>
        <w:t> </w:t>
      </w:r>
      <w:r>
        <w:rPr>
          <w:rFonts w:ascii="宋体" w:hAnsi="宋体" w:cs="宋体" w:eastAsia="宋体" w:hint="default"/>
          <w:b/>
          <w:bCs/>
          <w:sz w:val="20"/>
          <w:szCs w:val="20"/>
        </w:rPr>
        <w:t>本企业的母公司情况</w:t>
      </w:r>
      <w:r>
        <w:rPr>
          <w:rFonts w:ascii="宋体" w:hAnsi="宋体" w:cs="宋体" w:eastAsia="宋体" w:hint="default"/>
          <w:sz w:val="20"/>
          <w:szCs w:val="20"/>
        </w:rPr>
      </w:r>
    </w:p>
    <w:p>
      <w:pPr>
        <w:pStyle w:val="BodyText"/>
        <w:tabs>
          <w:tab w:pos="1177" w:val="left" w:leader="none"/>
        </w:tabs>
        <w:spacing w:line="240" w:lineRule="auto" w:before="5"/>
        <w:ind w:left="218" w:right="0"/>
        <w:jc w:val="left"/>
      </w:pPr>
      <w:r>
        <w:rPr/>
        <w:t>√适用</w:t>
        <w:tab/>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6"/>
          <w:szCs w:val="26"/>
        </w:rPr>
      </w:pPr>
    </w:p>
    <w:p>
      <w:pPr>
        <w:pStyle w:val="BodyText"/>
        <w:tabs>
          <w:tab w:pos="1418" w:val="left" w:leader="none"/>
        </w:tabs>
        <w:spacing w:line="240" w:lineRule="auto"/>
        <w:ind w:left="218" w:right="0"/>
        <w:jc w:val="left"/>
      </w:pPr>
      <w:r>
        <w:rPr/>
        <w:t>单位：元</w:t>
        <w:tab/>
        <w:t>币种：人民币</w:t>
      </w:r>
    </w:p>
    <w:p>
      <w:pPr>
        <w:spacing w:after="0" w:line="240" w:lineRule="auto"/>
        <w:jc w:val="left"/>
        <w:sectPr>
          <w:type w:val="continuous"/>
          <w:pgSz w:w="11910" w:h="16850"/>
          <w:pgMar w:top="1120" w:bottom="1380" w:left="1580" w:right="1560"/>
          <w:cols w:num="2" w:equalWidth="0">
            <w:col w:w="2764" w:space="2910"/>
            <w:col w:w="3096"/>
          </w:cols>
        </w:sectPr>
      </w:pPr>
    </w:p>
    <w:p>
      <w:pPr>
        <w:spacing w:line="240" w:lineRule="auto" w:before="12"/>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308"/>
        <w:gridCol w:w="1162"/>
        <w:gridCol w:w="1380"/>
        <w:gridCol w:w="1380"/>
        <w:gridCol w:w="1586"/>
        <w:gridCol w:w="1714"/>
      </w:tblGrid>
      <w:tr>
        <w:trPr>
          <w:trHeight w:val="944" w:hRule="exact"/>
        </w:trPr>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before="148"/>
              <w:ind w:left="527" w:right="168" w:hanging="360"/>
              <w:jc w:val="left"/>
              <w:rPr>
                <w:rFonts w:ascii="宋体" w:hAnsi="宋体" w:cs="宋体" w:eastAsia="宋体" w:hint="default"/>
                <w:sz w:val="24"/>
                <w:szCs w:val="24"/>
              </w:rPr>
            </w:pPr>
            <w:r>
              <w:rPr>
                <w:rFonts w:ascii="宋体" w:hAnsi="宋体" w:cs="宋体" w:eastAsia="宋体" w:hint="default"/>
                <w:sz w:val="24"/>
                <w:szCs w:val="24"/>
              </w:rPr>
              <w:t>母公司名 称</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13" w:right="0"/>
              <w:jc w:val="left"/>
              <w:rPr>
                <w:rFonts w:ascii="宋体" w:hAnsi="宋体" w:cs="宋体" w:eastAsia="宋体" w:hint="default"/>
                <w:sz w:val="24"/>
                <w:szCs w:val="24"/>
              </w:rPr>
            </w:pPr>
            <w:r>
              <w:rPr>
                <w:rFonts w:ascii="宋体" w:hAnsi="宋体" w:cs="宋体" w:eastAsia="宋体" w:hint="default"/>
                <w:sz w:val="24"/>
                <w:szCs w:val="24"/>
              </w:rPr>
              <w:t>注册地</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03" w:right="0"/>
              <w:jc w:val="left"/>
              <w:rPr>
                <w:rFonts w:ascii="宋体" w:hAnsi="宋体" w:cs="宋体" w:eastAsia="宋体" w:hint="default"/>
                <w:sz w:val="24"/>
                <w:szCs w:val="24"/>
              </w:rPr>
            </w:pPr>
            <w:r>
              <w:rPr>
                <w:rFonts w:ascii="宋体" w:hAnsi="宋体" w:cs="宋体" w:eastAsia="宋体" w:hint="default"/>
                <w:sz w:val="24"/>
                <w:szCs w:val="24"/>
              </w:rPr>
              <w:t>业务性质</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03" w:right="0"/>
              <w:jc w:val="left"/>
              <w:rPr>
                <w:rFonts w:ascii="宋体" w:hAnsi="宋体" w:cs="宋体" w:eastAsia="宋体" w:hint="default"/>
                <w:sz w:val="24"/>
                <w:szCs w:val="24"/>
              </w:rPr>
            </w:pPr>
            <w:r>
              <w:rPr>
                <w:rFonts w:ascii="宋体" w:hAnsi="宋体" w:cs="宋体" w:eastAsia="宋体" w:hint="default"/>
                <w:sz w:val="24"/>
                <w:szCs w:val="24"/>
              </w:rPr>
              <w:t>注册资本</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87" w:right="0"/>
              <w:jc w:val="left"/>
              <w:rPr>
                <w:rFonts w:ascii="宋体" w:hAnsi="宋体" w:cs="宋体" w:eastAsia="宋体" w:hint="default"/>
                <w:sz w:val="24"/>
                <w:szCs w:val="24"/>
              </w:rPr>
            </w:pPr>
            <w:r>
              <w:rPr>
                <w:rFonts w:ascii="宋体" w:hAnsi="宋体" w:cs="宋体" w:eastAsia="宋体" w:hint="default"/>
                <w:sz w:val="24"/>
                <w:szCs w:val="24"/>
              </w:rPr>
              <w:t>母公司对本</w:t>
            </w:r>
          </w:p>
          <w:p>
            <w:pPr>
              <w:pStyle w:val="TableParagraph"/>
              <w:spacing w:line="310" w:lineRule="exact" w:before="31"/>
              <w:ind w:left="367" w:right="187" w:hanging="180"/>
              <w:jc w:val="left"/>
              <w:rPr>
                <w:rFonts w:ascii="Times New Roman" w:hAnsi="Times New Roman" w:cs="Times New Roman" w:eastAsia="Times New Roman" w:hint="default"/>
                <w:sz w:val="24"/>
                <w:szCs w:val="24"/>
              </w:rPr>
            </w:pPr>
            <w:r>
              <w:rPr>
                <w:rFonts w:ascii="宋体" w:hAnsi="宋体" w:cs="宋体" w:eastAsia="宋体" w:hint="default"/>
                <w:sz w:val="24"/>
                <w:szCs w:val="24"/>
              </w:rPr>
              <w:t>企业的持股 比例</w:t>
            </w:r>
            <w:r>
              <w:rPr>
                <w:rFonts w:ascii="Times New Roman" w:hAnsi="Times New Roman" w:cs="Times New Roman" w:eastAsia="Times New Roman" w:hint="default"/>
                <w:sz w:val="24"/>
                <w:szCs w:val="24"/>
              </w:rPr>
              <w:t>(%)</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31" w:right="0"/>
              <w:jc w:val="left"/>
              <w:rPr>
                <w:rFonts w:ascii="宋体" w:hAnsi="宋体" w:cs="宋体" w:eastAsia="宋体" w:hint="default"/>
                <w:sz w:val="24"/>
                <w:szCs w:val="24"/>
              </w:rPr>
            </w:pPr>
            <w:r>
              <w:rPr>
                <w:rFonts w:ascii="宋体" w:hAnsi="宋体" w:cs="宋体" w:eastAsia="宋体" w:hint="default"/>
                <w:sz w:val="24"/>
                <w:szCs w:val="24"/>
              </w:rPr>
              <w:t>母公司对本企</w:t>
            </w:r>
          </w:p>
          <w:p>
            <w:pPr>
              <w:pStyle w:val="TableParagraph"/>
              <w:spacing w:line="310" w:lineRule="exact" w:before="31"/>
              <w:ind w:left="552" w:right="130" w:hanging="421"/>
              <w:jc w:val="left"/>
              <w:rPr>
                <w:rFonts w:ascii="Times New Roman" w:hAnsi="Times New Roman" w:cs="Times New Roman" w:eastAsia="Times New Roman" w:hint="default"/>
                <w:sz w:val="24"/>
                <w:szCs w:val="24"/>
              </w:rPr>
            </w:pPr>
            <w:r>
              <w:rPr>
                <w:rFonts w:ascii="宋体" w:hAnsi="宋体" w:cs="宋体" w:eastAsia="宋体" w:hint="default"/>
                <w:sz w:val="24"/>
                <w:szCs w:val="24"/>
              </w:rPr>
              <w:t>业的表决权比 例</w:t>
            </w:r>
            <w:r>
              <w:rPr>
                <w:rFonts w:ascii="Times New Roman" w:hAnsi="Times New Roman" w:cs="Times New Roman" w:eastAsia="Times New Roman" w:hint="default"/>
                <w:sz w:val="24"/>
                <w:szCs w:val="24"/>
              </w:rPr>
              <w:t>(%)</w:t>
            </w:r>
          </w:p>
        </w:tc>
      </w:tr>
      <w:tr>
        <w:trPr>
          <w:trHeight w:val="2811" w:hRule="exact"/>
        </w:trPr>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312" w:lineRule="exact"/>
              <w:ind w:left="103" w:right="233"/>
              <w:jc w:val="both"/>
              <w:rPr>
                <w:rFonts w:ascii="宋体" w:hAnsi="宋体" w:cs="宋体" w:eastAsia="宋体" w:hint="default"/>
                <w:sz w:val="24"/>
                <w:szCs w:val="24"/>
              </w:rPr>
            </w:pPr>
            <w:r>
              <w:rPr>
                <w:rFonts w:ascii="宋体" w:hAnsi="宋体" w:cs="宋体" w:eastAsia="宋体" w:hint="default"/>
                <w:sz w:val="24"/>
                <w:szCs w:val="24"/>
              </w:rPr>
              <w:t>北京用友 科技有限 公司</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技术开发、</w:t>
            </w:r>
          </w:p>
          <w:p>
            <w:pPr>
              <w:pStyle w:val="TableParagraph"/>
              <w:spacing w:line="237" w:lineRule="auto" w:before="1"/>
              <w:ind w:left="103" w:right="65"/>
              <w:jc w:val="left"/>
              <w:rPr>
                <w:rFonts w:ascii="宋体" w:hAnsi="宋体" w:cs="宋体" w:eastAsia="宋体" w:hint="default"/>
                <w:sz w:val="24"/>
                <w:szCs w:val="24"/>
              </w:rPr>
            </w:pPr>
            <w:r>
              <w:rPr>
                <w:rFonts w:ascii="宋体" w:hAnsi="宋体" w:cs="宋体" w:eastAsia="宋体" w:hint="default"/>
                <w:sz w:val="24"/>
                <w:szCs w:val="24"/>
              </w:rPr>
              <w:t>技术转让、 技术咨询、 技术服务、 企业管理 </w:t>
            </w:r>
            <w:r>
              <w:rPr>
                <w:rFonts w:ascii="宋体" w:hAnsi="宋体" w:cs="宋体" w:eastAsia="宋体" w:hint="default"/>
                <w:spacing w:val="-8"/>
                <w:sz w:val="24"/>
                <w:szCs w:val="24"/>
              </w:rPr>
              <w:t>咨询、经济</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信息咨询、 项目投资、 投资管理。</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87" w:right="0"/>
              <w:jc w:val="left"/>
              <w:rPr>
                <w:rFonts w:ascii="Times New Roman" w:hAnsi="Times New Roman" w:cs="Times New Roman" w:eastAsia="Times New Roman" w:hint="default"/>
                <w:sz w:val="24"/>
                <w:szCs w:val="24"/>
              </w:rPr>
            </w:pPr>
            <w:r>
              <w:rPr>
                <w:rFonts w:ascii="Times New Roman"/>
                <w:sz w:val="24"/>
              </w:rPr>
              <w:t>85,000,000</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5"/>
                <w:sz w:val="24"/>
              </w:rPr>
              <w:t>28.30%</w:t>
            </w:r>
            <w:r>
              <w:rPr>
                <w:rFonts w:ascii="Times New Roman"/>
                <w:sz w:val="24"/>
              </w:rPr>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5"/>
                <w:sz w:val="24"/>
              </w:rPr>
              <w:t>28.30%</w:t>
            </w:r>
            <w:r>
              <w:rPr>
                <w:rFonts w:ascii="Times New Roman"/>
                <w:sz w:val="24"/>
              </w:rPr>
            </w:r>
          </w:p>
        </w:tc>
      </w:tr>
      <w:tr>
        <w:trPr>
          <w:trHeight w:val="2189" w:hRule="exact"/>
        </w:trPr>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37" w:lineRule="auto"/>
              <w:ind w:left="103" w:right="233"/>
              <w:jc w:val="both"/>
              <w:rPr>
                <w:rFonts w:ascii="宋体" w:hAnsi="宋体" w:cs="宋体" w:eastAsia="宋体" w:hint="default"/>
                <w:sz w:val="24"/>
                <w:szCs w:val="24"/>
              </w:rPr>
            </w:pPr>
            <w:r>
              <w:rPr>
                <w:rFonts w:ascii="宋体" w:hAnsi="宋体" w:cs="宋体" w:eastAsia="宋体" w:hint="default"/>
                <w:sz w:val="24"/>
                <w:szCs w:val="24"/>
              </w:rPr>
              <w:t>上海用友 科技咨询 有限公司</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上海</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计算机软</w:t>
            </w:r>
          </w:p>
          <w:p>
            <w:pPr>
              <w:pStyle w:val="TableParagraph"/>
              <w:spacing w:line="237" w:lineRule="auto" w:before="1"/>
              <w:ind w:left="103" w:right="101"/>
              <w:jc w:val="left"/>
              <w:rPr>
                <w:rFonts w:ascii="宋体" w:hAnsi="宋体" w:cs="宋体" w:eastAsia="宋体" w:hint="default"/>
                <w:sz w:val="24"/>
                <w:szCs w:val="24"/>
              </w:rPr>
            </w:pPr>
            <w:r>
              <w:rPr>
                <w:rFonts w:ascii="宋体" w:hAnsi="宋体" w:cs="宋体" w:eastAsia="宋体" w:hint="default"/>
                <w:sz w:val="24"/>
                <w:szCs w:val="24"/>
              </w:rPr>
              <w:t>硬件的技 </w:t>
            </w:r>
            <w:r>
              <w:rPr>
                <w:rFonts w:ascii="宋体" w:hAnsi="宋体" w:cs="宋体" w:eastAsia="宋体" w:hint="default"/>
                <w:spacing w:val="-8"/>
                <w:sz w:val="24"/>
                <w:szCs w:val="24"/>
              </w:rPr>
              <w:t>术咨询、企</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业管理咨 </w:t>
            </w:r>
            <w:r>
              <w:rPr>
                <w:rFonts w:ascii="宋体" w:hAnsi="宋体" w:cs="宋体" w:eastAsia="宋体" w:hint="default"/>
                <w:spacing w:val="-8"/>
                <w:sz w:val="24"/>
                <w:szCs w:val="24"/>
              </w:rPr>
              <w:t>询，投资管</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pacing w:val="-8"/>
                <w:sz w:val="24"/>
                <w:szCs w:val="24"/>
              </w:rPr>
              <w:t>理、实业投</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资。</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87" w:right="0"/>
              <w:jc w:val="left"/>
              <w:rPr>
                <w:rFonts w:ascii="Times New Roman" w:hAnsi="Times New Roman" w:cs="Times New Roman" w:eastAsia="Times New Roman" w:hint="default"/>
                <w:sz w:val="24"/>
                <w:szCs w:val="24"/>
              </w:rPr>
            </w:pPr>
            <w:r>
              <w:rPr>
                <w:rFonts w:ascii="Times New Roman"/>
                <w:sz w:val="24"/>
              </w:rPr>
              <w:t>22,932,980</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5"/>
                <w:sz w:val="24"/>
              </w:rPr>
              <w:t>12.04%</w:t>
            </w:r>
            <w:r>
              <w:rPr>
                <w:rFonts w:ascii="Times New Roman"/>
                <w:sz w:val="24"/>
              </w:rPr>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w w:val="95"/>
                <w:sz w:val="24"/>
              </w:rPr>
              <w:t>12.04%</w:t>
            </w:r>
            <w:r>
              <w:rPr>
                <w:rFonts w:ascii="Times New Roman"/>
                <w:sz w:val="24"/>
              </w:rPr>
            </w:r>
          </w:p>
        </w:tc>
      </w:tr>
      <w:tr>
        <w:trPr>
          <w:trHeight w:val="2501" w:hRule="exact"/>
        </w:trPr>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121"/>
              <w:ind w:left="103" w:right="101"/>
              <w:jc w:val="left"/>
              <w:rPr>
                <w:rFonts w:ascii="Times New Roman" w:hAnsi="Times New Roman" w:cs="Times New Roman" w:eastAsia="Times New Roman" w:hint="default"/>
                <w:sz w:val="24"/>
                <w:szCs w:val="24"/>
              </w:rPr>
            </w:pPr>
            <w:r>
              <w:rPr>
                <w:rFonts w:ascii="宋体" w:hAnsi="宋体" w:cs="宋体" w:eastAsia="宋体" w:hint="default"/>
                <w:sz w:val="24"/>
                <w:szCs w:val="24"/>
              </w:rPr>
              <w:t>北京用友 企业管理 研究所有 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 </w:t>
            </w:r>
            <w:r>
              <w:rPr>
                <w:rFonts w:ascii="宋体" w:hAnsi="宋体" w:cs="宋体" w:eastAsia="宋体" w:hint="default"/>
                <w:spacing w:val="-22"/>
                <w:sz w:val="24"/>
                <w:szCs w:val="24"/>
              </w:rPr>
              <w:t>下简称“用</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友研究 所”</w:t>
            </w:r>
            <w:r>
              <w:rPr>
                <w:rFonts w:ascii="Times New Roman" w:hAnsi="Times New Roman" w:cs="Times New Roman" w:eastAsia="Times New Roman" w:hint="default"/>
                <w:sz w:val="24"/>
                <w:szCs w:val="24"/>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4"/>
                <w:szCs w:val="24"/>
              </w:rPr>
            </w:pPr>
            <w:r>
              <w:rPr>
                <w:rFonts w:ascii="宋体" w:hAnsi="宋体" w:cs="宋体" w:eastAsia="宋体" w:hint="default"/>
                <w:sz w:val="24"/>
                <w:szCs w:val="24"/>
              </w:rPr>
              <w:t>北京</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技术开发、</w:t>
            </w:r>
          </w:p>
          <w:p>
            <w:pPr>
              <w:pStyle w:val="TableParagraph"/>
              <w:spacing w:line="237" w:lineRule="auto" w:before="1"/>
              <w:ind w:left="103" w:right="65"/>
              <w:jc w:val="left"/>
              <w:rPr>
                <w:rFonts w:ascii="宋体" w:hAnsi="宋体" w:cs="宋体" w:eastAsia="宋体" w:hint="default"/>
                <w:sz w:val="24"/>
                <w:szCs w:val="24"/>
              </w:rPr>
            </w:pPr>
            <w:r>
              <w:rPr>
                <w:rFonts w:ascii="宋体" w:hAnsi="宋体" w:cs="宋体" w:eastAsia="宋体" w:hint="default"/>
                <w:sz w:val="24"/>
                <w:szCs w:val="24"/>
              </w:rPr>
              <w:t>技术转让、 技术咨询、 技术服务、 企业管理 </w:t>
            </w:r>
            <w:r>
              <w:rPr>
                <w:rFonts w:ascii="宋体" w:hAnsi="宋体" w:cs="宋体" w:eastAsia="宋体" w:hint="default"/>
                <w:spacing w:val="-8"/>
                <w:sz w:val="24"/>
                <w:szCs w:val="24"/>
              </w:rPr>
              <w:t>咨询、经济</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贸易咨询、 投资管理。</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87" w:right="0"/>
              <w:jc w:val="left"/>
              <w:rPr>
                <w:rFonts w:ascii="Times New Roman" w:hAnsi="Times New Roman" w:cs="Times New Roman" w:eastAsia="Times New Roman" w:hint="default"/>
                <w:sz w:val="24"/>
                <w:szCs w:val="24"/>
              </w:rPr>
            </w:pPr>
            <w:r>
              <w:rPr>
                <w:rFonts w:ascii="Times New Roman"/>
                <w:sz w:val="24"/>
              </w:rPr>
              <w:t>25,000,000</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sz w:val="24"/>
              </w:rPr>
              <w:t>3.95%</w:t>
            </w:r>
          </w:p>
        </w:tc>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0"/>
              <w:jc w:val="right"/>
              <w:rPr>
                <w:rFonts w:ascii="Times New Roman" w:hAnsi="Times New Roman" w:cs="Times New Roman" w:eastAsia="Times New Roman" w:hint="default"/>
                <w:sz w:val="24"/>
                <w:szCs w:val="24"/>
              </w:rPr>
            </w:pPr>
            <w:r>
              <w:rPr>
                <w:rFonts w:ascii="Times New Roman"/>
                <w:sz w:val="24"/>
              </w:rPr>
              <w:t>3.95%</w:t>
            </w:r>
          </w:p>
        </w:tc>
      </w:tr>
    </w:tbl>
    <w:p>
      <w:pPr>
        <w:spacing w:line="240" w:lineRule="auto" w:before="0"/>
        <w:rPr>
          <w:rFonts w:ascii="宋体" w:hAnsi="宋体" w:cs="宋体" w:eastAsia="宋体" w:hint="default"/>
          <w:sz w:val="16"/>
          <w:szCs w:val="16"/>
        </w:rPr>
      </w:pPr>
    </w:p>
    <w:p>
      <w:pPr>
        <w:pStyle w:val="BodyText"/>
        <w:spacing w:line="237" w:lineRule="auto" w:before="28"/>
        <w:ind w:left="218" w:right="5648"/>
        <w:jc w:val="left"/>
      </w:pPr>
      <w:r>
        <w:rPr/>
        <w:t>本企业的母公司情况的说明 无。 本企业最终控制方是王文京 其他说明：</w:t>
      </w:r>
    </w:p>
    <w:p>
      <w:pPr>
        <w:pStyle w:val="BodyText"/>
        <w:spacing w:line="312" w:lineRule="exact"/>
        <w:ind w:left="218" w:right="6141"/>
        <w:jc w:val="left"/>
      </w:pPr>
      <w:r>
        <w:rPr/>
        <w:t>无。</w:t>
      </w:r>
    </w:p>
    <w:p>
      <w:pPr>
        <w:spacing w:after="0" w:line="312" w:lineRule="exact"/>
        <w:jc w:val="left"/>
        <w:sectPr>
          <w:type w:val="continuous"/>
          <w:pgSz w:w="11910" w:h="16850"/>
          <w:pgMar w:top="1120" w:bottom="1380" w:left="1580" w:right="1560"/>
        </w:sectPr>
      </w:pPr>
    </w:p>
    <w:p>
      <w:pPr>
        <w:spacing w:line="240" w:lineRule="auto" w:before="2"/>
        <w:rPr>
          <w:rFonts w:ascii="宋体" w:hAnsi="宋体" w:cs="宋体" w:eastAsia="宋体" w:hint="default"/>
          <w:sz w:val="29"/>
          <w:szCs w:val="29"/>
        </w:rPr>
      </w:pPr>
    </w:p>
    <w:p>
      <w:pPr>
        <w:spacing w:before="37"/>
        <w:ind w:left="218" w:right="6141"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w:t>
      </w:r>
      <w:r>
        <w:rPr>
          <w:rFonts w:ascii="宋体" w:hAnsi="宋体" w:cs="宋体" w:eastAsia="宋体" w:hint="default"/>
          <w:b/>
          <w:bCs/>
          <w:spacing w:val="19"/>
          <w:sz w:val="20"/>
          <w:szCs w:val="20"/>
        </w:rPr>
        <w:t> </w:t>
      </w:r>
      <w:r>
        <w:rPr>
          <w:rFonts w:ascii="宋体" w:hAnsi="宋体" w:cs="宋体" w:eastAsia="宋体" w:hint="default"/>
          <w:b/>
          <w:bCs/>
          <w:sz w:val="20"/>
          <w:szCs w:val="20"/>
        </w:rPr>
        <w:t>本企业的子公司情况</w:t>
      </w:r>
      <w:r>
        <w:rPr>
          <w:rFonts w:ascii="宋体" w:hAnsi="宋体" w:cs="宋体" w:eastAsia="宋体" w:hint="default"/>
          <w:b/>
          <w:bCs/>
          <w:w w:val="98"/>
          <w:sz w:val="20"/>
          <w:szCs w:val="20"/>
        </w:rPr>
        <w:t> </w:t>
      </w:r>
      <w:r>
        <w:rPr>
          <w:rFonts w:ascii="宋体" w:hAnsi="宋体" w:cs="宋体" w:eastAsia="宋体" w:hint="default"/>
          <w:sz w:val="20"/>
          <w:szCs w:val="20"/>
        </w:rPr>
      </w:r>
    </w:p>
    <w:p>
      <w:pPr>
        <w:spacing w:line="240" w:lineRule="auto" w:before="3"/>
        <w:rPr>
          <w:rFonts w:ascii="宋体" w:hAnsi="宋体" w:cs="宋体" w:eastAsia="宋体" w:hint="default"/>
          <w:b/>
          <w:bCs/>
          <w:sz w:val="27"/>
          <w:szCs w:val="27"/>
        </w:rPr>
      </w:pPr>
    </w:p>
    <w:p>
      <w:pPr>
        <w:pStyle w:val="BodyText"/>
        <w:tabs>
          <w:tab w:pos="1177" w:val="left" w:leader="none"/>
        </w:tabs>
        <w:spacing w:line="312" w:lineRule="exact"/>
        <w:ind w:left="218" w:right="4825"/>
        <w:jc w:val="left"/>
        <w:rPr>
          <w:rFonts w:ascii="Times New Roman" w:hAnsi="Times New Roman" w:cs="Times New Roman" w:eastAsia="Times New Roman" w:hint="default"/>
        </w:rPr>
      </w:pPr>
      <w:r>
        <w:rPr/>
        <w:t>√适用</w:t>
        <w:tab/>
        <w:t>□不适用 本企业子公司的情况详见附注九、</w:t>
      </w:r>
      <w:r>
        <w:rPr>
          <w:rFonts w:ascii="Times New Roman" w:hAnsi="Times New Roman" w:cs="Times New Roman" w:eastAsia="Times New Roman" w:hint="default"/>
        </w:rPr>
        <w:t>1</w:t>
      </w:r>
    </w:p>
    <w:p>
      <w:pPr>
        <w:spacing w:line="240" w:lineRule="auto" w:before="1"/>
        <w:rPr>
          <w:rFonts w:ascii="Times New Roman" w:hAnsi="Times New Roman" w:cs="Times New Roman" w:eastAsia="Times New Roman" w:hint="default"/>
          <w:sz w:val="27"/>
          <w:szCs w:val="27"/>
        </w:rPr>
      </w:pPr>
    </w:p>
    <w:p>
      <w:pPr>
        <w:spacing w:before="0"/>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z w:val="20"/>
          <w:szCs w:val="20"/>
        </w:rPr>
        <w:t>、</w:t>
      </w:r>
      <w:r>
        <w:rPr>
          <w:rFonts w:ascii="宋体" w:hAnsi="宋体" w:cs="宋体" w:eastAsia="宋体" w:hint="default"/>
          <w:b/>
          <w:bCs/>
          <w:spacing w:val="18"/>
          <w:sz w:val="20"/>
          <w:szCs w:val="20"/>
        </w:rPr>
        <w:t> </w:t>
      </w:r>
      <w:r>
        <w:rPr>
          <w:rFonts w:ascii="宋体" w:hAnsi="宋体" w:cs="宋体" w:eastAsia="宋体" w:hint="default"/>
          <w:b/>
          <w:bCs/>
          <w:sz w:val="20"/>
          <w:szCs w:val="20"/>
        </w:rPr>
        <w:t>本企业合营和联营企业情况</w:t>
      </w:r>
      <w:r>
        <w:rPr>
          <w:rFonts w:ascii="宋体" w:hAnsi="宋体" w:cs="宋体" w:eastAsia="宋体" w:hint="default"/>
          <w:sz w:val="20"/>
          <w:szCs w:val="20"/>
        </w:rPr>
      </w:r>
    </w:p>
    <w:p>
      <w:pPr>
        <w:spacing w:line="240" w:lineRule="auto" w:before="3"/>
        <w:rPr>
          <w:rFonts w:ascii="宋体" w:hAnsi="宋体" w:cs="宋体" w:eastAsia="宋体" w:hint="default"/>
          <w:b/>
          <w:bCs/>
          <w:sz w:val="27"/>
          <w:szCs w:val="27"/>
        </w:rPr>
      </w:pPr>
    </w:p>
    <w:p>
      <w:pPr>
        <w:pStyle w:val="BodyText"/>
        <w:spacing w:line="312" w:lineRule="exact"/>
        <w:ind w:left="218" w:right="3848"/>
        <w:jc w:val="left"/>
        <w:rPr>
          <w:rFonts w:ascii="Times New Roman" w:hAnsi="Times New Roman" w:cs="Times New Roman" w:eastAsia="Times New Roman" w:hint="default"/>
        </w:rPr>
      </w:pPr>
      <w:r>
        <w:rPr/>
        <w:t>√适用</w:t>
      </w:r>
      <w:r>
        <w:rPr>
          <w:spacing w:val="-1"/>
        </w:rPr>
        <w:t> </w:t>
      </w:r>
      <w:r>
        <w:rPr/>
        <w:t>□不适用</w:t>
      </w:r>
      <w:r>
        <w:rPr/>
        <w:t> 本企业重要的合营或联营企业详见附注九、</w:t>
      </w:r>
      <w:r>
        <w:rPr>
          <w:rFonts w:ascii="Times New Roman" w:hAnsi="Times New Roman" w:cs="Times New Roman" w:eastAsia="Times New Roman" w:hint="default"/>
        </w:rPr>
        <w:t>3</w:t>
      </w:r>
    </w:p>
    <w:p>
      <w:pPr>
        <w:spacing w:line="240" w:lineRule="auto" w:before="4"/>
        <w:rPr>
          <w:rFonts w:ascii="Times New Roman" w:hAnsi="Times New Roman" w:cs="Times New Roman" w:eastAsia="Times New Roman" w:hint="default"/>
          <w:sz w:val="21"/>
          <w:szCs w:val="21"/>
        </w:rPr>
      </w:pPr>
    </w:p>
    <w:p>
      <w:pPr>
        <w:pStyle w:val="BodyText"/>
        <w:spacing w:line="240" w:lineRule="auto"/>
        <w:ind w:left="218" w:right="0"/>
        <w:jc w:val="left"/>
      </w:pPr>
      <w:r>
        <w:rPr>
          <w:spacing w:val="-3"/>
        </w:rPr>
        <w:t>本期与本公司发生关联方交易，或前期与本公司发生关联方交易形成余额的其他</w:t>
      </w:r>
      <w:r>
        <w:rPr>
          <w:spacing w:val="-102"/>
        </w:rPr>
        <w:t> </w:t>
      </w:r>
      <w:r>
        <w:rPr>
          <w:spacing w:val="-102"/>
        </w:rPr>
      </w:r>
      <w:r>
        <w:rPr/>
        <w:t>合营或联营企业情况如下</w:t>
      </w:r>
    </w:p>
    <w:p>
      <w:pPr>
        <w:pStyle w:val="BodyText"/>
        <w:spacing w:line="312" w:lineRule="exact" w:before="26"/>
        <w:ind w:left="218" w:right="6729"/>
        <w:jc w:val="left"/>
      </w:pPr>
      <w:r>
        <w:rPr/>
        <w:t>□适用</w:t>
      </w:r>
      <w:r>
        <w:rPr>
          <w:spacing w:val="-1"/>
        </w:rPr>
        <w:t> </w:t>
      </w:r>
      <w:r>
        <w:rPr/>
        <w:t>√不适用</w:t>
      </w:r>
      <w:r>
        <w:rPr/>
        <w:t> 其他说明</w:t>
      </w:r>
    </w:p>
    <w:p>
      <w:pPr>
        <w:pStyle w:val="BodyText"/>
        <w:spacing w:line="283" w:lineRule="exact"/>
        <w:ind w:left="218" w:right="6141"/>
        <w:jc w:val="left"/>
      </w:pPr>
      <w:r>
        <w:rPr/>
        <w:t>□适用</w:t>
      </w:r>
      <w:r>
        <w:rPr>
          <w:spacing w:val="-1"/>
        </w:rPr>
        <w:t> </w:t>
      </w:r>
      <w:r>
        <w:rPr/>
        <w:t>√不适用</w:t>
      </w:r>
    </w:p>
    <w:p>
      <w:pPr>
        <w:spacing w:line="240" w:lineRule="auto" w:before="13"/>
        <w:rPr>
          <w:rFonts w:ascii="宋体" w:hAnsi="宋体" w:cs="宋体" w:eastAsia="宋体" w:hint="default"/>
          <w:sz w:val="25"/>
          <w:szCs w:val="25"/>
        </w:rPr>
      </w:pPr>
    </w:p>
    <w:p>
      <w:pPr>
        <w:spacing w:before="0"/>
        <w:ind w:left="218" w:right="6141"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z w:val="20"/>
          <w:szCs w:val="20"/>
        </w:rPr>
        <w:t>、</w:t>
      </w:r>
      <w:r>
        <w:rPr>
          <w:rFonts w:ascii="宋体" w:hAnsi="宋体" w:cs="宋体" w:eastAsia="宋体" w:hint="default"/>
          <w:b/>
          <w:bCs/>
          <w:spacing w:val="20"/>
          <w:sz w:val="20"/>
          <w:szCs w:val="20"/>
        </w:rPr>
        <w:t> </w:t>
      </w:r>
      <w:r>
        <w:rPr>
          <w:rFonts w:ascii="宋体" w:hAnsi="宋体" w:cs="宋体" w:eastAsia="宋体" w:hint="default"/>
          <w:b/>
          <w:bCs/>
          <w:sz w:val="20"/>
          <w:szCs w:val="20"/>
        </w:rPr>
        <w:t>其他关联方情况</w:t>
      </w:r>
      <w:r>
        <w:rPr>
          <w:rFonts w:ascii="宋体" w:hAnsi="宋体" w:cs="宋体" w:eastAsia="宋体" w:hint="default"/>
          <w:sz w:val="20"/>
          <w:szCs w:val="20"/>
        </w:rPr>
      </w:r>
    </w:p>
    <w:p>
      <w:pPr>
        <w:pStyle w:val="BodyText"/>
        <w:spacing w:line="240" w:lineRule="auto" w:before="49"/>
        <w:ind w:left="218" w:right="6141"/>
        <w:jc w:val="left"/>
      </w:pPr>
      <w:r>
        <w:rPr/>
        <w:t>√适用</w:t>
      </w:r>
      <w:r>
        <w:rPr>
          <w:spacing w:val="-1"/>
        </w:rPr>
        <w:t> </w:t>
      </w:r>
      <w:r>
        <w:rPr/>
        <w:t>□不适用</w:t>
      </w:r>
    </w:p>
    <w:p>
      <w:pPr>
        <w:spacing w:line="240" w:lineRule="auto" w:before="12"/>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928"/>
        <w:gridCol w:w="3603"/>
      </w:tblGrid>
      <w:tr>
        <w:trPr>
          <w:trHeight w:val="322"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78" w:right="0"/>
              <w:jc w:val="left"/>
              <w:rPr>
                <w:rFonts w:ascii="宋体" w:hAnsi="宋体" w:cs="宋体" w:eastAsia="宋体" w:hint="default"/>
                <w:sz w:val="24"/>
                <w:szCs w:val="24"/>
              </w:rPr>
            </w:pPr>
            <w:r>
              <w:rPr>
                <w:rFonts w:ascii="宋体" w:hAnsi="宋体" w:cs="宋体" w:eastAsia="宋体" w:hint="default"/>
                <w:sz w:val="24"/>
                <w:szCs w:val="24"/>
              </w:rPr>
              <w:t>其他关联方名称</w:t>
            </w:r>
          </w:p>
        </w:tc>
        <w:tc>
          <w:tcPr>
            <w:tcW w:w="36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60" w:right="0"/>
              <w:jc w:val="left"/>
              <w:rPr>
                <w:rFonts w:ascii="宋体" w:hAnsi="宋体" w:cs="宋体" w:eastAsia="宋体" w:hint="default"/>
                <w:sz w:val="24"/>
                <w:szCs w:val="24"/>
              </w:rPr>
            </w:pPr>
            <w:r>
              <w:rPr>
                <w:rFonts w:ascii="宋体" w:hAnsi="宋体" w:cs="宋体" w:eastAsia="宋体" w:hint="default"/>
                <w:sz w:val="24"/>
                <w:szCs w:val="24"/>
              </w:rPr>
              <w:t>其他关联方与本企业关系</w:t>
            </w:r>
          </w:p>
        </w:tc>
      </w:tr>
      <w:tr>
        <w:trPr>
          <w:trHeight w:val="631"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ind w:left="278" w:right="0"/>
              <w:jc w:val="left"/>
              <w:rPr>
                <w:rFonts w:ascii="宋体" w:hAnsi="宋体" w:cs="宋体" w:eastAsia="宋体" w:hint="default"/>
                <w:sz w:val="24"/>
                <w:szCs w:val="24"/>
              </w:rPr>
            </w:pPr>
            <w:r>
              <w:rPr>
                <w:rFonts w:ascii="宋体" w:hAnsi="宋体" w:cs="宋体" w:eastAsia="宋体" w:hint="default"/>
                <w:sz w:val="24"/>
                <w:szCs w:val="24"/>
              </w:rPr>
              <w:t>北京红橘科技有限公司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以下简称”红橘科</w:t>
            </w:r>
          </w:p>
          <w:p>
            <w:pPr>
              <w:pStyle w:val="TableParagraph"/>
              <w:spacing w:line="322" w:lineRule="exact"/>
              <w:ind w:left="27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技”</w:t>
            </w:r>
            <w:r>
              <w:rPr>
                <w:rFonts w:ascii="Times New Roman" w:hAnsi="Times New Roman" w:cs="Times New Roman" w:eastAsia="Times New Roman" w:hint="default"/>
                <w:sz w:val="24"/>
                <w:szCs w:val="24"/>
              </w:rPr>
              <w:t>)</w:t>
            </w:r>
          </w:p>
        </w:tc>
        <w:tc>
          <w:tcPr>
            <w:tcW w:w="36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60" w:right="0"/>
              <w:jc w:val="left"/>
              <w:rPr>
                <w:rFonts w:ascii="宋体" w:hAnsi="宋体" w:cs="宋体" w:eastAsia="宋体" w:hint="default"/>
                <w:sz w:val="24"/>
                <w:szCs w:val="24"/>
              </w:rPr>
            </w:pPr>
            <w:r>
              <w:rPr>
                <w:rFonts w:ascii="宋体" w:hAnsi="宋体" w:cs="宋体" w:eastAsia="宋体" w:hint="default"/>
                <w:sz w:val="24"/>
                <w:szCs w:val="24"/>
              </w:rPr>
              <w:t>其他</w:t>
            </w:r>
          </w:p>
        </w:tc>
      </w:tr>
      <w:tr>
        <w:trPr>
          <w:trHeight w:val="634"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83" w:lineRule="exact"/>
              <w:ind w:left="278" w:right="0"/>
              <w:jc w:val="left"/>
              <w:rPr>
                <w:rFonts w:ascii="宋体" w:hAnsi="宋体" w:cs="宋体" w:eastAsia="宋体" w:hint="default"/>
                <w:sz w:val="24"/>
                <w:szCs w:val="24"/>
              </w:rPr>
            </w:pPr>
            <w:r>
              <w:rPr>
                <w:rFonts w:ascii="宋体" w:hAnsi="宋体" w:cs="宋体" w:eastAsia="宋体" w:hint="default"/>
                <w:sz w:val="24"/>
                <w:szCs w:val="24"/>
              </w:rPr>
              <w:t>北京红邸餐饮文化有限公司</w:t>
            </w:r>
            <w:r>
              <w:rPr>
                <w:rFonts w:ascii="Times New Roman" w:hAnsi="Times New Roman" w:cs="Times New Roman" w:eastAsia="Times New Roman" w:hint="default"/>
                <w:spacing w:val="-1"/>
                <w:sz w:val="24"/>
                <w:szCs w:val="24"/>
              </w:rPr>
              <w:t>(</w:t>
            </w:r>
            <w:r>
              <w:rPr>
                <w:rFonts w:ascii="宋体" w:hAnsi="宋体" w:cs="宋体" w:eastAsia="宋体" w:hint="default"/>
                <w:sz w:val="24"/>
                <w:szCs w:val="24"/>
              </w:rPr>
              <w:t>以下简称</w:t>
            </w:r>
            <w:r>
              <w:rPr>
                <w:rFonts w:ascii="宋体" w:hAnsi="宋体" w:cs="宋体" w:eastAsia="宋体" w:hint="default"/>
                <w:spacing w:val="-104"/>
                <w:sz w:val="24"/>
                <w:szCs w:val="24"/>
              </w:rPr>
              <w:t>”</w:t>
            </w:r>
            <w:r>
              <w:rPr>
                <w:rFonts w:ascii="宋体" w:hAnsi="宋体" w:cs="宋体" w:eastAsia="宋体" w:hint="default"/>
                <w:sz w:val="24"/>
                <w:szCs w:val="24"/>
              </w:rPr>
              <w:t>红邸</w:t>
            </w:r>
          </w:p>
          <w:p>
            <w:pPr>
              <w:pStyle w:val="TableParagraph"/>
              <w:spacing w:line="321" w:lineRule="exact"/>
              <w:ind w:left="278"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餐饮”</w:t>
            </w:r>
            <w:r>
              <w:rPr>
                <w:rFonts w:ascii="Times New Roman" w:hAnsi="Times New Roman" w:cs="Times New Roman" w:eastAsia="Times New Roman" w:hint="default"/>
                <w:sz w:val="24"/>
                <w:szCs w:val="24"/>
              </w:rPr>
              <w:t>)</w:t>
            </w:r>
          </w:p>
        </w:tc>
        <w:tc>
          <w:tcPr>
            <w:tcW w:w="360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60" w:right="0"/>
              <w:jc w:val="left"/>
              <w:rPr>
                <w:rFonts w:ascii="宋体" w:hAnsi="宋体" w:cs="宋体" w:eastAsia="宋体" w:hint="default"/>
                <w:sz w:val="24"/>
                <w:szCs w:val="24"/>
              </w:rPr>
            </w:pPr>
            <w:r>
              <w:rPr>
                <w:rFonts w:ascii="宋体" w:hAnsi="宋体" w:cs="宋体" w:eastAsia="宋体" w:hint="default"/>
                <w:sz w:val="24"/>
                <w:szCs w:val="24"/>
              </w:rPr>
              <w:t>其他</w:t>
            </w:r>
          </w:p>
        </w:tc>
      </w:tr>
      <w:tr>
        <w:trPr>
          <w:trHeight w:val="322"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78" w:right="0"/>
              <w:jc w:val="left"/>
              <w:rPr>
                <w:rFonts w:ascii="宋体" w:hAnsi="宋体" w:cs="宋体" w:eastAsia="宋体" w:hint="default"/>
                <w:sz w:val="24"/>
                <w:szCs w:val="24"/>
              </w:rPr>
            </w:pPr>
            <w:r>
              <w:rPr>
                <w:rFonts w:ascii="宋体" w:hAnsi="宋体" w:cs="宋体" w:eastAsia="宋体" w:hint="default"/>
                <w:sz w:val="24"/>
                <w:szCs w:val="24"/>
              </w:rPr>
              <w:t>北京伟库</w:t>
            </w:r>
          </w:p>
        </w:tc>
        <w:tc>
          <w:tcPr>
            <w:tcW w:w="36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60" w:right="0"/>
              <w:jc w:val="left"/>
              <w:rPr>
                <w:rFonts w:ascii="宋体" w:hAnsi="宋体" w:cs="宋体" w:eastAsia="宋体" w:hint="default"/>
                <w:sz w:val="24"/>
                <w:szCs w:val="24"/>
              </w:rPr>
            </w:pPr>
            <w:r>
              <w:rPr>
                <w:rFonts w:ascii="宋体" w:hAnsi="宋体" w:cs="宋体" w:eastAsia="宋体" w:hint="default"/>
                <w:sz w:val="24"/>
                <w:szCs w:val="24"/>
              </w:rPr>
              <w:t>其他</w:t>
            </w:r>
          </w:p>
        </w:tc>
      </w:tr>
      <w:tr>
        <w:trPr>
          <w:trHeight w:val="634" w:hRule="exact"/>
        </w:trPr>
        <w:tc>
          <w:tcPr>
            <w:tcW w:w="492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278" w:right="0"/>
              <w:jc w:val="left"/>
              <w:rPr>
                <w:rFonts w:ascii="宋体" w:hAnsi="宋体" w:cs="宋体" w:eastAsia="宋体" w:hint="default"/>
                <w:sz w:val="24"/>
                <w:szCs w:val="24"/>
              </w:rPr>
            </w:pPr>
            <w:r>
              <w:rPr>
                <w:rFonts w:ascii="宋体" w:hAnsi="宋体" w:cs="宋体" w:eastAsia="宋体" w:hint="default"/>
                <w:sz w:val="24"/>
                <w:szCs w:val="24"/>
              </w:rPr>
              <w:t>上海沸橙信息科技有限公司（以下简称”上</w:t>
            </w:r>
          </w:p>
          <w:p>
            <w:pPr>
              <w:pStyle w:val="TableParagraph"/>
              <w:spacing w:line="313" w:lineRule="exact"/>
              <w:ind w:left="278" w:right="0"/>
              <w:jc w:val="left"/>
              <w:rPr>
                <w:rFonts w:ascii="宋体" w:hAnsi="宋体" w:cs="宋体" w:eastAsia="宋体" w:hint="default"/>
                <w:sz w:val="24"/>
                <w:szCs w:val="24"/>
              </w:rPr>
            </w:pPr>
            <w:r>
              <w:rPr>
                <w:rFonts w:ascii="宋体" w:hAnsi="宋体" w:cs="宋体" w:eastAsia="宋体" w:hint="default"/>
                <w:sz w:val="24"/>
                <w:szCs w:val="24"/>
              </w:rPr>
              <w:t>海沸橙</w:t>
            </w:r>
            <w:r>
              <w:rPr>
                <w:rFonts w:ascii="宋体" w:hAnsi="宋体" w:cs="宋体" w:eastAsia="宋体" w:hint="default"/>
                <w:spacing w:val="-120"/>
                <w:sz w:val="24"/>
                <w:szCs w:val="24"/>
              </w:rPr>
              <w:t>”</w:t>
            </w:r>
            <w:r>
              <w:rPr>
                <w:rFonts w:ascii="宋体" w:hAnsi="宋体" w:cs="宋体" w:eastAsia="宋体" w:hint="default"/>
                <w:sz w:val="24"/>
                <w:szCs w:val="24"/>
              </w:rPr>
              <w:t>）</w:t>
            </w:r>
          </w:p>
        </w:tc>
        <w:tc>
          <w:tcPr>
            <w:tcW w:w="36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60" w:right="0"/>
              <w:jc w:val="left"/>
              <w:rPr>
                <w:rFonts w:ascii="宋体" w:hAnsi="宋体" w:cs="宋体" w:eastAsia="宋体" w:hint="default"/>
                <w:sz w:val="24"/>
                <w:szCs w:val="24"/>
              </w:rPr>
            </w:pPr>
            <w:r>
              <w:rPr>
                <w:rFonts w:ascii="宋体" w:hAnsi="宋体" w:cs="宋体" w:eastAsia="宋体" w:hint="default"/>
                <w:sz w:val="24"/>
                <w:szCs w:val="24"/>
              </w:rPr>
              <w:t>其他</w:t>
            </w:r>
          </w:p>
        </w:tc>
      </w:tr>
    </w:tbl>
    <w:p>
      <w:pPr>
        <w:spacing w:line="240" w:lineRule="auto" w:before="0"/>
        <w:rPr>
          <w:rFonts w:ascii="宋体" w:hAnsi="宋体" w:cs="宋体" w:eastAsia="宋体" w:hint="default"/>
          <w:sz w:val="16"/>
          <w:szCs w:val="16"/>
        </w:rPr>
      </w:pPr>
    </w:p>
    <w:p>
      <w:pPr>
        <w:pStyle w:val="BodyText"/>
        <w:spacing w:line="310" w:lineRule="exact" w:before="58"/>
        <w:ind w:left="218" w:right="7568"/>
        <w:jc w:val="left"/>
      </w:pPr>
      <w:r>
        <w:rPr/>
        <w:t>其他说明 无。</w:t>
      </w:r>
    </w:p>
    <w:p>
      <w:pPr>
        <w:spacing w:line="240" w:lineRule="auto" w:before="2"/>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50"/>
          <w:pgMar w:header="745" w:footer="921" w:top="980" w:bottom="1120" w:left="1580" w:right="1560"/>
        </w:sectPr>
      </w:pPr>
    </w:p>
    <w:p>
      <w:pPr>
        <w:spacing w:line="288" w:lineRule="auto" w:before="37"/>
        <w:ind w:left="218" w:right="0" w:firstLine="0"/>
        <w:jc w:val="left"/>
        <w:rPr>
          <w:rFonts w:ascii="宋体" w:hAnsi="宋体" w:cs="宋体" w:eastAsia="宋体" w:hint="default"/>
          <w:sz w:val="24"/>
          <w:szCs w:val="24"/>
        </w:rPr>
      </w:pPr>
      <w:r>
        <w:rPr>
          <w:rFonts w:ascii="宋体" w:hAnsi="宋体" w:cs="宋体" w:eastAsia="宋体" w:hint="default"/>
          <w:b/>
          <w:bCs/>
          <w:sz w:val="20"/>
          <w:szCs w:val="20"/>
        </w:rPr>
        <w:t>5</w:t>
      </w:r>
      <w:r>
        <w:rPr>
          <w:rFonts w:ascii="宋体" w:hAnsi="宋体" w:cs="宋体" w:eastAsia="宋体" w:hint="default"/>
          <w:b/>
          <w:bCs/>
          <w:sz w:val="20"/>
          <w:szCs w:val="20"/>
        </w:rPr>
        <w:t>、</w:t>
      </w:r>
      <w:r>
        <w:rPr>
          <w:rFonts w:ascii="宋体" w:hAnsi="宋体" w:cs="宋体" w:eastAsia="宋体" w:hint="default"/>
          <w:b/>
          <w:bCs/>
          <w:spacing w:val="20"/>
          <w:sz w:val="20"/>
          <w:szCs w:val="20"/>
        </w:rPr>
        <w:t> </w:t>
      </w:r>
      <w:r>
        <w:rPr>
          <w:rFonts w:ascii="宋体" w:hAnsi="宋体" w:cs="宋体" w:eastAsia="宋体" w:hint="default"/>
          <w:b/>
          <w:bCs/>
          <w:sz w:val="20"/>
          <w:szCs w:val="20"/>
        </w:rPr>
        <w:t>关联交易情况</w:t>
      </w:r>
      <w:r>
        <w:rPr>
          <w:rFonts w:ascii="宋体" w:hAnsi="宋体" w:cs="宋体" w:eastAsia="宋体" w:hint="default"/>
          <w:b/>
          <w:bCs/>
          <w:w w:val="99"/>
          <w:sz w:val="20"/>
          <w:szCs w:val="20"/>
        </w:rPr>
        <w:t> </w:t>
      </w:r>
      <w:r>
        <w:rPr>
          <w:rFonts w:ascii="宋体" w:hAnsi="宋体" w:cs="宋体" w:eastAsia="宋体" w:hint="default"/>
          <w:b/>
          <w:bCs/>
          <w:sz w:val="20"/>
          <w:szCs w:val="20"/>
        </w:rPr>
        <w:t>(1).</w:t>
      </w:r>
      <w:r>
        <w:rPr>
          <w:rFonts w:ascii="宋体" w:hAnsi="宋体" w:cs="宋体" w:eastAsia="宋体" w:hint="default"/>
          <w:b/>
          <w:bCs/>
          <w:sz w:val="20"/>
          <w:szCs w:val="20"/>
        </w:rPr>
        <w:t>购销商品、提供和接受劳务的关联交易</w:t>
      </w:r>
      <w:r>
        <w:rPr>
          <w:rFonts w:ascii="宋体" w:hAnsi="宋体" w:cs="宋体" w:eastAsia="宋体" w:hint="default"/>
          <w:b/>
          <w:bCs/>
          <w:w w:val="98"/>
          <w:sz w:val="20"/>
          <w:szCs w:val="20"/>
        </w:rPr>
        <w:t> </w:t>
      </w:r>
      <w:r>
        <w:rPr>
          <w:rFonts w:ascii="宋体" w:hAnsi="宋体" w:cs="宋体" w:eastAsia="宋体" w:hint="default"/>
          <w:sz w:val="24"/>
          <w:szCs w:val="24"/>
        </w:rPr>
        <w:t>采购商品</w:t>
      </w:r>
      <w:r>
        <w:rPr>
          <w:rFonts w:ascii="Times New Roman" w:hAnsi="Times New Roman" w:cs="Times New Roman" w:eastAsia="Times New Roman" w:hint="default"/>
          <w:sz w:val="24"/>
          <w:szCs w:val="24"/>
        </w:rPr>
        <w:t>/</w:t>
      </w:r>
      <w:r>
        <w:rPr>
          <w:rFonts w:ascii="宋体" w:hAnsi="宋体" w:cs="宋体" w:eastAsia="宋体" w:hint="default"/>
          <w:sz w:val="24"/>
          <w:szCs w:val="24"/>
        </w:rPr>
        <w:t>接受劳务情况表</w:t>
      </w:r>
    </w:p>
    <w:p>
      <w:pPr>
        <w:pStyle w:val="BodyText"/>
        <w:spacing w:line="241" w:lineRule="exact"/>
        <w:ind w:left="218" w:right="0"/>
        <w:jc w:val="left"/>
      </w:pPr>
      <w:r>
        <w:rPr/>
        <w:t>√适用</w:t>
      </w:r>
      <w:r>
        <w:rPr>
          <w:spacing w:val="-1"/>
        </w:rPr>
        <w:t> </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6"/>
          <w:szCs w:val="26"/>
        </w:rPr>
      </w:pPr>
    </w:p>
    <w:p>
      <w:pPr>
        <w:pStyle w:val="BodyText"/>
        <w:tabs>
          <w:tab w:pos="1418" w:val="left" w:leader="none"/>
        </w:tabs>
        <w:spacing w:line="240" w:lineRule="auto"/>
        <w:ind w:left="218" w:right="0"/>
        <w:jc w:val="left"/>
      </w:pPr>
      <w:r>
        <w:rPr/>
        <w:t>单位：元</w:t>
        <w:tab/>
        <w:t>币种：人民币</w:t>
      </w:r>
    </w:p>
    <w:p>
      <w:pPr>
        <w:spacing w:after="0" w:line="240" w:lineRule="auto"/>
        <w:jc w:val="left"/>
        <w:sectPr>
          <w:type w:val="continuous"/>
          <w:pgSz w:w="11910" w:h="16850"/>
          <w:pgMar w:top="1120" w:bottom="1380" w:left="1580" w:right="1560"/>
          <w:cols w:num="2" w:equalWidth="0">
            <w:col w:w="4135" w:space="1540"/>
            <w:col w:w="3095"/>
          </w:cols>
        </w:sectPr>
      </w:pPr>
    </w:p>
    <w:p>
      <w:pPr>
        <w:spacing w:line="240" w:lineRule="auto" w:before="12"/>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2016"/>
        <w:gridCol w:w="2285"/>
        <w:gridCol w:w="2043"/>
        <w:gridCol w:w="2031"/>
      </w:tblGrid>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43" w:right="0"/>
              <w:jc w:val="left"/>
              <w:rPr>
                <w:rFonts w:ascii="宋体" w:hAnsi="宋体" w:cs="宋体" w:eastAsia="宋体" w:hint="default"/>
                <w:sz w:val="24"/>
                <w:szCs w:val="24"/>
              </w:rPr>
            </w:pPr>
            <w:r>
              <w:rPr>
                <w:rFonts w:ascii="宋体" w:hAnsi="宋体" w:cs="宋体" w:eastAsia="宋体" w:hint="default"/>
                <w:sz w:val="24"/>
                <w:szCs w:val="24"/>
              </w:rPr>
              <w:t>关联方</w:t>
            </w:r>
          </w:p>
        </w:tc>
        <w:tc>
          <w:tcPr>
            <w:tcW w:w="2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关联交易内容</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15"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03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10"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上海沸橙</w:t>
            </w:r>
          </w:p>
        </w:tc>
        <w:tc>
          <w:tcPr>
            <w:tcW w:w="2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5"/>
              <w:jc w:val="center"/>
              <w:rPr>
                <w:rFonts w:ascii="宋体" w:hAnsi="宋体" w:cs="宋体" w:eastAsia="宋体" w:hint="default"/>
                <w:sz w:val="24"/>
                <w:szCs w:val="24"/>
              </w:rPr>
            </w:pPr>
            <w:r>
              <w:rPr>
                <w:rFonts w:ascii="宋体" w:hAnsi="宋体" w:cs="宋体" w:eastAsia="宋体" w:hint="default"/>
                <w:sz w:val="24"/>
                <w:szCs w:val="24"/>
              </w:rPr>
              <w:t>购买商品和接受劳务</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18,786,438</w:t>
            </w:r>
          </w:p>
        </w:tc>
        <w:tc>
          <w:tcPr>
            <w:tcW w:w="203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用友融联</w:t>
            </w:r>
          </w:p>
        </w:tc>
        <w:tc>
          <w:tcPr>
            <w:tcW w:w="2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5"/>
              <w:jc w:val="center"/>
              <w:rPr>
                <w:rFonts w:ascii="宋体" w:hAnsi="宋体" w:cs="宋体" w:eastAsia="宋体" w:hint="default"/>
                <w:sz w:val="24"/>
                <w:szCs w:val="24"/>
              </w:rPr>
            </w:pPr>
            <w:r>
              <w:rPr>
                <w:rFonts w:ascii="宋体" w:hAnsi="宋体" w:cs="宋体" w:eastAsia="宋体" w:hint="default"/>
                <w:sz w:val="24"/>
                <w:szCs w:val="24"/>
              </w:rPr>
              <w:t>购买商品和接受劳务</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6,436,546</w:t>
            </w:r>
          </w:p>
        </w:tc>
        <w:tc>
          <w:tcPr>
            <w:tcW w:w="203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红邸餐饮</w:t>
            </w:r>
          </w:p>
        </w:tc>
        <w:tc>
          <w:tcPr>
            <w:tcW w:w="2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5"/>
              <w:jc w:val="center"/>
              <w:rPr>
                <w:rFonts w:ascii="宋体" w:hAnsi="宋体" w:cs="宋体" w:eastAsia="宋体" w:hint="default"/>
                <w:sz w:val="24"/>
                <w:szCs w:val="24"/>
              </w:rPr>
            </w:pPr>
            <w:r>
              <w:rPr>
                <w:rFonts w:ascii="宋体" w:hAnsi="宋体" w:cs="宋体" w:eastAsia="宋体" w:hint="default"/>
                <w:sz w:val="24"/>
                <w:szCs w:val="24"/>
              </w:rPr>
              <w:t>购买商品和接受劳务</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4,780,681</w:t>
            </w:r>
          </w:p>
        </w:tc>
        <w:tc>
          <w:tcPr>
            <w:tcW w:w="203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3,805,843</w:t>
            </w:r>
          </w:p>
        </w:tc>
      </w:tr>
      <w:tr>
        <w:trPr>
          <w:trHeight w:val="319"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上海画龙</w:t>
            </w:r>
          </w:p>
        </w:tc>
        <w:tc>
          <w:tcPr>
            <w:tcW w:w="2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5"/>
              <w:jc w:val="center"/>
              <w:rPr>
                <w:rFonts w:ascii="宋体" w:hAnsi="宋体" w:cs="宋体" w:eastAsia="宋体" w:hint="default"/>
                <w:sz w:val="24"/>
                <w:szCs w:val="24"/>
              </w:rPr>
            </w:pPr>
            <w:r>
              <w:rPr>
                <w:rFonts w:ascii="宋体" w:hAnsi="宋体" w:cs="宋体" w:eastAsia="宋体" w:hint="default"/>
                <w:sz w:val="24"/>
                <w:szCs w:val="24"/>
              </w:rPr>
              <w:t>购买商品和接受劳务</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585,849</w:t>
            </w:r>
          </w:p>
        </w:tc>
        <w:tc>
          <w:tcPr>
            <w:tcW w:w="203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大易云</w:t>
            </w:r>
          </w:p>
        </w:tc>
        <w:tc>
          <w:tcPr>
            <w:tcW w:w="228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65"/>
              <w:jc w:val="center"/>
              <w:rPr>
                <w:rFonts w:ascii="宋体" w:hAnsi="宋体" w:cs="宋体" w:eastAsia="宋体" w:hint="default"/>
                <w:sz w:val="24"/>
                <w:szCs w:val="24"/>
              </w:rPr>
            </w:pPr>
            <w:r>
              <w:rPr>
                <w:rFonts w:ascii="宋体" w:hAnsi="宋体" w:cs="宋体" w:eastAsia="宋体" w:hint="default"/>
                <w:sz w:val="24"/>
                <w:szCs w:val="24"/>
              </w:rPr>
              <w:t>购买商品和接受劳务</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Times New Roman" w:hAnsi="Times New Roman" w:cs="Times New Roman" w:eastAsia="Times New Roman" w:hint="default"/>
                <w:sz w:val="24"/>
                <w:szCs w:val="24"/>
              </w:rPr>
            </w:pPr>
            <w:r>
              <w:rPr>
                <w:rFonts w:ascii="Times New Roman"/>
                <w:sz w:val="24"/>
              </w:rPr>
              <w:t>525,142</w:t>
            </w:r>
          </w:p>
        </w:tc>
        <w:tc>
          <w:tcPr>
            <w:tcW w:w="203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3"/>
              <w:jc w:val="right"/>
              <w:rPr>
                <w:rFonts w:ascii="Times New Roman" w:hAnsi="Times New Roman" w:cs="Times New Roman" w:eastAsia="Times New Roman" w:hint="default"/>
                <w:sz w:val="24"/>
                <w:szCs w:val="24"/>
              </w:rPr>
            </w:pPr>
            <w:r>
              <w:rPr>
                <w:rFonts w:ascii="Times New Roman"/>
                <w:sz w:val="24"/>
              </w:rPr>
              <w:t>444,613</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西玛国正</w:t>
            </w:r>
          </w:p>
        </w:tc>
        <w:tc>
          <w:tcPr>
            <w:tcW w:w="2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5"/>
              <w:jc w:val="center"/>
              <w:rPr>
                <w:rFonts w:ascii="宋体" w:hAnsi="宋体" w:cs="宋体" w:eastAsia="宋体" w:hint="default"/>
                <w:sz w:val="24"/>
                <w:szCs w:val="24"/>
              </w:rPr>
            </w:pPr>
            <w:r>
              <w:rPr>
                <w:rFonts w:ascii="宋体" w:hAnsi="宋体" w:cs="宋体" w:eastAsia="宋体" w:hint="default"/>
                <w:sz w:val="24"/>
                <w:szCs w:val="24"/>
              </w:rPr>
              <w:t>购买商品和接受劳务</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487,797</w:t>
            </w:r>
          </w:p>
        </w:tc>
        <w:tc>
          <w:tcPr>
            <w:tcW w:w="203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481,451</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优数征信</w:t>
            </w:r>
          </w:p>
        </w:tc>
        <w:tc>
          <w:tcPr>
            <w:tcW w:w="2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5"/>
              <w:jc w:val="center"/>
              <w:rPr>
                <w:rFonts w:ascii="宋体" w:hAnsi="宋体" w:cs="宋体" w:eastAsia="宋体" w:hint="default"/>
                <w:sz w:val="24"/>
                <w:szCs w:val="24"/>
              </w:rPr>
            </w:pPr>
            <w:r>
              <w:rPr>
                <w:rFonts w:ascii="宋体" w:hAnsi="宋体" w:cs="宋体" w:eastAsia="宋体" w:hint="default"/>
                <w:sz w:val="24"/>
                <w:szCs w:val="24"/>
              </w:rPr>
              <w:t>购买商品和接受劳务</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327,313</w:t>
            </w:r>
          </w:p>
        </w:tc>
        <w:tc>
          <w:tcPr>
            <w:tcW w:w="203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1,050,744</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5"/>
              <w:jc w:val="center"/>
              <w:rPr>
                <w:rFonts w:ascii="宋体" w:hAnsi="宋体" w:cs="宋体" w:eastAsia="宋体" w:hint="default"/>
                <w:sz w:val="24"/>
                <w:szCs w:val="24"/>
              </w:rPr>
            </w:pPr>
            <w:r>
              <w:rPr>
                <w:rFonts w:ascii="宋体" w:hAnsi="宋体" w:cs="宋体" w:eastAsia="宋体" w:hint="default"/>
                <w:sz w:val="24"/>
                <w:szCs w:val="24"/>
              </w:rPr>
              <w:t>购买商品和接受劳务</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670,441</w:t>
            </w:r>
          </w:p>
        </w:tc>
        <w:tc>
          <w:tcPr>
            <w:tcW w:w="203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546,106</w:t>
            </w:r>
          </w:p>
        </w:tc>
      </w:tr>
    </w:tbl>
    <w:p>
      <w:pPr>
        <w:spacing w:after="0" w:line="268" w:lineRule="exact"/>
        <w:jc w:val="right"/>
        <w:rPr>
          <w:rFonts w:ascii="Times New Roman" w:hAnsi="Times New Roman" w:cs="Times New Roman" w:eastAsia="Times New Roman" w:hint="default"/>
          <w:sz w:val="24"/>
          <w:szCs w:val="24"/>
        </w:rPr>
        <w:sectPr>
          <w:type w:val="continuous"/>
          <w:pgSz w:w="11910" w:h="16850"/>
          <w:pgMar w:top="1120" w:bottom="1380" w:left="158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12" w:lineRule="exact" w:before="194"/>
        <w:ind w:left="138" w:right="169"/>
        <w:jc w:val="left"/>
      </w:pPr>
      <w:r>
        <w:rPr/>
        <w:t>上海沸橙信息科技有限公司为本集团之子公司用友汽车关键管理人员兄弟的关 联公司。于</w:t>
      </w:r>
      <w:r>
        <w:rPr>
          <w:spacing w:val="-61"/>
        </w:rPr>
        <w:t> </w:t>
      </w:r>
      <w:r>
        <w:rPr>
          <w:rFonts w:ascii="Times New Roman" w:hAnsi="Times New Roman" w:cs="Times New Roman" w:eastAsia="Times New Roman" w:hint="default"/>
        </w:rPr>
        <w:t>2019 </w:t>
      </w:r>
      <w:r>
        <w:rPr/>
        <w:t>年</w:t>
      </w:r>
      <w:r>
        <w:rPr>
          <w:spacing w:val="-60"/>
        </w:rPr>
        <w:t> </w:t>
      </w:r>
      <w:r>
        <w:rPr>
          <w:rFonts w:ascii="Times New Roman" w:hAnsi="Times New Roman" w:cs="Times New Roman" w:eastAsia="Times New Roman" w:hint="default"/>
        </w:rPr>
        <w:t>4 </w:t>
      </w:r>
      <w:r>
        <w:rPr/>
        <w:t>月至</w:t>
      </w:r>
      <w:r>
        <w:rPr>
          <w:spacing w:val="-60"/>
        </w:rPr>
        <w:t> </w:t>
      </w:r>
      <w:r>
        <w:rPr>
          <w:rFonts w:ascii="Times New Roman" w:hAnsi="Times New Roman" w:cs="Times New Roman" w:eastAsia="Times New Roman" w:hint="default"/>
        </w:rPr>
        <w:t>12 </w:t>
      </w:r>
      <w:r>
        <w:rPr/>
        <w:t>月， 用友汽车向上海沸橙信息科技有限公司采购</w:t>
      </w:r>
    </w:p>
    <w:p>
      <w:pPr>
        <w:pStyle w:val="BodyText"/>
        <w:spacing w:line="289" w:lineRule="exact"/>
        <w:ind w:left="138" w:right="0"/>
        <w:jc w:val="left"/>
      </w:pPr>
      <w:r>
        <w:rPr/>
        <w:t>劳务人民币</w:t>
      </w:r>
      <w:r>
        <w:rPr>
          <w:spacing w:val="-61"/>
        </w:rPr>
        <w:t> </w:t>
      </w:r>
      <w:r>
        <w:rPr>
          <w:rFonts w:ascii="Times New Roman" w:hAnsi="Times New Roman" w:cs="Times New Roman" w:eastAsia="Times New Roman" w:hint="default"/>
        </w:rPr>
        <w:t>18,786,438.04 </w:t>
      </w:r>
      <w:r>
        <w:rPr/>
        <w:t>元</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spacing w:val="-3"/>
        </w:rPr>
        <w:t>年度全年：人民币</w:t>
      </w:r>
      <w:r>
        <w:rPr>
          <w:spacing w:val="-60"/>
        </w:rPr>
        <w:t> </w:t>
      </w:r>
      <w:r>
        <w:rPr>
          <w:rFonts w:ascii="Times New Roman" w:hAnsi="Times New Roman" w:cs="Times New Roman" w:eastAsia="Times New Roman" w:hint="default"/>
        </w:rPr>
        <w:t>26,698,428.70 </w:t>
      </w:r>
      <w:r>
        <w:rPr/>
        <w:t>元，</w:t>
      </w:r>
      <w:r>
        <w:rPr>
          <w:spacing w:val="-24"/>
        </w:rPr>
        <w:t> </w:t>
      </w:r>
      <w:r>
        <w:rPr>
          <w:rFonts w:ascii="Times New Roman" w:hAnsi="Times New Roman" w:cs="Times New Roman" w:eastAsia="Times New Roman" w:hint="default"/>
        </w:rPr>
        <w:t>2018 </w:t>
      </w:r>
      <w:r>
        <w:rPr/>
        <w:t>年</w:t>
      </w:r>
    </w:p>
    <w:p>
      <w:pPr>
        <w:pStyle w:val="BodyText"/>
        <w:spacing w:line="322" w:lineRule="exact"/>
        <w:ind w:left="138" w:right="169"/>
        <w:jc w:val="left"/>
      </w:pPr>
      <w:r>
        <w:rPr/>
        <w:t>度：人民币</w:t>
      </w:r>
      <w:r>
        <w:rPr>
          <w:spacing w:val="-62"/>
        </w:rPr>
        <w:t> </w:t>
      </w:r>
      <w:r>
        <w:rPr>
          <w:rFonts w:ascii="Times New Roman" w:hAnsi="Times New Roman" w:cs="Times New Roman" w:eastAsia="Times New Roman" w:hint="default"/>
        </w:rPr>
        <w:t>41,835,169.37</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w:t>
      </w:r>
    </w:p>
    <w:p>
      <w:pPr>
        <w:spacing w:line="240" w:lineRule="auto" w:before="7"/>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50"/>
          <w:pgMar w:header="745" w:footer="921" w:top="980" w:bottom="1120" w:left="1660" w:right="1640"/>
        </w:sectPr>
      </w:pPr>
    </w:p>
    <w:p>
      <w:pPr>
        <w:pStyle w:val="BodyText"/>
        <w:spacing w:line="321" w:lineRule="exact" w:before="26"/>
        <w:ind w:left="138" w:right="-20"/>
        <w:jc w:val="left"/>
      </w:pPr>
      <w:r>
        <w:rPr/>
        <w:t>出售商品</w:t>
      </w:r>
      <w:r>
        <w:rPr>
          <w:rFonts w:ascii="Times New Roman" w:hAnsi="Times New Roman" w:cs="Times New Roman" w:eastAsia="Times New Roman" w:hint="default"/>
        </w:rPr>
        <w:t>/</w:t>
      </w:r>
      <w:r>
        <w:rPr/>
        <w:t>提供劳务情况表</w:t>
      </w:r>
    </w:p>
    <w:p>
      <w:pPr>
        <w:pStyle w:val="BodyText"/>
        <w:spacing w:line="303" w:lineRule="exact"/>
        <w:ind w:left="138" w:right="-20"/>
        <w:jc w:val="left"/>
      </w:pPr>
      <w:r>
        <w:rPr/>
        <w:t>√适用</w:t>
      </w:r>
      <w:r>
        <w:rPr>
          <w:spacing w:val="-1"/>
        </w:rPr>
        <w:t> </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5"/>
          <w:szCs w:val="25"/>
        </w:rPr>
      </w:pPr>
    </w:p>
    <w:p>
      <w:pPr>
        <w:pStyle w:val="BodyText"/>
        <w:tabs>
          <w:tab w:pos="1338" w:val="left" w:leader="none"/>
        </w:tabs>
        <w:spacing w:line="240" w:lineRule="auto"/>
        <w:ind w:left="138" w:right="0"/>
        <w:jc w:val="left"/>
      </w:pPr>
      <w:r>
        <w:rPr/>
        <w:t>单位：元</w:t>
        <w:tab/>
        <w:t>币种：人民币</w:t>
      </w:r>
    </w:p>
    <w:p>
      <w:pPr>
        <w:spacing w:after="0" w:line="240" w:lineRule="auto"/>
        <w:jc w:val="left"/>
        <w:sectPr>
          <w:type w:val="continuous"/>
          <w:pgSz w:w="11910" w:h="16850"/>
          <w:pgMar w:top="1120" w:bottom="1380" w:left="1660" w:right="1640"/>
          <w:cols w:num="2" w:equalWidth="0">
            <w:col w:w="2846" w:space="2829"/>
            <w:col w:w="2935"/>
          </w:cols>
        </w:sectPr>
      </w:pPr>
    </w:p>
    <w:p>
      <w:pPr>
        <w:spacing w:line="240" w:lineRule="auto" w:before="12"/>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2016"/>
        <w:gridCol w:w="2259"/>
        <w:gridCol w:w="2050"/>
        <w:gridCol w:w="2050"/>
      </w:tblGrid>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643" w:right="0"/>
              <w:jc w:val="left"/>
              <w:rPr>
                <w:rFonts w:ascii="宋体" w:hAnsi="宋体" w:cs="宋体" w:eastAsia="宋体" w:hint="default"/>
                <w:sz w:val="24"/>
                <w:szCs w:val="24"/>
              </w:rPr>
            </w:pPr>
            <w:r>
              <w:rPr>
                <w:rFonts w:ascii="宋体" w:hAnsi="宋体" w:cs="宋体" w:eastAsia="宋体" w:hint="default"/>
                <w:sz w:val="24"/>
                <w:szCs w:val="24"/>
              </w:rPr>
              <w:t>关联方</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4"/>
              <w:jc w:val="center"/>
              <w:rPr>
                <w:rFonts w:ascii="宋体" w:hAnsi="宋体" w:cs="宋体" w:eastAsia="宋体" w:hint="default"/>
                <w:sz w:val="24"/>
                <w:szCs w:val="24"/>
              </w:rPr>
            </w:pPr>
            <w:r>
              <w:rPr>
                <w:rFonts w:ascii="宋体" w:hAnsi="宋体" w:cs="宋体" w:eastAsia="宋体" w:hint="default"/>
                <w:sz w:val="24"/>
                <w:szCs w:val="24"/>
              </w:rPr>
              <w:t>关联交易内容</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17"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19"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幸福联创</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9"/>
              <w:jc w:val="center"/>
              <w:rPr>
                <w:rFonts w:ascii="宋体" w:hAnsi="宋体" w:cs="宋体" w:eastAsia="宋体" w:hint="default"/>
                <w:sz w:val="24"/>
                <w:szCs w:val="24"/>
              </w:rPr>
            </w:pPr>
            <w:r>
              <w:rPr>
                <w:rFonts w:ascii="宋体" w:hAnsi="宋体" w:cs="宋体" w:eastAsia="宋体" w:hint="default"/>
                <w:sz w:val="24"/>
                <w:szCs w:val="24"/>
              </w:rPr>
              <w:t>销售商品和提供劳务</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4,528,302</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4,528,302</w:t>
            </w:r>
          </w:p>
        </w:tc>
      </w:tr>
      <w:tr>
        <w:trPr>
          <w:trHeight w:val="320"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中关村银行</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9"/>
              <w:jc w:val="center"/>
              <w:rPr>
                <w:rFonts w:ascii="宋体" w:hAnsi="宋体" w:cs="宋体" w:eastAsia="宋体" w:hint="default"/>
                <w:sz w:val="24"/>
                <w:szCs w:val="24"/>
              </w:rPr>
            </w:pPr>
            <w:r>
              <w:rPr>
                <w:rFonts w:ascii="宋体" w:hAnsi="宋体" w:cs="宋体" w:eastAsia="宋体" w:hint="default"/>
                <w:sz w:val="24"/>
                <w:szCs w:val="24"/>
              </w:rPr>
              <w:t>销售商品和提供劳务</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24"/>
              <w:jc w:val="right"/>
              <w:rPr>
                <w:rFonts w:ascii="Times New Roman" w:hAnsi="Times New Roman" w:cs="Times New Roman" w:eastAsia="Times New Roman" w:hint="default"/>
                <w:sz w:val="24"/>
                <w:szCs w:val="24"/>
              </w:rPr>
            </w:pPr>
            <w:r>
              <w:rPr>
                <w:rFonts w:ascii="Times New Roman"/>
                <w:sz w:val="24"/>
              </w:rPr>
              <w:t>955,346</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23"/>
              <w:jc w:val="right"/>
              <w:rPr>
                <w:rFonts w:ascii="Times New Roman" w:hAnsi="Times New Roman" w:cs="Times New Roman" w:eastAsia="Times New Roman" w:hint="default"/>
                <w:sz w:val="24"/>
                <w:szCs w:val="24"/>
              </w:rPr>
            </w:pPr>
            <w:r>
              <w:rPr>
                <w:rFonts w:ascii="Times New Roman"/>
                <w:sz w:val="24"/>
              </w:rPr>
              <w:t>2,359,603</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随锐科技</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39"/>
              <w:jc w:val="center"/>
              <w:rPr>
                <w:rFonts w:ascii="宋体" w:hAnsi="宋体" w:cs="宋体" w:eastAsia="宋体" w:hint="default"/>
                <w:sz w:val="24"/>
                <w:szCs w:val="24"/>
              </w:rPr>
            </w:pPr>
            <w:r>
              <w:rPr>
                <w:rFonts w:ascii="宋体" w:hAnsi="宋体" w:cs="宋体" w:eastAsia="宋体" w:hint="default"/>
                <w:sz w:val="24"/>
                <w:szCs w:val="24"/>
              </w:rPr>
              <w:t>销售商品和提供劳务</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Times New Roman" w:hAnsi="Times New Roman" w:cs="Times New Roman" w:eastAsia="Times New Roman" w:hint="default"/>
                <w:sz w:val="24"/>
                <w:szCs w:val="24"/>
              </w:rPr>
            </w:pPr>
            <w:r>
              <w:rPr>
                <w:rFonts w:ascii="Times New Roman"/>
                <w:sz w:val="24"/>
              </w:rPr>
              <w:t>290,319</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3"/>
              <w:jc w:val="right"/>
              <w:rPr>
                <w:rFonts w:ascii="Times New Roman" w:hAnsi="Times New Roman" w:cs="Times New Roman" w:eastAsia="Times New Roman" w:hint="default"/>
                <w:sz w:val="24"/>
                <w:szCs w:val="24"/>
              </w:rPr>
            </w:pPr>
            <w:r>
              <w:rPr>
                <w:rFonts w:ascii="Times New Roman"/>
                <w:sz w:val="24"/>
              </w:rPr>
              <w:t>543,073</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用友融联</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9"/>
              <w:jc w:val="center"/>
              <w:rPr>
                <w:rFonts w:ascii="宋体" w:hAnsi="宋体" w:cs="宋体" w:eastAsia="宋体" w:hint="default"/>
                <w:sz w:val="24"/>
                <w:szCs w:val="24"/>
              </w:rPr>
            </w:pPr>
            <w:r>
              <w:rPr>
                <w:rFonts w:ascii="宋体" w:hAnsi="宋体" w:cs="宋体" w:eastAsia="宋体" w:hint="default"/>
                <w:sz w:val="24"/>
                <w:szCs w:val="24"/>
              </w:rPr>
              <w:t>销售商品和提供劳务</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224,824</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6,082</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西玛国正</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9"/>
              <w:jc w:val="center"/>
              <w:rPr>
                <w:rFonts w:ascii="宋体" w:hAnsi="宋体" w:cs="宋体" w:eastAsia="宋体" w:hint="default"/>
                <w:sz w:val="24"/>
                <w:szCs w:val="24"/>
              </w:rPr>
            </w:pPr>
            <w:r>
              <w:rPr>
                <w:rFonts w:ascii="宋体" w:hAnsi="宋体" w:cs="宋体" w:eastAsia="宋体" w:hint="default"/>
                <w:sz w:val="24"/>
                <w:szCs w:val="24"/>
              </w:rPr>
              <w:t>销售商品和提供劳务</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222,427</w:t>
            </w:r>
          </w:p>
        </w:tc>
        <w:tc>
          <w:tcPr>
            <w:tcW w:w="205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民太安公估</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9"/>
              <w:jc w:val="center"/>
              <w:rPr>
                <w:rFonts w:ascii="宋体" w:hAnsi="宋体" w:cs="宋体" w:eastAsia="宋体" w:hint="default"/>
                <w:sz w:val="24"/>
                <w:szCs w:val="24"/>
              </w:rPr>
            </w:pPr>
            <w:r>
              <w:rPr>
                <w:rFonts w:ascii="宋体" w:hAnsi="宋体" w:cs="宋体" w:eastAsia="宋体" w:hint="default"/>
                <w:sz w:val="24"/>
                <w:szCs w:val="24"/>
              </w:rPr>
              <w:t>销售商品和提供劳务</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25,647</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81,710</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9"/>
              <w:jc w:val="center"/>
              <w:rPr>
                <w:rFonts w:ascii="宋体" w:hAnsi="宋体" w:cs="宋体" w:eastAsia="宋体" w:hint="default"/>
                <w:sz w:val="24"/>
                <w:szCs w:val="24"/>
              </w:rPr>
            </w:pPr>
            <w:r>
              <w:rPr>
                <w:rFonts w:ascii="宋体" w:hAnsi="宋体" w:cs="宋体" w:eastAsia="宋体" w:hint="default"/>
                <w:sz w:val="24"/>
                <w:szCs w:val="24"/>
              </w:rPr>
              <w:t>销售商品和提供劳务</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663,264</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877,791</w:t>
            </w:r>
          </w:p>
        </w:tc>
      </w:tr>
    </w:tbl>
    <w:p>
      <w:pPr>
        <w:spacing w:line="240" w:lineRule="auto" w:before="0"/>
        <w:rPr>
          <w:rFonts w:ascii="宋体" w:hAnsi="宋体" w:cs="宋体" w:eastAsia="宋体" w:hint="default"/>
          <w:sz w:val="16"/>
          <w:szCs w:val="16"/>
        </w:rPr>
      </w:pPr>
    </w:p>
    <w:p>
      <w:pPr>
        <w:pStyle w:val="BodyText"/>
        <w:spacing w:line="312" w:lineRule="exact" w:before="26"/>
        <w:ind w:left="138" w:right="169"/>
        <w:jc w:val="left"/>
      </w:pPr>
      <w:r>
        <w:rPr/>
        <w:t>购销商品、提供和接受劳务的关联交易说明</w:t>
      </w:r>
    </w:p>
    <w:p>
      <w:pPr>
        <w:pStyle w:val="BodyText"/>
        <w:spacing w:line="312" w:lineRule="exact"/>
        <w:ind w:left="138" w:right="169"/>
        <w:jc w:val="left"/>
      </w:pPr>
      <w:r>
        <w:rPr/>
        <w:t>□适用</w:t>
      </w:r>
      <w:r>
        <w:rPr>
          <w:spacing w:val="-1"/>
        </w:rPr>
        <w:t> </w:t>
      </w:r>
      <w:r>
        <w:rPr/>
        <w:t>√不适用</w:t>
      </w:r>
    </w:p>
    <w:p>
      <w:pPr>
        <w:spacing w:line="240" w:lineRule="auto" w:before="2"/>
        <w:rPr>
          <w:rFonts w:ascii="宋体" w:hAnsi="宋体" w:cs="宋体" w:eastAsia="宋体" w:hint="default"/>
          <w:sz w:val="26"/>
          <w:szCs w:val="26"/>
        </w:rPr>
      </w:pPr>
    </w:p>
    <w:p>
      <w:pPr>
        <w:spacing w:before="0"/>
        <w:ind w:left="138" w:right="169"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26"/>
          <w:sz w:val="20"/>
          <w:szCs w:val="20"/>
        </w:rPr>
        <w:t> </w:t>
      </w:r>
      <w:r>
        <w:rPr>
          <w:rFonts w:ascii="宋体" w:hAnsi="宋体" w:cs="宋体" w:eastAsia="宋体" w:hint="default"/>
          <w:b/>
          <w:bCs/>
          <w:sz w:val="20"/>
          <w:szCs w:val="20"/>
        </w:rPr>
        <w:t>关联受托管理</w:t>
      </w:r>
      <w:r>
        <w:rPr>
          <w:rFonts w:ascii="宋体" w:hAnsi="宋体" w:cs="宋体" w:eastAsia="宋体" w:hint="default"/>
          <w:b/>
          <w:bCs/>
          <w:sz w:val="20"/>
          <w:szCs w:val="20"/>
        </w:rPr>
        <w:t>/</w:t>
      </w:r>
      <w:r>
        <w:rPr>
          <w:rFonts w:ascii="宋体" w:hAnsi="宋体" w:cs="宋体" w:eastAsia="宋体" w:hint="default"/>
          <w:b/>
          <w:bCs/>
          <w:sz w:val="20"/>
          <w:szCs w:val="20"/>
        </w:rPr>
        <w:t>承包及委托管理</w:t>
      </w:r>
      <w:r>
        <w:rPr>
          <w:rFonts w:ascii="宋体" w:hAnsi="宋体" w:cs="宋体" w:eastAsia="宋体" w:hint="default"/>
          <w:b/>
          <w:bCs/>
          <w:sz w:val="20"/>
          <w:szCs w:val="20"/>
        </w:rPr>
        <w:t>/</w:t>
      </w:r>
      <w:r>
        <w:rPr>
          <w:rFonts w:ascii="宋体" w:hAnsi="宋体" w:cs="宋体" w:eastAsia="宋体" w:hint="default"/>
          <w:b/>
          <w:bCs/>
          <w:sz w:val="20"/>
          <w:szCs w:val="20"/>
        </w:rPr>
        <w:t>出包情况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322" w:lineRule="exact" w:before="49"/>
        <w:ind w:left="138" w:right="169"/>
        <w:jc w:val="left"/>
      </w:pPr>
      <w:r>
        <w:rPr/>
        <w:t>本公司受托管理</w:t>
      </w:r>
      <w:r>
        <w:rPr>
          <w:rFonts w:ascii="Times New Roman" w:hAnsi="Times New Roman" w:cs="Times New Roman" w:eastAsia="Times New Roman" w:hint="default"/>
        </w:rPr>
        <w:t>/</w:t>
      </w:r>
      <w:r>
        <w:rPr/>
        <w:t>承包情况表：</w:t>
      </w:r>
    </w:p>
    <w:p>
      <w:pPr>
        <w:pStyle w:val="BodyText"/>
        <w:spacing w:line="312" w:lineRule="exact" w:before="20"/>
        <w:ind w:left="138" w:right="5981"/>
        <w:jc w:val="left"/>
      </w:pPr>
      <w:r>
        <w:rPr/>
        <w:t>□适用</w:t>
      </w:r>
      <w:r>
        <w:rPr>
          <w:spacing w:val="-1"/>
        </w:rPr>
        <w:t> </w:t>
      </w:r>
      <w:r>
        <w:rPr/>
        <w:t>√不适用</w:t>
      </w:r>
      <w:r>
        <w:rPr/>
        <w:t> 关联托管</w:t>
      </w:r>
      <w:r>
        <w:rPr>
          <w:rFonts w:ascii="Times New Roman" w:hAnsi="Times New Roman" w:cs="Times New Roman" w:eastAsia="Times New Roman" w:hint="default"/>
        </w:rPr>
        <w:t>/</w:t>
      </w:r>
      <w:r>
        <w:rPr/>
        <w:t>承包情况说明</w:t>
      </w:r>
    </w:p>
    <w:p>
      <w:pPr>
        <w:pStyle w:val="BodyText"/>
        <w:spacing w:line="281" w:lineRule="exact"/>
        <w:ind w:left="138" w:right="169"/>
        <w:jc w:val="left"/>
      </w:pPr>
      <w:r>
        <w:rPr/>
        <w:t>□适用</w:t>
      </w:r>
      <w:r>
        <w:rPr>
          <w:spacing w:val="-1"/>
        </w:rPr>
        <w:t> </w:t>
      </w:r>
      <w:r>
        <w:rPr/>
        <w:t>√不适用</w:t>
      </w:r>
    </w:p>
    <w:p>
      <w:pPr>
        <w:spacing w:line="240" w:lineRule="auto" w:before="12"/>
        <w:rPr>
          <w:rFonts w:ascii="宋体" w:hAnsi="宋体" w:cs="宋体" w:eastAsia="宋体" w:hint="default"/>
          <w:sz w:val="20"/>
          <w:szCs w:val="20"/>
        </w:rPr>
      </w:pPr>
    </w:p>
    <w:p>
      <w:pPr>
        <w:pStyle w:val="BodyText"/>
        <w:spacing w:line="322" w:lineRule="exact"/>
        <w:ind w:left="138" w:right="169"/>
        <w:jc w:val="left"/>
      </w:pPr>
      <w:r>
        <w:rPr/>
        <w:t>本公司委托管理</w:t>
      </w:r>
      <w:r>
        <w:rPr>
          <w:rFonts w:ascii="Times New Roman" w:hAnsi="Times New Roman" w:cs="Times New Roman" w:eastAsia="Times New Roman" w:hint="default"/>
        </w:rPr>
        <w:t>/</w:t>
      </w:r>
      <w:r>
        <w:rPr/>
        <w:t>出包情况表</w:t>
      </w:r>
    </w:p>
    <w:p>
      <w:pPr>
        <w:pStyle w:val="BodyText"/>
        <w:spacing w:line="310" w:lineRule="exact" w:before="22"/>
        <w:ind w:left="138" w:right="5981"/>
        <w:jc w:val="left"/>
      </w:pPr>
      <w:r>
        <w:rPr/>
        <w:t>□适用</w:t>
      </w:r>
      <w:r>
        <w:rPr>
          <w:spacing w:val="-1"/>
        </w:rPr>
        <w:t> </w:t>
      </w:r>
      <w:r>
        <w:rPr/>
        <w:t>√不适用</w:t>
      </w:r>
      <w:r>
        <w:rPr/>
        <w:t> 关联管理</w:t>
      </w:r>
      <w:r>
        <w:rPr>
          <w:rFonts w:ascii="Times New Roman" w:hAnsi="Times New Roman" w:cs="Times New Roman" w:eastAsia="Times New Roman" w:hint="default"/>
        </w:rPr>
        <w:t>/</w:t>
      </w:r>
      <w:r>
        <w:rPr/>
        <w:t>出包情况说明</w:t>
      </w:r>
    </w:p>
    <w:p>
      <w:pPr>
        <w:pStyle w:val="BodyText"/>
        <w:spacing w:line="284" w:lineRule="exact"/>
        <w:ind w:left="138" w:right="169"/>
        <w:jc w:val="left"/>
      </w:pPr>
      <w:r>
        <w:rPr/>
        <w:t>□适用</w:t>
      </w:r>
      <w:r>
        <w:rPr>
          <w:spacing w:val="-1"/>
        </w:rPr>
        <w:t> </w:t>
      </w:r>
      <w:r>
        <w:rPr/>
        <w:t>√不适用</w:t>
      </w:r>
    </w:p>
    <w:p>
      <w:pPr>
        <w:spacing w:line="240" w:lineRule="auto" w:before="4"/>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50"/>
          <w:pgMar w:top="1120" w:bottom="1380" w:left="1660" w:right="1640"/>
        </w:sectPr>
      </w:pPr>
    </w:p>
    <w:p>
      <w:pPr>
        <w:spacing w:before="37"/>
        <w:ind w:left="138" w:right="-2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pacing w:val="-23"/>
          <w:sz w:val="20"/>
          <w:szCs w:val="20"/>
        </w:rPr>
        <w:t> </w:t>
      </w:r>
      <w:r>
        <w:rPr>
          <w:rFonts w:ascii="宋体" w:hAnsi="宋体" w:cs="宋体" w:eastAsia="宋体" w:hint="default"/>
          <w:b/>
          <w:bCs/>
          <w:sz w:val="20"/>
          <w:szCs w:val="20"/>
        </w:rPr>
        <w:t>关联租赁情况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312" w:lineRule="exact" w:before="49"/>
        <w:ind w:left="138" w:right="-20"/>
        <w:jc w:val="left"/>
      </w:pPr>
      <w:r>
        <w:rPr/>
        <w:t>本公司作为出租方：</w:t>
      </w:r>
    </w:p>
    <w:p>
      <w:pPr>
        <w:pStyle w:val="BodyText"/>
        <w:spacing w:line="312" w:lineRule="exact"/>
        <w:ind w:left="138" w:right="-20"/>
        <w:jc w:val="left"/>
      </w:pPr>
      <w:r>
        <w:rPr/>
        <w:t>√适用</w:t>
      </w:r>
      <w:r>
        <w:rPr>
          <w:spacing w:val="-1"/>
        </w:rPr>
        <w:t> </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6"/>
          <w:szCs w:val="26"/>
        </w:rPr>
      </w:pPr>
    </w:p>
    <w:p>
      <w:pPr>
        <w:pStyle w:val="BodyText"/>
        <w:tabs>
          <w:tab w:pos="1338" w:val="left" w:leader="none"/>
        </w:tabs>
        <w:spacing w:line="240" w:lineRule="auto"/>
        <w:ind w:left="138" w:right="0"/>
        <w:jc w:val="left"/>
      </w:pPr>
      <w:r>
        <w:rPr/>
        <w:t>单位：元</w:t>
        <w:tab/>
        <w:t>币种：人民币</w:t>
      </w:r>
    </w:p>
    <w:p>
      <w:pPr>
        <w:spacing w:after="0" w:line="240" w:lineRule="auto"/>
        <w:jc w:val="left"/>
        <w:sectPr>
          <w:type w:val="continuous"/>
          <w:pgSz w:w="11910" w:h="16850"/>
          <w:pgMar w:top="1120" w:bottom="1380" w:left="1660" w:right="1640"/>
          <w:cols w:num="2" w:equalWidth="0">
            <w:col w:w="2299" w:space="3376"/>
            <w:col w:w="2935"/>
          </w:cols>
        </w:sectPr>
      </w:pPr>
    </w:p>
    <w:p>
      <w:pPr>
        <w:spacing w:line="240" w:lineRule="auto" w:before="12"/>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476"/>
        <w:gridCol w:w="2288"/>
        <w:gridCol w:w="2288"/>
        <w:gridCol w:w="2324"/>
      </w:tblGrid>
      <w:tr>
        <w:trPr>
          <w:trHeight w:val="348"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34" w:right="0"/>
              <w:jc w:val="left"/>
              <w:rPr>
                <w:rFonts w:ascii="宋体" w:hAnsi="宋体" w:cs="宋体" w:eastAsia="宋体" w:hint="default"/>
                <w:sz w:val="24"/>
                <w:szCs w:val="24"/>
              </w:rPr>
            </w:pPr>
            <w:r>
              <w:rPr>
                <w:rFonts w:ascii="宋体" w:hAnsi="宋体" w:cs="宋体" w:eastAsia="宋体" w:hint="default"/>
                <w:sz w:val="24"/>
                <w:szCs w:val="24"/>
              </w:rPr>
              <w:t>承租方名称</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2"/>
              <w:jc w:val="center"/>
              <w:rPr>
                <w:rFonts w:ascii="宋体" w:hAnsi="宋体" w:cs="宋体" w:eastAsia="宋体" w:hint="default"/>
                <w:sz w:val="24"/>
                <w:szCs w:val="24"/>
              </w:rPr>
            </w:pPr>
            <w:r>
              <w:rPr>
                <w:rFonts w:ascii="宋体" w:hAnsi="宋体" w:cs="宋体" w:eastAsia="宋体" w:hint="default"/>
                <w:sz w:val="24"/>
                <w:szCs w:val="24"/>
              </w:rPr>
              <w:t>租赁资产种类</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58"/>
              <w:jc w:val="right"/>
              <w:rPr>
                <w:rFonts w:ascii="宋体" w:hAnsi="宋体" w:cs="宋体" w:eastAsia="宋体" w:hint="default"/>
                <w:sz w:val="24"/>
                <w:szCs w:val="24"/>
              </w:rPr>
            </w:pPr>
            <w:r>
              <w:rPr>
                <w:rFonts w:ascii="宋体" w:hAnsi="宋体" w:cs="宋体" w:eastAsia="宋体" w:hint="default"/>
                <w:sz w:val="24"/>
                <w:szCs w:val="24"/>
              </w:rPr>
              <w:t>本期确认的租赁收入</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77"/>
              <w:jc w:val="right"/>
              <w:rPr>
                <w:rFonts w:ascii="宋体" w:hAnsi="宋体" w:cs="宋体" w:eastAsia="宋体" w:hint="default"/>
                <w:sz w:val="24"/>
                <w:szCs w:val="24"/>
              </w:rPr>
            </w:pPr>
            <w:r>
              <w:rPr>
                <w:rFonts w:ascii="宋体" w:hAnsi="宋体" w:cs="宋体" w:eastAsia="宋体" w:hint="default"/>
                <w:sz w:val="24"/>
                <w:szCs w:val="24"/>
              </w:rPr>
              <w:t>上期确认的租赁收入</w:t>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中驰车福</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8"/>
              <w:jc w:val="center"/>
              <w:rPr>
                <w:rFonts w:ascii="宋体" w:hAnsi="宋体" w:cs="宋体" w:eastAsia="宋体" w:hint="default"/>
                <w:sz w:val="24"/>
                <w:szCs w:val="24"/>
              </w:rPr>
            </w:pPr>
            <w:r>
              <w:rPr>
                <w:rFonts w:ascii="宋体" w:hAnsi="宋体" w:cs="宋体" w:eastAsia="宋体" w:hint="default"/>
                <w:sz w:val="24"/>
                <w:szCs w:val="24"/>
              </w:rPr>
              <w:t>用友软件园办公用房</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1,418,102</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2,723,360</w:t>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中企永联</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8"/>
              <w:jc w:val="center"/>
              <w:rPr>
                <w:rFonts w:ascii="宋体" w:hAnsi="宋体" w:cs="宋体" w:eastAsia="宋体" w:hint="default"/>
                <w:sz w:val="24"/>
                <w:szCs w:val="24"/>
              </w:rPr>
            </w:pPr>
            <w:r>
              <w:rPr>
                <w:rFonts w:ascii="宋体" w:hAnsi="宋体" w:cs="宋体" w:eastAsia="宋体" w:hint="default"/>
                <w:sz w:val="24"/>
                <w:szCs w:val="24"/>
              </w:rPr>
              <w:t>用友软件园办公用房</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441,443</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444,963</w:t>
            </w:r>
          </w:p>
        </w:tc>
      </w:tr>
      <w:tr>
        <w:trPr>
          <w:trHeight w:val="319"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北京伟库</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8"/>
              <w:jc w:val="center"/>
              <w:rPr>
                <w:rFonts w:ascii="宋体" w:hAnsi="宋体" w:cs="宋体" w:eastAsia="宋体" w:hint="default"/>
                <w:sz w:val="24"/>
                <w:szCs w:val="24"/>
              </w:rPr>
            </w:pPr>
            <w:r>
              <w:rPr>
                <w:rFonts w:ascii="宋体" w:hAnsi="宋体" w:cs="宋体" w:eastAsia="宋体" w:hint="default"/>
                <w:sz w:val="24"/>
                <w:szCs w:val="24"/>
              </w:rPr>
              <w:t>用友软件园办公用房</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319,542</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380,970</w:t>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用友研究所</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68"/>
              <w:jc w:val="center"/>
              <w:rPr>
                <w:rFonts w:ascii="宋体" w:hAnsi="宋体" w:cs="宋体" w:eastAsia="宋体" w:hint="default"/>
                <w:sz w:val="24"/>
                <w:szCs w:val="24"/>
              </w:rPr>
            </w:pPr>
            <w:r>
              <w:rPr>
                <w:rFonts w:ascii="宋体" w:hAnsi="宋体" w:cs="宋体" w:eastAsia="宋体" w:hint="default"/>
                <w:sz w:val="24"/>
                <w:szCs w:val="24"/>
              </w:rPr>
              <w:t>用友软件园办公用房</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Times New Roman" w:hAnsi="Times New Roman" w:cs="Times New Roman" w:eastAsia="Times New Roman" w:hint="default"/>
                <w:sz w:val="24"/>
                <w:szCs w:val="24"/>
              </w:rPr>
            </w:pPr>
            <w:r>
              <w:rPr>
                <w:rFonts w:ascii="Times New Roman"/>
                <w:sz w:val="24"/>
              </w:rPr>
              <w:t>144,302</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Times New Roman" w:hAnsi="Times New Roman" w:cs="Times New Roman" w:eastAsia="Times New Roman" w:hint="default"/>
                <w:sz w:val="24"/>
                <w:szCs w:val="24"/>
              </w:rPr>
            </w:pPr>
            <w:r>
              <w:rPr>
                <w:rFonts w:ascii="Times New Roman"/>
                <w:sz w:val="24"/>
              </w:rPr>
              <w:t>154,616</w:t>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融道基金</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8"/>
              <w:jc w:val="center"/>
              <w:rPr>
                <w:rFonts w:ascii="宋体" w:hAnsi="宋体" w:cs="宋体" w:eastAsia="宋体" w:hint="default"/>
                <w:sz w:val="24"/>
                <w:szCs w:val="24"/>
              </w:rPr>
            </w:pPr>
            <w:r>
              <w:rPr>
                <w:rFonts w:ascii="宋体" w:hAnsi="宋体" w:cs="宋体" w:eastAsia="宋体" w:hint="default"/>
                <w:sz w:val="24"/>
                <w:szCs w:val="24"/>
              </w:rPr>
              <w:t>用友软件园办公用房</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131,131</w:t>
            </w:r>
          </w:p>
        </w:tc>
        <w:tc>
          <w:tcPr>
            <w:tcW w:w="23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红橘科技</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8"/>
              <w:jc w:val="center"/>
              <w:rPr>
                <w:rFonts w:ascii="宋体" w:hAnsi="宋体" w:cs="宋体" w:eastAsia="宋体" w:hint="default"/>
                <w:sz w:val="24"/>
                <w:szCs w:val="24"/>
              </w:rPr>
            </w:pPr>
            <w:r>
              <w:rPr>
                <w:rFonts w:ascii="宋体" w:hAnsi="宋体" w:cs="宋体" w:eastAsia="宋体" w:hint="default"/>
                <w:sz w:val="24"/>
                <w:szCs w:val="24"/>
              </w:rPr>
              <w:t>用友软件园办公用房</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108,962</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220,430</w:t>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68"/>
              <w:jc w:val="center"/>
              <w:rPr>
                <w:rFonts w:ascii="宋体" w:hAnsi="宋体" w:cs="宋体" w:eastAsia="宋体" w:hint="default"/>
                <w:sz w:val="24"/>
                <w:szCs w:val="24"/>
              </w:rPr>
            </w:pPr>
            <w:r>
              <w:rPr>
                <w:rFonts w:ascii="宋体" w:hAnsi="宋体" w:cs="宋体" w:eastAsia="宋体" w:hint="default"/>
                <w:sz w:val="24"/>
                <w:szCs w:val="24"/>
              </w:rPr>
              <w:t>用友软件园办公用房</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149,747</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809,406</w:t>
            </w:r>
          </w:p>
        </w:tc>
      </w:tr>
    </w:tbl>
    <w:p>
      <w:pPr>
        <w:spacing w:after="0" w:line="268" w:lineRule="exact"/>
        <w:jc w:val="right"/>
        <w:rPr>
          <w:rFonts w:ascii="Times New Roman" w:hAnsi="Times New Roman" w:cs="Times New Roman" w:eastAsia="Times New Roman" w:hint="default"/>
          <w:sz w:val="24"/>
          <w:szCs w:val="24"/>
        </w:rPr>
        <w:sectPr>
          <w:type w:val="continuous"/>
          <w:pgSz w:w="11910" w:h="16850"/>
          <w:pgMar w:top="1120" w:bottom="1380" w:left="1660" w:right="16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13" w:lineRule="exact" w:before="164"/>
        <w:ind w:left="218" w:right="6141"/>
        <w:jc w:val="left"/>
      </w:pPr>
      <w:r>
        <w:rPr/>
        <w:t>本公司作为承租方：</w:t>
      </w:r>
    </w:p>
    <w:p>
      <w:pPr>
        <w:pStyle w:val="BodyText"/>
        <w:spacing w:line="310" w:lineRule="exact" w:before="31"/>
        <w:ind w:left="218" w:right="6608"/>
        <w:jc w:val="left"/>
      </w:pPr>
      <w:r>
        <w:rPr/>
        <w:t>□适用</w:t>
      </w:r>
      <w:r>
        <w:rPr>
          <w:spacing w:val="-1"/>
        </w:rPr>
        <w:t> </w:t>
      </w:r>
      <w:r>
        <w:rPr/>
        <w:t>√不适用</w:t>
      </w:r>
      <w:r>
        <w:rPr/>
        <w:t> 关联租赁情况说明</w:t>
      </w:r>
    </w:p>
    <w:p>
      <w:pPr>
        <w:pStyle w:val="BodyText"/>
        <w:spacing w:line="284" w:lineRule="exact"/>
        <w:ind w:left="218" w:right="6141"/>
        <w:jc w:val="left"/>
      </w:pPr>
      <w:r>
        <w:rPr/>
        <w:t>□适用</w:t>
      </w:r>
      <w:r>
        <w:rPr>
          <w:spacing w:val="-1"/>
        </w:rPr>
        <w:t> </w:t>
      </w:r>
      <w:r>
        <w:rPr/>
        <w:t>√不适用</w:t>
      </w:r>
    </w:p>
    <w:p>
      <w:pPr>
        <w:spacing w:line="240" w:lineRule="auto" w:before="2"/>
        <w:rPr>
          <w:rFonts w:ascii="宋体" w:hAnsi="宋体" w:cs="宋体" w:eastAsia="宋体" w:hint="default"/>
          <w:sz w:val="26"/>
          <w:szCs w:val="26"/>
        </w:rPr>
      </w:pPr>
    </w:p>
    <w:p>
      <w:pPr>
        <w:spacing w:before="0"/>
        <w:ind w:left="218" w:right="6141"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pacing w:val="-23"/>
          <w:sz w:val="20"/>
          <w:szCs w:val="20"/>
        </w:rPr>
        <w:t> </w:t>
      </w:r>
      <w:r>
        <w:rPr>
          <w:rFonts w:ascii="宋体" w:hAnsi="宋体" w:cs="宋体" w:eastAsia="宋体" w:hint="default"/>
          <w:b/>
          <w:bCs/>
          <w:sz w:val="20"/>
          <w:szCs w:val="20"/>
        </w:rPr>
        <w:t>关联担保情况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312" w:lineRule="exact" w:before="49"/>
        <w:ind w:left="218" w:right="6141"/>
        <w:jc w:val="left"/>
      </w:pPr>
      <w:r>
        <w:rPr/>
        <w:t>本公司作为担保方</w:t>
      </w:r>
    </w:p>
    <w:p>
      <w:pPr>
        <w:pStyle w:val="BodyText"/>
        <w:spacing w:line="312" w:lineRule="exact" w:before="28"/>
        <w:ind w:left="218" w:right="6368"/>
        <w:jc w:val="left"/>
      </w:pPr>
      <w:r>
        <w:rPr/>
        <w:t>□适用</w:t>
      </w:r>
      <w:r>
        <w:rPr>
          <w:spacing w:val="-1"/>
        </w:rPr>
        <w:t> </w:t>
      </w:r>
      <w:r>
        <w:rPr/>
        <w:t>√不适用</w:t>
      </w:r>
      <w:r>
        <w:rPr/>
        <w:t> 本公司作为被担保方</w:t>
      </w:r>
    </w:p>
    <w:p>
      <w:pPr>
        <w:pStyle w:val="BodyText"/>
        <w:spacing w:line="283" w:lineRule="exact"/>
        <w:ind w:left="218" w:right="6141"/>
        <w:jc w:val="left"/>
      </w:pPr>
      <w:r>
        <w:rPr/>
        <w:t>□适用</w:t>
      </w:r>
      <w:r>
        <w:rPr>
          <w:spacing w:val="-1"/>
        </w:rPr>
        <w:t> </w:t>
      </w:r>
      <w:r>
        <w:rPr/>
        <w:t>√不适用</w:t>
      </w:r>
    </w:p>
    <w:p>
      <w:pPr>
        <w:pStyle w:val="BodyText"/>
        <w:spacing w:line="311" w:lineRule="exact"/>
        <w:ind w:left="218" w:right="6141"/>
        <w:jc w:val="left"/>
      </w:pPr>
      <w:r>
        <w:rPr/>
        <w:t>关联担保情况说明</w:t>
      </w:r>
    </w:p>
    <w:p>
      <w:pPr>
        <w:pStyle w:val="BodyText"/>
        <w:spacing w:line="312" w:lineRule="exact"/>
        <w:ind w:left="218" w:right="6141"/>
        <w:jc w:val="left"/>
      </w:pPr>
      <w:r>
        <w:rPr/>
        <w:t>□适用</w:t>
      </w:r>
      <w:r>
        <w:rPr>
          <w:spacing w:val="-1"/>
        </w:rPr>
        <w:t> </w:t>
      </w:r>
      <w:r>
        <w:rPr/>
        <w:t>√不适用</w:t>
      </w:r>
    </w:p>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50"/>
          <w:pgMar w:header="745" w:footer="921" w:top="980" w:bottom="1120" w:left="1580" w:right="1560"/>
        </w:sectPr>
      </w:pPr>
    </w:p>
    <w:p>
      <w:pPr>
        <w:spacing w:before="37"/>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pacing w:val="-21"/>
          <w:sz w:val="20"/>
          <w:szCs w:val="20"/>
        </w:rPr>
        <w:t> </w:t>
      </w:r>
      <w:r>
        <w:rPr>
          <w:rFonts w:ascii="宋体" w:hAnsi="宋体" w:cs="宋体" w:eastAsia="宋体" w:hint="default"/>
          <w:b/>
          <w:bCs/>
          <w:sz w:val="20"/>
          <w:szCs w:val="20"/>
        </w:rPr>
        <w:t>关联方资金拆借</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8" w:right="0"/>
        <w:jc w:val="left"/>
      </w:pPr>
      <w:r>
        <w:rPr/>
        <w:t>□适用</w:t>
      </w:r>
      <w:r>
        <w:rPr>
          <w:spacing w:val="-1"/>
        </w:rPr>
        <w:t> </w:t>
      </w:r>
      <w:r>
        <w:rPr/>
        <w:t>√不适用</w:t>
      </w:r>
    </w:p>
    <w:p>
      <w:pPr>
        <w:spacing w:before="64"/>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pacing w:val="-23"/>
          <w:sz w:val="20"/>
          <w:szCs w:val="20"/>
        </w:rPr>
        <w:t> </w:t>
      </w:r>
      <w:r>
        <w:rPr>
          <w:rFonts w:ascii="宋体" w:hAnsi="宋体" w:cs="宋体" w:eastAsia="宋体" w:hint="default"/>
          <w:b/>
          <w:bCs/>
          <w:sz w:val="20"/>
          <w:szCs w:val="20"/>
        </w:rPr>
        <w:t>关联方资产转让、债务重组情况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8" w:right="0"/>
        <w:jc w:val="left"/>
      </w:pPr>
      <w:r>
        <w:rPr/>
        <w:t>□适用</w:t>
      </w:r>
      <w:r>
        <w:rPr>
          <w:spacing w:val="-1"/>
        </w:rPr>
        <w:t> </w:t>
      </w:r>
      <w:r>
        <w:rPr/>
        <w:t>√不适用</w:t>
      </w:r>
    </w:p>
    <w:p>
      <w:pPr>
        <w:spacing w:before="66"/>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(7).</w:t>
      </w:r>
      <w:r>
        <w:rPr>
          <w:rFonts w:ascii="宋体" w:hAnsi="宋体" w:cs="宋体" w:eastAsia="宋体" w:hint="default"/>
          <w:b/>
          <w:bCs/>
          <w:spacing w:val="-23"/>
          <w:sz w:val="20"/>
          <w:szCs w:val="20"/>
        </w:rPr>
        <w:t> </w:t>
      </w:r>
      <w:r>
        <w:rPr>
          <w:rFonts w:ascii="宋体" w:hAnsi="宋体" w:cs="宋体" w:eastAsia="宋体" w:hint="default"/>
          <w:b/>
          <w:bCs/>
          <w:sz w:val="20"/>
          <w:szCs w:val="20"/>
        </w:rPr>
        <w:t>关键管理人员报酬</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8" w:right="0"/>
        <w:jc w:val="left"/>
      </w:pPr>
      <w:r>
        <w:rPr/>
        <w:t>√适用</w:t>
      </w:r>
      <w:r>
        <w:rPr>
          <w:spacing w:val="-2"/>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35"/>
          <w:szCs w:val="35"/>
        </w:rPr>
      </w:pPr>
    </w:p>
    <w:p>
      <w:pPr>
        <w:pStyle w:val="BodyText"/>
        <w:tabs>
          <w:tab w:pos="1658" w:val="left" w:leader="none"/>
        </w:tabs>
        <w:spacing w:line="240" w:lineRule="auto"/>
        <w:ind w:left="218" w:right="0"/>
        <w:jc w:val="left"/>
      </w:pPr>
      <w:r>
        <w:rPr/>
        <w:t>单位：万元</w:t>
        <w:tab/>
        <w:t>币种：人民币</w:t>
      </w:r>
    </w:p>
    <w:p>
      <w:pPr>
        <w:spacing w:after="0" w:line="240" w:lineRule="auto"/>
        <w:jc w:val="left"/>
        <w:sectPr>
          <w:type w:val="continuous"/>
          <w:pgSz w:w="11910" w:h="16850"/>
          <w:pgMar w:top="1120" w:bottom="1380" w:left="1580" w:right="1560"/>
          <w:cols w:num="2" w:equalWidth="0">
            <w:col w:w="3614" w:space="1821"/>
            <w:col w:w="3335"/>
          </w:cols>
        </w:sectPr>
      </w:pPr>
    </w:p>
    <w:p>
      <w:pPr>
        <w:spacing w:line="240" w:lineRule="auto" w:before="12"/>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087"/>
        <w:gridCol w:w="3087"/>
        <w:gridCol w:w="2357"/>
      </w:tblGrid>
      <w:tr>
        <w:trPr>
          <w:trHeight w:val="320"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38"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71"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关键管理人员报酬</w:t>
            </w:r>
          </w:p>
        </w:tc>
        <w:tc>
          <w:tcPr>
            <w:tcW w:w="308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5,334.63</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402" w:right="0"/>
              <w:jc w:val="left"/>
              <w:rPr>
                <w:rFonts w:ascii="Times New Roman" w:hAnsi="Times New Roman" w:cs="Times New Roman" w:eastAsia="Times New Roman" w:hint="default"/>
                <w:sz w:val="24"/>
                <w:szCs w:val="24"/>
              </w:rPr>
            </w:pPr>
            <w:r>
              <w:rPr>
                <w:rFonts w:ascii="Times New Roman"/>
                <w:sz w:val="24"/>
              </w:rPr>
              <w:t>4,509.62</w:t>
            </w:r>
          </w:p>
        </w:tc>
      </w:tr>
    </w:tbl>
    <w:p>
      <w:pPr>
        <w:spacing w:line="240" w:lineRule="auto" w:before="5"/>
        <w:rPr>
          <w:rFonts w:ascii="宋体" w:hAnsi="宋体" w:cs="宋体" w:eastAsia="宋体" w:hint="default"/>
          <w:sz w:val="20"/>
          <w:szCs w:val="20"/>
        </w:rPr>
      </w:pPr>
    </w:p>
    <w:p>
      <w:pPr>
        <w:spacing w:before="37"/>
        <w:ind w:left="218" w:right="6141" w:firstLine="0"/>
        <w:jc w:val="left"/>
        <w:rPr>
          <w:rFonts w:ascii="宋体" w:hAnsi="宋体" w:cs="宋体" w:eastAsia="宋体" w:hint="default"/>
          <w:sz w:val="20"/>
          <w:szCs w:val="20"/>
        </w:rPr>
      </w:pPr>
      <w:r>
        <w:rPr>
          <w:rFonts w:ascii="宋体" w:hAnsi="宋体" w:cs="宋体" w:eastAsia="宋体" w:hint="default"/>
          <w:b/>
          <w:bCs/>
          <w:sz w:val="20"/>
          <w:szCs w:val="20"/>
        </w:rPr>
        <w:t>(8).</w:t>
      </w:r>
      <w:r>
        <w:rPr>
          <w:rFonts w:ascii="宋体" w:hAnsi="宋体" w:cs="宋体" w:eastAsia="宋体" w:hint="default"/>
          <w:b/>
          <w:bCs/>
          <w:spacing w:val="-23"/>
          <w:sz w:val="20"/>
          <w:szCs w:val="20"/>
        </w:rPr>
        <w:t> </w:t>
      </w:r>
      <w:r>
        <w:rPr>
          <w:rFonts w:ascii="宋体" w:hAnsi="宋体" w:cs="宋体" w:eastAsia="宋体" w:hint="default"/>
          <w:b/>
          <w:bCs/>
          <w:sz w:val="20"/>
          <w:szCs w:val="20"/>
        </w:rPr>
        <w:t>其他关联交易</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77" w:val="left" w:leader="none"/>
        </w:tabs>
        <w:spacing w:line="240" w:lineRule="auto" w:before="51"/>
        <w:ind w:left="218" w:right="6141"/>
        <w:jc w:val="left"/>
      </w:pPr>
      <w:r>
        <w:rPr/>
        <w:t>□适用</w:t>
        <w:tab/>
        <w:t>√不适用</w:t>
      </w:r>
    </w:p>
    <w:p>
      <w:pPr>
        <w:spacing w:line="240" w:lineRule="auto" w:before="1"/>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50"/>
          <w:pgMar w:top="1120" w:bottom="1380" w:left="1580" w:right="1560"/>
        </w:sectPr>
      </w:pPr>
    </w:p>
    <w:p>
      <w:pPr>
        <w:spacing w:line="292" w:lineRule="auto" w:before="37"/>
        <w:ind w:left="218" w:right="0" w:firstLine="0"/>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z w:val="20"/>
          <w:szCs w:val="20"/>
        </w:rPr>
        <w:t>、</w:t>
      </w:r>
      <w:r>
        <w:rPr>
          <w:rFonts w:ascii="宋体" w:hAnsi="宋体" w:cs="宋体" w:eastAsia="宋体" w:hint="default"/>
          <w:b/>
          <w:bCs/>
          <w:spacing w:val="20"/>
          <w:sz w:val="20"/>
          <w:szCs w:val="20"/>
        </w:rPr>
        <w:t> </w:t>
      </w:r>
      <w:r>
        <w:rPr>
          <w:rFonts w:ascii="宋体" w:hAnsi="宋体" w:cs="宋体" w:eastAsia="宋体" w:hint="default"/>
          <w:b/>
          <w:bCs/>
          <w:sz w:val="20"/>
          <w:szCs w:val="20"/>
        </w:rPr>
        <w:t>关联方应收应付款项</w:t>
      </w:r>
      <w:r>
        <w:rPr>
          <w:rFonts w:ascii="宋体" w:hAnsi="宋体" w:cs="宋体" w:eastAsia="宋体" w:hint="default"/>
          <w:b/>
          <w:bCs/>
          <w:w w:val="98"/>
          <w:sz w:val="20"/>
          <w:szCs w:val="20"/>
        </w:rPr>
        <w:t> </w:t>
      </w:r>
      <w:r>
        <w:rPr>
          <w:rFonts w:ascii="宋体" w:hAnsi="宋体" w:cs="宋体" w:eastAsia="宋体" w:hint="default"/>
          <w:b/>
          <w:bCs/>
          <w:sz w:val="20"/>
          <w:szCs w:val="20"/>
        </w:rPr>
        <w:t>(1).</w:t>
      </w:r>
      <w:r>
        <w:rPr>
          <w:rFonts w:ascii="宋体" w:hAnsi="宋体" w:cs="宋体" w:eastAsia="宋体" w:hint="default"/>
          <w:b/>
          <w:bCs/>
          <w:spacing w:val="-22"/>
          <w:sz w:val="20"/>
          <w:szCs w:val="20"/>
        </w:rPr>
        <w:t> </w:t>
      </w:r>
      <w:r>
        <w:rPr>
          <w:rFonts w:ascii="宋体" w:hAnsi="宋体" w:cs="宋体" w:eastAsia="宋体" w:hint="default"/>
          <w:b/>
          <w:bCs/>
          <w:sz w:val="20"/>
          <w:szCs w:val="20"/>
        </w:rPr>
        <w:t>应收项目</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77" w:val="left" w:leader="none"/>
        </w:tabs>
        <w:spacing w:line="240" w:lineRule="auto" w:before="5"/>
        <w:ind w:left="218" w:right="0"/>
        <w:jc w:val="left"/>
      </w:pPr>
      <w:r>
        <w:rPr/>
        <w:t>√适用</w:t>
        <w:tab/>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6"/>
          <w:szCs w:val="26"/>
        </w:rPr>
      </w:pPr>
    </w:p>
    <w:p>
      <w:pPr>
        <w:pStyle w:val="BodyText"/>
        <w:tabs>
          <w:tab w:pos="1245" w:val="left" w:leader="none"/>
        </w:tabs>
        <w:spacing w:line="240" w:lineRule="auto"/>
        <w:ind w:left="218" w:right="0"/>
        <w:jc w:val="left"/>
      </w:pPr>
      <w:r>
        <w:rPr/>
        <w:t>单位</w:t>
      </w:r>
      <w:r>
        <w:rPr>
          <w:rFonts w:ascii="Times New Roman" w:hAnsi="Times New Roman" w:cs="Times New Roman" w:eastAsia="Times New Roman" w:hint="default"/>
        </w:rPr>
        <w:t>:</w:t>
      </w:r>
      <w:r>
        <w:rPr/>
        <w:t>元</w:t>
        <w:tab/>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50"/>
          <w:pgMar w:top="1120" w:bottom="1380" w:left="1580" w:right="1560"/>
          <w:cols w:num="2" w:equalWidth="0">
            <w:col w:w="2551" w:space="3469"/>
            <w:col w:w="2750"/>
          </w:cols>
        </w:sectPr>
      </w:pPr>
    </w:p>
    <w:tbl>
      <w:tblPr>
        <w:tblW w:w="0" w:type="auto"/>
        <w:jc w:val="left"/>
        <w:tblInd w:w="182" w:type="dxa"/>
        <w:tblLayout w:type="fixed"/>
        <w:tblCellMar>
          <w:top w:w="0" w:type="dxa"/>
          <w:left w:w="0" w:type="dxa"/>
          <w:bottom w:w="0" w:type="dxa"/>
          <w:right w:w="0" w:type="dxa"/>
        </w:tblCellMar>
        <w:tblLook w:val="01E0"/>
      </w:tblPr>
      <w:tblGrid>
        <w:gridCol w:w="1363"/>
        <w:gridCol w:w="1285"/>
        <w:gridCol w:w="1284"/>
        <w:gridCol w:w="1284"/>
        <w:gridCol w:w="1404"/>
        <w:gridCol w:w="1755"/>
      </w:tblGrid>
      <w:tr>
        <w:trPr>
          <w:trHeight w:val="322" w:hRule="exact"/>
        </w:trPr>
        <w:tc>
          <w:tcPr>
            <w:tcW w:w="1363" w:type="dxa"/>
            <w:vMerge w:val="restart"/>
            <w:tcBorders>
              <w:top w:val="single" w:sz="4" w:space="0" w:color="000000"/>
              <w:left w:val="single" w:sz="4" w:space="0" w:color="000000"/>
              <w:right w:val="single" w:sz="4" w:space="0" w:color="000000"/>
            </w:tcBorders>
          </w:tcPr>
          <w:p>
            <w:pPr>
              <w:pStyle w:val="TableParagraph"/>
              <w:spacing w:line="240" w:lineRule="auto" w:before="121"/>
              <w:ind w:left="196" w:right="0"/>
              <w:jc w:val="left"/>
              <w:rPr>
                <w:rFonts w:ascii="宋体" w:hAnsi="宋体" w:cs="宋体" w:eastAsia="宋体" w:hint="default"/>
                <w:sz w:val="24"/>
                <w:szCs w:val="24"/>
              </w:rPr>
            </w:pPr>
            <w:r>
              <w:rPr>
                <w:rFonts w:ascii="宋体" w:hAnsi="宋体" w:cs="宋体" w:eastAsia="宋体" w:hint="default"/>
                <w:sz w:val="24"/>
                <w:szCs w:val="24"/>
              </w:rPr>
              <w:t>项目名称</w:t>
            </w:r>
          </w:p>
        </w:tc>
        <w:tc>
          <w:tcPr>
            <w:tcW w:w="1285" w:type="dxa"/>
            <w:vMerge w:val="restart"/>
            <w:tcBorders>
              <w:top w:val="single" w:sz="4" w:space="0" w:color="000000"/>
              <w:left w:val="single" w:sz="4" w:space="0" w:color="000000"/>
              <w:right w:val="single" w:sz="4" w:space="0" w:color="000000"/>
            </w:tcBorders>
          </w:tcPr>
          <w:p>
            <w:pPr>
              <w:pStyle w:val="TableParagraph"/>
              <w:spacing w:line="240" w:lineRule="auto" w:before="121"/>
              <w:ind w:left="275" w:right="0"/>
              <w:jc w:val="left"/>
              <w:rPr>
                <w:rFonts w:ascii="宋体" w:hAnsi="宋体" w:cs="宋体" w:eastAsia="宋体" w:hint="default"/>
                <w:sz w:val="24"/>
                <w:szCs w:val="24"/>
              </w:rPr>
            </w:pPr>
            <w:r>
              <w:rPr>
                <w:rFonts w:ascii="宋体" w:hAnsi="宋体" w:cs="宋体" w:eastAsia="宋体" w:hint="default"/>
                <w:sz w:val="24"/>
                <w:szCs w:val="24"/>
              </w:rPr>
              <w:t>关联方</w:t>
            </w:r>
          </w:p>
        </w:tc>
        <w:tc>
          <w:tcPr>
            <w:tcW w:w="2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99"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31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期初余额</w:t>
            </w:r>
          </w:p>
        </w:tc>
      </w:tr>
      <w:tr>
        <w:trPr>
          <w:trHeight w:val="319" w:hRule="exact"/>
        </w:trPr>
        <w:tc>
          <w:tcPr>
            <w:tcW w:w="1363" w:type="dxa"/>
            <w:vMerge/>
            <w:tcBorders>
              <w:left w:val="single" w:sz="4" w:space="0" w:color="000000"/>
              <w:bottom w:val="single" w:sz="4" w:space="0" w:color="000000"/>
              <w:right w:val="single" w:sz="4" w:space="0" w:color="000000"/>
            </w:tcBorders>
          </w:tcPr>
          <w:p>
            <w:pPr/>
          </w:p>
        </w:tc>
        <w:tc>
          <w:tcPr>
            <w:tcW w:w="1285" w:type="dxa"/>
            <w:vMerge/>
            <w:tcBorders>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5" w:right="0"/>
              <w:jc w:val="left"/>
              <w:rPr>
                <w:rFonts w:ascii="宋体" w:hAnsi="宋体" w:cs="宋体" w:eastAsia="宋体" w:hint="default"/>
                <w:sz w:val="24"/>
                <w:szCs w:val="24"/>
              </w:rPr>
            </w:pPr>
            <w:r>
              <w:rPr>
                <w:rFonts w:ascii="宋体" w:hAnsi="宋体" w:cs="宋体" w:eastAsia="宋体" w:hint="default"/>
                <w:sz w:val="24"/>
                <w:szCs w:val="24"/>
              </w:rPr>
              <w:t>账面余额</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8" w:right="0"/>
              <w:jc w:val="left"/>
              <w:rPr>
                <w:rFonts w:ascii="宋体" w:hAnsi="宋体" w:cs="宋体" w:eastAsia="宋体" w:hint="default"/>
                <w:sz w:val="24"/>
                <w:szCs w:val="24"/>
              </w:rPr>
            </w:pPr>
            <w:r>
              <w:rPr>
                <w:rFonts w:ascii="宋体" w:hAnsi="宋体" w:cs="宋体" w:eastAsia="宋体" w:hint="default"/>
                <w:sz w:val="24"/>
                <w:szCs w:val="24"/>
              </w:rPr>
              <w:t>坏账准备</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8" w:right="0"/>
              <w:jc w:val="left"/>
              <w:rPr>
                <w:rFonts w:ascii="宋体" w:hAnsi="宋体" w:cs="宋体" w:eastAsia="宋体" w:hint="default"/>
                <w:sz w:val="24"/>
                <w:szCs w:val="24"/>
              </w:rPr>
            </w:pPr>
            <w:r>
              <w:rPr>
                <w:rFonts w:ascii="宋体" w:hAnsi="宋体" w:cs="宋体" w:eastAsia="宋体" w:hint="default"/>
                <w:sz w:val="24"/>
                <w:szCs w:val="24"/>
              </w:rPr>
              <w:t>账面余额</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91" w:right="0"/>
              <w:jc w:val="left"/>
              <w:rPr>
                <w:rFonts w:ascii="宋体" w:hAnsi="宋体" w:cs="宋体" w:eastAsia="宋体" w:hint="default"/>
                <w:sz w:val="24"/>
                <w:szCs w:val="24"/>
              </w:rPr>
            </w:pPr>
            <w:r>
              <w:rPr>
                <w:rFonts w:ascii="宋体" w:hAnsi="宋体" w:cs="宋体" w:eastAsia="宋体" w:hint="default"/>
                <w:sz w:val="24"/>
                <w:szCs w:val="24"/>
              </w:rPr>
              <w:t>坏账准备</w:t>
            </w:r>
          </w:p>
        </w:tc>
      </w:tr>
      <w:tr>
        <w:trPr>
          <w:trHeight w:val="322" w:hRule="exact"/>
        </w:trPr>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6" w:right="0"/>
              <w:jc w:val="left"/>
              <w:rPr>
                <w:rFonts w:ascii="宋体" w:hAnsi="宋体" w:cs="宋体" w:eastAsia="宋体" w:hint="default"/>
                <w:sz w:val="24"/>
                <w:szCs w:val="24"/>
              </w:rPr>
            </w:pPr>
            <w:r>
              <w:rPr>
                <w:rFonts w:ascii="宋体" w:hAnsi="宋体" w:cs="宋体" w:eastAsia="宋体" w:hint="default"/>
                <w:sz w:val="24"/>
                <w:szCs w:val="24"/>
              </w:rPr>
              <w:t>预付账款</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4"/>
                <w:szCs w:val="24"/>
              </w:rPr>
            </w:pPr>
            <w:r>
              <w:rPr>
                <w:rFonts w:ascii="宋体" w:hAnsi="宋体" w:cs="宋体" w:eastAsia="宋体" w:hint="default"/>
                <w:sz w:val="24"/>
                <w:szCs w:val="24"/>
              </w:rPr>
              <w:t>智联友道</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3"/>
              <w:jc w:val="right"/>
              <w:rPr>
                <w:rFonts w:ascii="Times New Roman" w:hAnsi="Times New Roman" w:cs="Times New Roman" w:eastAsia="Times New Roman" w:hint="default"/>
                <w:sz w:val="24"/>
                <w:szCs w:val="24"/>
              </w:rPr>
            </w:pPr>
            <w:r>
              <w:rPr>
                <w:rFonts w:ascii="Times New Roman"/>
                <w:sz w:val="24"/>
              </w:rPr>
              <w:t>587,400</w:t>
            </w:r>
          </w:p>
        </w:tc>
        <w:tc>
          <w:tcPr>
            <w:tcW w:w="128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c>
          <w:tcPr>
            <w:tcW w:w="175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预付账款</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大易云</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459,788</w:t>
            </w:r>
          </w:p>
        </w:tc>
        <w:tc>
          <w:tcPr>
            <w:tcW w:w="128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c>
          <w:tcPr>
            <w:tcW w:w="175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预付账款</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395,841</w:t>
            </w:r>
          </w:p>
        </w:tc>
        <w:tc>
          <w:tcPr>
            <w:tcW w:w="1284" w:type="dxa"/>
            <w:tcBorders>
              <w:top w:val="single" w:sz="4" w:space="0" w:color="000000"/>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
        </w:tc>
        <w:tc>
          <w:tcPr>
            <w:tcW w:w="175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8"/>
        <w:rPr>
          <w:rFonts w:ascii="宋体" w:hAnsi="宋体" w:cs="宋体" w:eastAsia="宋体" w:hint="default"/>
          <w:sz w:val="24"/>
          <w:szCs w:val="24"/>
        </w:rPr>
      </w:pPr>
    </w:p>
    <w:p>
      <w:pPr>
        <w:spacing w:before="37"/>
        <w:ind w:left="218" w:right="6141"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22"/>
          <w:sz w:val="20"/>
          <w:szCs w:val="20"/>
        </w:rPr>
        <w:t> </w:t>
      </w:r>
      <w:r>
        <w:rPr>
          <w:rFonts w:ascii="宋体" w:hAnsi="宋体" w:cs="宋体" w:eastAsia="宋体" w:hint="default"/>
          <w:b/>
          <w:bCs/>
          <w:sz w:val="20"/>
          <w:szCs w:val="20"/>
        </w:rPr>
        <w:t>应付项目</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77" w:val="left" w:leader="none"/>
        </w:tabs>
        <w:spacing w:line="240" w:lineRule="auto" w:before="49"/>
        <w:ind w:left="218" w:right="6141"/>
        <w:jc w:val="left"/>
      </w:pPr>
      <w:r>
        <w:rPr/>
        <w:t>□适用</w:t>
        <w:tab/>
        <w:t>√不适用</w:t>
      </w:r>
    </w:p>
    <w:p>
      <w:pPr>
        <w:spacing w:before="66"/>
        <w:ind w:left="218" w:right="6141" w:firstLine="0"/>
        <w:jc w:val="left"/>
        <w:rPr>
          <w:rFonts w:ascii="宋体" w:hAnsi="宋体" w:cs="宋体" w:eastAsia="宋体" w:hint="default"/>
          <w:sz w:val="20"/>
          <w:szCs w:val="20"/>
        </w:rPr>
      </w:pPr>
      <w:r>
        <w:rPr>
          <w:rFonts w:ascii="宋体" w:hAnsi="宋体" w:cs="宋体" w:eastAsia="宋体" w:hint="default"/>
          <w:b/>
          <w:bCs/>
          <w:sz w:val="20"/>
          <w:szCs w:val="20"/>
        </w:rPr>
        <w:t>7</w:t>
      </w:r>
      <w:r>
        <w:rPr>
          <w:rFonts w:ascii="宋体" w:hAnsi="宋体" w:cs="宋体" w:eastAsia="宋体" w:hint="default"/>
          <w:b/>
          <w:bCs/>
          <w:sz w:val="20"/>
          <w:szCs w:val="20"/>
        </w:rPr>
        <w:t>、</w:t>
      </w:r>
      <w:r>
        <w:rPr>
          <w:rFonts w:ascii="宋体" w:hAnsi="宋体" w:cs="宋体" w:eastAsia="宋体" w:hint="default"/>
          <w:b/>
          <w:bCs/>
          <w:spacing w:val="19"/>
          <w:sz w:val="20"/>
          <w:szCs w:val="20"/>
        </w:rPr>
        <w:t> </w:t>
      </w:r>
      <w:r>
        <w:rPr>
          <w:rFonts w:ascii="宋体" w:hAnsi="宋体" w:cs="宋体" w:eastAsia="宋体" w:hint="default"/>
          <w:b/>
          <w:bCs/>
          <w:sz w:val="20"/>
          <w:szCs w:val="20"/>
        </w:rPr>
        <w:t>关联方承诺</w:t>
      </w:r>
      <w:r>
        <w:rPr>
          <w:rFonts w:ascii="宋体" w:hAnsi="宋体" w:cs="宋体" w:eastAsia="宋体" w:hint="default"/>
          <w:sz w:val="20"/>
          <w:szCs w:val="20"/>
        </w:rPr>
      </w:r>
    </w:p>
    <w:p>
      <w:pPr>
        <w:pStyle w:val="BodyText"/>
        <w:tabs>
          <w:tab w:pos="1177" w:val="left" w:leader="none"/>
        </w:tabs>
        <w:spacing w:line="240" w:lineRule="auto" w:before="49"/>
        <w:ind w:left="218" w:right="6141"/>
        <w:jc w:val="left"/>
      </w:pPr>
      <w:r>
        <w:rPr/>
        <w:t>□适用</w:t>
        <w:tab/>
        <w:t>√不适用</w:t>
      </w:r>
    </w:p>
    <w:p>
      <w:pPr>
        <w:spacing w:after="0" w:line="240" w:lineRule="auto"/>
        <w:jc w:val="left"/>
        <w:sectPr>
          <w:type w:val="continuous"/>
          <w:pgSz w:w="11910" w:h="16850"/>
          <w:pgMar w:top="1120" w:bottom="1380" w:left="1580" w:right="1560"/>
        </w:sectPr>
      </w:pPr>
    </w:p>
    <w:p>
      <w:pPr>
        <w:spacing w:line="240" w:lineRule="auto" w:before="2"/>
        <w:rPr>
          <w:rFonts w:ascii="宋体" w:hAnsi="宋体" w:cs="宋体" w:eastAsia="宋体" w:hint="default"/>
          <w:sz w:val="29"/>
          <w:szCs w:val="29"/>
        </w:rPr>
      </w:pPr>
    </w:p>
    <w:p>
      <w:pPr>
        <w:spacing w:before="37"/>
        <w:ind w:left="418" w:right="0" w:firstLine="0"/>
        <w:jc w:val="left"/>
        <w:rPr>
          <w:rFonts w:ascii="宋体" w:hAnsi="宋体" w:cs="宋体" w:eastAsia="宋体" w:hint="default"/>
          <w:sz w:val="20"/>
          <w:szCs w:val="20"/>
        </w:rPr>
      </w:pPr>
      <w:r>
        <w:rPr>
          <w:rFonts w:ascii="宋体" w:hAnsi="宋体" w:cs="宋体" w:eastAsia="宋体" w:hint="default"/>
          <w:b/>
          <w:bCs/>
          <w:sz w:val="20"/>
          <w:szCs w:val="20"/>
        </w:rPr>
        <w:t>8</w:t>
      </w:r>
      <w:r>
        <w:rPr>
          <w:rFonts w:ascii="宋体" w:hAnsi="宋体" w:cs="宋体" w:eastAsia="宋体" w:hint="default"/>
          <w:b/>
          <w:bCs/>
          <w:sz w:val="20"/>
          <w:szCs w:val="20"/>
        </w:rPr>
        <w:t>、</w:t>
      </w:r>
      <w:r>
        <w:rPr>
          <w:rFonts w:ascii="宋体" w:hAnsi="宋体" w:cs="宋体" w:eastAsia="宋体" w:hint="default"/>
          <w:b/>
          <w:bCs/>
          <w:spacing w:val="22"/>
          <w:sz w:val="20"/>
          <w:szCs w:val="20"/>
        </w:rPr>
        <w:t> </w:t>
      </w:r>
      <w:r>
        <w:rPr>
          <w:rFonts w:ascii="宋体" w:hAnsi="宋体" w:cs="宋体" w:eastAsia="宋体" w:hint="default"/>
          <w:b/>
          <w:bCs/>
          <w:sz w:val="20"/>
          <w:szCs w:val="20"/>
        </w:rPr>
        <w:t>其他</w:t>
      </w:r>
      <w:r>
        <w:rPr>
          <w:rFonts w:ascii="宋体" w:hAnsi="宋体" w:cs="宋体" w:eastAsia="宋体" w:hint="default"/>
          <w:sz w:val="20"/>
          <w:szCs w:val="20"/>
        </w:rPr>
      </w:r>
    </w:p>
    <w:p>
      <w:pPr>
        <w:pStyle w:val="BodyText"/>
        <w:tabs>
          <w:tab w:pos="1377" w:val="left" w:leader="none"/>
        </w:tabs>
        <w:spacing w:line="240" w:lineRule="auto" w:before="49"/>
        <w:ind w:left="418" w:right="0"/>
        <w:jc w:val="left"/>
      </w:pPr>
      <w:r>
        <w:rPr/>
        <w:t>√适用</w:t>
        <w:tab/>
        <w:t>□不适用</w:t>
      </w:r>
    </w:p>
    <w:p>
      <w:pPr>
        <w:spacing w:line="240" w:lineRule="auto" w:before="9"/>
        <w:rPr>
          <w:rFonts w:ascii="宋体" w:hAnsi="宋体" w:cs="宋体" w:eastAsia="宋体" w:hint="default"/>
          <w:sz w:val="17"/>
          <w:szCs w:val="17"/>
        </w:rPr>
      </w:pPr>
    </w:p>
    <w:p>
      <w:pPr>
        <w:spacing w:before="0"/>
        <w:ind w:left="418" w:right="0" w:firstLine="0"/>
        <w:jc w:val="left"/>
        <w:rPr>
          <w:rFonts w:ascii="黑体" w:hAnsi="黑体" w:cs="黑体" w:eastAsia="黑体" w:hint="default"/>
          <w:sz w:val="20"/>
          <w:szCs w:val="20"/>
        </w:rPr>
      </w:pPr>
      <w:r>
        <w:rPr>
          <w:rFonts w:ascii="黑体" w:hAnsi="黑体" w:cs="黑体" w:eastAsia="黑体" w:hint="default"/>
          <w:sz w:val="20"/>
          <w:szCs w:val="20"/>
        </w:rPr>
        <w:t>存放关联方的货币资金</w:t>
      </w:r>
    </w:p>
    <w:p>
      <w:pPr>
        <w:spacing w:line="240" w:lineRule="auto" w:before="12"/>
        <w:rPr>
          <w:rFonts w:ascii="黑体" w:hAnsi="黑体" w:cs="黑体" w:eastAsia="黑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131"/>
        <w:gridCol w:w="3677"/>
        <w:gridCol w:w="1947"/>
      </w:tblGrid>
      <w:tr>
        <w:trPr>
          <w:trHeight w:val="328" w:hRule="exact"/>
        </w:trPr>
        <w:tc>
          <w:tcPr>
            <w:tcW w:w="3131" w:type="dxa"/>
            <w:tcBorders>
              <w:top w:val="nil" w:sz="6" w:space="0" w:color="auto"/>
              <w:left w:val="nil" w:sz="6" w:space="0" w:color="auto"/>
              <w:bottom w:val="nil" w:sz="6" w:space="0" w:color="auto"/>
              <w:right w:val="nil" w:sz="6" w:space="0" w:color="auto"/>
            </w:tcBorders>
          </w:tcPr>
          <w:p>
            <w:pPr/>
          </w:p>
        </w:tc>
        <w:tc>
          <w:tcPr>
            <w:tcW w:w="3677" w:type="dxa"/>
            <w:tcBorders>
              <w:top w:val="nil" w:sz="6" w:space="0" w:color="auto"/>
              <w:left w:val="nil" w:sz="6" w:space="0" w:color="auto"/>
              <w:bottom w:val="nil" w:sz="6" w:space="0" w:color="auto"/>
              <w:right w:val="nil" w:sz="6" w:space="0" w:color="auto"/>
            </w:tcBorders>
          </w:tcPr>
          <w:p>
            <w:pPr>
              <w:pStyle w:val="TableParagraph"/>
              <w:spacing w:line="214" w:lineRule="exact"/>
              <w:ind w:right="645"/>
              <w:jc w:val="right"/>
              <w:rPr>
                <w:rFonts w:ascii="黑体" w:hAnsi="黑体" w:cs="黑体" w:eastAsia="黑体" w:hint="default"/>
                <w:sz w:val="20"/>
                <w:szCs w:val="20"/>
              </w:rPr>
            </w:pPr>
            <w:r>
              <w:rPr>
                <w:rFonts w:ascii="Arial" w:hAnsi="Arial" w:cs="Arial" w:eastAsia="Arial" w:hint="default"/>
                <w:sz w:val="20"/>
                <w:szCs w:val="20"/>
              </w:rPr>
              <w:t>2019</w:t>
            </w:r>
            <w:r>
              <w:rPr>
                <w:rFonts w:ascii="Arial" w:hAnsi="Arial" w:cs="Arial" w:eastAsia="Arial" w:hint="default"/>
                <w:spacing w:val="-12"/>
                <w:sz w:val="20"/>
                <w:szCs w:val="20"/>
              </w:rPr>
              <w:t> </w:t>
            </w:r>
            <w:r>
              <w:rPr>
                <w:rFonts w:ascii="黑体" w:hAnsi="黑体" w:cs="黑体" w:eastAsia="黑体" w:hint="default"/>
                <w:sz w:val="20"/>
                <w:szCs w:val="20"/>
              </w:rPr>
              <w:t>年</w:t>
            </w:r>
          </w:p>
        </w:tc>
        <w:tc>
          <w:tcPr>
            <w:tcW w:w="1947" w:type="dxa"/>
            <w:tcBorders>
              <w:top w:val="nil" w:sz="6" w:space="0" w:color="auto"/>
              <w:left w:val="nil" w:sz="6" w:space="0" w:color="auto"/>
              <w:bottom w:val="nil" w:sz="6" w:space="0" w:color="auto"/>
              <w:right w:val="nil" w:sz="6" w:space="0" w:color="auto"/>
            </w:tcBorders>
          </w:tcPr>
          <w:p>
            <w:pPr>
              <w:pStyle w:val="TableParagraph"/>
              <w:spacing w:line="214" w:lineRule="exact"/>
              <w:ind w:right="206"/>
              <w:jc w:val="right"/>
              <w:rPr>
                <w:rFonts w:ascii="黑体" w:hAnsi="黑体" w:cs="黑体" w:eastAsia="黑体" w:hint="default"/>
                <w:sz w:val="20"/>
                <w:szCs w:val="20"/>
              </w:rPr>
            </w:pPr>
            <w:r>
              <w:rPr>
                <w:rFonts w:ascii="Arial" w:hAnsi="Arial" w:cs="Arial" w:eastAsia="Arial" w:hint="default"/>
                <w:sz w:val="20"/>
                <w:szCs w:val="20"/>
              </w:rPr>
              <w:t>2018</w:t>
            </w:r>
            <w:r>
              <w:rPr>
                <w:rFonts w:ascii="Arial" w:hAnsi="Arial" w:cs="Arial" w:eastAsia="Arial" w:hint="default"/>
                <w:spacing w:val="-12"/>
                <w:sz w:val="20"/>
                <w:szCs w:val="20"/>
              </w:rPr>
              <w:t> </w:t>
            </w:r>
            <w:r>
              <w:rPr>
                <w:rFonts w:ascii="黑体" w:hAnsi="黑体" w:cs="黑体" w:eastAsia="黑体" w:hint="default"/>
                <w:sz w:val="20"/>
                <w:szCs w:val="20"/>
              </w:rPr>
              <w:t>年</w:t>
            </w:r>
          </w:p>
        </w:tc>
      </w:tr>
      <w:tr>
        <w:trPr>
          <w:trHeight w:val="318"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00" w:right="0"/>
              <w:jc w:val="left"/>
              <w:rPr>
                <w:rFonts w:ascii="黑体" w:hAnsi="黑体" w:cs="黑体" w:eastAsia="黑体" w:hint="default"/>
                <w:sz w:val="20"/>
                <w:szCs w:val="20"/>
              </w:rPr>
            </w:pPr>
            <w:r>
              <w:rPr>
                <w:rFonts w:ascii="黑体" w:hAnsi="黑体" w:cs="黑体" w:eastAsia="黑体" w:hint="default"/>
                <w:sz w:val="20"/>
                <w:szCs w:val="20"/>
              </w:rPr>
              <w:t>中关村银行</w:t>
            </w:r>
          </w:p>
        </w:tc>
        <w:tc>
          <w:tcPr>
            <w:tcW w:w="367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636"/>
              <w:jc w:val="right"/>
              <w:rPr>
                <w:rFonts w:ascii="Arial" w:hAnsi="Arial" w:cs="Arial" w:eastAsia="Arial" w:hint="default"/>
                <w:sz w:val="20"/>
                <w:szCs w:val="20"/>
              </w:rPr>
            </w:pPr>
            <w:r>
              <w:rPr>
                <w:rFonts w:ascii="Arial"/>
                <w:w w:val="99"/>
                <w:sz w:val="20"/>
              </w:rPr>
            </w:r>
            <w:r>
              <w:rPr>
                <w:rFonts w:ascii="Arial"/>
                <w:spacing w:val="-1"/>
                <w:sz w:val="20"/>
                <w:u w:val="single" w:color="000000"/>
              </w:rPr>
              <w:t>171,447,211</w:t>
            </w:r>
            <w:r>
              <w:rPr>
                <w:rFonts w:ascii="Arial"/>
                <w:spacing w:val="-1"/>
                <w:sz w:val="20"/>
              </w:rPr>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98"/>
              <w:jc w:val="right"/>
              <w:rPr>
                <w:rFonts w:ascii="Arial" w:hAnsi="Arial" w:cs="Arial" w:eastAsia="Arial" w:hint="default"/>
                <w:sz w:val="20"/>
                <w:szCs w:val="20"/>
              </w:rPr>
            </w:pPr>
            <w:r>
              <w:rPr>
                <w:rFonts w:ascii="Arial"/>
                <w:w w:val="99"/>
                <w:sz w:val="20"/>
              </w:rPr>
            </w:r>
            <w:r>
              <w:rPr>
                <w:rFonts w:ascii="Arial"/>
                <w:spacing w:val="-1"/>
                <w:sz w:val="20"/>
                <w:u w:val="single" w:color="000000"/>
              </w:rPr>
              <w:t>192,554,438</w:t>
            </w:r>
            <w:r>
              <w:rPr>
                <w:rFonts w:ascii="Arial"/>
                <w:spacing w:val="-1"/>
                <w:sz w:val="20"/>
              </w:rPr>
            </w:r>
          </w:p>
        </w:tc>
      </w:tr>
    </w:tbl>
    <w:p>
      <w:pPr>
        <w:spacing w:line="240" w:lineRule="auto" w:before="13"/>
        <w:rPr>
          <w:rFonts w:ascii="黑体" w:hAnsi="黑体" w:cs="黑体" w:eastAsia="黑体" w:hint="default"/>
          <w:sz w:val="13"/>
          <w:szCs w:val="13"/>
        </w:rPr>
      </w:pPr>
    </w:p>
    <w:p>
      <w:pPr>
        <w:spacing w:before="37"/>
        <w:ind w:left="418" w:right="0" w:firstLine="0"/>
        <w:jc w:val="left"/>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年，上述存款年利率为</w:t>
      </w:r>
      <w:r>
        <w:rPr>
          <w:rFonts w:ascii="Arial" w:hAnsi="Arial" w:cs="Arial" w:eastAsia="Arial" w:hint="default"/>
          <w:sz w:val="20"/>
          <w:szCs w:val="20"/>
        </w:rPr>
        <w:t>0.35%-4.6%(2018</w:t>
      </w:r>
      <w:r>
        <w:rPr>
          <w:rFonts w:ascii="黑体" w:hAnsi="黑体" w:cs="黑体" w:eastAsia="黑体" w:hint="default"/>
          <w:sz w:val="20"/>
          <w:szCs w:val="20"/>
        </w:rPr>
        <w:t>年度：</w:t>
      </w:r>
      <w:r>
        <w:rPr>
          <w:rFonts w:ascii="Arial" w:hAnsi="Arial" w:cs="Arial" w:eastAsia="Arial" w:hint="default"/>
          <w:sz w:val="20"/>
          <w:szCs w:val="20"/>
        </w:rPr>
        <w:t>0.35%)</w:t>
      </w:r>
      <w:r>
        <w:rPr>
          <w:rFonts w:ascii="黑体" w:hAnsi="黑体" w:cs="黑体" w:eastAsia="黑体" w:hint="default"/>
          <w:sz w:val="20"/>
          <w:szCs w:val="20"/>
        </w:rPr>
        <w:t>。</w:t>
      </w: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9"/>
          <w:szCs w:val="19"/>
        </w:rPr>
      </w:pPr>
    </w:p>
    <w:p>
      <w:pPr>
        <w:spacing w:after="0" w:line="240" w:lineRule="auto"/>
        <w:rPr>
          <w:rFonts w:ascii="黑体" w:hAnsi="黑体" w:cs="黑体" w:eastAsia="黑体" w:hint="default"/>
          <w:sz w:val="19"/>
          <w:szCs w:val="19"/>
        </w:rPr>
        <w:sectPr>
          <w:pgSz w:w="11910" w:h="16850"/>
          <w:pgMar w:header="745" w:footer="921" w:top="980" w:bottom="1120" w:left="1380" w:right="1540"/>
        </w:sectPr>
      </w:pPr>
    </w:p>
    <w:p>
      <w:pPr>
        <w:spacing w:before="37"/>
        <w:ind w:left="418" w:right="-18" w:firstLine="0"/>
        <w:jc w:val="left"/>
        <w:rPr>
          <w:rFonts w:ascii="宋体" w:hAnsi="宋体" w:cs="宋体" w:eastAsia="宋体" w:hint="default"/>
          <w:sz w:val="20"/>
          <w:szCs w:val="20"/>
        </w:rPr>
      </w:pPr>
      <w:r>
        <w:rPr>
          <w:rFonts w:ascii="宋体" w:hAnsi="宋体" w:cs="宋体" w:eastAsia="宋体" w:hint="default"/>
          <w:b/>
          <w:bCs/>
          <w:sz w:val="20"/>
          <w:szCs w:val="20"/>
        </w:rPr>
        <w:t>十三、 </w:t>
      </w:r>
      <w:r>
        <w:rPr>
          <w:rFonts w:ascii="宋体" w:hAnsi="宋体" w:cs="宋体" w:eastAsia="宋体" w:hint="default"/>
          <w:b/>
          <w:bCs/>
          <w:spacing w:val="35"/>
          <w:sz w:val="20"/>
          <w:szCs w:val="20"/>
        </w:rPr>
        <w:t> </w:t>
      </w:r>
      <w:r>
        <w:rPr>
          <w:rFonts w:ascii="宋体" w:hAnsi="宋体" w:cs="宋体" w:eastAsia="宋体" w:hint="default"/>
          <w:b/>
          <w:bCs/>
          <w:spacing w:val="35"/>
          <w:sz w:val="20"/>
          <w:szCs w:val="20"/>
        </w:rPr>
      </w:r>
      <w:r>
        <w:rPr>
          <w:rFonts w:ascii="宋体" w:hAnsi="宋体" w:cs="宋体" w:eastAsia="宋体" w:hint="default"/>
          <w:b/>
          <w:bCs/>
          <w:sz w:val="20"/>
          <w:szCs w:val="20"/>
        </w:rPr>
        <w:t>股份支付</w:t>
      </w:r>
      <w:r>
        <w:rPr>
          <w:rFonts w:ascii="宋体" w:hAnsi="宋体" w:cs="宋体" w:eastAsia="宋体" w:hint="default"/>
          <w:sz w:val="20"/>
          <w:szCs w:val="20"/>
        </w:rPr>
      </w:r>
    </w:p>
    <w:p>
      <w:pPr>
        <w:spacing w:before="57"/>
        <w:ind w:left="418" w:right="-18"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z w:val="20"/>
          <w:szCs w:val="20"/>
        </w:rPr>
        <w:t>、</w:t>
      </w:r>
      <w:r>
        <w:rPr>
          <w:rFonts w:ascii="宋体" w:hAnsi="宋体" w:cs="宋体" w:eastAsia="宋体" w:hint="default"/>
          <w:b/>
          <w:bCs/>
          <w:spacing w:val="18"/>
          <w:sz w:val="20"/>
          <w:szCs w:val="20"/>
        </w:rPr>
        <w:t> </w:t>
      </w:r>
      <w:r>
        <w:rPr>
          <w:rFonts w:ascii="宋体" w:hAnsi="宋体" w:cs="宋体" w:eastAsia="宋体" w:hint="default"/>
          <w:b/>
          <w:bCs/>
          <w:sz w:val="20"/>
          <w:szCs w:val="20"/>
        </w:rPr>
        <w:t>股份支付总体情况</w:t>
      </w:r>
      <w:r>
        <w:rPr>
          <w:rFonts w:ascii="宋体" w:hAnsi="宋体" w:cs="宋体" w:eastAsia="宋体" w:hint="default"/>
          <w:sz w:val="20"/>
          <w:szCs w:val="20"/>
        </w:rPr>
      </w:r>
    </w:p>
    <w:p>
      <w:pPr>
        <w:pStyle w:val="BodyText"/>
        <w:spacing w:line="240" w:lineRule="auto" w:before="49"/>
        <w:ind w:left="418" w:right="-18"/>
        <w:jc w:val="left"/>
      </w:pPr>
      <w:r>
        <w:rPr/>
        <w:t>√适用</w:t>
      </w:r>
      <w:r>
        <w:rPr>
          <w:spacing w:val="-1"/>
        </w:rPr>
        <w:t> </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6"/>
          <w:szCs w:val="26"/>
        </w:rPr>
      </w:pPr>
    </w:p>
    <w:p>
      <w:pPr>
        <w:pStyle w:val="BodyText"/>
        <w:tabs>
          <w:tab w:pos="1618" w:val="left" w:leader="none"/>
        </w:tabs>
        <w:spacing w:line="240" w:lineRule="auto"/>
        <w:ind w:left="418" w:right="0"/>
        <w:jc w:val="left"/>
      </w:pPr>
      <w:r>
        <w:rPr/>
        <w:t>单位：股</w:t>
        <w:tab/>
        <w:t>币种：人民币</w:t>
      </w:r>
    </w:p>
    <w:p>
      <w:pPr>
        <w:spacing w:after="0" w:line="240" w:lineRule="auto"/>
        <w:jc w:val="left"/>
        <w:sectPr>
          <w:type w:val="continuous"/>
          <w:pgSz w:w="11910" w:h="16850"/>
          <w:pgMar w:top="1120" w:bottom="1380" w:left="1380" w:right="1540"/>
          <w:cols w:num="2" w:equalWidth="0">
            <w:col w:w="2448" w:space="3227"/>
            <w:col w:w="3315"/>
          </w:cols>
        </w:sectPr>
      </w:pPr>
    </w:p>
    <w:p>
      <w:pPr>
        <w:spacing w:line="240" w:lineRule="auto" w:before="10"/>
        <w:rPr>
          <w:rFonts w:ascii="宋体" w:hAnsi="宋体" w:cs="宋体" w:eastAsia="宋体" w:hint="default"/>
          <w:sz w:val="2"/>
          <w:szCs w:val="2"/>
        </w:rPr>
      </w:pPr>
    </w:p>
    <w:tbl>
      <w:tblPr>
        <w:tblW w:w="0" w:type="auto"/>
        <w:jc w:val="left"/>
        <w:tblInd w:w="305" w:type="dxa"/>
        <w:tblLayout w:type="fixed"/>
        <w:tblCellMar>
          <w:top w:w="0" w:type="dxa"/>
          <w:left w:w="0" w:type="dxa"/>
          <w:bottom w:w="0" w:type="dxa"/>
          <w:right w:w="0" w:type="dxa"/>
        </w:tblCellMar>
        <w:tblLook w:val="01E0"/>
      </w:tblPr>
      <w:tblGrid>
        <w:gridCol w:w="4378"/>
        <w:gridCol w:w="4153"/>
      </w:tblGrid>
      <w:tr>
        <w:trPr>
          <w:trHeight w:val="322"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公司本期授予的各项权益工具总额</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2,118,250</w:t>
            </w:r>
          </w:p>
        </w:tc>
      </w:tr>
      <w:tr>
        <w:trPr>
          <w:trHeight w:val="322"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公司本期行权的各项权益工具总额</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27,423,136</w:t>
            </w:r>
          </w:p>
        </w:tc>
      </w:tr>
      <w:tr>
        <w:trPr>
          <w:trHeight w:val="322"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公司本期失效的各项权益工具总额</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2,430,114</w:t>
            </w:r>
          </w:p>
        </w:tc>
      </w:tr>
      <w:tr>
        <w:trPr>
          <w:trHeight w:val="631"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公司期末发行在外的股票期权行权价格</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的范围和合同剩余期限</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pacing w:val="-1"/>
                <w:sz w:val="24"/>
              </w:rPr>
              <w:t>9.12-28.15</w:t>
            </w:r>
          </w:p>
        </w:tc>
      </w:tr>
      <w:tr>
        <w:trPr>
          <w:trHeight w:val="634"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公司期末发行在外的其他权益工具行权</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价格的范围和合同剩余期限</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right="103"/>
              <w:jc w:val="right"/>
              <w:rPr>
                <w:rFonts w:ascii="宋体" w:hAnsi="宋体" w:cs="宋体" w:eastAsia="宋体" w:hint="default"/>
                <w:sz w:val="24"/>
                <w:szCs w:val="24"/>
              </w:rPr>
            </w:pPr>
            <w:r>
              <w:rPr>
                <w:rFonts w:ascii="Times New Roman" w:hAnsi="Times New Roman" w:cs="Times New Roman" w:eastAsia="Times New Roman" w:hint="default"/>
                <w:sz w:val="24"/>
                <w:szCs w:val="24"/>
              </w:rPr>
              <w:t>0.67-3.83</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w:t>
            </w:r>
          </w:p>
        </w:tc>
      </w:tr>
    </w:tbl>
    <w:p>
      <w:pPr>
        <w:spacing w:after="0" w:line="294" w:lineRule="exact"/>
        <w:jc w:val="right"/>
        <w:rPr>
          <w:rFonts w:ascii="宋体" w:hAnsi="宋体" w:cs="宋体" w:eastAsia="宋体" w:hint="default"/>
          <w:sz w:val="24"/>
          <w:szCs w:val="24"/>
        </w:rPr>
        <w:sectPr>
          <w:type w:val="continuous"/>
          <w:pgSz w:w="11910" w:h="16850"/>
          <w:pgMar w:top="1120" w:bottom="1380" w:left="1380" w:right="1540"/>
        </w:sectPr>
      </w:pPr>
    </w:p>
    <w:p>
      <w:pPr>
        <w:pStyle w:val="BodyText"/>
        <w:spacing w:line="273" w:lineRule="exact"/>
        <w:ind w:left="418" w:right="-17"/>
        <w:jc w:val="left"/>
      </w:pPr>
      <w:r>
        <w:rPr/>
        <w:t>其他说明</w:t>
      </w:r>
    </w:p>
    <w:p>
      <w:pPr>
        <w:pStyle w:val="BodyText"/>
        <w:spacing w:line="313" w:lineRule="exact"/>
        <w:ind w:left="418" w:right="-17"/>
        <w:jc w:val="left"/>
      </w:pPr>
      <w:r>
        <w:rPr/>
        <w:t>无。</w:t>
      </w:r>
    </w:p>
    <w:p>
      <w:pPr>
        <w:spacing w:before="64"/>
        <w:ind w:left="418" w:right="-17"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w:t>
      </w:r>
      <w:r>
        <w:rPr>
          <w:rFonts w:ascii="宋体" w:hAnsi="宋体" w:cs="宋体" w:eastAsia="宋体" w:hint="default"/>
          <w:b/>
          <w:bCs/>
          <w:spacing w:val="18"/>
          <w:sz w:val="20"/>
          <w:szCs w:val="20"/>
        </w:rPr>
        <w:t> </w:t>
      </w:r>
      <w:r>
        <w:rPr>
          <w:rFonts w:ascii="宋体" w:hAnsi="宋体" w:cs="宋体" w:eastAsia="宋体" w:hint="default"/>
          <w:b/>
          <w:bCs/>
          <w:sz w:val="20"/>
          <w:szCs w:val="20"/>
        </w:rPr>
        <w:t>以权益结算的股份支付情况</w:t>
      </w:r>
      <w:r>
        <w:rPr>
          <w:rFonts w:ascii="宋体" w:hAnsi="宋体" w:cs="宋体" w:eastAsia="宋体" w:hint="default"/>
          <w:sz w:val="20"/>
          <w:szCs w:val="20"/>
        </w:rPr>
      </w:r>
    </w:p>
    <w:p>
      <w:pPr>
        <w:pStyle w:val="BodyText"/>
        <w:spacing w:line="240" w:lineRule="auto" w:before="51"/>
        <w:ind w:left="418" w:right="-17"/>
        <w:jc w:val="left"/>
      </w:pPr>
      <w:r>
        <w:rPr/>
        <w:t>√适用</w:t>
      </w:r>
      <w:r>
        <w:rPr>
          <w:spacing w:val="-1"/>
        </w:rPr>
        <w:t> </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5"/>
          <w:szCs w:val="25"/>
        </w:rPr>
      </w:pPr>
    </w:p>
    <w:p>
      <w:pPr>
        <w:pStyle w:val="BodyText"/>
        <w:tabs>
          <w:tab w:pos="1618" w:val="left" w:leader="none"/>
        </w:tabs>
        <w:spacing w:line="240" w:lineRule="auto"/>
        <w:ind w:left="418" w:right="0"/>
        <w:jc w:val="left"/>
      </w:pPr>
      <w:r>
        <w:rPr/>
        <w:t>单位：元</w:t>
        <w:tab/>
        <w:t>币种：人民币</w:t>
      </w:r>
    </w:p>
    <w:p>
      <w:pPr>
        <w:spacing w:after="0" w:line="240" w:lineRule="auto"/>
        <w:jc w:val="left"/>
        <w:sectPr>
          <w:type w:val="continuous"/>
          <w:pgSz w:w="11910" w:h="16850"/>
          <w:pgMar w:top="1120" w:bottom="1380" w:left="1380" w:right="1540"/>
          <w:cols w:num="2" w:equalWidth="0">
            <w:col w:w="3251" w:space="2423"/>
            <w:col w:w="3316"/>
          </w:cols>
        </w:sectPr>
      </w:pPr>
    </w:p>
    <w:p>
      <w:pPr>
        <w:spacing w:line="240" w:lineRule="auto" w:before="12"/>
        <w:rPr>
          <w:rFonts w:ascii="宋体" w:hAnsi="宋体" w:cs="宋体" w:eastAsia="宋体" w:hint="default"/>
          <w:sz w:val="2"/>
          <w:szCs w:val="2"/>
        </w:rPr>
      </w:pPr>
    </w:p>
    <w:tbl>
      <w:tblPr>
        <w:tblW w:w="0" w:type="auto"/>
        <w:jc w:val="left"/>
        <w:tblInd w:w="305" w:type="dxa"/>
        <w:tblLayout w:type="fixed"/>
        <w:tblCellMar>
          <w:top w:w="0" w:type="dxa"/>
          <w:left w:w="0" w:type="dxa"/>
          <w:bottom w:w="0" w:type="dxa"/>
          <w:right w:w="0" w:type="dxa"/>
        </w:tblCellMar>
        <w:tblLook w:val="01E0"/>
      </w:tblPr>
      <w:tblGrid>
        <w:gridCol w:w="4378"/>
        <w:gridCol w:w="4153"/>
      </w:tblGrid>
      <w:tr>
        <w:trPr>
          <w:trHeight w:val="322"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授予日权益工具公允价值的确定方法</w:t>
            </w:r>
          </w:p>
        </w:tc>
        <w:tc>
          <w:tcPr>
            <w:tcW w:w="415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可行权权益工具数量的确定依据</w:t>
            </w:r>
          </w:p>
        </w:tc>
        <w:tc>
          <w:tcPr>
            <w:tcW w:w="4153"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本期估计与上期估计有重大差异的原因</w:t>
            </w:r>
          </w:p>
        </w:tc>
        <w:tc>
          <w:tcPr>
            <w:tcW w:w="415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以权益结算的股份支付计入资本公积的</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累计金额</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566,075,878</w:t>
            </w:r>
          </w:p>
        </w:tc>
      </w:tr>
      <w:tr>
        <w:trPr>
          <w:trHeight w:val="634" w:hRule="exact"/>
        </w:trPr>
        <w:tc>
          <w:tcPr>
            <w:tcW w:w="43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本期以权益结算的股份支付确认的费用</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总额</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94,216,791</w:t>
            </w:r>
          </w:p>
        </w:tc>
      </w:tr>
    </w:tbl>
    <w:p>
      <w:pPr>
        <w:spacing w:line="240" w:lineRule="auto" w:before="0"/>
        <w:rPr>
          <w:rFonts w:ascii="宋体" w:hAnsi="宋体" w:cs="宋体" w:eastAsia="宋体" w:hint="default"/>
          <w:sz w:val="16"/>
          <w:szCs w:val="16"/>
        </w:rPr>
      </w:pPr>
    </w:p>
    <w:p>
      <w:pPr>
        <w:pStyle w:val="BodyText"/>
        <w:spacing w:line="240" w:lineRule="auto" w:before="26"/>
        <w:ind w:left="418" w:right="0"/>
        <w:jc w:val="both"/>
      </w:pPr>
      <w:r>
        <w:rPr/>
        <w:t>其他说明</w:t>
      </w:r>
    </w:p>
    <w:p>
      <w:pPr>
        <w:spacing w:line="240" w:lineRule="auto" w:before="13"/>
        <w:rPr>
          <w:rFonts w:ascii="宋体" w:hAnsi="宋体" w:cs="宋体" w:eastAsia="宋体" w:hint="default"/>
          <w:sz w:val="22"/>
          <w:szCs w:val="22"/>
        </w:rPr>
      </w:pPr>
    </w:p>
    <w:p>
      <w:pPr>
        <w:spacing w:line="260" w:lineRule="exact" w:before="0"/>
        <w:ind w:left="418" w:right="250" w:firstLine="0"/>
        <w:jc w:val="both"/>
        <w:rPr>
          <w:rFonts w:ascii="黑体" w:hAnsi="黑体" w:cs="黑体" w:eastAsia="黑体" w:hint="default"/>
          <w:sz w:val="20"/>
          <w:szCs w:val="20"/>
        </w:rPr>
      </w:pPr>
      <w:r>
        <w:rPr>
          <w:rFonts w:ascii="黑体" w:hAnsi="黑体" w:cs="黑体" w:eastAsia="黑体" w:hint="default"/>
          <w:spacing w:val="-2"/>
          <w:w w:val="99"/>
          <w:sz w:val="20"/>
          <w:szCs w:val="20"/>
        </w:rPr>
        <w:t>本公司实行的股权激励计划详见股份支付计划一。本集团之子公司畅捷通实行的股权激励计划详</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见股份支付计划二。</w:t>
      </w:r>
    </w:p>
    <w:p>
      <w:pPr>
        <w:spacing w:line="240" w:lineRule="auto" w:before="12"/>
        <w:rPr>
          <w:rFonts w:ascii="黑体" w:hAnsi="黑体" w:cs="黑体" w:eastAsia="黑体" w:hint="default"/>
          <w:sz w:val="15"/>
          <w:szCs w:val="15"/>
        </w:rPr>
      </w:pPr>
    </w:p>
    <w:p>
      <w:pPr>
        <w:spacing w:line="235" w:lineRule="auto" w:before="0"/>
        <w:ind w:left="418" w:right="244" w:firstLine="0"/>
        <w:jc w:val="both"/>
        <w:rPr>
          <w:rFonts w:ascii="黑体" w:hAnsi="黑体" w:cs="黑体" w:eastAsia="黑体" w:hint="default"/>
          <w:sz w:val="20"/>
          <w:szCs w:val="20"/>
        </w:rPr>
      </w:pPr>
      <w:r>
        <w:rPr>
          <w:rFonts w:ascii="黑体" w:hAnsi="黑体" w:cs="黑体" w:eastAsia="黑体" w:hint="default"/>
          <w:spacing w:val="-2"/>
          <w:sz w:val="20"/>
          <w:szCs w:val="20"/>
        </w:rPr>
        <w:t>另有，本集团之子公司用友汽车、用友政务、用友金融、用友广信、北京薪福社等公司实行的股</w:t>
      </w:r>
      <w:r>
        <w:rPr>
          <w:rFonts w:ascii="黑体" w:hAnsi="黑体" w:cs="黑体" w:eastAsia="黑体" w:hint="default"/>
          <w:w w:val="99"/>
          <w:sz w:val="20"/>
          <w:szCs w:val="20"/>
        </w:rPr>
        <w:t> </w:t>
      </w:r>
      <w:r>
        <w:rPr>
          <w:rFonts w:ascii="黑体" w:hAnsi="黑体" w:cs="黑体" w:eastAsia="黑体" w:hint="default"/>
          <w:sz w:val="20"/>
          <w:szCs w:val="20"/>
        </w:rPr>
        <w:t>份支付计划，当期确认的股份支付费用人民币</w:t>
      </w:r>
      <w:r>
        <w:rPr>
          <w:rFonts w:ascii="Arial" w:hAnsi="Arial" w:cs="Arial" w:eastAsia="Arial" w:hint="default"/>
          <w:sz w:val="20"/>
          <w:szCs w:val="20"/>
        </w:rPr>
        <w:t>46,929,087</w:t>
      </w:r>
      <w:r>
        <w:rPr>
          <w:rFonts w:ascii="黑体" w:hAnsi="黑体" w:cs="黑体" w:eastAsia="黑体" w:hint="default"/>
          <w:sz w:val="20"/>
          <w:szCs w:val="20"/>
        </w:rPr>
        <w:t>元。于本报告日，用友汽车</w:t>
      </w:r>
      <w:r>
        <w:rPr>
          <w:rFonts w:ascii="Arial" w:hAnsi="Arial" w:cs="Arial" w:eastAsia="Arial" w:hint="default"/>
          <w:sz w:val="20"/>
          <w:szCs w:val="20"/>
        </w:rPr>
        <w:t>2020</w:t>
      </w:r>
      <w:r>
        <w:rPr>
          <w:rFonts w:ascii="黑体" w:hAnsi="黑体" w:cs="黑体" w:eastAsia="黑体" w:hint="default"/>
          <w:sz w:val="20"/>
          <w:szCs w:val="20"/>
        </w:rPr>
        <w:t>年第</w:t>
      </w:r>
      <w:r>
        <w:rPr>
          <w:rFonts w:ascii="黑体" w:hAnsi="黑体" w:cs="黑体" w:eastAsia="黑体" w:hint="default"/>
          <w:spacing w:val="-39"/>
          <w:sz w:val="20"/>
          <w:szCs w:val="20"/>
        </w:rPr>
        <w:t> </w:t>
      </w:r>
      <w:r>
        <w:rPr>
          <w:rFonts w:ascii="黑体" w:hAnsi="黑体" w:cs="黑体" w:eastAsia="黑体" w:hint="default"/>
          <w:spacing w:val="-2"/>
          <w:sz w:val="20"/>
          <w:szCs w:val="20"/>
        </w:rPr>
        <w:t>二届董事会第九次会议议案通过了《关于确认公司员工持股计划相关实施情况的议案》，议案相</w:t>
      </w:r>
      <w:r>
        <w:rPr>
          <w:rFonts w:ascii="黑体" w:hAnsi="黑体" w:cs="黑体" w:eastAsia="黑体" w:hint="default"/>
          <w:w w:val="99"/>
          <w:sz w:val="20"/>
          <w:szCs w:val="20"/>
        </w:rPr>
        <w:t> </w:t>
      </w:r>
      <w:r>
        <w:rPr>
          <w:rFonts w:ascii="黑体" w:hAnsi="黑体" w:cs="黑体" w:eastAsia="黑体" w:hint="default"/>
          <w:sz w:val="20"/>
          <w:szCs w:val="20"/>
        </w:rPr>
        <w:t>关股份支付费用已计入上述费用中。</w:t>
      </w:r>
    </w:p>
    <w:p>
      <w:pPr>
        <w:spacing w:line="240" w:lineRule="auto" w:before="4"/>
        <w:rPr>
          <w:rFonts w:ascii="黑体" w:hAnsi="黑体" w:cs="黑体" w:eastAsia="黑体" w:hint="default"/>
          <w:sz w:val="17"/>
          <w:szCs w:val="17"/>
        </w:rPr>
      </w:pPr>
    </w:p>
    <w:p>
      <w:pPr>
        <w:spacing w:before="0"/>
        <w:ind w:left="418" w:right="0" w:firstLine="0"/>
        <w:jc w:val="both"/>
        <w:rPr>
          <w:rFonts w:ascii="黑体" w:hAnsi="黑体" w:cs="黑体" w:eastAsia="黑体" w:hint="default"/>
          <w:sz w:val="20"/>
          <w:szCs w:val="20"/>
        </w:rPr>
      </w:pPr>
      <w:r>
        <w:rPr>
          <w:rFonts w:ascii="黑体" w:hAnsi="黑体" w:cs="黑体" w:eastAsia="黑体" w:hint="default"/>
          <w:b/>
          <w:bCs/>
          <w:sz w:val="20"/>
          <w:szCs w:val="20"/>
        </w:rPr>
        <w:t>股份支付计划一</w:t>
      </w:r>
      <w:r>
        <w:rPr>
          <w:rFonts w:ascii="黑体" w:hAnsi="黑体" w:cs="黑体" w:eastAsia="黑体" w:hint="default"/>
          <w:sz w:val="20"/>
          <w:szCs w:val="20"/>
        </w:rPr>
      </w:r>
    </w:p>
    <w:p>
      <w:pPr>
        <w:spacing w:after="0"/>
        <w:jc w:val="both"/>
        <w:rPr>
          <w:rFonts w:ascii="黑体" w:hAnsi="黑体" w:cs="黑体" w:eastAsia="黑体" w:hint="default"/>
          <w:sz w:val="20"/>
          <w:szCs w:val="20"/>
        </w:rPr>
        <w:sectPr>
          <w:type w:val="continuous"/>
          <w:pgSz w:w="11910" w:h="16850"/>
          <w:pgMar w:top="1120" w:bottom="1380" w:left="1380" w:right="1540"/>
        </w:sectPr>
      </w:pPr>
    </w:p>
    <w:p>
      <w:pPr>
        <w:spacing w:line="240" w:lineRule="auto" w:before="10"/>
        <w:rPr>
          <w:rFonts w:ascii="黑体" w:hAnsi="黑体" w:cs="黑体" w:eastAsia="黑体" w:hint="default"/>
          <w:b/>
          <w:bCs/>
          <w:sz w:val="28"/>
          <w:szCs w:val="28"/>
        </w:rPr>
      </w:pPr>
    </w:p>
    <w:p>
      <w:pPr>
        <w:tabs>
          <w:tab w:pos="949" w:val="left" w:leader="none"/>
        </w:tabs>
        <w:spacing w:before="37"/>
        <w:ind w:left="358" w:right="0" w:firstLine="0"/>
        <w:jc w:val="left"/>
        <w:rPr>
          <w:rFonts w:ascii="黑体" w:hAnsi="黑体" w:cs="黑体" w:eastAsia="黑体" w:hint="default"/>
          <w:sz w:val="20"/>
          <w:szCs w:val="20"/>
        </w:rPr>
      </w:pPr>
      <w:r>
        <w:rPr>
          <w:rFonts w:ascii="Arial" w:hAnsi="Arial" w:cs="Arial" w:eastAsia="Arial" w:hint="default"/>
          <w:spacing w:val="-1"/>
          <w:sz w:val="20"/>
          <w:szCs w:val="20"/>
        </w:rPr>
        <w:t>1.</w:t>
        <w:tab/>
      </w:r>
      <w:r>
        <w:rPr>
          <w:rFonts w:ascii="黑体" w:hAnsi="黑体" w:cs="黑体" w:eastAsia="黑体" w:hint="default"/>
          <w:spacing w:val="2"/>
          <w:sz w:val="20"/>
          <w:szCs w:val="20"/>
        </w:rPr>
        <w:t>概况</w:t>
      </w:r>
      <w:r>
        <w:rPr>
          <w:rFonts w:ascii="黑体" w:hAnsi="黑体" w:cs="黑体" w:eastAsia="黑体" w:hint="default"/>
          <w:sz w:val="20"/>
          <w:szCs w:val="20"/>
        </w:rPr>
      </w:r>
    </w:p>
    <w:p>
      <w:pPr>
        <w:spacing w:line="240" w:lineRule="auto" w:before="6"/>
        <w:rPr>
          <w:rFonts w:ascii="黑体" w:hAnsi="黑体" w:cs="黑体" w:eastAsia="黑体" w:hint="default"/>
          <w:sz w:val="21"/>
          <w:szCs w:val="21"/>
        </w:rPr>
      </w:pPr>
    </w:p>
    <w:tbl>
      <w:tblPr>
        <w:tblW w:w="0" w:type="auto"/>
        <w:jc w:val="left"/>
        <w:tblInd w:w="118" w:type="dxa"/>
        <w:tblLayout w:type="fixed"/>
        <w:tblCellMar>
          <w:top w:w="0" w:type="dxa"/>
          <w:left w:w="0" w:type="dxa"/>
          <w:bottom w:w="0" w:type="dxa"/>
          <w:right w:w="0" w:type="dxa"/>
        </w:tblCellMar>
        <w:tblLook w:val="01E0"/>
      </w:tblPr>
      <w:tblGrid>
        <w:gridCol w:w="4820"/>
        <w:gridCol w:w="2147"/>
        <w:gridCol w:w="1797"/>
      </w:tblGrid>
      <w:tr>
        <w:trPr>
          <w:trHeight w:val="349" w:hRule="exact"/>
        </w:trPr>
        <w:tc>
          <w:tcPr>
            <w:tcW w:w="4820" w:type="dxa"/>
            <w:tcBorders>
              <w:top w:val="nil" w:sz="6" w:space="0" w:color="auto"/>
              <w:left w:val="nil" w:sz="6" w:space="0" w:color="auto"/>
              <w:bottom w:val="nil" w:sz="6" w:space="0" w:color="auto"/>
              <w:right w:val="nil" w:sz="6" w:space="0" w:color="auto"/>
            </w:tcBorders>
          </w:tcPr>
          <w:p>
            <w:pPr/>
          </w:p>
        </w:tc>
        <w:tc>
          <w:tcPr>
            <w:tcW w:w="2147" w:type="dxa"/>
            <w:tcBorders>
              <w:top w:val="nil" w:sz="6" w:space="0" w:color="auto"/>
              <w:left w:val="nil" w:sz="6" w:space="0" w:color="auto"/>
              <w:bottom w:val="nil" w:sz="6" w:space="0" w:color="auto"/>
              <w:right w:val="nil" w:sz="6" w:space="0" w:color="auto"/>
            </w:tcBorders>
          </w:tcPr>
          <w:p>
            <w:pPr>
              <w:pStyle w:val="TableParagraph"/>
              <w:spacing w:line="214" w:lineRule="exact"/>
              <w:ind w:right="531"/>
              <w:jc w:val="right"/>
              <w:rPr>
                <w:rFonts w:ascii="黑体" w:hAnsi="黑体" w:cs="黑体" w:eastAsia="黑体" w:hint="default"/>
                <w:sz w:val="20"/>
                <w:szCs w:val="20"/>
              </w:rPr>
            </w:pP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797" w:type="dxa"/>
            <w:tcBorders>
              <w:top w:val="nil" w:sz="6" w:space="0" w:color="auto"/>
              <w:left w:val="nil" w:sz="6" w:space="0" w:color="auto"/>
              <w:bottom w:val="nil" w:sz="6" w:space="0" w:color="auto"/>
              <w:right w:val="nil" w:sz="6" w:space="0" w:color="auto"/>
            </w:tcBorders>
          </w:tcPr>
          <w:p>
            <w:pPr>
              <w:pStyle w:val="TableParagraph"/>
              <w:spacing w:line="214" w:lineRule="exact"/>
              <w:ind w:right="200"/>
              <w:jc w:val="right"/>
              <w:rPr>
                <w:rFonts w:ascii="黑体" w:hAnsi="黑体" w:cs="黑体" w:eastAsia="黑体" w:hint="default"/>
                <w:sz w:val="20"/>
                <w:szCs w:val="20"/>
              </w:rPr>
            </w:pPr>
            <w:r>
              <w:rPr>
                <w:rFonts w:ascii="Arial" w:hAnsi="Arial" w:cs="Arial" w:eastAsia="Arial" w:hint="default"/>
                <w:spacing w:val="-1"/>
                <w:w w:val="95"/>
                <w:sz w:val="20"/>
                <w:szCs w:val="20"/>
              </w:rPr>
              <w:t>2018</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380"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黑体" w:hAnsi="黑体" w:cs="黑体" w:eastAsia="黑体" w:hint="default"/>
                <w:sz w:val="20"/>
                <w:szCs w:val="20"/>
              </w:rPr>
            </w:pPr>
            <w:r>
              <w:rPr>
                <w:rFonts w:ascii="黑体" w:hAnsi="黑体" w:cs="黑体" w:eastAsia="黑体" w:hint="default"/>
                <w:sz w:val="20"/>
                <w:szCs w:val="20"/>
              </w:rPr>
              <w:t>授予的各项权益工具总额</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28"/>
              <w:jc w:val="right"/>
              <w:rPr>
                <w:rFonts w:ascii="Arial" w:hAnsi="Arial" w:cs="Arial" w:eastAsia="Arial" w:hint="default"/>
                <w:sz w:val="20"/>
                <w:szCs w:val="20"/>
              </w:rPr>
            </w:pPr>
            <w:r>
              <w:rPr>
                <w:rFonts w:ascii="Arial"/>
                <w:w w:val="95"/>
                <w:sz w:val="20"/>
              </w:rPr>
              <w:t>2,118,250</w:t>
            </w:r>
            <w:r>
              <w:rPr>
                <w:rFonts w:ascii="Arial"/>
                <w:sz w:val="20"/>
              </w:rPr>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Arial" w:hAnsi="Arial" w:cs="Arial" w:eastAsia="Arial" w:hint="default"/>
                <w:sz w:val="20"/>
                <w:szCs w:val="20"/>
              </w:rPr>
            </w:pPr>
            <w:r>
              <w:rPr>
                <w:rFonts w:ascii="Arial"/>
                <w:w w:val="95"/>
                <w:sz w:val="20"/>
              </w:rPr>
              <w:t>1,326,000</w:t>
            </w:r>
            <w:r>
              <w:rPr>
                <w:rFonts w:ascii="Arial"/>
                <w:sz w:val="20"/>
              </w:rPr>
            </w:r>
          </w:p>
        </w:tc>
      </w:tr>
      <w:tr>
        <w:trPr>
          <w:trHeight w:val="259"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33" w:lineRule="exact"/>
              <w:ind w:left="200" w:right="0"/>
              <w:jc w:val="left"/>
              <w:rPr>
                <w:rFonts w:ascii="Arial" w:hAnsi="Arial" w:cs="Arial" w:eastAsia="Arial" w:hint="default"/>
                <w:sz w:val="20"/>
                <w:szCs w:val="20"/>
              </w:rPr>
            </w:pPr>
            <w:r>
              <w:rPr>
                <w:rFonts w:ascii="黑体" w:hAnsi="黑体" w:cs="黑体" w:eastAsia="黑体" w:hint="default"/>
                <w:sz w:val="20"/>
                <w:szCs w:val="20"/>
              </w:rPr>
              <w:t>行权的各项权益工具总额</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28"/>
              <w:jc w:val="right"/>
              <w:rPr>
                <w:rFonts w:ascii="Arial" w:hAnsi="Arial" w:cs="Arial" w:eastAsia="Arial" w:hint="default"/>
                <w:sz w:val="20"/>
                <w:szCs w:val="20"/>
              </w:rPr>
            </w:pPr>
            <w:r>
              <w:rPr>
                <w:rFonts w:ascii="Arial"/>
                <w:w w:val="95"/>
                <w:sz w:val="20"/>
              </w:rPr>
              <w:t>27,423,136</w:t>
            </w:r>
            <w:r>
              <w:rPr>
                <w:rFonts w:ascii="Arial"/>
                <w:sz w:val="20"/>
              </w:rPr>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98"/>
              <w:jc w:val="right"/>
              <w:rPr>
                <w:rFonts w:ascii="Arial" w:hAnsi="Arial" w:cs="Arial" w:eastAsia="Arial" w:hint="default"/>
                <w:sz w:val="20"/>
                <w:szCs w:val="20"/>
              </w:rPr>
            </w:pPr>
            <w:r>
              <w:rPr>
                <w:rFonts w:ascii="Arial"/>
                <w:w w:val="95"/>
                <w:sz w:val="20"/>
              </w:rPr>
              <w:t>28,814,610</w:t>
            </w:r>
            <w:r>
              <w:rPr>
                <w:rFonts w:ascii="Arial"/>
                <w:sz w:val="20"/>
              </w:rPr>
            </w:r>
          </w:p>
        </w:tc>
      </w:tr>
      <w:tr>
        <w:trPr>
          <w:trHeight w:val="259"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33" w:lineRule="exact"/>
              <w:ind w:left="200" w:right="0"/>
              <w:jc w:val="left"/>
              <w:rPr>
                <w:rFonts w:ascii="Arial" w:hAnsi="Arial" w:cs="Arial" w:eastAsia="Arial" w:hint="default"/>
                <w:sz w:val="20"/>
                <w:szCs w:val="20"/>
              </w:rPr>
            </w:pPr>
            <w:r>
              <w:rPr>
                <w:rFonts w:ascii="黑体" w:hAnsi="黑体" w:cs="黑体" w:eastAsia="黑体" w:hint="default"/>
                <w:sz w:val="20"/>
                <w:szCs w:val="20"/>
              </w:rPr>
              <w:t>失效的各项权益工具总额</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28"/>
              <w:jc w:val="right"/>
              <w:rPr>
                <w:rFonts w:ascii="Arial" w:hAnsi="Arial" w:cs="Arial" w:eastAsia="Arial" w:hint="default"/>
                <w:sz w:val="20"/>
                <w:szCs w:val="20"/>
              </w:rPr>
            </w:pPr>
            <w:r>
              <w:rPr>
                <w:rFonts w:ascii="Arial"/>
                <w:w w:val="95"/>
                <w:sz w:val="20"/>
              </w:rPr>
              <w:t>2,430,114</w:t>
            </w:r>
            <w:r>
              <w:rPr>
                <w:rFonts w:ascii="Arial"/>
                <w:sz w:val="20"/>
              </w:rPr>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98"/>
              <w:jc w:val="right"/>
              <w:rPr>
                <w:rFonts w:ascii="Arial" w:hAnsi="Arial" w:cs="Arial" w:eastAsia="Arial" w:hint="default"/>
                <w:sz w:val="20"/>
                <w:szCs w:val="20"/>
              </w:rPr>
            </w:pPr>
            <w:r>
              <w:rPr>
                <w:rFonts w:ascii="Arial"/>
                <w:w w:val="95"/>
                <w:sz w:val="20"/>
              </w:rPr>
              <w:t>1,096,907</w:t>
            </w:r>
            <w:r>
              <w:rPr>
                <w:rFonts w:ascii="Arial"/>
                <w:sz w:val="20"/>
              </w:rPr>
            </w:r>
          </w:p>
        </w:tc>
      </w:tr>
      <w:tr>
        <w:trPr>
          <w:trHeight w:val="259"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33" w:lineRule="exact"/>
              <w:ind w:left="200" w:right="0"/>
              <w:jc w:val="left"/>
              <w:rPr>
                <w:rFonts w:ascii="Arial" w:hAnsi="Arial" w:cs="Arial" w:eastAsia="Arial" w:hint="default"/>
                <w:sz w:val="20"/>
                <w:szCs w:val="20"/>
              </w:rPr>
            </w:pPr>
            <w:r>
              <w:rPr>
                <w:rFonts w:ascii="黑体" w:hAnsi="黑体" w:cs="黑体" w:eastAsia="黑体" w:hint="default"/>
                <w:sz w:val="20"/>
                <w:szCs w:val="20"/>
              </w:rPr>
              <w:t>年末发行在外的股份期权行权价格的范围</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28"/>
              <w:jc w:val="right"/>
              <w:rPr>
                <w:rFonts w:ascii="Arial" w:hAnsi="Arial" w:cs="Arial" w:eastAsia="Arial" w:hint="default"/>
                <w:sz w:val="20"/>
                <w:szCs w:val="20"/>
              </w:rPr>
            </w:pPr>
            <w:r>
              <w:rPr>
                <w:rFonts w:ascii="Arial"/>
                <w:spacing w:val="-1"/>
                <w:sz w:val="20"/>
              </w:rPr>
              <w:t>9.12-28.15</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98"/>
              <w:jc w:val="right"/>
              <w:rPr>
                <w:rFonts w:ascii="Arial" w:hAnsi="Arial" w:cs="Arial" w:eastAsia="Arial" w:hint="default"/>
                <w:sz w:val="20"/>
                <w:szCs w:val="20"/>
              </w:rPr>
            </w:pPr>
            <w:r>
              <w:rPr>
                <w:rFonts w:ascii="Arial"/>
                <w:w w:val="95"/>
                <w:sz w:val="20"/>
              </w:rPr>
              <w:t>12.10-28.18</w:t>
            </w:r>
            <w:r>
              <w:rPr>
                <w:rFonts w:ascii="Arial"/>
                <w:sz w:val="20"/>
              </w:rPr>
            </w:r>
          </w:p>
        </w:tc>
      </w:tr>
      <w:tr>
        <w:trPr>
          <w:trHeight w:val="228"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黑体" w:hAnsi="黑体" w:cs="黑体" w:eastAsia="黑体" w:hint="default"/>
                <w:sz w:val="20"/>
                <w:szCs w:val="20"/>
              </w:rPr>
            </w:pPr>
            <w:r>
              <w:rPr>
                <w:rFonts w:ascii="黑体" w:hAnsi="黑体" w:cs="黑体" w:eastAsia="黑体" w:hint="default"/>
                <w:sz w:val="20"/>
                <w:szCs w:val="20"/>
              </w:rPr>
              <w:t>年末发行在外的股份期权的合同剩余期限</w:t>
            </w:r>
          </w:p>
        </w:tc>
        <w:tc>
          <w:tcPr>
            <w:tcW w:w="2147" w:type="dxa"/>
            <w:tcBorders>
              <w:top w:val="nil" w:sz="6" w:space="0" w:color="auto"/>
              <w:left w:val="nil" w:sz="6" w:space="0" w:color="auto"/>
              <w:bottom w:val="nil" w:sz="6" w:space="0" w:color="auto"/>
              <w:right w:val="nil" w:sz="6" w:space="0" w:color="auto"/>
            </w:tcBorders>
          </w:tcPr>
          <w:p>
            <w:pPr>
              <w:pStyle w:val="TableParagraph"/>
              <w:spacing w:line="233" w:lineRule="exact"/>
              <w:ind w:right="528"/>
              <w:jc w:val="right"/>
              <w:rPr>
                <w:rFonts w:ascii="黑体" w:hAnsi="黑体" w:cs="黑体" w:eastAsia="黑体" w:hint="default"/>
                <w:sz w:val="20"/>
                <w:szCs w:val="20"/>
              </w:rPr>
            </w:pPr>
            <w:r>
              <w:rPr>
                <w:rFonts w:ascii="Arial" w:hAnsi="Arial" w:cs="Arial" w:eastAsia="Arial" w:hint="default"/>
                <w:spacing w:val="-1"/>
                <w:sz w:val="20"/>
                <w:szCs w:val="20"/>
              </w:rPr>
              <w:t>0.67-3.83</w:t>
            </w:r>
            <w:r>
              <w:rPr>
                <w:rFonts w:ascii="黑体" w:hAnsi="黑体" w:cs="黑体" w:eastAsia="黑体" w:hint="default"/>
                <w:spacing w:val="-1"/>
                <w:sz w:val="20"/>
                <w:szCs w:val="20"/>
              </w:rPr>
              <w:t>年</w:t>
            </w:r>
          </w:p>
        </w:tc>
        <w:tc>
          <w:tcPr>
            <w:tcW w:w="1797" w:type="dxa"/>
            <w:tcBorders>
              <w:top w:val="nil" w:sz="6" w:space="0" w:color="auto"/>
              <w:left w:val="nil" w:sz="6" w:space="0" w:color="auto"/>
              <w:bottom w:val="nil" w:sz="6" w:space="0" w:color="auto"/>
              <w:right w:val="nil" w:sz="6" w:space="0" w:color="auto"/>
            </w:tcBorders>
          </w:tcPr>
          <w:p>
            <w:pPr>
              <w:pStyle w:val="TableParagraph"/>
              <w:spacing w:line="233" w:lineRule="exact"/>
              <w:ind w:right="198"/>
              <w:jc w:val="right"/>
              <w:rPr>
                <w:rFonts w:ascii="黑体" w:hAnsi="黑体" w:cs="黑体" w:eastAsia="黑体" w:hint="default"/>
                <w:sz w:val="20"/>
                <w:szCs w:val="20"/>
              </w:rPr>
            </w:pPr>
            <w:r>
              <w:rPr>
                <w:rFonts w:ascii="Arial" w:hAnsi="Arial" w:cs="Arial" w:eastAsia="Arial" w:hint="default"/>
                <w:spacing w:val="-1"/>
                <w:sz w:val="20"/>
                <w:szCs w:val="20"/>
              </w:rPr>
              <w:t>0.5-3.87</w:t>
            </w:r>
            <w:r>
              <w:rPr>
                <w:rFonts w:ascii="黑体" w:hAnsi="黑体" w:cs="黑体" w:eastAsia="黑体" w:hint="default"/>
                <w:spacing w:val="-1"/>
                <w:sz w:val="20"/>
                <w:szCs w:val="20"/>
              </w:rPr>
              <w:t>年</w:t>
            </w:r>
          </w:p>
        </w:tc>
      </w:tr>
    </w:tbl>
    <w:p>
      <w:pPr>
        <w:spacing w:line="240" w:lineRule="auto" w:before="6"/>
        <w:rPr>
          <w:rFonts w:ascii="黑体" w:hAnsi="黑体" w:cs="黑体" w:eastAsia="黑体" w:hint="default"/>
          <w:sz w:val="21"/>
          <w:szCs w:val="21"/>
        </w:rPr>
      </w:pPr>
    </w:p>
    <w:tbl>
      <w:tblPr>
        <w:tblW w:w="0" w:type="auto"/>
        <w:jc w:val="left"/>
        <w:tblInd w:w="118" w:type="dxa"/>
        <w:tblLayout w:type="fixed"/>
        <w:tblCellMar>
          <w:top w:w="0" w:type="dxa"/>
          <w:left w:w="0" w:type="dxa"/>
          <w:bottom w:w="0" w:type="dxa"/>
          <w:right w:w="0" w:type="dxa"/>
        </w:tblCellMar>
        <w:tblLook w:val="01E0"/>
      </w:tblPr>
      <w:tblGrid>
        <w:gridCol w:w="4219"/>
        <w:gridCol w:w="2726"/>
        <w:gridCol w:w="1817"/>
      </w:tblGrid>
      <w:tr>
        <w:trPr>
          <w:trHeight w:val="349" w:hRule="exact"/>
        </w:trPr>
        <w:tc>
          <w:tcPr>
            <w:tcW w:w="4219" w:type="dxa"/>
            <w:tcBorders>
              <w:top w:val="nil" w:sz="6" w:space="0" w:color="auto"/>
              <w:left w:val="nil" w:sz="6" w:space="0" w:color="auto"/>
              <w:bottom w:val="nil" w:sz="6" w:space="0" w:color="auto"/>
              <w:right w:val="nil" w:sz="6" w:space="0" w:color="auto"/>
            </w:tcBorders>
          </w:tcPr>
          <w:p>
            <w:pPr/>
          </w:p>
        </w:tc>
        <w:tc>
          <w:tcPr>
            <w:tcW w:w="2726" w:type="dxa"/>
            <w:tcBorders>
              <w:top w:val="nil" w:sz="6" w:space="0" w:color="auto"/>
              <w:left w:val="nil" w:sz="6" w:space="0" w:color="auto"/>
              <w:bottom w:val="nil" w:sz="6" w:space="0" w:color="auto"/>
              <w:right w:val="nil" w:sz="6" w:space="0" w:color="auto"/>
            </w:tcBorders>
          </w:tcPr>
          <w:p>
            <w:pPr>
              <w:pStyle w:val="TableParagraph"/>
              <w:spacing w:line="214" w:lineRule="exact"/>
              <w:ind w:right="509"/>
              <w:jc w:val="right"/>
              <w:rPr>
                <w:rFonts w:ascii="黑体" w:hAnsi="黑体" w:cs="黑体" w:eastAsia="黑体" w:hint="default"/>
                <w:sz w:val="20"/>
                <w:szCs w:val="20"/>
              </w:rPr>
            </w:pP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14" w:lineRule="exact"/>
              <w:ind w:right="199"/>
              <w:jc w:val="right"/>
              <w:rPr>
                <w:rFonts w:ascii="黑体" w:hAnsi="黑体" w:cs="黑体" w:eastAsia="黑体" w:hint="default"/>
                <w:sz w:val="20"/>
                <w:szCs w:val="20"/>
              </w:rPr>
            </w:pPr>
            <w:r>
              <w:rPr>
                <w:rFonts w:ascii="Arial" w:hAnsi="Arial" w:cs="Arial" w:eastAsia="Arial" w:hint="default"/>
                <w:spacing w:val="-1"/>
                <w:w w:val="95"/>
                <w:sz w:val="20"/>
                <w:szCs w:val="20"/>
              </w:rPr>
              <w:t>2018</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361" w:hRule="exact"/>
        </w:trPr>
        <w:tc>
          <w:tcPr>
            <w:tcW w:w="4219"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黑体" w:hAnsi="黑体" w:cs="黑体" w:eastAsia="黑体" w:hint="default"/>
                <w:sz w:val="20"/>
                <w:szCs w:val="20"/>
              </w:rPr>
            </w:pPr>
            <w:r>
              <w:rPr>
                <w:rFonts w:ascii="黑体" w:hAnsi="黑体" w:cs="黑体" w:eastAsia="黑体" w:hint="default"/>
                <w:sz w:val="20"/>
                <w:szCs w:val="20"/>
              </w:rPr>
              <w:t>以股份支付换取的职工服务总额</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07"/>
              <w:jc w:val="right"/>
              <w:rPr>
                <w:rFonts w:ascii="Arial" w:hAnsi="Arial" w:cs="Arial" w:eastAsia="Arial" w:hint="default"/>
                <w:sz w:val="20"/>
                <w:szCs w:val="20"/>
              </w:rPr>
            </w:pPr>
            <w:r>
              <w:rPr>
                <w:rFonts w:ascii="Arial"/>
                <w:w w:val="95"/>
                <w:sz w:val="20"/>
              </w:rPr>
              <w:t>94,216,791</w:t>
            </w:r>
            <w:r>
              <w:rPr>
                <w:rFonts w:ascii="Arial"/>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Arial" w:hAnsi="Arial" w:cs="Arial" w:eastAsia="Arial" w:hint="default"/>
                <w:sz w:val="20"/>
                <w:szCs w:val="20"/>
              </w:rPr>
            </w:pPr>
            <w:r>
              <w:rPr>
                <w:rFonts w:ascii="Arial"/>
                <w:spacing w:val="-1"/>
                <w:sz w:val="20"/>
              </w:rPr>
              <w:t>180,368,501</w:t>
            </w:r>
          </w:p>
        </w:tc>
      </w:tr>
    </w:tbl>
    <w:p>
      <w:pPr>
        <w:spacing w:line="240" w:lineRule="auto" w:before="7"/>
        <w:rPr>
          <w:rFonts w:ascii="黑体" w:hAnsi="黑体" w:cs="黑体" w:eastAsia="黑体" w:hint="default"/>
          <w:sz w:val="12"/>
          <w:szCs w:val="12"/>
        </w:rPr>
      </w:pPr>
    </w:p>
    <w:p>
      <w:pPr>
        <w:spacing w:before="37"/>
        <w:ind w:left="318" w:right="0" w:firstLine="0"/>
        <w:jc w:val="left"/>
        <w:rPr>
          <w:rFonts w:ascii="黑体" w:hAnsi="黑体" w:cs="黑体" w:eastAsia="黑体" w:hint="default"/>
          <w:sz w:val="20"/>
          <w:szCs w:val="20"/>
        </w:rPr>
      </w:pPr>
      <w:r>
        <w:rPr>
          <w:rFonts w:ascii="黑体" w:hAnsi="黑体" w:cs="黑体" w:eastAsia="黑体" w:hint="default"/>
          <w:sz w:val="20"/>
          <w:szCs w:val="20"/>
        </w:rPr>
        <w:t>其中，以权益结算的股份支付如下：</w:t>
      </w:r>
    </w:p>
    <w:p>
      <w:pPr>
        <w:spacing w:line="240" w:lineRule="auto" w:before="7"/>
        <w:rPr>
          <w:rFonts w:ascii="黑体" w:hAnsi="黑体" w:cs="黑体" w:eastAsia="黑体" w:hint="default"/>
          <w:sz w:val="22"/>
          <w:szCs w:val="22"/>
        </w:rPr>
      </w:pPr>
    </w:p>
    <w:tbl>
      <w:tblPr>
        <w:tblW w:w="0" w:type="auto"/>
        <w:jc w:val="left"/>
        <w:tblInd w:w="118" w:type="dxa"/>
        <w:tblLayout w:type="fixed"/>
        <w:tblCellMar>
          <w:top w:w="0" w:type="dxa"/>
          <w:left w:w="0" w:type="dxa"/>
          <w:bottom w:w="0" w:type="dxa"/>
          <w:right w:w="0" w:type="dxa"/>
        </w:tblCellMar>
        <w:tblLook w:val="01E0"/>
      </w:tblPr>
      <w:tblGrid>
        <w:gridCol w:w="4863"/>
        <w:gridCol w:w="2082"/>
        <w:gridCol w:w="1817"/>
      </w:tblGrid>
      <w:tr>
        <w:trPr>
          <w:trHeight w:val="349" w:hRule="exact"/>
        </w:trPr>
        <w:tc>
          <w:tcPr>
            <w:tcW w:w="4863" w:type="dxa"/>
            <w:tcBorders>
              <w:top w:val="nil" w:sz="6" w:space="0" w:color="auto"/>
              <w:left w:val="nil" w:sz="6" w:space="0" w:color="auto"/>
              <w:bottom w:val="nil" w:sz="6" w:space="0" w:color="auto"/>
              <w:right w:val="nil" w:sz="6" w:space="0" w:color="auto"/>
            </w:tcBorders>
          </w:tcPr>
          <w:p>
            <w:pPr/>
          </w:p>
        </w:tc>
        <w:tc>
          <w:tcPr>
            <w:tcW w:w="2082" w:type="dxa"/>
            <w:tcBorders>
              <w:top w:val="nil" w:sz="6" w:space="0" w:color="auto"/>
              <w:left w:val="nil" w:sz="6" w:space="0" w:color="auto"/>
              <w:bottom w:val="nil" w:sz="6" w:space="0" w:color="auto"/>
              <w:right w:val="nil" w:sz="6" w:space="0" w:color="auto"/>
            </w:tcBorders>
          </w:tcPr>
          <w:p>
            <w:pPr>
              <w:pStyle w:val="TableParagraph"/>
              <w:spacing w:line="214" w:lineRule="exact"/>
              <w:ind w:right="509"/>
              <w:jc w:val="right"/>
              <w:rPr>
                <w:rFonts w:ascii="黑体" w:hAnsi="黑体" w:cs="黑体" w:eastAsia="黑体" w:hint="default"/>
                <w:sz w:val="20"/>
                <w:szCs w:val="20"/>
              </w:rPr>
            </w:pP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14" w:lineRule="exact"/>
              <w:ind w:right="199"/>
              <w:jc w:val="right"/>
              <w:rPr>
                <w:rFonts w:ascii="黑体" w:hAnsi="黑体" w:cs="黑体" w:eastAsia="黑体" w:hint="default"/>
                <w:sz w:val="20"/>
                <w:szCs w:val="20"/>
              </w:rPr>
            </w:pPr>
            <w:r>
              <w:rPr>
                <w:rFonts w:ascii="Arial" w:hAnsi="Arial" w:cs="Arial" w:eastAsia="Arial" w:hint="default"/>
                <w:spacing w:val="-1"/>
                <w:w w:val="95"/>
                <w:sz w:val="20"/>
                <w:szCs w:val="20"/>
              </w:rPr>
              <w:t>2018</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380" w:hRule="exact"/>
        </w:trPr>
        <w:tc>
          <w:tcPr>
            <w:tcW w:w="486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黑体" w:hAnsi="黑体" w:cs="黑体" w:eastAsia="黑体" w:hint="default"/>
                <w:sz w:val="20"/>
                <w:szCs w:val="20"/>
              </w:rPr>
            </w:pPr>
            <w:r>
              <w:rPr>
                <w:rFonts w:ascii="黑体" w:hAnsi="黑体" w:cs="黑体" w:eastAsia="黑体" w:hint="default"/>
                <w:sz w:val="20"/>
                <w:szCs w:val="20"/>
              </w:rPr>
              <w:t>以权益结算的股份支付计入资本公积的累计金额</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07"/>
              <w:jc w:val="right"/>
              <w:rPr>
                <w:rFonts w:ascii="Arial" w:hAnsi="Arial" w:cs="Arial" w:eastAsia="Arial" w:hint="default"/>
                <w:sz w:val="20"/>
                <w:szCs w:val="20"/>
              </w:rPr>
            </w:pPr>
            <w:r>
              <w:rPr>
                <w:rFonts w:ascii="Arial"/>
                <w:spacing w:val="-1"/>
                <w:sz w:val="20"/>
              </w:rPr>
              <w:t>566,075,878</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Arial" w:hAnsi="Arial" w:cs="Arial" w:eastAsia="Arial" w:hint="default"/>
                <w:sz w:val="20"/>
                <w:szCs w:val="20"/>
              </w:rPr>
            </w:pPr>
            <w:r>
              <w:rPr>
                <w:rFonts w:ascii="Arial"/>
                <w:spacing w:val="-1"/>
                <w:sz w:val="20"/>
              </w:rPr>
              <w:t>471,859,087</w:t>
            </w:r>
          </w:p>
        </w:tc>
      </w:tr>
      <w:tr>
        <w:trPr>
          <w:trHeight w:val="240" w:hRule="exact"/>
        </w:trPr>
        <w:tc>
          <w:tcPr>
            <w:tcW w:w="4863" w:type="dxa"/>
            <w:tcBorders>
              <w:top w:val="nil" w:sz="6" w:space="0" w:color="auto"/>
              <w:left w:val="nil" w:sz="6" w:space="0" w:color="auto"/>
              <w:bottom w:val="nil" w:sz="6" w:space="0" w:color="auto"/>
              <w:right w:val="nil" w:sz="6" w:space="0" w:color="auto"/>
            </w:tcBorders>
          </w:tcPr>
          <w:p>
            <w:pPr>
              <w:pStyle w:val="TableParagraph"/>
              <w:spacing w:line="233" w:lineRule="exact"/>
              <w:ind w:left="200" w:right="0"/>
              <w:jc w:val="left"/>
              <w:rPr>
                <w:rFonts w:ascii="Arial" w:hAnsi="Arial" w:cs="Arial" w:eastAsia="Arial" w:hint="default"/>
                <w:sz w:val="20"/>
                <w:szCs w:val="20"/>
              </w:rPr>
            </w:pPr>
            <w:r>
              <w:rPr>
                <w:rFonts w:ascii="黑体" w:hAnsi="黑体" w:cs="黑体" w:eastAsia="黑体" w:hint="default"/>
                <w:sz w:val="20"/>
                <w:szCs w:val="20"/>
              </w:rPr>
              <w:t>以权益结算的股份支付确认的费用总额</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3)</w:t>
            </w:r>
          </w:p>
        </w:tc>
        <w:tc>
          <w:tcPr>
            <w:tcW w:w="208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07"/>
              <w:jc w:val="right"/>
              <w:rPr>
                <w:rFonts w:ascii="Arial" w:hAnsi="Arial" w:cs="Arial" w:eastAsia="Arial" w:hint="default"/>
                <w:sz w:val="20"/>
                <w:szCs w:val="20"/>
              </w:rPr>
            </w:pPr>
            <w:r>
              <w:rPr>
                <w:rFonts w:ascii="Arial"/>
                <w:w w:val="95"/>
                <w:sz w:val="20"/>
              </w:rPr>
              <w:t>94,216,791</w:t>
            </w:r>
            <w:r>
              <w:rPr>
                <w:rFonts w:ascii="Arial"/>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98"/>
              <w:jc w:val="right"/>
              <w:rPr>
                <w:rFonts w:ascii="Arial" w:hAnsi="Arial" w:cs="Arial" w:eastAsia="Arial" w:hint="default"/>
                <w:sz w:val="20"/>
                <w:szCs w:val="20"/>
              </w:rPr>
            </w:pPr>
            <w:r>
              <w:rPr>
                <w:rFonts w:ascii="Arial"/>
                <w:spacing w:val="-1"/>
                <w:sz w:val="20"/>
              </w:rPr>
              <w:t>180,368,501</w:t>
            </w:r>
          </w:p>
        </w:tc>
      </w:tr>
    </w:tbl>
    <w:p>
      <w:pPr>
        <w:spacing w:line="240" w:lineRule="auto" w:before="7"/>
        <w:rPr>
          <w:rFonts w:ascii="黑体" w:hAnsi="黑体" w:cs="黑体" w:eastAsia="黑体" w:hint="default"/>
          <w:sz w:val="12"/>
          <w:szCs w:val="12"/>
        </w:rPr>
      </w:pPr>
    </w:p>
    <w:p>
      <w:pPr>
        <w:spacing w:line="260" w:lineRule="exact" w:before="63"/>
        <w:ind w:left="318" w:right="350" w:firstLine="0"/>
        <w:jc w:val="both"/>
        <w:rPr>
          <w:rFonts w:ascii="黑体" w:hAnsi="黑体" w:cs="黑体" w:eastAsia="黑体" w:hint="default"/>
          <w:sz w:val="20"/>
          <w:szCs w:val="20"/>
        </w:rPr>
      </w:pPr>
      <w:r>
        <w:rPr>
          <w:rFonts w:ascii="黑体" w:hAnsi="黑体" w:cs="黑体" w:eastAsia="黑体" w:hint="default"/>
          <w:w w:val="95"/>
          <w:sz w:val="20"/>
          <w:szCs w:val="20"/>
        </w:rPr>
        <w:t>注</w:t>
      </w:r>
      <w:r>
        <w:rPr>
          <w:rFonts w:ascii="Arial" w:hAnsi="Arial" w:cs="Arial" w:eastAsia="Arial" w:hint="default"/>
          <w:w w:val="95"/>
          <w:sz w:val="20"/>
          <w:szCs w:val="20"/>
        </w:rPr>
        <w:t>1</w:t>
      </w:r>
      <w:r>
        <w:rPr>
          <w:rFonts w:ascii="黑体" w:hAnsi="黑体" w:cs="黑体" w:eastAsia="黑体" w:hint="default"/>
          <w:w w:val="95"/>
          <w:sz w:val="20"/>
          <w:szCs w:val="20"/>
        </w:rPr>
        <w:t>：</w:t>
      </w:r>
      <w:r>
        <w:rPr>
          <w:rFonts w:ascii="Arial" w:hAnsi="Arial" w:cs="Arial" w:eastAsia="Arial" w:hint="default"/>
          <w:w w:val="95"/>
          <w:sz w:val="20"/>
          <w:szCs w:val="20"/>
        </w:rPr>
        <w:t>2019</w:t>
      </w:r>
      <w:r>
        <w:rPr>
          <w:rFonts w:ascii="黑体" w:hAnsi="黑体" w:cs="黑体" w:eastAsia="黑体" w:hint="default"/>
          <w:w w:val="95"/>
          <w:sz w:val="20"/>
          <w:szCs w:val="20"/>
        </w:rPr>
        <w:t>年</w:t>
      </w:r>
      <w:r>
        <w:rPr>
          <w:rFonts w:ascii="Arial" w:hAnsi="Arial" w:cs="Arial" w:eastAsia="Arial" w:hint="default"/>
          <w:w w:val="95"/>
          <w:sz w:val="20"/>
          <w:szCs w:val="20"/>
        </w:rPr>
        <w:t>4</w:t>
      </w:r>
      <w:r>
        <w:rPr>
          <w:rFonts w:ascii="黑体" w:hAnsi="黑体" w:cs="黑体" w:eastAsia="黑体" w:hint="default"/>
          <w:w w:val="95"/>
          <w:sz w:val="20"/>
          <w:szCs w:val="20"/>
        </w:rPr>
        <w:t>月</w:t>
      </w:r>
      <w:r>
        <w:rPr>
          <w:rFonts w:ascii="Arial" w:hAnsi="Arial" w:cs="Arial" w:eastAsia="Arial" w:hint="default"/>
          <w:w w:val="95"/>
          <w:sz w:val="20"/>
          <w:szCs w:val="20"/>
        </w:rPr>
        <w:t>26</w:t>
      </w:r>
      <w:r>
        <w:rPr>
          <w:rFonts w:ascii="黑体" w:hAnsi="黑体" w:cs="黑体" w:eastAsia="黑体" w:hint="default"/>
          <w:w w:val="95"/>
          <w:sz w:val="20"/>
          <w:szCs w:val="20"/>
        </w:rPr>
        <w:t>日，本公司公告</w:t>
      </w:r>
      <w:r>
        <w:rPr>
          <w:rFonts w:ascii="Arial" w:hAnsi="Arial" w:cs="Arial" w:eastAsia="Arial" w:hint="default"/>
          <w:w w:val="95"/>
          <w:sz w:val="20"/>
          <w:szCs w:val="20"/>
        </w:rPr>
        <w:t>2018</w:t>
      </w:r>
      <w:r>
        <w:rPr>
          <w:rFonts w:ascii="黑体" w:hAnsi="黑体" w:cs="黑体" w:eastAsia="黑体" w:hint="default"/>
          <w:w w:val="95"/>
          <w:sz w:val="20"/>
          <w:szCs w:val="20"/>
        </w:rPr>
        <w:t>年年度权益分派实施公告，以方案实施前的公司总股本 </w:t>
      </w:r>
      <w:r>
        <w:rPr>
          <w:rFonts w:ascii="Arial" w:hAnsi="Arial" w:cs="Arial" w:eastAsia="Arial" w:hint="default"/>
          <w:sz w:val="20"/>
          <w:szCs w:val="20"/>
        </w:rPr>
        <w:t>1,897,652,142 </w:t>
      </w:r>
      <w:r>
        <w:rPr>
          <w:rFonts w:ascii="黑体" w:hAnsi="黑体" w:cs="黑体" w:eastAsia="黑体" w:hint="default"/>
          <w:sz w:val="20"/>
          <w:szCs w:val="20"/>
        </w:rPr>
        <w:t>股为基数，每股派发现金红利 </w:t>
      </w:r>
      <w:r>
        <w:rPr>
          <w:rFonts w:ascii="Arial" w:hAnsi="Arial" w:cs="Arial" w:eastAsia="Arial" w:hint="default"/>
          <w:sz w:val="20"/>
          <w:szCs w:val="20"/>
        </w:rPr>
        <w:t>0.25</w:t>
      </w:r>
      <w:r>
        <w:rPr>
          <w:rFonts w:ascii="Arial" w:hAnsi="Arial" w:cs="Arial" w:eastAsia="Arial" w:hint="default"/>
          <w:spacing w:val="29"/>
          <w:sz w:val="20"/>
          <w:szCs w:val="20"/>
        </w:rPr>
        <w:t> </w:t>
      </w:r>
      <w:r>
        <w:rPr>
          <w:rFonts w:ascii="黑体" w:hAnsi="黑体" w:cs="黑体" w:eastAsia="黑体" w:hint="default"/>
          <w:sz w:val="20"/>
          <w:szCs w:val="20"/>
        </w:rPr>
        <w:t>元（含税），以资本公积金向全体股东每股</w:t>
      </w:r>
      <w:r>
        <w:rPr>
          <w:rFonts w:ascii="黑体" w:hAnsi="黑体" w:cs="黑体" w:eastAsia="黑体" w:hint="default"/>
          <w:w w:val="99"/>
          <w:sz w:val="20"/>
          <w:szCs w:val="20"/>
        </w:rPr>
        <w:t> </w:t>
      </w:r>
      <w:r>
        <w:rPr>
          <w:rFonts w:ascii="黑体" w:hAnsi="黑体" w:cs="黑体" w:eastAsia="黑体" w:hint="default"/>
          <w:sz w:val="20"/>
          <w:szCs w:val="20"/>
        </w:rPr>
        <w:t>转增 </w:t>
      </w:r>
      <w:r>
        <w:rPr>
          <w:rFonts w:ascii="Arial" w:hAnsi="Arial" w:cs="Arial" w:eastAsia="Arial" w:hint="default"/>
          <w:sz w:val="20"/>
          <w:szCs w:val="20"/>
        </w:rPr>
        <w:t>0.3 </w:t>
      </w:r>
      <w:r>
        <w:rPr>
          <w:rFonts w:ascii="黑体" w:hAnsi="黑体" w:cs="黑体" w:eastAsia="黑体" w:hint="default"/>
          <w:sz w:val="20"/>
          <w:szCs w:val="20"/>
        </w:rPr>
        <w:t>股，共计派发现金红利</w:t>
      </w:r>
      <w:r>
        <w:rPr>
          <w:rFonts w:ascii="Arial" w:hAnsi="Arial" w:cs="Arial" w:eastAsia="Arial" w:hint="default"/>
          <w:sz w:val="20"/>
          <w:szCs w:val="20"/>
        </w:rPr>
        <w:t>474,413,036</w:t>
      </w:r>
      <w:r>
        <w:rPr>
          <w:rFonts w:ascii="黑体" w:hAnsi="黑体" w:cs="黑体" w:eastAsia="黑体" w:hint="default"/>
          <w:sz w:val="20"/>
          <w:szCs w:val="20"/>
        </w:rPr>
        <w:t>元，转增</w:t>
      </w:r>
      <w:r>
        <w:rPr>
          <w:rFonts w:ascii="Arial" w:hAnsi="Arial" w:cs="Arial" w:eastAsia="Arial" w:hint="default"/>
          <w:sz w:val="20"/>
          <w:szCs w:val="20"/>
        </w:rPr>
        <w:t>569,295,642</w:t>
      </w:r>
      <w:r>
        <w:rPr>
          <w:rFonts w:ascii="Arial" w:hAnsi="Arial" w:cs="Arial" w:eastAsia="Arial" w:hint="default"/>
          <w:spacing w:val="35"/>
          <w:sz w:val="20"/>
          <w:szCs w:val="20"/>
        </w:rPr>
        <w:t> </w:t>
      </w:r>
      <w:r>
        <w:rPr>
          <w:rFonts w:ascii="黑体" w:hAnsi="黑体" w:cs="黑体" w:eastAsia="黑体" w:hint="default"/>
          <w:spacing w:val="-4"/>
          <w:sz w:val="20"/>
          <w:szCs w:val="20"/>
        </w:rPr>
        <w:t>股。该方案实施后，公司在</w:t>
      </w:r>
      <w:r>
        <w:rPr>
          <w:rFonts w:ascii="黑体" w:hAnsi="黑体" w:cs="黑体" w:eastAsia="黑体" w:hint="default"/>
          <w:w w:val="99"/>
          <w:sz w:val="20"/>
          <w:szCs w:val="20"/>
        </w:rPr>
        <w:t> </w:t>
      </w:r>
      <w:r>
        <w:rPr>
          <w:rFonts w:ascii="黑体" w:hAnsi="黑体" w:cs="黑体" w:eastAsia="黑体" w:hint="default"/>
          <w:sz w:val="20"/>
          <w:szCs w:val="20"/>
        </w:rPr>
        <w:t>方案实施前授予的各项权益工具，每份增加</w:t>
      </w:r>
      <w:r>
        <w:rPr>
          <w:rFonts w:ascii="Arial" w:hAnsi="Arial" w:cs="Arial" w:eastAsia="Arial" w:hint="default"/>
          <w:sz w:val="20"/>
          <w:szCs w:val="20"/>
        </w:rPr>
        <w:t>0.3</w:t>
      </w:r>
      <w:r>
        <w:rPr>
          <w:rFonts w:ascii="黑体" w:hAnsi="黑体" w:cs="黑体" w:eastAsia="黑体" w:hint="default"/>
          <w:sz w:val="20"/>
          <w:szCs w:val="20"/>
        </w:rPr>
        <w:t>份。</w:t>
      </w:r>
    </w:p>
    <w:p>
      <w:pPr>
        <w:spacing w:line="240" w:lineRule="auto" w:before="6"/>
        <w:rPr>
          <w:rFonts w:ascii="黑体" w:hAnsi="黑体" w:cs="黑体" w:eastAsia="黑体" w:hint="default"/>
          <w:sz w:val="16"/>
          <w:szCs w:val="16"/>
        </w:rPr>
      </w:pPr>
    </w:p>
    <w:p>
      <w:pPr>
        <w:spacing w:line="228" w:lineRule="auto" w:before="0"/>
        <w:ind w:left="318" w:right="349" w:firstLine="0"/>
        <w:jc w:val="both"/>
        <w:rPr>
          <w:rFonts w:ascii="黑体" w:hAnsi="黑体" w:cs="黑体" w:eastAsia="黑体" w:hint="default"/>
          <w:sz w:val="20"/>
          <w:szCs w:val="20"/>
        </w:rPr>
      </w:pPr>
      <w:r>
        <w:rPr>
          <w:rFonts w:ascii="黑体" w:hAnsi="黑体" w:cs="黑体" w:eastAsia="黑体" w:hint="default"/>
          <w:sz w:val="20"/>
          <w:szCs w:val="20"/>
        </w:rPr>
        <w:t>注</w:t>
      </w:r>
      <w:r>
        <w:rPr>
          <w:rFonts w:ascii="Arial" w:hAnsi="Arial" w:cs="Arial" w:eastAsia="Arial" w:hint="default"/>
          <w:sz w:val="20"/>
          <w:szCs w:val="20"/>
        </w:rPr>
        <w:t>2</w:t>
      </w:r>
      <w:r>
        <w:rPr>
          <w:rFonts w:ascii="黑体" w:hAnsi="黑体" w:cs="黑体" w:eastAsia="黑体" w:hint="default"/>
          <w:sz w:val="20"/>
          <w:szCs w:val="20"/>
        </w:rPr>
        <w:t>：</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7</w:t>
      </w:r>
      <w:r>
        <w:rPr>
          <w:rFonts w:ascii="黑体" w:hAnsi="黑体" w:cs="黑体" w:eastAsia="黑体" w:hint="default"/>
          <w:sz w:val="20"/>
          <w:szCs w:val="20"/>
        </w:rPr>
        <w:t>月</w:t>
      </w:r>
      <w:r>
        <w:rPr>
          <w:rFonts w:ascii="Arial" w:hAnsi="Arial" w:cs="Arial" w:eastAsia="Arial" w:hint="default"/>
          <w:sz w:val="20"/>
          <w:szCs w:val="20"/>
        </w:rPr>
        <w:t>18</w:t>
      </w:r>
      <w:r>
        <w:rPr>
          <w:rFonts w:ascii="黑体" w:hAnsi="黑体" w:cs="黑体" w:eastAsia="黑体" w:hint="default"/>
          <w:sz w:val="20"/>
          <w:szCs w:val="20"/>
        </w:rPr>
        <w:t>日，本公司第七届董事会第三十八次会议审议通过了《公司关于调整股票期</w:t>
      </w:r>
      <w:r>
        <w:rPr>
          <w:rFonts w:ascii="黑体" w:hAnsi="黑体" w:cs="黑体" w:eastAsia="黑体" w:hint="default"/>
          <w:spacing w:val="-92"/>
          <w:sz w:val="20"/>
          <w:szCs w:val="20"/>
        </w:rPr>
        <w:t> </w:t>
      </w:r>
      <w:r>
        <w:rPr>
          <w:rFonts w:ascii="黑体" w:hAnsi="黑体" w:cs="黑体" w:eastAsia="黑体" w:hint="default"/>
          <w:spacing w:val="-92"/>
          <w:sz w:val="20"/>
          <w:szCs w:val="20"/>
        </w:rPr>
      </w:r>
      <w:r>
        <w:rPr>
          <w:rFonts w:ascii="黑体" w:hAnsi="黑体" w:cs="黑体" w:eastAsia="黑体" w:hint="default"/>
          <w:spacing w:val="2"/>
          <w:sz w:val="20"/>
          <w:szCs w:val="20"/>
        </w:rPr>
        <w:t>权数量与行权价格与限制性股票数量与授予价格的议案》，根据《用友网络科技股份有限公司</w:t>
      </w:r>
      <w:r>
        <w:rPr>
          <w:rFonts w:ascii="黑体" w:hAnsi="黑体" w:cs="黑体" w:eastAsia="黑体" w:hint="default"/>
          <w:spacing w:val="-96"/>
          <w:sz w:val="20"/>
          <w:szCs w:val="20"/>
        </w:rPr>
        <w:t> </w:t>
      </w:r>
      <w:r>
        <w:rPr>
          <w:rFonts w:ascii="黑体" w:hAnsi="黑体" w:cs="黑体" w:eastAsia="黑体" w:hint="default"/>
          <w:spacing w:val="-96"/>
          <w:sz w:val="20"/>
          <w:szCs w:val="20"/>
        </w:rPr>
      </w:r>
      <w:r>
        <w:rPr>
          <w:rFonts w:ascii="Arial" w:hAnsi="Arial" w:cs="Arial" w:eastAsia="Arial" w:hint="default"/>
          <w:sz w:val="20"/>
          <w:szCs w:val="20"/>
        </w:rPr>
        <w:t>2017</w:t>
      </w:r>
      <w:r>
        <w:rPr>
          <w:rFonts w:ascii="黑体" w:hAnsi="黑体" w:cs="黑体" w:eastAsia="黑体" w:hint="default"/>
          <w:sz w:val="20"/>
          <w:szCs w:val="20"/>
        </w:rPr>
        <w:t>年股票期权与限制性股票激励计划（草案）》的有关规定，对公司股权激励计划股票期权</w:t>
      </w:r>
      <w:r>
        <w:rPr>
          <w:rFonts w:ascii="黑体" w:hAnsi="黑体" w:cs="黑体" w:eastAsia="黑体" w:hint="default"/>
          <w:spacing w:val="-50"/>
          <w:sz w:val="20"/>
          <w:szCs w:val="20"/>
        </w:rPr>
        <w:t> </w:t>
      </w:r>
      <w:r>
        <w:rPr>
          <w:rFonts w:ascii="黑体" w:hAnsi="黑体" w:cs="黑体" w:eastAsia="黑体" w:hint="default"/>
          <w:spacing w:val="-50"/>
          <w:sz w:val="20"/>
          <w:szCs w:val="20"/>
        </w:rPr>
      </w:r>
      <w:r>
        <w:rPr>
          <w:rFonts w:ascii="黑体" w:hAnsi="黑体" w:cs="黑体" w:eastAsia="黑体" w:hint="default"/>
          <w:sz w:val="20"/>
          <w:szCs w:val="20"/>
        </w:rPr>
        <w:t>的行权价格进行调整，调整后的授予股票期权的行权价格为</w:t>
      </w:r>
      <w:r>
        <w:rPr>
          <w:rFonts w:ascii="Arial" w:hAnsi="Arial" w:cs="Arial" w:eastAsia="Arial" w:hint="default"/>
          <w:sz w:val="20"/>
          <w:szCs w:val="20"/>
        </w:rPr>
        <w:t>9.12</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股；对公司股权激励计划限</w:t>
      </w:r>
      <w:r>
        <w:rPr>
          <w:rFonts w:ascii="黑体" w:hAnsi="黑体" w:cs="黑体" w:eastAsia="黑体" w:hint="default"/>
          <w:spacing w:val="-48"/>
          <w:sz w:val="20"/>
          <w:szCs w:val="20"/>
        </w:rPr>
        <w:t> </w:t>
      </w:r>
      <w:r>
        <w:rPr>
          <w:rFonts w:ascii="黑体" w:hAnsi="黑体" w:cs="黑体" w:eastAsia="黑体" w:hint="default"/>
          <w:spacing w:val="-48"/>
          <w:sz w:val="20"/>
          <w:szCs w:val="20"/>
        </w:rPr>
      </w:r>
      <w:r>
        <w:rPr>
          <w:rFonts w:ascii="黑体" w:hAnsi="黑体" w:cs="黑体" w:eastAsia="黑体" w:hint="default"/>
          <w:sz w:val="20"/>
          <w:szCs w:val="20"/>
        </w:rPr>
        <w:t>制性股票的授予价格进行调整，调整后的授予限制性股票的授予价格为</w:t>
      </w:r>
      <w:r>
        <w:rPr>
          <w:rFonts w:ascii="Arial" w:hAnsi="Arial" w:cs="Arial" w:eastAsia="Arial" w:hint="default"/>
          <w:sz w:val="20"/>
          <w:szCs w:val="20"/>
        </w:rPr>
        <w:t>2.44</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股。</w:t>
      </w:r>
    </w:p>
    <w:p>
      <w:pPr>
        <w:spacing w:line="240" w:lineRule="auto" w:before="11"/>
        <w:rPr>
          <w:rFonts w:ascii="黑体" w:hAnsi="黑体" w:cs="黑体" w:eastAsia="黑体" w:hint="default"/>
          <w:sz w:val="16"/>
          <w:szCs w:val="16"/>
        </w:rPr>
      </w:pPr>
    </w:p>
    <w:p>
      <w:pPr>
        <w:spacing w:line="268" w:lineRule="exact" w:before="0"/>
        <w:ind w:left="318" w:right="0" w:firstLine="0"/>
        <w:jc w:val="both"/>
        <w:rPr>
          <w:rFonts w:ascii="黑体" w:hAnsi="黑体" w:cs="黑体" w:eastAsia="黑体" w:hint="default"/>
          <w:sz w:val="20"/>
          <w:szCs w:val="20"/>
        </w:rPr>
      </w:pPr>
      <w:r>
        <w:rPr>
          <w:rFonts w:ascii="Arial" w:hAnsi="Arial" w:cs="Arial" w:eastAsia="Arial" w:hint="default"/>
          <w:sz w:val="20"/>
          <w:szCs w:val="20"/>
        </w:rPr>
        <w:t>2019</w:t>
      </w:r>
      <w:r>
        <w:rPr>
          <w:rFonts w:ascii="Arial" w:hAnsi="Arial" w:cs="Arial" w:eastAsia="Arial" w:hint="default"/>
          <w:spacing w:val="-15"/>
          <w:sz w:val="20"/>
          <w:szCs w:val="20"/>
        </w:rPr>
        <w:t> </w:t>
      </w:r>
      <w:r>
        <w:rPr>
          <w:rFonts w:ascii="黑体" w:hAnsi="黑体" w:cs="黑体" w:eastAsia="黑体" w:hint="default"/>
          <w:sz w:val="20"/>
          <w:szCs w:val="20"/>
        </w:rPr>
        <w:t>年</w:t>
      </w:r>
      <w:r>
        <w:rPr>
          <w:rFonts w:ascii="黑体" w:hAnsi="黑体" w:cs="黑体" w:eastAsia="黑体" w:hint="default"/>
          <w:spacing w:val="-57"/>
          <w:sz w:val="20"/>
          <w:szCs w:val="20"/>
        </w:rPr>
        <w:t> </w:t>
      </w:r>
      <w:r>
        <w:rPr>
          <w:rFonts w:ascii="Arial" w:hAnsi="Arial" w:cs="Arial" w:eastAsia="Arial" w:hint="default"/>
          <w:sz w:val="20"/>
          <w:szCs w:val="20"/>
        </w:rPr>
        <w:t>10</w:t>
      </w:r>
      <w:r>
        <w:rPr>
          <w:rFonts w:ascii="Arial" w:hAnsi="Arial" w:cs="Arial" w:eastAsia="Arial" w:hint="default"/>
          <w:spacing w:val="-15"/>
          <w:sz w:val="20"/>
          <w:szCs w:val="20"/>
        </w:rPr>
        <w:t> </w:t>
      </w:r>
      <w:r>
        <w:rPr>
          <w:rFonts w:ascii="黑体" w:hAnsi="黑体" w:cs="黑体" w:eastAsia="黑体" w:hint="default"/>
          <w:sz w:val="20"/>
          <w:szCs w:val="20"/>
        </w:rPr>
        <w:t>月</w:t>
      </w:r>
      <w:r>
        <w:rPr>
          <w:rFonts w:ascii="黑体" w:hAnsi="黑体" w:cs="黑体" w:eastAsia="黑体" w:hint="default"/>
          <w:spacing w:val="-57"/>
          <w:sz w:val="20"/>
          <w:szCs w:val="20"/>
        </w:rPr>
        <w:t> </w:t>
      </w:r>
      <w:r>
        <w:rPr>
          <w:rFonts w:ascii="Arial" w:hAnsi="Arial" w:cs="Arial" w:eastAsia="Arial" w:hint="default"/>
          <w:sz w:val="20"/>
          <w:szCs w:val="20"/>
        </w:rPr>
        <w:t>23</w:t>
      </w:r>
      <w:r>
        <w:rPr>
          <w:rFonts w:ascii="Arial" w:hAnsi="Arial" w:cs="Arial" w:eastAsia="Arial" w:hint="default"/>
          <w:spacing w:val="-15"/>
          <w:sz w:val="20"/>
          <w:szCs w:val="20"/>
        </w:rPr>
        <w:t> </w:t>
      </w:r>
      <w:r>
        <w:rPr>
          <w:rFonts w:ascii="黑体" w:hAnsi="黑体" w:cs="黑体" w:eastAsia="黑体" w:hint="default"/>
          <w:sz w:val="20"/>
          <w:szCs w:val="20"/>
        </w:rPr>
        <w:t>日，公司第七届董事会第四十二次会议通过了《公司关于调整股票期权行权价</w:t>
      </w:r>
    </w:p>
    <w:p>
      <w:pPr>
        <w:spacing w:line="260" w:lineRule="exact" w:before="17"/>
        <w:ind w:left="318" w:right="354" w:firstLine="0"/>
        <w:jc w:val="both"/>
        <w:rPr>
          <w:rFonts w:ascii="黑体" w:hAnsi="黑体" w:cs="黑体" w:eastAsia="黑体" w:hint="default"/>
          <w:sz w:val="20"/>
          <w:szCs w:val="20"/>
        </w:rPr>
      </w:pPr>
      <w:r>
        <w:rPr>
          <w:rFonts w:ascii="黑体" w:hAnsi="黑体" w:cs="黑体" w:eastAsia="黑体" w:hint="default"/>
          <w:sz w:val="20"/>
          <w:szCs w:val="20"/>
        </w:rPr>
        <w:t>格与数量和限制性股票回购价格与数量的议案》。根据《公司 </w:t>
      </w:r>
      <w:r>
        <w:rPr>
          <w:rFonts w:ascii="Arial" w:hAnsi="Arial" w:cs="Arial" w:eastAsia="Arial" w:hint="default"/>
          <w:sz w:val="20"/>
          <w:szCs w:val="20"/>
        </w:rPr>
        <w:t>2018</w:t>
      </w:r>
      <w:r>
        <w:rPr>
          <w:rFonts w:ascii="Arial" w:hAnsi="Arial" w:cs="Arial" w:eastAsia="Arial" w:hint="default"/>
          <w:spacing w:val="43"/>
          <w:sz w:val="20"/>
          <w:szCs w:val="20"/>
        </w:rPr>
        <w:t> </w:t>
      </w:r>
      <w:r>
        <w:rPr>
          <w:rFonts w:ascii="黑体" w:hAnsi="黑体" w:cs="黑体" w:eastAsia="黑体" w:hint="default"/>
          <w:sz w:val="20"/>
          <w:szCs w:val="20"/>
        </w:rPr>
        <w:t>年股票期权与限制性股票</w:t>
      </w:r>
      <w:r>
        <w:rPr>
          <w:rFonts w:ascii="黑体" w:hAnsi="黑体" w:cs="黑体" w:eastAsia="黑体" w:hint="default"/>
          <w:w w:val="99"/>
          <w:sz w:val="20"/>
          <w:szCs w:val="20"/>
        </w:rPr>
        <w:t> </w:t>
      </w:r>
      <w:r>
        <w:rPr>
          <w:rFonts w:ascii="黑体" w:hAnsi="黑体" w:cs="黑体" w:eastAsia="黑体" w:hint="default"/>
          <w:spacing w:val="-2"/>
          <w:w w:val="95"/>
          <w:sz w:val="20"/>
          <w:szCs w:val="20"/>
        </w:rPr>
        <w:t>激励计划（草案）》的有关规定，上述利润分配与资本公积金转增股本实施完毕后，应对股票期</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pacing w:val="-2"/>
          <w:w w:val="99"/>
          <w:sz w:val="20"/>
          <w:szCs w:val="20"/>
        </w:rPr>
        <w:t>权的行权价格与数量和限制性股票的回购价格与数量进行调整。调整后的授予股票期权的行权价</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格为</w:t>
      </w:r>
      <w:r>
        <w:rPr>
          <w:rFonts w:ascii="黑体" w:hAnsi="黑体" w:cs="黑体" w:eastAsia="黑体" w:hint="default"/>
          <w:spacing w:val="-55"/>
          <w:sz w:val="20"/>
          <w:szCs w:val="20"/>
        </w:rPr>
        <w:t> </w:t>
      </w:r>
      <w:r>
        <w:rPr>
          <w:rFonts w:ascii="Arial" w:hAnsi="Arial" w:cs="Arial" w:eastAsia="Arial" w:hint="default"/>
          <w:sz w:val="20"/>
          <w:szCs w:val="20"/>
        </w:rPr>
        <w:t>21.48</w:t>
      </w:r>
      <w:r>
        <w:rPr>
          <w:rFonts w:ascii="Arial" w:hAnsi="Arial" w:cs="Arial" w:eastAsia="Arial" w:hint="default"/>
          <w:spacing w:val="-12"/>
          <w:sz w:val="20"/>
          <w:szCs w:val="20"/>
        </w:rPr>
        <w:t> </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股；对公司股权激励计划限制性股票的授予价格进行调整，调整后的授予限制性</w:t>
      </w:r>
    </w:p>
    <w:p>
      <w:pPr>
        <w:spacing w:line="250" w:lineRule="exact" w:before="0"/>
        <w:ind w:left="318" w:right="0" w:firstLine="0"/>
        <w:jc w:val="both"/>
        <w:rPr>
          <w:rFonts w:ascii="黑体" w:hAnsi="黑体" w:cs="黑体" w:eastAsia="黑体" w:hint="default"/>
          <w:sz w:val="20"/>
          <w:szCs w:val="20"/>
        </w:rPr>
      </w:pPr>
      <w:r>
        <w:rPr>
          <w:rFonts w:ascii="黑体" w:hAnsi="黑体" w:cs="黑体" w:eastAsia="黑体" w:hint="default"/>
          <w:sz w:val="20"/>
          <w:szCs w:val="20"/>
        </w:rPr>
        <w:t>股票的授予价格为</w:t>
      </w:r>
      <w:r>
        <w:rPr>
          <w:rFonts w:ascii="黑体" w:hAnsi="黑体" w:cs="黑体" w:eastAsia="黑体" w:hint="default"/>
          <w:spacing w:val="-50"/>
          <w:sz w:val="20"/>
          <w:szCs w:val="20"/>
        </w:rPr>
        <w:t> </w:t>
      </w:r>
      <w:r>
        <w:rPr>
          <w:rFonts w:ascii="Arial" w:hAnsi="Arial" w:cs="Arial" w:eastAsia="Arial" w:hint="default"/>
          <w:sz w:val="20"/>
          <w:szCs w:val="20"/>
        </w:rPr>
        <w:t>4.61</w:t>
      </w:r>
      <w:r>
        <w:rPr>
          <w:rFonts w:ascii="Arial" w:hAnsi="Arial" w:cs="Arial" w:eastAsia="Arial" w:hint="default"/>
          <w:spacing w:val="-8"/>
          <w:sz w:val="20"/>
          <w:szCs w:val="20"/>
        </w:rPr>
        <w:t> </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股。</w:t>
      </w:r>
    </w:p>
    <w:p>
      <w:pPr>
        <w:spacing w:after="0" w:line="250" w:lineRule="exact"/>
        <w:jc w:val="both"/>
        <w:rPr>
          <w:rFonts w:ascii="黑体" w:hAnsi="黑体" w:cs="黑体" w:eastAsia="黑体" w:hint="default"/>
          <w:sz w:val="20"/>
          <w:szCs w:val="20"/>
        </w:rPr>
        <w:sectPr>
          <w:pgSz w:w="11910" w:h="16850"/>
          <w:pgMar w:header="745" w:footer="921" w:top="980" w:bottom="1120" w:left="1480" w:right="1440"/>
        </w:sectPr>
      </w:pPr>
    </w:p>
    <w:p>
      <w:pPr>
        <w:spacing w:line="240" w:lineRule="auto" w:before="2"/>
        <w:rPr>
          <w:rFonts w:ascii="黑体" w:hAnsi="黑体" w:cs="黑体" w:eastAsia="黑体" w:hint="default"/>
          <w:sz w:val="29"/>
          <w:szCs w:val="29"/>
        </w:rPr>
      </w:pPr>
    </w:p>
    <w:p>
      <w:pPr>
        <w:spacing w:line="260" w:lineRule="exact" w:before="63"/>
        <w:ind w:left="318" w:right="200" w:firstLine="0"/>
        <w:jc w:val="left"/>
        <w:rPr>
          <w:rFonts w:ascii="黑体" w:hAnsi="黑体" w:cs="黑体" w:eastAsia="黑体" w:hint="default"/>
          <w:sz w:val="20"/>
          <w:szCs w:val="20"/>
        </w:rPr>
      </w:pPr>
      <w:r>
        <w:rPr>
          <w:rFonts w:ascii="黑体" w:hAnsi="黑体" w:cs="黑体" w:eastAsia="黑体" w:hint="default"/>
          <w:spacing w:val="-1"/>
          <w:sz w:val="20"/>
          <w:szCs w:val="20"/>
        </w:rPr>
        <w:t>注</w:t>
      </w:r>
      <w:r>
        <w:rPr>
          <w:rFonts w:ascii="Arial" w:hAnsi="Arial" w:cs="Arial" w:eastAsia="Arial" w:hint="default"/>
          <w:spacing w:val="-1"/>
          <w:sz w:val="20"/>
          <w:szCs w:val="20"/>
        </w:rPr>
        <w:t>3</w:t>
      </w:r>
      <w:r>
        <w:rPr>
          <w:rFonts w:ascii="黑体" w:hAnsi="黑体" w:cs="黑体" w:eastAsia="黑体" w:hint="default"/>
          <w:spacing w:val="-1"/>
          <w:sz w:val="20"/>
          <w:szCs w:val="20"/>
        </w:rPr>
        <w:t>：</w:t>
      </w:r>
      <w:r>
        <w:rPr>
          <w:rFonts w:ascii="Arial" w:hAnsi="Arial" w:cs="Arial" w:eastAsia="Arial" w:hint="default"/>
          <w:spacing w:val="-1"/>
          <w:sz w:val="20"/>
          <w:szCs w:val="20"/>
        </w:rPr>
        <w:t>2019</w:t>
      </w:r>
      <w:r>
        <w:rPr>
          <w:rFonts w:ascii="黑体" w:hAnsi="黑体" w:cs="黑体" w:eastAsia="黑体" w:hint="default"/>
          <w:spacing w:val="-1"/>
          <w:sz w:val="20"/>
          <w:szCs w:val="20"/>
        </w:rPr>
        <w:t>年度，公司已确认股份支付费用人民币</w:t>
      </w:r>
      <w:r>
        <w:rPr>
          <w:rFonts w:ascii="Arial" w:hAnsi="Arial" w:cs="Arial" w:eastAsia="Arial" w:hint="default"/>
          <w:spacing w:val="-1"/>
          <w:sz w:val="20"/>
          <w:szCs w:val="20"/>
        </w:rPr>
        <w:t>94,216,791</w:t>
      </w:r>
      <w:r>
        <w:rPr>
          <w:rFonts w:ascii="黑体" w:hAnsi="黑体" w:cs="黑体" w:eastAsia="黑体" w:hint="default"/>
          <w:spacing w:val="-1"/>
          <w:sz w:val="20"/>
          <w:szCs w:val="20"/>
        </w:rPr>
        <w:t>元。其中，于损益中确认股份支付</w:t>
      </w:r>
      <w:r>
        <w:rPr>
          <w:rFonts w:ascii="黑体" w:hAnsi="黑体" w:cs="黑体" w:eastAsia="黑体" w:hint="default"/>
          <w:w w:val="99"/>
          <w:sz w:val="20"/>
          <w:szCs w:val="20"/>
        </w:rPr>
        <w:t> </w:t>
      </w:r>
      <w:r>
        <w:rPr>
          <w:rFonts w:ascii="黑体" w:hAnsi="黑体" w:cs="黑体" w:eastAsia="黑体" w:hint="default"/>
          <w:sz w:val="20"/>
          <w:szCs w:val="20"/>
        </w:rPr>
        <w:t>费用人民币</w:t>
      </w:r>
      <w:r>
        <w:rPr>
          <w:rFonts w:ascii="Arial" w:hAnsi="Arial" w:cs="Arial" w:eastAsia="Arial" w:hint="default"/>
          <w:sz w:val="20"/>
          <w:szCs w:val="20"/>
        </w:rPr>
        <w:t>91,755,682</w:t>
      </w:r>
      <w:r>
        <w:rPr>
          <w:rFonts w:ascii="黑体" w:hAnsi="黑体" w:cs="黑体" w:eastAsia="黑体" w:hint="default"/>
          <w:sz w:val="20"/>
          <w:szCs w:val="20"/>
        </w:rPr>
        <w:t>元，资本化计入在建工程和开发支出的金额为人民币</w:t>
      </w:r>
      <w:r>
        <w:rPr>
          <w:rFonts w:ascii="Arial" w:hAnsi="Arial" w:cs="Arial" w:eastAsia="Arial" w:hint="default"/>
          <w:sz w:val="20"/>
          <w:szCs w:val="20"/>
        </w:rPr>
        <w:t>2,461,109</w:t>
      </w:r>
      <w:r>
        <w:rPr>
          <w:rFonts w:ascii="黑体" w:hAnsi="黑体" w:cs="黑体" w:eastAsia="黑体" w:hint="default"/>
          <w:sz w:val="20"/>
          <w:szCs w:val="20"/>
        </w:rPr>
        <w:t>元。</w:t>
      </w:r>
    </w:p>
    <w:p>
      <w:pPr>
        <w:spacing w:line="240" w:lineRule="auto" w:before="3"/>
        <w:rPr>
          <w:rFonts w:ascii="黑体" w:hAnsi="黑体" w:cs="黑体" w:eastAsia="黑体" w:hint="default"/>
          <w:sz w:val="15"/>
          <w:szCs w:val="15"/>
        </w:rPr>
      </w:pPr>
    </w:p>
    <w:p>
      <w:pPr>
        <w:tabs>
          <w:tab w:pos="934" w:val="left" w:leader="none"/>
        </w:tabs>
        <w:spacing w:before="0"/>
        <w:ind w:left="375" w:right="200" w:firstLine="0"/>
        <w:jc w:val="left"/>
        <w:rPr>
          <w:rFonts w:ascii="黑体" w:hAnsi="黑体" w:cs="黑体" w:eastAsia="黑体" w:hint="default"/>
          <w:sz w:val="20"/>
          <w:szCs w:val="20"/>
        </w:rPr>
      </w:pPr>
      <w:r>
        <w:rPr>
          <w:rFonts w:ascii="Arial" w:hAnsi="Arial" w:cs="Arial" w:eastAsia="Arial" w:hint="default"/>
          <w:b/>
          <w:bCs/>
          <w:spacing w:val="-1"/>
          <w:sz w:val="20"/>
          <w:szCs w:val="20"/>
        </w:rPr>
        <w:t>2.</w:t>
        <w:tab/>
      </w:r>
      <w:r>
        <w:rPr>
          <w:rFonts w:ascii="黑体" w:hAnsi="黑体" w:cs="黑体" w:eastAsia="黑体" w:hint="default"/>
          <w:b/>
          <w:bCs/>
          <w:spacing w:val="1"/>
          <w:sz w:val="20"/>
          <w:szCs w:val="20"/>
        </w:rPr>
        <w:t>股份支付计划</w:t>
      </w:r>
      <w:r>
        <w:rPr>
          <w:rFonts w:ascii="黑体" w:hAnsi="黑体" w:cs="黑体" w:eastAsia="黑体" w:hint="default"/>
          <w:spacing w:val="1"/>
          <w:sz w:val="20"/>
          <w:szCs w:val="20"/>
        </w:rPr>
      </w:r>
    </w:p>
    <w:p>
      <w:pPr>
        <w:spacing w:line="240" w:lineRule="auto" w:before="4"/>
        <w:rPr>
          <w:rFonts w:ascii="黑体" w:hAnsi="黑体" w:cs="黑体" w:eastAsia="黑体" w:hint="default"/>
          <w:b/>
          <w:bCs/>
          <w:sz w:val="16"/>
          <w:szCs w:val="16"/>
        </w:rPr>
      </w:pPr>
    </w:p>
    <w:p>
      <w:pPr>
        <w:spacing w:before="0"/>
        <w:ind w:left="318" w:right="200" w:firstLine="0"/>
        <w:jc w:val="left"/>
        <w:rPr>
          <w:rFonts w:ascii="黑体" w:hAnsi="黑体" w:cs="黑体" w:eastAsia="黑体" w:hint="default"/>
          <w:sz w:val="20"/>
          <w:szCs w:val="20"/>
        </w:rPr>
      </w:pPr>
      <w:r>
        <w:rPr>
          <w:rFonts w:ascii="Arial" w:hAnsi="Arial" w:cs="Arial" w:eastAsia="Arial" w:hint="default"/>
          <w:sz w:val="20"/>
          <w:szCs w:val="20"/>
        </w:rPr>
        <w:t>2017</w:t>
      </w:r>
      <w:r>
        <w:rPr>
          <w:rFonts w:ascii="黑体" w:hAnsi="黑体" w:cs="黑体" w:eastAsia="黑体" w:hint="default"/>
          <w:sz w:val="20"/>
          <w:szCs w:val="20"/>
        </w:rPr>
        <w:t>年股份支付计划</w:t>
      </w:r>
    </w:p>
    <w:p>
      <w:pPr>
        <w:spacing w:line="240" w:lineRule="auto" w:before="4"/>
        <w:rPr>
          <w:rFonts w:ascii="黑体" w:hAnsi="黑体" w:cs="黑体" w:eastAsia="黑体" w:hint="default"/>
          <w:sz w:val="18"/>
          <w:szCs w:val="18"/>
        </w:rPr>
      </w:pPr>
    </w:p>
    <w:p>
      <w:pPr>
        <w:spacing w:line="260" w:lineRule="exact" w:before="0"/>
        <w:ind w:left="318" w:right="211" w:firstLine="0"/>
        <w:jc w:val="both"/>
        <w:rPr>
          <w:rFonts w:ascii="黑体" w:hAnsi="黑体" w:cs="黑体" w:eastAsia="黑体" w:hint="default"/>
          <w:sz w:val="20"/>
          <w:szCs w:val="20"/>
        </w:rPr>
      </w:pPr>
      <w:r>
        <w:rPr>
          <w:rFonts w:ascii="黑体" w:hAnsi="黑体" w:cs="黑体" w:eastAsia="黑体" w:hint="default"/>
          <w:spacing w:val="-1"/>
          <w:w w:val="95"/>
          <w:sz w:val="20"/>
          <w:szCs w:val="20"/>
        </w:rPr>
        <w:t>本公司于</w:t>
      </w:r>
      <w:r>
        <w:rPr>
          <w:rFonts w:ascii="Arial" w:hAnsi="Arial" w:cs="Arial" w:eastAsia="Arial" w:hint="default"/>
          <w:spacing w:val="-1"/>
          <w:w w:val="95"/>
          <w:sz w:val="20"/>
          <w:szCs w:val="20"/>
        </w:rPr>
        <w:t>2017</w:t>
      </w:r>
      <w:r>
        <w:rPr>
          <w:rFonts w:ascii="黑体" w:hAnsi="黑体" w:cs="黑体" w:eastAsia="黑体" w:hint="default"/>
          <w:spacing w:val="-1"/>
          <w:w w:val="95"/>
          <w:sz w:val="20"/>
          <w:szCs w:val="20"/>
        </w:rPr>
        <w:t>年</w:t>
      </w:r>
      <w:r>
        <w:rPr>
          <w:rFonts w:ascii="Arial" w:hAnsi="Arial" w:cs="Arial" w:eastAsia="Arial" w:hint="default"/>
          <w:spacing w:val="-1"/>
          <w:w w:val="95"/>
          <w:sz w:val="20"/>
          <w:szCs w:val="20"/>
        </w:rPr>
        <w:t>5</w:t>
      </w:r>
      <w:r>
        <w:rPr>
          <w:rFonts w:ascii="黑体" w:hAnsi="黑体" w:cs="黑体" w:eastAsia="黑体" w:hint="default"/>
          <w:spacing w:val="-1"/>
          <w:w w:val="95"/>
          <w:sz w:val="20"/>
          <w:szCs w:val="20"/>
        </w:rPr>
        <w:t>月</w:t>
      </w:r>
      <w:r>
        <w:rPr>
          <w:rFonts w:ascii="Arial" w:hAnsi="Arial" w:cs="Arial" w:eastAsia="Arial" w:hint="default"/>
          <w:spacing w:val="-1"/>
          <w:w w:val="95"/>
          <w:sz w:val="20"/>
          <w:szCs w:val="20"/>
        </w:rPr>
        <w:t>23</w:t>
      </w:r>
      <w:r>
        <w:rPr>
          <w:rFonts w:ascii="黑体" w:hAnsi="黑体" w:cs="黑体" w:eastAsia="黑体" w:hint="default"/>
          <w:spacing w:val="-1"/>
          <w:w w:val="95"/>
          <w:sz w:val="20"/>
          <w:szCs w:val="20"/>
        </w:rPr>
        <w:t>日召开公司第七届董事会第三次会议，审议通过了《用友网络科技股份有</w:t>
      </w:r>
      <w:r>
        <w:rPr>
          <w:rFonts w:ascii="黑体" w:hAnsi="黑体" w:cs="黑体" w:eastAsia="黑体" w:hint="default"/>
          <w:spacing w:val="7"/>
          <w:w w:val="95"/>
          <w:sz w:val="20"/>
          <w:szCs w:val="20"/>
        </w:rPr>
        <w:t> </w:t>
      </w:r>
      <w:r>
        <w:rPr>
          <w:rFonts w:ascii="黑体" w:hAnsi="黑体" w:cs="黑体" w:eastAsia="黑体" w:hint="default"/>
          <w:spacing w:val="7"/>
          <w:w w:val="95"/>
          <w:sz w:val="20"/>
          <w:szCs w:val="20"/>
        </w:rPr>
      </w:r>
      <w:r>
        <w:rPr>
          <w:rFonts w:ascii="黑体" w:hAnsi="黑体" w:cs="黑体" w:eastAsia="黑体" w:hint="default"/>
          <w:spacing w:val="-5"/>
          <w:sz w:val="20"/>
          <w:szCs w:val="20"/>
        </w:rPr>
        <w:t>限公司</w:t>
      </w:r>
      <w:r>
        <w:rPr>
          <w:rFonts w:ascii="Arial" w:hAnsi="Arial" w:cs="Arial" w:eastAsia="Arial" w:hint="default"/>
          <w:spacing w:val="-5"/>
          <w:sz w:val="20"/>
          <w:szCs w:val="20"/>
        </w:rPr>
        <w:t>2017</w:t>
      </w:r>
      <w:r>
        <w:rPr>
          <w:rFonts w:ascii="黑体" w:hAnsi="黑体" w:cs="黑体" w:eastAsia="黑体" w:hint="default"/>
          <w:spacing w:val="-5"/>
          <w:sz w:val="20"/>
          <w:szCs w:val="20"/>
        </w:rPr>
        <w:t>年股票期权与限制性股票激励计划（草案）》并出具公告。</w:t>
      </w:r>
      <w:r>
        <w:rPr>
          <w:rFonts w:ascii="Arial" w:hAnsi="Arial" w:cs="Arial" w:eastAsia="Arial" w:hint="default"/>
          <w:spacing w:val="-5"/>
          <w:sz w:val="20"/>
          <w:szCs w:val="20"/>
        </w:rPr>
        <w:t>2017</w:t>
      </w:r>
      <w:r>
        <w:rPr>
          <w:rFonts w:ascii="黑体" w:hAnsi="黑体" w:cs="黑体" w:eastAsia="黑体" w:hint="default"/>
          <w:spacing w:val="-5"/>
          <w:sz w:val="20"/>
          <w:szCs w:val="20"/>
        </w:rPr>
        <w:t>年</w:t>
      </w:r>
      <w:r>
        <w:rPr>
          <w:rFonts w:ascii="Arial" w:hAnsi="Arial" w:cs="Arial" w:eastAsia="Arial" w:hint="default"/>
          <w:spacing w:val="-5"/>
          <w:sz w:val="20"/>
          <w:szCs w:val="20"/>
        </w:rPr>
        <w:t>6</w:t>
      </w:r>
      <w:r>
        <w:rPr>
          <w:rFonts w:ascii="黑体" w:hAnsi="黑体" w:cs="黑体" w:eastAsia="黑体" w:hint="default"/>
          <w:spacing w:val="-5"/>
          <w:sz w:val="20"/>
          <w:szCs w:val="20"/>
        </w:rPr>
        <w:t>月</w:t>
      </w:r>
      <w:r>
        <w:rPr>
          <w:rFonts w:ascii="Arial" w:hAnsi="Arial" w:cs="Arial" w:eastAsia="Arial" w:hint="default"/>
          <w:spacing w:val="-5"/>
          <w:sz w:val="20"/>
          <w:szCs w:val="20"/>
        </w:rPr>
        <w:t>8</w:t>
      </w:r>
      <w:r>
        <w:rPr>
          <w:rFonts w:ascii="黑体" w:hAnsi="黑体" w:cs="黑体" w:eastAsia="黑体" w:hint="default"/>
          <w:spacing w:val="-5"/>
          <w:sz w:val="20"/>
          <w:szCs w:val="20"/>
        </w:rPr>
        <w:t>日，公司</w:t>
      </w:r>
      <w:r>
        <w:rPr>
          <w:rFonts w:ascii="Arial" w:hAnsi="Arial" w:cs="Arial" w:eastAsia="Arial" w:hint="default"/>
          <w:spacing w:val="-5"/>
          <w:sz w:val="20"/>
          <w:szCs w:val="20"/>
        </w:rPr>
        <w:t>2017</w:t>
      </w:r>
      <w:r>
        <w:rPr>
          <w:rFonts w:ascii="Arial" w:hAnsi="Arial" w:cs="Arial" w:eastAsia="Arial" w:hint="default"/>
          <w:spacing w:val="-1"/>
          <w:w w:val="99"/>
          <w:sz w:val="20"/>
          <w:szCs w:val="20"/>
        </w:rPr>
        <w:t> </w:t>
      </w:r>
      <w:r>
        <w:rPr>
          <w:rFonts w:ascii="黑体" w:hAnsi="黑体" w:cs="黑体" w:eastAsia="黑体" w:hint="default"/>
          <w:spacing w:val="2"/>
          <w:w w:val="95"/>
          <w:sz w:val="20"/>
          <w:szCs w:val="20"/>
        </w:rPr>
        <w:t>年第二次临时股东大会审议并通过了《用友网络科技股份有限公司</w:t>
      </w:r>
      <w:r>
        <w:rPr>
          <w:rFonts w:ascii="Arial" w:hAnsi="Arial" w:cs="Arial" w:eastAsia="Arial" w:hint="default"/>
          <w:spacing w:val="2"/>
          <w:w w:val="95"/>
          <w:sz w:val="20"/>
          <w:szCs w:val="20"/>
        </w:rPr>
        <w:t>2017</w:t>
      </w:r>
      <w:r>
        <w:rPr>
          <w:rFonts w:ascii="黑体" w:hAnsi="黑体" w:cs="黑体" w:eastAsia="黑体" w:hint="default"/>
          <w:spacing w:val="2"/>
          <w:w w:val="95"/>
          <w:sz w:val="20"/>
          <w:szCs w:val="20"/>
        </w:rPr>
        <w:t>年股票期权与限制性股</w:t>
      </w:r>
      <w:r>
        <w:rPr>
          <w:rFonts w:ascii="黑体" w:hAnsi="黑体" w:cs="黑体" w:eastAsia="黑体" w:hint="default"/>
          <w:spacing w:val="95"/>
          <w:w w:val="95"/>
          <w:sz w:val="20"/>
          <w:szCs w:val="20"/>
        </w:rPr>
        <w:t> </w:t>
      </w:r>
      <w:r>
        <w:rPr>
          <w:rFonts w:ascii="黑体" w:hAnsi="黑体" w:cs="黑体" w:eastAsia="黑体" w:hint="default"/>
          <w:spacing w:val="95"/>
          <w:w w:val="95"/>
          <w:sz w:val="20"/>
          <w:szCs w:val="20"/>
        </w:rPr>
      </w:r>
      <w:r>
        <w:rPr>
          <w:rFonts w:ascii="黑体" w:hAnsi="黑体" w:cs="黑体" w:eastAsia="黑体" w:hint="default"/>
          <w:spacing w:val="3"/>
          <w:sz w:val="20"/>
          <w:szCs w:val="20"/>
        </w:rPr>
        <w:t>票激励计划（草案）及其摘要》，决定向激励对象授予股票期权与限制性股票</w:t>
      </w:r>
      <w:r>
        <w:rPr>
          <w:rFonts w:ascii="Arial" w:hAnsi="Arial" w:cs="Arial" w:eastAsia="Arial" w:hint="default"/>
          <w:spacing w:val="3"/>
          <w:sz w:val="20"/>
          <w:szCs w:val="20"/>
        </w:rPr>
        <w:t>(</w:t>
      </w:r>
      <w:r>
        <w:rPr>
          <w:rFonts w:ascii="黑体" w:hAnsi="黑体" w:cs="黑体" w:eastAsia="黑体" w:hint="default"/>
          <w:spacing w:val="3"/>
          <w:sz w:val="20"/>
          <w:szCs w:val="20"/>
        </w:rPr>
        <w:t>以下简称</w:t>
      </w:r>
      <w:r>
        <w:rPr>
          <w:rFonts w:ascii="Arial" w:hAnsi="Arial" w:cs="Arial" w:eastAsia="Arial" w:hint="default"/>
          <w:spacing w:val="3"/>
          <w:sz w:val="20"/>
          <w:szCs w:val="20"/>
        </w:rPr>
        <w:t>“2017</w:t>
      </w:r>
      <w:r>
        <w:rPr>
          <w:rFonts w:ascii="Arial" w:hAnsi="Arial" w:cs="Arial" w:eastAsia="Arial" w:hint="default"/>
          <w:w w:val="99"/>
          <w:sz w:val="20"/>
          <w:szCs w:val="20"/>
        </w:rPr>
        <w:t> </w:t>
      </w:r>
      <w:r>
        <w:rPr>
          <w:rFonts w:ascii="黑体" w:hAnsi="黑体" w:cs="黑体" w:eastAsia="黑体" w:hint="default"/>
          <w:sz w:val="20"/>
          <w:szCs w:val="20"/>
        </w:rPr>
        <w:t>年授予计划</w:t>
      </w:r>
      <w:r>
        <w:rPr>
          <w:rFonts w:ascii="Arial" w:hAnsi="Arial" w:cs="Arial" w:eastAsia="Arial" w:hint="default"/>
          <w:sz w:val="20"/>
          <w:szCs w:val="20"/>
        </w:rPr>
        <w:t>”)</w:t>
      </w:r>
      <w:r>
        <w:rPr>
          <w:rFonts w:ascii="黑体" w:hAnsi="黑体" w:cs="黑体" w:eastAsia="黑体" w:hint="default"/>
          <w:sz w:val="20"/>
          <w:szCs w:val="20"/>
        </w:rPr>
        <w:t>。本公司</w:t>
      </w:r>
      <w:r>
        <w:rPr>
          <w:rFonts w:ascii="Arial" w:hAnsi="Arial" w:cs="Arial" w:eastAsia="Arial" w:hint="default"/>
          <w:sz w:val="20"/>
          <w:szCs w:val="20"/>
        </w:rPr>
        <w:t>2017</w:t>
      </w:r>
      <w:r>
        <w:rPr>
          <w:rFonts w:ascii="黑体" w:hAnsi="黑体" w:cs="黑体" w:eastAsia="黑体" w:hint="default"/>
          <w:sz w:val="20"/>
          <w:szCs w:val="20"/>
        </w:rPr>
        <w:t>年授予计划的授予日为</w:t>
      </w:r>
      <w:r>
        <w:rPr>
          <w:rFonts w:ascii="Arial" w:hAnsi="Arial" w:cs="Arial" w:eastAsia="Arial" w:hint="default"/>
          <w:sz w:val="20"/>
          <w:szCs w:val="20"/>
        </w:rPr>
        <w:t>2017</w:t>
      </w:r>
      <w:r>
        <w:rPr>
          <w:rFonts w:ascii="黑体" w:hAnsi="黑体" w:cs="黑体" w:eastAsia="黑体" w:hint="default"/>
          <w:sz w:val="20"/>
          <w:szCs w:val="20"/>
        </w:rPr>
        <w:t>年</w:t>
      </w:r>
      <w:r>
        <w:rPr>
          <w:rFonts w:ascii="Arial" w:hAnsi="Arial" w:cs="Arial" w:eastAsia="Arial" w:hint="default"/>
          <w:sz w:val="20"/>
          <w:szCs w:val="20"/>
        </w:rPr>
        <w:t>6</w:t>
      </w:r>
      <w:r>
        <w:rPr>
          <w:rFonts w:ascii="黑体" w:hAnsi="黑体" w:cs="黑体" w:eastAsia="黑体" w:hint="default"/>
          <w:sz w:val="20"/>
          <w:szCs w:val="20"/>
        </w:rPr>
        <w:t>月</w:t>
      </w:r>
      <w:r>
        <w:rPr>
          <w:rFonts w:ascii="Arial" w:hAnsi="Arial" w:cs="Arial" w:eastAsia="Arial" w:hint="default"/>
          <w:sz w:val="20"/>
          <w:szCs w:val="20"/>
        </w:rPr>
        <w:t>26</w:t>
      </w:r>
      <w:r>
        <w:rPr>
          <w:rFonts w:ascii="黑体" w:hAnsi="黑体" w:cs="黑体" w:eastAsia="黑体" w:hint="default"/>
          <w:sz w:val="20"/>
          <w:szCs w:val="20"/>
        </w:rPr>
        <w:t>日。</w:t>
      </w:r>
    </w:p>
    <w:p>
      <w:pPr>
        <w:spacing w:line="240" w:lineRule="auto" w:before="8"/>
        <w:rPr>
          <w:rFonts w:ascii="黑体" w:hAnsi="黑体" w:cs="黑体" w:eastAsia="黑体" w:hint="default"/>
          <w:sz w:val="15"/>
          <w:szCs w:val="15"/>
        </w:rPr>
      </w:pPr>
    </w:p>
    <w:p>
      <w:pPr>
        <w:spacing w:before="0"/>
        <w:ind w:left="318" w:right="200" w:firstLine="0"/>
        <w:jc w:val="left"/>
        <w:rPr>
          <w:rFonts w:ascii="黑体" w:hAnsi="黑体" w:cs="黑体" w:eastAsia="黑体" w:hint="default"/>
          <w:sz w:val="20"/>
          <w:szCs w:val="20"/>
        </w:rPr>
      </w:pPr>
      <w:r>
        <w:rPr>
          <w:rFonts w:ascii="黑体" w:hAnsi="黑体" w:cs="黑体" w:eastAsia="黑体" w:hint="default"/>
          <w:sz w:val="20"/>
          <w:szCs w:val="20"/>
        </w:rPr>
        <w:t>（</w:t>
      </w:r>
      <w:r>
        <w:rPr>
          <w:rFonts w:ascii="Arial" w:hAnsi="Arial" w:cs="Arial" w:eastAsia="Arial" w:hint="default"/>
          <w:sz w:val="20"/>
          <w:szCs w:val="20"/>
        </w:rPr>
        <w:t>1</w:t>
      </w:r>
      <w:r>
        <w:rPr>
          <w:rFonts w:ascii="黑体" w:hAnsi="黑体" w:cs="黑体" w:eastAsia="黑体" w:hint="default"/>
          <w:sz w:val="20"/>
          <w:szCs w:val="20"/>
        </w:rPr>
        <w:t>）限制性股票激励计划</w:t>
      </w:r>
    </w:p>
    <w:p>
      <w:pPr>
        <w:spacing w:line="240" w:lineRule="auto" w:before="4"/>
        <w:rPr>
          <w:rFonts w:ascii="黑体" w:hAnsi="黑体" w:cs="黑体" w:eastAsia="黑体" w:hint="default"/>
          <w:sz w:val="18"/>
          <w:szCs w:val="18"/>
        </w:rPr>
      </w:pPr>
    </w:p>
    <w:p>
      <w:pPr>
        <w:spacing w:line="260" w:lineRule="exact" w:before="0"/>
        <w:ind w:left="318" w:right="0" w:firstLine="0"/>
        <w:jc w:val="left"/>
        <w:rPr>
          <w:rFonts w:ascii="黑体" w:hAnsi="黑体" w:cs="黑体" w:eastAsia="黑体" w:hint="default"/>
          <w:sz w:val="20"/>
          <w:szCs w:val="20"/>
        </w:rPr>
      </w:pPr>
      <w:r>
        <w:rPr>
          <w:rFonts w:ascii="黑体" w:hAnsi="黑体" w:cs="黑体" w:eastAsia="黑体" w:hint="default"/>
          <w:spacing w:val="-2"/>
          <w:sz w:val="20"/>
          <w:szCs w:val="20"/>
        </w:rPr>
        <w:t>本公司</w:t>
      </w:r>
      <w:r>
        <w:rPr>
          <w:rFonts w:ascii="Arial" w:hAnsi="Arial" w:cs="Arial" w:eastAsia="Arial" w:hint="default"/>
          <w:spacing w:val="-2"/>
          <w:sz w:val="20"/>
          <w:szCs w:val="20"/>
        </w:rPr>
        <w:t>2017</w:t>
      </w:r>
      <w:r>
        <w:rPr>
          <w:rFonts w:ascii="黑体" w:hAnsi="黑体" w:cs="黑体" w:eastAsia="黑体" w:hint="default"/>
          <w:spacing w:val="-2"/>
          <w:sz w:val="20"/>
          <w:szCs w:val="20"/>
        </w:rPr>
        <w:t>年发行了新限制性股票激励计划，向</w:t>
      </w:r>
      <w:r>
        <w:rPr>
          <w:rFonts w:ascii="Arial" w:hAnsi="Arial" w:cs="Arial" w:eastAsia="Arial" w:hint="default"/>
          <w:spacing w:val="-2"/>
          <w:sz w:val="20"/>
          <w:szCs w:val="20"/>
        </w:rPr>
        <w:t>1408</w:t>
      </w:r>
      <w:r>
        <w:rPr>
          <w:rFonts w:ascii="黑体" w:hAnsi="黑体" w:cs="黑体" w:eastAsia="黑体" w:hint="default"/>
          <w:spacing w:val="-2"/>
          <w:sz w:val="20"/>
          <w:szCs w:val="20"/>
        </w:rPr>
        <w:t>位激励对象授予限制性股票</w:t>
      </w:r>
      <w:r>
        <w:rPr>
          <w:rFonts w:ascii="Arial" w:hAnsi="Arial" w:cs="Arial" w:eastAsia="Arial" w:hint="default"/>
          <w:spacing w:val="-2"/>
          <w:sz w:val="20"/>
          <w:szCs w:val="20"/>
        </w:rPr>
        <w:t>19,056,540</w:t>
      </w:r>
      <w:r>
        <w:rPr>
          <w:rFonts w:ascii="黑体" w:hAnsi="黑体" w:cs="黑体" w:eastAsia="黑体" w:hint="default"/>
          <w:spacing w:val="-2"/>
          <w:sz w:val="20"/>
          <w:szCs w:val="20"/>
        </w:rPr>
        <w:t>股，</w:t>
      </w:r>
      <w:r>
        <w:rPr>
          <w:rFonts w:ascii="黑体" w:hAnsi="黑体" w:cs="黑体" w:eastAsia="黑体" w:hint="default"/>
          <w:spacing w:val="-89"/>
          <w:sz w:val="20"/>
          <w:szCs w:val="20"/>
        </w:rPr>
        <w:t> </w:t>
      </w:r>
      <w:r>
        <w:rPr>
          <w:rFonts w:ascii="黑体" w:hAnsi="黑体" w:cs="黑体" w:eastAsia="黑体" w:hint="default"/>
          <w:sz w:val="20"/>
          <w:szCs w:val="20"/>
        </w:rPr>
        <w:t>限制性股票的授予价格为</w:t>
      </w:r>
      <w:r>
        <w:rPr>
          <w:rFonts w:ascii="Arial" w:hAnsi="Arial" w:cs="Arial" w:eastAsia="Arial" w:hint="default"/>
          <w:sz w:val="20"/>
          <w:szCs w:val="20"/>
        </w:rPr>
        <w:t>4.12</w:t>
      </w:r>
      <w:r>
        <w:rPr>
          <w:rFonts w:ascii="黑体" w:hAnsi="黑体" w:cs="黑体" w:eastAsia="黑体" w:hint="default"/>
          <w:sz w:val="20"/>
          <w:szCs w:val="20"/>
        </w:rPr>
        <w:t>元，股票来源为公司从二级市场回购的本公司</w:t>
      </w:r>
      <w:r>
        <w:rPr>
          <w:rFonts w:ascii="Arial" w:hAnsi="Arial" w:cs="Arial" w:eastAsia="Arial" w:hint="default"/>
          <w:sz w:val="20"/>
          <w:szCs w:val="20"/>
        </w:rPr>
        <w:t>A</w:t>
      </w:r>
      <w:r>
        <w:rPr>
          <w:rFonts w:ascii="黑体" w:hAnsi="黑体" w:cs="黑体" w:eastAsia="黑体" w:hint="default"/>
          <w:sz w:val="20"/>
          <w:szCs w:val="20"/>
        </w:rPr>
        <w:t>股普通股。获授的</w:t>
      </w:r>
      <w:r>
        <w:rPr>
          <w:rFonts w:ascii="黑体" w:hAnsi="黑体" w:cs="黑体" w:eastAsia="黑体" w:hint="default"/>
          <w:w w:val="99"/>
          <w:sz w:val="20"/>
          <w:szCs w:val="20"/>
        </w:rPr>
        <w:t> </w:t>
      </w:r>
      <w:r>
        <w:rPr>
          <w:rFonts w:ascii="黑体" w:hAnsi="黑体" w:cs="黑体" w:eastAsia="黑体" w:hint="default"/>
          <w:sz w:val="20"/>
          <w:szCs w:val="20"/>
        </w:rPr>
        <w:t>限制性股票应在授予日起满</w:t>
      </w:r>
      <w:r>
        <w:rPr>
          <w:rFonts w:ascii="Arial" w:hAnsi="Arial" w:cs="Arial" w:eastAsia="Arial" w:hint="default"/>
          <w:sz w:val="20"/>
          <w:szCs w:val="20"/>
        </w:rPr>
        <w:t>12</w:t>
      </w:r>
      <w:r>
        <w:rPr>
          <w:rFonts w:ascii="黑体" w:hAnsi="黑体" w:cs="黑体" w:eastAsia="黑体" w:hint="default"/>
          <w:sz w:val="20"/>
          <w:szCs w:val="20"/>
        </w:rPr>
        <w:t>个月后的未来</w:t>
      </w:r>
      <w:r>
        <w:rPr>
          <w:rFonts w:ascii="Arial" w:hAnsi="Arial" w:cs="Arial" w:eastAsia="Arial" w:hint="default"/>
          <w:sz w:val="20"/>
          <w:szCs w:val="20"/>
        </w:rPr>
        <w:t>36</w:t>
      </w:r>
      <w:r>
        <w:rPr>
          <w:rFonts w:ascii="黑体" w:hAnsi="黑体" w:cs="黑体" w:eastAsia="黑体" w:hint="default"/>
          <w:sz w:val="20"/>
          <w:szCs w:val="20"/>
        </w:rPr>
        <w:t>个月内分三期解锁。具体安排如下：</w:t>
      </w:r>
    </w:p>
    <w:p>
      <w:pPr>
        <w:spacing w:line="240" w:lineRule="auto" w:before="9"/>
        <w:rPr>
          <w:rFonts w:ascii="黑体" w:hAnsi="黑体" w:cs="黑体" w:eastAsia="黑体"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2076"/>
        <w:gridCol w:w="5234"/>
        <w:gridCol w:w="1240"/>
      </w:tblGrid>
      <w:tr>
        <w:trPr>
          <w:trHeight w:val="25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199" w:lineRule="exact"/>
              <w:ind w:left="478" w:right="0"/>
              <w:jc w:val="left"/>
              <w:rPr>
                <w:rFonts w:ascii="黑体" w:hAnsi="黑体" w:cs="黑体" w:eastAsia="黑体" w:hint="default"/>
                <w:sz w:val="20"/>
                <w:szCs w:val="20"/>
              </w:rPr>
            </w:pPr>
            <w:r>
              <w:rPr>
                <w:rFonts w:ascii="黑体" w:hAnsi="黑体" w:cs="黑体" w:eastAsia="黑体" w:hint="default"/>
                <w:sz w:val="20"/>
                <w:szCs w:val="20"/>
              </w:rPr>
              <w:t>解除限售安排</w:t>
            </w:r>
          </w:p>
        </w:tc>
        <w:tc>
          <w:tcPr>
            <w:tcW w:w="5234" w:type="dxa"/>
            <w:tcBorders>
              <w:top w:val="nil" w:sz="6" w:space="0" w:color="auto"/>
              <w:left w:val="nil" w:sz="6" w:space="0" w:color="auto"/>
              <w:bottom w:val="nil" w:sz="6" w:space="0" w:color="auto"/>
              <w:right w:val="nil" w:sz="6" w:space="0" w:color="auto"/>
            </w:tcBorders>
          </w:tcPr>
          <w:p>
            <w:pPr>
              <w:pStyle w:val="TableParagraph"/>
              <w:spacing w:line="199" w:lineRule="exact"/>
              <w:ind w:right="138"/>
              <w:jc w:val="center"/>
              <w:rPr>
                <w:rFonts w:ascii="黑体" w:hAnsi="黑体" w:cs="黑体" w:eastAsia="黑体" w:hint="default"/>
                <w:sz w:val="20"/>
                <w:szCs w:val="20"/>
              </w:rPr>
            </w:pPr>
            <w:r>
              <w:rPr>
                <w:rFonts w:ascii="黑体" w:hAnsi="黑体" w:cs="黑体" w:eastAsia="黑体" w:hint="default"/>
                <w:sz w:val="20"/>
                <w:szCs w:val="20"/>
              </w:rPr>
              <w:t>解锁时间</w:t>
            </w:r>
          </w:p>
        </w:tc>
        <w:tc>
          <w:tcPr>
            <w:tcW w:w="1240" w:type="dxa"/>
            <w:tcBorders>
              <w:top w:val="nil" w:sz="6" w:space="0" w:color="auto"/>
              <w:left w:val="nil" w:sz="6" w:space="0" w:color="auto"/>
              <w:bottom w:val="nil" w:sz="6" w:space="0" w:color="auto"/>
              <w:right w:val="nil" w:sz="6" w:space="0" w:color="auto"/>
            </w:tcBorders>
          </w:tcPr>
          <w:p>
            <w:pPr>
              <w:pStyle w:val="TableParagraph"/>
              <w:spacing w:line="199" w:lineRule="exact"/>
              <w:ind w:left="240" w:right="0"/>
              <w:jc w:val="left"/>
              <w:rPr>
                <w:rFonts w:ascii="黑体" w:hAnsi="黑体" w:cs="黑体" w:eastAsia="黑体" w:hint="default"/>
                <w:sz w:val="20"/>
                <w:szCs w:val="20"/>
              </w:rPr>
            </w:pPr>
            <w:r>
              <w:rPr>
                <w:rFonts w:ascii="黑体" w:hAnsi="黑体" w:cs="黑体" w:eastAsia="黑体" w:hint="default"/>
                <w:sz w:val="20"/>
                <w:szCs w:val="20"/>
              </w:rPr>
              <w:t>解锁比例</w:t>
            </w:r>
          </w:p>
        </w:tc>
      </w:tr>
      <w:tr>
        <w:trPr>
          <w:trHeight w:val="612"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76" w:lineRule="auto"/>
              <w:ind w:left="200" w:right="106"/>
              <w:jc w:val="left"/>
              <w:rPr>
                <w:rFonts w:ascii="黑体" w:hAnsi="黑体" w:cs="黑体" w:eastAsia="黑体" w:hint="default"/>
                <w:sz w:val="20"/>
                <w:szCs w:val="20"/>
              </w:rPr>
            </w:pPr>
            <w:r>
              <w:rPr>
                <w:rFonts w:ascii="黑体" w:hAnsi="黑体" w:cs="黑体" w:eastAsia="黑体" w:hint="default"/>
                <w:sz w:val="20"/>
                <w:szCs w:val="20"/>
              </w:rPr>
              <w:t>限</w:t>
            </w:r>
            <w:r>
              <w:rPr>
                <w:rFonts w:ascii="黑体" w:hAnsi="黑体" w:cs="黑体" w:eastAsia="黑体" w:hint="default"/>
                <w:spacing w:val="-76"/>
                <w:sz w:val="20"/>
                <w:szCs w:val="20"/>
              </w:rPr>
              <w:t> </w:t>
            </w:r>
            <w:r>
              <w:rPr>
                <w:rFonts w:ascii="黑体" w:hAnsi="黑体" w:cs="黑体" w:eastAsia="黑体" w:hint="default"/>
                <w:spacing w:val="11"/>
                <w:sz w:val="20"/>
                <w:szCs w:val="20"/>
              </w:rPr>
              <w:t>制性</w:t>
            </w:r>
            <w:r>
              <w:rPr>
                <w:rFonts w:ascii="黑体" w:hAnsi="黑体" w:cs="黑体" w:eastAsia="黑体" w:hint="default"/>
                <w:spacing w:val="-76"/>
                <w:sz w:val="20"/>
                <w:szCs w:val="20"/>
              </w:rPr>
              <w:t> </w:t>
            </w:r>
            <w:r>
              <w:rPr>
                <w:rFonts w:ascii="黑体" w:hAnsi="黑体" w:cs="黑体" w:eastAsia="黑体" w:hint="default"/>
                <w:spacing w:val="15"/>
                <w:sz w:val="20"/>
                <w:szCs w:val="20"/>
              </w:rPr>
              <w:t>股票第</w:t>
            </w:r>
            <w:r>
              <w:rPr>
                <w:rFonts w:ascii="黑体" w:hAnsi="黑体" w:cs="黑体" w:eastAsia="黑体" w:hint="default"/>
                <w:spacing w:val="-76"/>
                <w:sz w:val="20"/>
                <w:szCs w:val="20"/>
              </w:rPr>
              <w:t> </w:t>
            </w:r>
            <w:r>
              <w:rPr>
                <w:rFonts w:ascii="黑体" w:hAnsi="黑体" w:cs="黑体" w:eastAsia="黑体" w:hint="default"/>
                <w:spacing w:val="11"/>
                <w:sz w:val="20"/>
                <w:szCs w:val="20"/>
              </w:rPr>
              <w:t>一个</w:t>
            </w:r>
            <w:r>
              <w:rPr>
                <w:rFonts w:ascii="黑体" w:hAnsi="黑体" w:cs="黑体" w:eastAsia="黑体" w:hint="default"/>
                <w:w w:val="99"/>
                <w:sz w:val="20"/>
                <w:szCs w:val="20"/>
              </w:rPr>
              <w:t> </w:t>
            </w:r>
            <w:r>
              <w:rPr>
                <w:rFonts w:ascii="黑体" w:hAnsi="黑体" w:cs="黑体" w:eastAsia="黑体" w:hint="default"/>
                <w:sz w:val="20"/>
                <w:szCs w:val="20"/>
              </w:rPr>
              <w:t>解除限售期</w:t>
            </w:r>
          </w:p>
        </w:tc>
        <w:tc>
          <w:tcPr>
            <w:tcW w:w="5234" w:type="dxa"/>
            <w:tcBorders>
              <w:top w:val="nil" w:sz="6" w:space="0" w:color="auto"/>
              <w:left w:val="nil" w:sz="6" w:space="0" w:color="auto"/>
              <w:bottom w:val="nil" w:sz="6" w:space="0" w:color="auto"/>
              <w:right w:val="nil" w:sz="6" w:space="0" w:color="auto"/>
            </w:tcBorders>
          </w:tcPr>
          <w:p>
            <w:pPr>
              <w:pStyle w:val="TableParagraph"/>
              <w:spacing w:line="261" w:lineRule="auto"/>
              <w:ind w:left="108" w:right="238"/>
              <w:jc w:val="left"/>
              <w:rPr>
                <w:rFonts w:ascii="黑体" w:hAnsi="黑体" w:cs="黑体" w:eastAsia="黑体" w:hint="default"/>
                <w:sz w:val="20"/>
                <w:szCs w:val="20"/>
              </w:rPr>
            </w:pPr>
            <w:r>
              <w:rPr>
                <w:rFonts w:ascii="黑体" w:hAnsi="黑体" w:cs="黑体" w:eastAsia="黑体" w:hint="default"/>
                <w:spacing w:val="2"/>
                <w:sz w:val="20"/>
                <w:szCs w:val="20"/>
              </w:rPr>
              <w:t>自授予登记完成之日起</w:t>
            </w:r>
            <w:r>
              <w:rPr>
                <w:rFonts w:ascii="Arial" w:hAnsi="Arial" w:cs="Arial" w:eastAsia="Arial" w:hint="default"/>
                <w:spacing w:val="2"/>
                <w:sz w:val="20"/>
                <w:szCs w:val="20"/>
              </w:rPr>
              <w:t>12</w:t>
            </w:r>
            <w:r>
              <w:rPr>
                <w:rFonts w:ascii="黑体" w:hAnsi="黑体" w:cs="黑体" w:eastAsia="黑体" w:hint="default"/>
                <w:spacing w:val="2"/>
                <w:sz w:val="20"/>
                <w:szCs w:val="20"/>
              </w:rPr>
              <w:t>个月后的首个交易日，起至授</w:t>
            </w:r>
            <w:r>
              <w:rPr>
                <w:rFonts w:ascii="黑体" w:hAnsi="黑体" w:cs="黑体" w:eastAsia="黑体" w:hint="default"/>
                <w:spacing w:val="-98"/>
                <w:sz w:val="20"/>
                <w:szCs w:val="20"/>
              </w:rPr>
              <w:t> </w:t>
            </w:r>
            <w:r>
              <w:rPr>
                <w:rFonts w:ascii="黑体" w:hAnsi="黑体" w:cs="黑体" w:eastAsia="黑体" w:hint="default"/>
                <w:spacing w:val="-98"/>
                <w:sz w:val="20"/>
                <w:szCs w:val="20"/>
              </w:rPr>
            </w:r>
            <w:r>
              <w:rPr>
                <w:rFonts w:ascii="黑体" w:hAnsi="黑体" w:cs="黑体" w:eastAsia="黑体" w:hint="default"/>
                <w:sz w:val="20"/>
                <w:szCs w:val="20"/>
              </w:rPr>
              <w:t>予登记完成之日起</w:t>
            </w:r>
            <w:r>
              <w:rPr>
                <w:rFonts w:ascii="Arial" w:hAnsi="Arial" w:cs="Arial" w:eastAsia="Arial" w:hint="default"/>
                <w:sz w:val="20"/>
                <w:szCs w:val="20"/>
              </w:rPr>
              <w:t>24</w:t>
            </w:r>
            <w:r>
              <w:rPr>
                <w:rFonts w:ascii="黑体" w:hAnsi="黑体" w:cs="黑体" w:eastAsia="黑体" w:hint="default"/>
                <w:sz w:val="20"/>
                <w:szCs w:val="20"/>
              </w:rPr>
              <w:t>个月内的最后一个交易日当日止</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07" w:right="0"/>
              <w:jc w:val="left"/>
              <w:rPr>
                <w:rFonts w:ascii="Arial" w:hAnsi="Arial" w:cs="Arial" w:eastAsia="Arial" w:hint="default"/>
                <w:sz w:val="20"/>
                <w:szCs w:val="20"/>
              </w:rPr>
            </w:pPr>
            <w:r>
              <w:rPr>
                <w:rFonts w:ascii="Arial"/>
                <w:sz w:val="20"/>
              </w:rPr>
              <w:t>40%</w:t>
            </w:r>
          </w:p>
        </w:tc>
      </w:tr>
      <w:tr>
        <w:trPr>
          <w:trHeight w:val="600"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黑体" w:hAnsi="黑体" w:cs="黑体" w:eastAsia="黑体" w:hint="default"/>
                <w:sz w:val="20"/>
                <w:szCs w:val="20"/>
              </w:rPr>
            </w:pPr>
            <w:r>
              <w:rPr>
                <w:rFonts w:ascii="黑体" w:hAnsi="黑体" w:cs="黑体" w:eastAsia="黑体" w:hint="default"/>
                <w:sz w:val="20"/>
                <w:szCs w:val="20"/>
              </w:rPr>
              <w:t>限</w:t>
            </w:r>
            <w:r>
              <w:rPr>
                <w:rFonts w:ascii="黑体" w:hAnsi="黑体" w:cs="黑体" w:eastAsia="黑体" w:hint="default"/>
                <w:spacing w:val="-76"/>
                <w:sz w:val="20"/>
                <w:szCs w:val="20"/>
              </w:rPr>
              <w:t> </w:t>
            </w:r>
            <w:r>
              <w:rPr>
                <w:rFonts w:ascii="黑体" w:hAnsi="黑体" w:cs="黑体" w:eastAsia="黑体" w:hint="default"/>
                <w:spacing w:val="11"/>
                <w:sz w:val="20"/>
                <w:szCs w:val="20"/>
              </w:rPr>
              <w:t>制性</w:t>
            </w:r>
            <w:r>
              <w:rPr>
                <w:rFonts w:ascii="黑体" w:hAnsi="黑体" w:cs="黑体" w:eastAsia="黑体" w:hint="default"/>
                <w:spacing w:val="-76"/>
                <w:sz w:val="20"/>
                <w:szCs w:val="20"/>
              </w:rPr>
              <w:t> </w:t>
            </w:r>
            <w:r>
              <w:rPr>
                <w:rFonts w:ascii="黑体" w:hAnsi="黑体" w:cs="黑体" w:eastAsia="黑体" w:hint="default"/>
                <w:spacing w:val="15"/>
                <w:sz w:val="20"/>
                <w:szCs w:val="20"/>
              </w:rPr>
              <w:t>股票第</w:t>
            </w:r>
            <w:r>
              <w:rPr>
                <w:rFonts w:ascii="黑体" w:hAnsi="黑体" w:cs="黑体" w:eastAsia="黑体" w:hint="default"/>
                <w:spacing w:val="-76"/>
                <w:sz w:val="20"/>
                <w:szCs w:val="20"/>
              </w:rPr>
              <w:t> </w:t>
            </w:r>
            <w:r>
              <w:rPr>
                <w:rFonts w:ascii="黑体" w:hAnsi="黑体" w:cs="黑体" w:eastAsia="黑体" w:hint="default"/>
                <w:spacing w:val="11"/>
                <w:sz w:val="20"/>
                <w:szCs w:val="20"/>
              </w:rPr>
              <w:t>二个</w:t>
            </w:r>
          </w:p>
          <w:p>
            <w:pPr>
              <w:pStyle w:val="TableParagraph"/>
              <w:spacing w:line="240" w:lineRule="auto" w:before="38"/>
              <w:ind w:left="200" w:right="0"/>
              <w:jc w:val="left"/>
              <w:rPr>
                <w:rFonts w:ascii="黑体" w:hAnsi="黑体" w:cs="黑体" w:eastAsia="黑体" w:hint="default"/>
                <w:sz w:val="20"/>
                <w:szCs w:val="20"/>
              </w:rPr>
            </w:pPr>
            <w:r>
              <w:rPr>
                <w:rFonts w:ascii="黑体" w:hAnsi="黑体" w:cs="黑体" w:eastAsia="黑体" w:hint="default"/>
                <w:sz w:val="20"/>
                <w:szCs w:val="20"/>
              </w:rPr>
              <w:t>解除限售期</w:t>
            </w:r>
          </w:p>
        </w:tc>
        <w:tc>
          <w:tcPr>
            <w:tcW w:w="5234" w:type="dxa"/>
            <w:tcBorders>
              <w:top w:val="nil" w:sz="6" w:space="0" w:color="auto"/>
              <w:left w:val="nil" w:sz="6" w:space="0" w:color="auto"/>
              <w:bottom w:val="nil" w:sz="6" w:space="0" w:color="auto"/>
              <w:right w:val="nil" w:sz="6" w:space="0" w:color="auto"/>
            </w:tcBorders>
          </w:tcPr>
          <w:p>
            <w:pPr>
              <w:pStyle w:val="TableParagraph"/>
              <w:spacing w:line="259" w:lineRule="exact"/>
              <w:ind w:left="108" w:right="0"/>
              <w:jc w:val="left"/>
              <w:rPr>
                <w:rFonts w:ascii="黑体" w:hAnsi="黑体" w:cs="黑体" w:eastAsia="黑体" w:hint="default"/>
                <w:sz w:val="20"/>
                <w:szCs w:val="20"/>
              </w:rPr>
            </w:pPr>
            <w:r>
              <w:rPr>
                <w:rFonts w:ascii="黑体" w:hAnsi="黑体" w:cs="黑体" w:eastAsia="黑体" w:hint="default"/>
                <w:spacing w:val="2"/>
                <w:sz w:val="20"/>
                <w:szCs w:val="20"/>
              </w:rPr>
              <w:t>自授予登记完成之日起</w:t>
            </w:r>
            <w:r>
              <w:rPr>
                <w:rFonts w:ascii="Arial" w:hAnsi="Arial" w:cs="Arial" w:eastAsia="Arial" w:hint="default"/>
                <w:spacing w:val="2"/>
                <w:sz w:val="20"/>
                <w:szCs w:val="20"/>
              </w:rPr>
              <w:t>24</w:t>
            </w:r>
            <w:r>
              <w:rPr>
                <w:rFonts w:ascii="黑体" w:hAnsi="黑体" w:cs="黑体" w:eastAsia="黑体" w:hint="default"/>
                <w:spacing w:val="2"/>
                <w:sz w:val="20"/>
                <w:szCs w:val="20"/>
              </w:rPr>
              <w:t>个月后的首个交易日，起至授</w:t>
            </w:r>
          </w:p>
          <w:p>
            <w:pPr>
              <w:pStyle w:val="TableParagraph"/>
              <w:spacing w:line="240" w:lineRule="auto" w:before="24"/>
              <w:ind w:left="108"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36</w:t>
            </w:r>
            <w:r>
              <w:rPr>
                <w:rFonts w:ascii="黑体" w:hAnsi="黑体" w:cs="黑体" w:eastAsia="黑体" w:hint="default"/>
                <w:sz w:val="20"/>
                <w:szCs w:val="20"/>
              </w:rPr>
              <w:t>个月内的最后一个交易日当日止</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07" w:right="0"/>
              <w:jc w:val="left"/>
              <w:rPr>
                <w:rFonts w:ascii="Arial" w:hAnsi="Arial" w:cs="Arial" w:eastAsia="Arial" w:hint="default"/>
                <w:sz w:val="20"/>
                <w:szCs w:val="20"/>
              </w:rPr>
            </w:pPr>
            <w:r>
              <w:rPr>
                <w:rFonts w:ascii="Arial"/>
                <w:sz w:val="20"/>
              </w:rPr>
              <w:t>30%</w:t>
            </w:r>
          </w:p>
        </w:tc>
      </w:tr>
      <w:tr>
        <w:trPr>
          <w:trHeight w:val="554"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黑体" w:hAnsi="黑体" w:cs="黑体" w:eastAsia="黑体" w:hint="default"/>
                <w:sz w:val="20"/>
                <w:szCs w:val="20"/>
              </w:rPr>
            </w:pPr>
            <w:r>
              <w:rPr>
                <w:rFonts w:ascii="黑体" w:hAnsi="黑体" w:cs="黑体" w:eastAsia="黑体" w:hint="default"/>
                <w:sz w:val="20"/>
                <w:szCs w:val="20"/>
              </w:rPr>
              <w:t>限</w:t>
            </w:r>
            <w:r>
              <w:rPr>
                <w:rFonts w:ascii="黑体" w:hAnsi="黑体" w:cs="黑体" w:eastAsia="黑体" w:hint="default"/>
                <w:spacing w:val="-76"/>
                <w:sz w:val="20"/>
                <w:szCs w:val="20"/>
              </w:rPr>
              <w:t> </w:t>
            </w:r>
            <w:r>
              <w:rPr>
                <w:rFonts w:ascii="黑体" w:hAnsi="黑体" w:cs="黑体" w:eastAsia="黑体" w:hint="default"/>
                <w:spacing w:val="11"/>
                <w:sz w:val="20"/>
                <w:szCs w:val="20"/>
              </w:rPr>
              <w:t>制性</w:t>
            </w:r>
            <w:r>
              <w:rPr>
                <w:rFonts w:ascii="黑体" w:hAnsi="黑体" w:cs="黑体" w:eastAsia="黑体" w:hint="default"/>
                <w:spacing w:val="-76"/>
                <w:sz w:val="20"/>
                <w:szCs w:val="20"/>
              </w:rPr>
              <w:t> </w:t>
            </w:r>
            <w:r>
              <w:rPr>
                <w:rFonts w:ascii="黑体" w:hAnsi="黑体" w:cs="黑体" w:eastAsia="黑体" w:hint="default"/>
                <w:spacing w:val="15"/>
                <w:sz w:val="20"/>
                <w:szCs w:val="20"/>
              </w:rPr>
              <w:t>股票第</w:t>
            </w:r>
            <w:r>
              <w:rPr>
                <w:rFonts w:ascii="黑体" w:hAnsi="黑体" w:cs="黑体" w:eastAsia="黑体" w:hint="default"/>
                <w:spacing w:val="-76"/>
                <w:sz w:val="20"/>
                <w:szCs w:val="20"/>
              </w:rPr>
              <w:t> </w:t>
            </w:r>
            <w:r>
              <w:rPr>
                <w:rFonts w:ascii="黑体" w:hAnsi="黑体" w:cs="黑体" w:eastAsia="黑体" w:hint="default"/>
                <w:spacing w:val="11"/>
                <w:sz w:val="20"/>
                <w:szCs w:val="20"/>
              </w:rPr>
              <w:t>三个</w:t>
            </w:r>
          </w:p>
          <w:p>
            <w:pPr>
              <w:pStyle w:val="TableParagraph"/>
              <w:spacing w:line="240" w:lineRule="auto" w:before="38"/>
              <w:ind w:left="200" w:right="0"/>
              <w:jc w:val="left"/>
              <w:rPr>
                <w:rFonts w:ascii="黑体" w:hAnsi="黑体" w:cs="黑体" w:eastAsia="黑体" w:hint="default"/>
                <w:sz w:val="20"/>
                <w:szCs w:val="20"/>
              </w:rPr>
            </w:pPr>
            <w:r>
              <w:rPr>
                <w:rFonts w:ascii="黑体" w:hAnsi="黑体" w:cs="黑体" w:eastAsia="黑体" w:hint="default"/>
                <w:sz w:val="20"/>
                <w:szCs w:val="20"/>
              </w:rPr>
              <w:t>解除限售期</w:t>
            </w:r>
          </w:p>
        </w:tc>
        <w:tc>
          <w:tcPr>
            <w:tcW w:w="5234" w:type="dxa"/>
            <w:tcBorders>
              <w:top w:val="nil" w:sz="6" w:space="0" w:color="auto"/>
              <w:left w:val="nil" w:sz="6" w:space="0" w:color="auto"/>
              <w:bottom w:val="nil" w:sz="6" w:space="0" w:color="auto"/>
              <w:right w:val="nil" w:sz="6" w:space="0" w:color="auto"/>
            </w:tcBorders>
          </w:tcPr>
          <w:p>
            <w:pPr>
              <w:pStyle w:val="TableParagraph"/>
              <w:spacing w:line="259" w:lineRule="exact"/>
              <w:ind w:left="108" w:right="0"/>
              <w:jc w:val="left"/>
              <w:rPr>
                <w:rFonts w:ascii="黑体" w:hAnsi="黑体" w:cs="黑体" w:eastAsia="黑体" w:hint="default"/>
                <w:sz w:val="20"/>
                <w:szCs w:val="20"/>
              </w:rPr>
            </w:pPr>
            <w:r>
              <w:rPr>
                <w:rFonts w:ascii="黑体" w:hAnsi="黑体" w:cs="黑体" w:eastAsia="黑体" w:hint="default"/>
                <w:spacing w:val="2"/>
                <w:sz w:val="20"/>
                <w:szCs w:val="20"/>
              </w:rPr>
              <w:t>自授予登记完成之日起</w:t>
            </w:r>
            <w:r>
              <w:rPr>
                <w:rFonts w:ascii="Arial" w:hAnsi="Arial" w:cs="Arial" w:eastAsia="Arial" w:hint="default"/>
                <w:spacing w:val="2"/>
                <w:sz w:val="20"/>
                <w:szCs w:val="20"/>
              </w:rPr>
              <w:t>36</w:t>
            </w:r>
            <w:r>
              <w:rPr>
                <w:rFonts w:ascii="黑体" w:hAnsi="黑体" w:cs="黑体" w:eastAsia="黑体" w:hint="default"/>
                <w:spacing w:val="2"/>
                <w:sz w:val="20"/>
                <w:szCs w:val="20"/>
              </w:rPr>
              <w:t>个月后的首个交易日，起至授</w:t>
            </w:r>
          </w:p>
          <w:p>
            <w:pPr>
              <w:pStyle w:val="TableParagraph"/>
              <w:spacing w:line="240" w:lineRule="auto" w:before="24"/>
              <w:ind w:left="108"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48</w:t>
            </w:r>
            <w:r>
              <w:rPr>
                <w:rFonts w:ascii="黑体" w:hAnsi="黑体" w:cs="黑体" w:eastAsia="黑体" w:hint="default"/>
                <w:sz w:val="20"/>
                <w:szCs w:val="20"/>
              </w:rPr>
              <w:t>个月内的最后一个交易日当日止</w:t>
            </w:r>
          </w:p>
        </w:tc>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07" w:right="0"/>
              <w:jc w:val="left"/>
              <w:rPr>
                <w:rFonts w:ascii="Arial" w:hAnsi="Arial" w:cs="Arial" w:eastAsia="Arial" w:hint="default"/>
                <w:sz w:val="20"/>
                <w:szCs w:val="20"/>
              </w:rPr>
            </w:pPr>
            <w:r>
              <w:rPr>
                <w:rFonts w:ascii="Arial"/>
                <w:sz w:val="20"/>
              </w:rPr>
              <w:t>30%</w:t>
            </w:r>
          </w:p>
        </w:tc>
      </w:tr>
    </w:tbl>
    <w:p>
      <w:pPr>
        <w:spacing w:after="0" w:line="240" w:lineRule="auto"/>
        <w:jc w:val="left"/>
        <w:rPr>
          <w:rFonts w:ascii="Arial" w:hAnsi="Arial" w:cs="Arial" w:eastAsia="Arial" w:hint="default"/>
          <w:sz w:val="20"/>
          <w:szCs w:val="20"/>
        </w:rPr>
        <w:sectPr>
          <w:pgSz w:w="11910" w:h="16850"/>
          <w:pgMar w:header="745" w:footer="921" w:top="980" w:bottom="1120" w:left="1480" w:right="1580"/>
        </w:sect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6"/>
          <w:szCs w:val="26"/>
        </w:rPr>
      </w:pPr>
    </w:p>
    <w:p>
      <w:pPr>
        <w:spacing w:before="37"/>
        <w:ind w:left="398" w:right="0" w:firstLine="0"/>
        <w:jc w:val="both"/>
        <w:rPr>
          <w:rFonts w:ascii="Arial" w:hAnsi="Arial" w:cs="Arial" w:eastAsia="Arial" w:hint="default"/>
          <w:sz w:val="20"/>
          <w:szCs w:val="20"/>
        </w:rPr>
      </w:pPr>
      <w:r>
        <w:rPr>
          <w:rFonts w:ascii="Arial" w:hAnsi="Arial" w:cs="Arial" w:eastAsia="Arial" w:hint="default"/>
          <w:sz w:val="20"/>
          <w:szCs w:val="20"/>
        </w:rPr>
        <w:t>2017</w:t>
      </w:r>
      <w:r>
        <w:rPr>
          <w:rFonts w:ascii="黑体" w:hAnsi="黑体" w:cs="黑体" w:eastAsia="黑体" w:hint="default"/>
          <w:sz w:val="20"/>
          <w:szCs w:val="20"/>
        </w:rPr>
        <w:t>年股份支付计划</w:t>
      </w:r>
      <w:r>
        <w:rPr>
          <w:rFonts w:ascii="Arial" w:hAnsi="Arial" w:cs="Arial" w:eastAsia="Arial" w:hint="default"/>
          <w:sz w:val="20"/>
          <w:szCs w:val="20"/>
        </w:rPr>
        <w:t>(</w:t>
      </w:r>
      <w:r>
        <w:rPr>
          <w:rFonts w:ascii="黑体" w:hAnsi="黑体" w:cs="黑体" w:eastAsia="黑体" w:hint="default"/>
          <w:sz w:val="20"/>
          <w:szCs w:val="20"/>
        </w:rPr>
        <w:t>续</w:t>
      </w:r>
      <w:r>
        <w:rPr>
          <w:rFonts w:ascii="Arial" w:hAnsi="Arial" w:cs="Arial" w:eastAsia="Arial" w:hint="default"/>
          <w:sz w:val="20"/>
          <w:szCs w:val="20"/>
        </w:rPr>
        <w:t>)</w:t>
      </w:r>
    </w:p>
    <w:p>
      <w:pPr>
        <w:spacing w:line="240" w:lineRule="auto" w:before="9"/>
        <w:rPr>
          <w:rFonts w:ascii="Arial" w:hAnsi="Arial" w:cs="Arial" w:eastAsia="Arial" w:hint="default"/>
          <w:sz w:val="20"/>
          <w:szCs w:val="20"/>
        </w:rPr>
      </w:pPr>
    </w:p>
    <w:p>
      <w:pPr>
        <w:spacing w:line="260" w:lineRule="exact" w:before="0"/>
        <w:ind w:left="412" w:right="418" w:firstLine="14"/>
        <w:jc w:val="both"/>
        <w:rPr>
          <w:rFonts w:ascii="黑体" w:hAnsi="黑体" w:cs="黑体" w:eastAsia="黑体" w:hint="default"/>
          <w:sz w:val="20"/>
          <w:szCs w:val="20"/>
        </w:rPr>
      </w:pPr>
      <w:r>
        <w:rPr>
          <w:rFonts w:ascii="黑体" w:hAnsi="黑体" w:cs="黑体" w:eastAsia="黑体" w:hint="default"/>
          <w:spacing w:val="2"/>
          <w:w w:val="95"/>
          <w:sz w:val="20"/>
          <w:szCs w:val="20"/>
        </w:rPr>
        <w:t>公司未满足业绩考核目标的，激励对象对应期间获授的限制性股票均不得解除限售，由公司回</w:t>
      </w:r>
      <w:r>
        <w:rPr>
          <w:rFonts w:ascii="黑体" w:hAnsi="黑体" w:cs="黑体" w:eastAsia="黑体" w:hint="default"/>
          <w:spacing w:val="91"/>
          <w:w w:val="95"/>
          <w:sz w:val="20"/>
          <w:szCs w:val="20"/>
        </w:rPr>
        <w:t> </w:t>
      </w:r>
      <w:r>
        <w:rPr>
          <w:rFonts w:ascii="黑体" w:hAnsi="黑体" w:cs="黑体" w:eastAsia="黑体" w:hint="default"/>
          <w:spacing w:val="91"/>
          <w:w w:val="95"/>
          <w:sz w:val="20"/>
          <w:szCs w:val="20"/>
        </w:rPr>
      </w:r>
      <w:r>
        <w:rPr>
          <w:rFonts w:ascii="黑体" w:hAnsi="黑体" w:cs="黑体" w:eastAsia="黑体" w:hint="default"/>
          <w:sz w:val="20"/>
          <w:szCs w:val="20"/>
        </w:rPr>
        <w:t>购注销，回购价格为授予价格。</w:t>
      </w:r>
    </w:p>
    <w:p>
      <w:pPr>
        <w:spacing w:line="240" w:lineRule="auto" w:before="8"/>
        <w:rPr>
          <w:rFonts w:ascii="黑体" w:hAnsi="黑体" w:cs="黑体" w:eastAsia="黑体" w:hint="default"/>
          <w:sz w:val="15"/>
          <w:szCs w:val="15"/>
        </w:rPr>
      </w:pPr>
    </w:p>
    <w:p>
      <w:pPr>
        <w:spacing w:before="0"/>
        <w:ind w:left="398" w:right="0" w:firstLine="0"/>
        <w:jc w:val="both"/>
        <w:rPr>
          <w:rFonts w:ascii="黑体" w:hAnsi="黑体" w:cs="黑体" w:eastAsia="黑体" w:hint="default"/>
          <w:sz w:val="20"/>
          <w:szCs w:val="20"/>
        </w:rPr>
      </w:pPr>
      <w:r>
        <w:rPr>
          <w:rFonts w:ascii="黑体" w:hAnsi="黑体" w:cs="黑体" w:eastAsia="黑体" w:hint="default"/>
          <w:sz w:val="20"/>
          <w:szCs w:val="20"/>
        </w:rPr>
        <w:t>（</w:t>
      </w:r>
      <w:r>
        <w:rPr>
          <w:rFonts w:ascii="Arial" w:hAnsi="Arial" w:cs="Arial" w:eastAsia="Arial" w:hint="default"/>
          <w:sz w:val="20"/>
          <w:szCs w:val="20"/>
        </w:rPr>
        <w:t>2</w:t>
      </w:r>
      <w:r>
        <w:rPr>
          <w:rFonts w:ascii="黑体" w:hAnsi="黑体" w:cs="黑体" w:eastAsia="黑体" w:hint="default"/>
          <w:sz w:val="20"/>
          <w:szCs w:val="20"/>
        </w:rPr>
        <w:t>）股票期权激励计划</w:t>
      </w:r>
    </w:p>
    <w:p>
      <w:pPr>
        <w:spacing w:line="240" w:lineRule="auto" w:before="4"/>
        <w:rPr>
          <w:rFonts w:ascii="黑体" w:hAnsi="黑体" w:cs="黑体" w:eastAsia="黑体" w:hint="default"/>
          <w:sz w:val="18"/>
          <w:szCs w:val="18"/>
        </w:rPr>
      </w:pPr>
    </w:p>
    <w:p>
      <w:pPr>
        <w:spacing w:line="260" w:lineRule="exact" w:before="0"/>
        <w:ind w:left="398" w:right="410" w:firstLine="0"/>
        <w:jc w:val="both"/>
        <w:rPr>
          <w:rFonts w:ascii="黑体" w:hAnsi="黑体" w:cs="黑体" w:eastAsia="黑体" w:hint="default"/>
          <w:sz w:val="20"/>
          <w:szCs w:val="20"/>
        </w:rPr>
      </w:pPr>
      <w:r>
        <w:rPr>
          <w:rFonts w:ascii="Arial" w:hAnsi="Arial" w:cs="Arial" w:eastAsia="Arial" w:hint="default"/>
          <w:sz w:val="20"/>
          <w:szCs w:val="20"/>
        </w:rPr>
        <w:t>2017</w:t>
      </w:r>
      <w:r>
        <w:rPr>
          <w:rFonts w:ascii="黑体" w:hAnsi="黑体" w:cs="黑体" w:eastAsia="黑体" w:hint="default"/>
          <w:sz w:val="20"/>
          <w:szCs w:val="20"/>
        </w:rPr>
        <w:t>年本公司发行了股票期权激励计划，向</w:t>
      </w:r>
      <w:r>
        <w:rPr>
          <w:rFonts w:ascii="Arial" w:hAnsi="Arial" w:cs="Arial" w:eastAsia="Arial" w:hint="default"/>
          <w:sz w:val="20"/>
          <w:szCs w:val="20"/>
        </w:rPr>
        <w:t>1428</w:t>
      </w:r>
      <w:r>
        <w:rPr>
          <w:rFonts w:ascii="黑体" w:hAnsi="黑体" w:cs="黑体" w:eastAsia="黑体" w:hint="default"/>
          <w:sz w:val="20"/>
          <w:szCs w:val="20"/>
        </w:rPr>
        <w:t>名激励对象授予</w:t>
      </w:r>
      <w:r>
        <w:rPr>
          <w:rFonts w:ascii="Arial" w:hAnsi="Arial" w:cs="Arial" w:eastAsia="Arial" w:hint="default"/>
          <w:sz w:val="20"/>
          <w:szCs w:val="20"/>
        </w:rPr>
        <w:t>38,465,610</w:t>
      </w:r>
      <w:r>
        <w:rPr>
          <w:rFonts w:ascii="黑体" w:hAnsi="黑体" w:cs="黑体" w:eastAsia="黑体" w:hint="default"/>
          <w:sz w:val="20"/>
          <w:szCs w:val="20"/>
        </w:rPr>
        <w:t>份股票期权，行权</w:t>
      </w:r>
      <w:r>
        <w:rPr>
          <w:rFonts w:ascii="黑体" w:hAnsi="黑体" w:cs="黑体" w:eastAsia="黑体" w:hint="default"/>
          <w:spacing w:val="-87"/>
          <w:sz w:val="20"/>
          <w:szCs w:val="20"/>
        </w:rPr>
        <w:t> </w:t>
      </w:r>
      <w:r>
        <w:rPr>
          <w:rFonts w:ascii="黑体" w:hAnsi="黑体" w:cs="黑体" w:eastAsia="黑体" w:hint="default"/>
          <w:spacing w:val="-87"/>
          <w:sz w:val="20"/>
          <w:szCs w:val="20"/>
        </w:rPr>
      </w:r>
      <w:r>
        <w:rPr>
          <w:rFonts w:ascii="黑体" w:hAnsi="黑体" w:cs="黑体" w:eastAsia="黑体" w:hint="default"/>
          <w:spacing w:val="2"/>
          <w:w w:val="95"/>
          <w:sz w:val="20"/>
          <w:szCs w:val="20"/>
        </w:rPr>
        <w:t>价格为</w:t>
      </w:r>
      <w:r>
        <w:rPr>
          <w:rFonts w:ascii="Arial" w:hAnsi="Arial" w:cs="Arial" w:eastAsia="Arial" w:hint="default"/>
          <w:spacing w:val="2"/>
          <w:w w:val="95"/>
          <w:sz w:val="20"/>
          <w:szCs w:val="20"/>
        </w:rPr>
        <w:t>12.10</w:t>
      </w:r>
      <w:r>
        <w:rPr>
          <w:rFonts w:ascii="黑体" w:hAnsi="黑体" w:cs="黑体" w:eastAsia="黑体" w:hint="default"/>
          <w:spacing w:val="2"/>
          <w:w w:val="95"/>
          <w:sz w:val="20"/>
          <w:szCs w:val="20"/>
        </w:rPr>
        <w:t>元</w:t>
      </w:r>
      <w:r>
        <w:rPr>
          <w:rFonts w:ascii="Arial" w:hAnsi="Arial" w:cs="Arial" w:eastAsia="Arial" w:hint="default"/>
          <w:spacing w:val="2"/>
          <w:w w:val="95"/>
          <w:sz w:val="20"/>
          <w:szCs w:val="20"/>
        </w:rPr>
        <w:t>/</w:t>
      </w:r>
      <w:r>
        <w:rPr>
          <w:rFonts w:ascii="黑体" w:hAnsi="黑体" w:cs="黑体" w:eastAsia="黑体" w:hint="default"/>
          <w:spacing w:val="2"/>
          <w:w w:val="95"/>
          <w:sz w:val="20"/>
          <w:szCs w:val="20"/>
        </w:rPr>
        <w:t>份</w:t>
      </w:r>
      <w:r>
        <w:rPr>
          <w:rFonts w:ascii="Arial" w:hAnsi="Arial" w:cs="Arial" w:eastAsia="Arial" w:hint="default"/>
          <w:spacing w:val="2"/>
          <w:w w:val="95"/>
          <w:sz w:val="20"/>
          <w:szCs w:val="20"/>
        </w:rPr>
        <w:t>(</w:t>
      </w:r>
      <w:r>
        <w:rPr>
          <w:rFonts w:ascii="黑体" w:hAnsi="黑体" w:cs="黑体" w:eastAsia="黑体" w:hint="default"/>
          <w:spacing w:val="2"/>
          <w:w w:val="95"/>
          <w:sz w:val="20"/>
          <w:szCs w:val="20"/>
        </w:rPr>
        <w:t>根据《公司关于调整股票期权数量与行权价格与限制性股票数量与授予价格</w:t>
      </w:r>
      <w:r>
        <w:rPr>
          <w:rFonts w:ascii="黑体" w:hAnsi="黑体" w:cs="黑体" w:eastAsia="黑体" w:hint="default"/>
          <w:spacing w:val="97"/>
          <w:w w:val="95"/>
          <w:sz w:val="20"/>
          <w:szCs w:val="20"/>
        </w:rPr>
        <w:t> </w:t>
      </w:r>
      <w:r>
        <w:rPr>
          <w:rFonts w:ascii="黑体" w:hAnsi="黑体" w:cs="黑体" w:eastAsia="黑体" w:hint="default"/>
          <w:spacing w:val="97"/>
          <w:w w:val="95"/>
          <w:sz w:val="20"/>
          <w:szCs w:val="20"/>
        </w:rPr>
      </w:r>
      <w:r>
        <w:rPr>
          <w:rFonts w:ascii="黑体" w:hAnsi="黑体" w:cs="黑体" w:eastAsia="黑体" w:hint="default"/>
          <w:sz w:val="20"/>
          <w:szCs w:val="20"/>
        </w:rPr>
        <w:t>的议案》对行权价格进行调整后</w:t>
      </w:r>
      <w:r>
        <w:rPr>
          <w:rFonts w:ascii="Arial" w:hAnsi="Arial" w:cs="Arial" w:eastAsia="Arial" w:hint="default"/>
          <w:sz w:val="20"/>
          <w:szCs w:val="20"/>
        </w:rPr>
        <w:t>)</w:t>
      </w:r>
      <w:r>
        <w:rPr>
          <w:rFonts w:ascii="黑体" w:hAnsi="黑体" w:cs="黑体" w:eastAsia="黑体" w:hint="default"/>
          <w:sz w:val="20"/>
          <w:szCs w:val="20"/>
        </w:rPr>
        <w:t>。股票期权的行权期及各期行权时间安排如下表所示：</w:t>
      </w:r>
    </w:p>
    <w:p>
      <w:pPr>
        <w:spacing w:line="240" w:lineRule="auto" w:before="13"/>
        <w:rPr>
          <w:rFonts w:ascii="黑体" w:hAnsi="黑体" w:cs="黑体" w:eastAsia="黑体" w:hint="default"/>
          <w:sz w:val="19"/>
          <w:szCs w:val="19"/>
        </w:rPr>
      </w:pPr>
    </w:p>
    <w:tbl>
      <w:tblPr>
        <w:tblW w:w="0" w:type="auto"/>
        <w:jc w:val="left"/>
        <w:tblInd w:w="104" w:type="dxa"/>
        <w:tblLayout w:type="fixed"/>
        <w:tblCellMar>
          <w:top w:w="0" w:type="dxa"/>
          <w:left w:w="0" w:type="dxa"/>
          <w:bottom w:w="0" w:type="dxa"/>
          <w:right w:w="0" w:type="dxa"/>
        </w:tblCellMar>
        <w:tblLook w:val="01E0"/>
      </w:tblPr>
      <w:tblGrid>
        <w:gridCol w:w="1497"/>
        <w:gridCol w:w="4928"/>
        <w:gridCol w:w="2152"/>
      </w:tblGrid>
      <w:tr>
        <w:trPr>
          <w:trHeight w:val="606"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199" w:lineRule="exact"/>
              <w:ind w:left="591" w:right="0"/>
              <w:jc w:val="left"/>
              <w:rPr>
                <w:rFonts w:ascii="黑体" w:hAnsi="黑体" w:cs="黑体" w:eastAsia="黑体" w:hint="default"/>
                <w:sz w:val="20"/>
                <w:szCs w:val="20"/>
              </w:rPr>
            </w:pPr>
            <w:r>
              <w:rPr>
                <w:rFonts w:ascii="黑体" w:hAnsi="黑体" w:cs="黑体" w:eastAsia="黑体" w:hint="default"/>
                <w:sz w:val="20"/>
                <w:szCs w:val="20"/>
              </w:rPr>
              <w:t>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199" w:lineRule="exact"/>
              <w:ind w:left="94" w:right="0"/>
              <w:jc w:val="center"/>
              <w:rPr>
                <w:rFonts w:ascii="黑体" w:hAnsi="黑体" w:cs="黑体" w:eastAsia="黑体" w:hint="default"/>
                <w:sz w:val="20"/>
                <w:szCs w:val="20"/>
              </w:rPr>
            </w:pPr>
            <w:r>
              <w:rPr>
                <w:rFonts w:ascii="黑体" w:hAnsi="黑体" w:cs="黑体" w:eastAsia="黑体" w:hint="default"/>
                <w:sz w:val="20"/>
                <w:szCs w:val="20"/>
              </w:rPr>
              <w:t>行权时间</w:t>
            </w:r>
          </w:p>
        </w:tc>
        <w:tc>
          <w:tcPr>
            <w:tcW w:w="2152" w:type="dxa"/>
            <w:tcBorders>
              <w:top w:val="nil" w:sz="6" w:space="0" w:color="auto"/>
              <w:left w:val="nil" w:sz="6" w:space="0" w:color="auto"/>
              <w:bottom w:val="nil" w:sz="6" w:space="0" w:color="auto"/>
              <w:right w:val="nil" w:sz="6" w:space="0" w:color="auto"/>
            </w:tcBorders>
          </w:tcPr>
          <w:p>
            <w:pPr>
              <w:pStyle w:val="TableParagraph"/>
              <w:spacing w:line="188" w:lineRule="exact"/>
              <w:ind w:right="46"/>
              <w:jc w:val="center"/>
              <w:rPr>
                <w:rFonts w:ascii="黑体" w:hAnsi="黑体" w:cs="黑体" w:eastAsia="黑体" w:hint="default"/>
                <w:sz w:val="20"/>
                <w:szCs w:val="20"/>
              </w:rPr>
            </w:pPr>
            <w:r>
              <w:rPr>
                <w:rFonts w:ascii="黑体" w:hAnsi="黑体" w:cs="黑体" w:eastAsia="黑体" w:hint="default"/>
                <w:sz w:val="20"/>
                <w:szCs w:val="20"/>
              </w:rPr>
              <w:t>可行权数量占获授期</w:t>
            </w:r>
          </w:p>
          <w:p>
            <w:pPr>
              <w:pStyle w:val="TableParagraph"/>
              <w:spacing w:line="251" w:lineRule="exact"/>
              <w:ind w:right="47"/>
              <w:jc w:val="center"/>
              <w:rPr>
                <w:rFonts w:ascii="黑体" w:hAnsi="黑体" w:cs="黑体" w:eastAsia="黑体" w:hint="default"/>
                <w:sz w:val="20"/>
                <w:szCs w:val="20"/>
              </w:rPr>
            </w:pPr>
            <w:r>
              <w:rPr>
                <w:rFonts w:ascii="黑体" w:hAnsi="黑体" w:cs="黑体" w:eastAsia="黑体" w:hint="default"/>
                <w:sz w:val="20"/>
                <w:szCs w:val="20"/>
              </w:rPr>
              <w:t>权数量比例</w:t>
            </w:r>
          </w:p>
        </w:tc>
      </w:tr>
      <w:tr>
        <w:trPr>
          <w:trHeight w:val="632"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200" w:right="0"/>
              <w:jc w:val="left"/>
              <w:rPr>
                <w:rFonts w:ascii="黑体" w:hAnsi="黑体" w:cs="黑体" w:eastAsia="黑体" w:hint="default"/>
                <w:sz w:val="20"/>
                <w:szCs w:val="20"/>
              </w:rPr>
            </w:pPr>
            <w:r>
              <w:rPr>
                <w:rFonts w:ascii="黑体" w:hAnsi="黑体" w:cs="黑体" w:eastAsia="黑体" w:hint="default"/>
                <w:sz w:val="20"/>
                <w:szCs w:val="20"/>
              </w:rPr>
              <w:t>第一个行权期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240" w:lineRule="exact" w:before="146"/>
              <w:ind w:left="97" w:right="151" w:firstLine="55"/>
              <w:jc w:val="left"/>
              <w:rPr>
                <w:rFonts w:ascii="黑体" w:hAnsi="黑体" w:cs="黑体" w:eastAsia="黑体" w:hint="default"/>
                <w:sz w:val="20"/>
                <w:szCs w:val="20"/>
              </w:rPr>
            </w:pPr>
            <w:r>
              <w:rPr>
                <w:rFonts w:ascii="黑体" w:hAnsi="黑体" w:cs="黑体" w:eastAsia="黑体" w:hint="default"/>
                <w:sz w:val="20"/>
                <w:szCs w:val="20"/>
              </w:rPr>
              <w:t>自授予登记完成之日起</w:t>
            </w:r>
            <w:r>
              <w:rPr>
                <w:rFonts w:ascii="Arial" w:hAnsi="Arial" w:cs="Arial" w:eastAsia="Arial" w:hint="default"/>
                <w:sz w:val="20"/>
                <w:szCs w:val="20"/>
              </w:rPr>
              <w:t>12</w:t>
            </w:r>
            <w:r>
              <w:rPr>
                <w:rFonts w:ascii="黑体" w:hAnsi="黑体" w:cs="黑体" w:eastAsia="黑体" w:hint="default"/>
                <w:sz w:val="20"/>
                <w:szCs w:val="20"/>
              </w:rPr>
              <w:t>个月后的首个交易日，起至</w:t>
            </w:r>
            <w:r>
              <w:rPr>
                <w:rFonts w:ascii="黑体" w:hAnsi="黑体" w:cs="黑体" w:eastAsia="黑体" w:hint="default"/>
                <w:w w:val="99"/>
                <w:sz w:val="20"/>
                <w:szCs w:val="20"/>
              </w:rPr>
              <w:t> </w:t>
            </w:r>
            <w:r>
              <w:rPr>
                <w:rFonts w:ascii="黑体" w:hAnsi="黑体" w:cs="黑体" w:eastAsia="黑体" w:hint="default"/>
                <w:sz w:val="20"/>
                <w:szCs w:val="20"/>
              </w:rPr>
              <w:t>予登记完成之日起</w:t>
            </w:r>
            <w:r>
              <w:rPr>
                <w:rFonts w:ascii="Arial" w:hAnsi="Arial" w:cs="Arial" w:eastAsia="Arial" w:hint="default"/>
                <w:sz w:val="20"/>
                <w:szCs w:val="20"/>
              </w:rPr>
              <w:t>24</w:t>
            </w:r>
            <w:r>
              <w:rPr>
                <w:rFonts w:ascii="黑体" w:hAnsi="黑体" w:cs="黑体" w:eastAsia="黑体" w:hint="default"/>
                <w:sz w:val="20"/>
                <w:szCs w:val="20"/>
              </w:rPr>
              <w:t>个月内的最后一个交易日当日止</w:t>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832" w:right="0"/>
              <w:jc w:val="left"/>
              <w:rPr>
                <w:rFonts w:ascii="Arial" w:hAnsi="Arial" w:cs="Arial" w:eastAsia="Arial" w:hint="default"/>
                <w:sz w:val="20"/>
                <w:szCs w:val="20"/>
              </w:rPr>
            </w:pPr>
            <w:r>
              <w:rPr>
                <w:rFonts w:ascii="Arial"/>
                <w:sz w:val="20"/>
              </w:rPr>
              <w:t>40%</w:t>
            </w:r>
          </w:p>
        </w:tc>
      </w:tr>
      <w:tr>
        <w:trPr>
          <w:trHeight w:val="480"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15" w:lineRule="exact"/>
              <w:ind w:left="200" w:right="0"/>
              <w:jc w:val="left"/>
              <w:rPr>
                <w:rFonts w:ascii="黑体" w:hAnsi="黑体" w:cs="黑体" w:eastAsia="黑体" w:hint="default"/>
                <w:sz w:val="20"/>
                <w:szCs w:val="20"/>
              </w:rPr>
            </w:pPr>
            <w:r>
              <w:rPr>
                <w:rFonts w:ascii="黑体" w:hAnsi="黑体" w:cs="黑体" w:eastAsia="黑体" w:hint="default"/>
                <w:sz w:val="20"/>
                <w:szCs w:val="20"/>
              </w:rPr>
              <w:t>第二个行权期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211" w:lineRule="exact"/>
              <w:ind w:left="97" w:right="0" w:firstLine="55"/>
              <w:jc w:val="left"/>
              <w:rPr>
                <w:rFonts w:ascii="黑体" w:hAnsi="黑体" w:cs="黑体" w:eastAsia="黑体" w:hint="default"/>
                <w:sz w:val="20"/>
                <w:szCs w:val="20"/>
              </w:rPr>
            </w:pPr>
            <w:r>
              <w:rPr>
                <w:rFonts w:ascii="黑体" w:hAnsi="黑体" w:cs="黑体" w:eastAsia="黑体" w:hint="default"/>
                <w:sz w:val="20"/>
                <w:szCs w:val="20"/>
              </w:rPr>
              <w:t>自授予登记完成之日起</w:t>
            </w:r>
            <w:r>
              <w:rPr>
                <w:rFonts w:ascii="Arial" w:hAnsi="Arial" w:cs="Arial" w:eastAsia="Arial" w:hint="default"/>
                <w:sz w:val="20"/>
                <w:szCs w:val="20"/>
              </w:rPr>
              <w:t>24</w:t>
            </w:r>
            <w:r>
              <w:rPr>
                <w:rFonts w:ascii="黑体" w:hAnsi="黑体" w:cs="黑体" w:eastAsia="黑体" w:hint="default"/>
                <w:sz w:val="20"/>
                <w:szCs w:val="20"/>
              </w:rPr>
              <w:t>个月后的首个交易日，起至</w:t>
            </w:r>
          </w:p>
          <w:p>
            <w:pPr>
              <w:pStyle w:val="TableParagraph"/>
              <w:spacing w:line="258" w:lineRule="exact"/>
              <w:ind w:left="97"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36</w:t>
            </w:r>
            <w:r>
              <w:rPr>
                <w:rFonts w:ascii="黑体" w:hAnsi="黑体" w:cs="黑体" w:eastAsia="黑体" w:hint="default"/>
                <w:sz w:val="20"/>
                <w:szCs w:val="20"/>
              </w:rPr>
              <w:t>个月内的最后一个交易日当日止</w:t>
            </w:r>
          </w:p>
        </w:tc>
        <w:tc>
          <w:tcPr>
            <w:tcW w:w="2152" w:type="dxa"/>
            <w:tcBorders>
              <w:top w:val="nil" w:sz="6" w:space="0" w:color="auto"/>
              <w:left w:val="nil" w:sz="6" w:space="0" w:color="auto"/>
              <w:bottom w:val="nil" w:sz="6" w:space="0" w:color="auto"/>
              <w:right w:val="nil" w:sz="6" w:space="0" w:color="auto"/>
            </w:tcBorders>
          </w:tcPr>
          <w:p>
            <w:pPr>
              <w:pStyle w:val="TableParagraph"/>
              <w:spacing w:line="229" w:lineRule="exact"/>
              <w:ind w:left="832" w:right="0"/>
              <w:jc w:val="left"/>
              <w:rPr>
                <w:rFonts w:ascii="Arial" w:hAnsi="Arial" w:cs="Arial" w:eastAsia="Arial" w:hint="default"/>
                <w:sz w:val="20"/>
                <w:szCs w:val="20"/>
              </w:rPr>
            </w:pPr>
            <w:r>
              <w:rPr>
                <w:rFonts w:ascii="Arial"/>
                <w:sz w:val="20"/>
              </w:rPr>
              <w:t>30%</w:t>
            </w:r>
          </w:p>
        </w:tc>
      </w:tr>
      <w:tr>
        <w:trPr>
          <w:trHeight w:val="464"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15" w:lineRule="exact"/>
              <w:ind w:left="200" w:right="0"/>
              <w:jc w:val="left"/>
              <w:rPr>
                <w:rFonts w:ascii="黑体" w:hAnsi="黑体" w:cs="黑体" w:eastAsia="黑体" w:hint="default"/>
                <w:sz w:val="20"/>
                <w:szCs w:val="20"/>
              </w:rPr>
            </w:pPr>
            <w:r>
              <w:rPr>
                <w:rFonts w:ascii="黑体" w:hAnsi="黑体" w:cs="黑体" w:eastAsia="黑体" w:hint="default"/>
                <w:sz w:val="20"/>
                <w:szCs w:val="20"/>
              </w:rPr>
              <w:t>第三个行权期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211" w:lineRule="exact"/>
              <w:ind w:left="97" w:right="0" w:firstLine="55"/>
              <w:jc w:val="left"/>
              <w:rPr>
                <w:rFonts w:ascii="黑体" w:hAnsi="黑体" w:cs="黑体" w:eastAsia="黑体" w:hint="default"/>
                <w:sz w:val="20"/>
                <w:szCs w:val="20"/>
              </w:rPr>
            </w:pPr>
            <w:r>
              <w:rPr>
                <w:rFonts w:ascii="黑体" w:hAnsi="黑体" w:cs="黑体" w:eastAsia="黑体" w:hint="default"/>
                <w:sz w:val="20"/>
                <w:szCs w:val="20"/>
              </w:rPr>
              <w:t>自授予登记完成之日起</w:t>
            </w:r>
            <w:r>
              <w:rPr>
                <w:rFonts w:ascii="Arial" w:hAnsi="Arial" w:cs="Arial" w:eastAsia="Arial" w:hint="default"/>
                <w:sz w:val="20"/>
                <w:szCs w:val="20"/>
              </w:rPr>
              <w:t>36</w:t>
            </w:r>
            <w:r>
              <w:rPr>
                <w:rFonts w:ascii="黑体" w:hAnsi="黑体" w:cs="黑体" w:eastAsia="黑体" w:hint="default"/>
                <w:sz w:val="20"/>
                <w:szCs w:val="20"/>
              </w:rPr>
              <w:t>个月后的首个交易日，起至</w:t>
            </w:r>
          </w:p>
          <w:p>
            <w:pPr>
              <w:pStyle w:val="TableParagraph"/>
              <w:spacing w:line="258" w:lineRule="exact"/>
              <w:ind w:left="97"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48</w:t>
            </w:r>
            <w:r>
              <w:rPr>
                <w:rFonts w:ascii="黑体" w:hAnsi="黑体" w:cs="黑体" w:eastAsia="黑体" w:hint="default"/>
                <w:sz w:val="20"/>
                <w:szCs w:val="20"/>
              </w:rPr>
              <w:t>个月内的最后一个交易日当日止</w:t>
            </w:r>
          </w:p>
        </w:tc>
        <w:tc>
          <w:tcPr>
            <w:tcW w:w="2152" w:type="dxa"/>
            <w:tcBorders>
              <w:top w:val="nil" w:sz="6" w:space="0" w:color="auto"/>
              <w:left w:val="nil" w:sz="6" w:space="0" w:color="auto"/>
              <w:bottom w:val="nil" w:sz="6" w:space="0" w:color="auto"/>
              <w:right w:val="nil" w:sz="6" w:space="0" w:color="auto"/>
            </w:tcBorders>
          </w:tcPr>
          <w:p>
            <w:pPr>
              <w:pStyle w:val="TableParagraph"/>
              <w:spacing w:line="229" w:lineRule="exact"/>
              <w:ind w:left="832" w:right="0"/>
              <w:jc w:val="left"/>
              <w:rPr>
                <w:rFonts w:ascii="Arial" w:hAnsi="Arial" w:cs="Arial" w:eastAsia="Arial" w:hint="default"/>
                <w:sz w:val="20"/>
                <w:szCs w:val="20"/>
              </w:rPr>
            </w:pPr>
            <w:r>
              <w:rPr>
                <w:rFonts w:ascii="Arial"/>
                <w:sz w:val="20"/>
              </w:rPr>
              <w:t>30%</w:t>
            </w:r>
          </w:p>
        </w:tc>
      </w:tr>
    </w:tbl>
    <w:p>
      <w:pPr>
        <w:spacing w:line="240" w:lineRule="auto" w:before="9"/>
        <w:rPr>
          <w:rFonts w:ascii="黑体" w:hAnsi="黑体" w:cs="黑体" w:eastAsia="黑体" w:hint="default"/>
          <w:sz w:val="12"/>
          <w:szCs w:val="12"/>
        </w:rPr>
      </w:pPr>
    </w:p>
    <w:p>
      <w:pPr>
        <w:spacing w:line="260" w:lineRule="exact" w:before="63"/>
        <w:ind w:left="398" w:right="0" w:firstLine="0"/>
        <w:jc w:val="left"/>
        <w:rPr>
          <w:rFonts w:ascii="黑体" w:hAnsi="黑体" w:cs="黑体" w:eastAsia="黑体" w:hint="default"/>
          <w:sz w:val="20"/>
          <w:szCs w:val="20"/>
        </w:rPr>
      </w:pPr>
      <w:r>
        <w:rPr>
          <w:rFonts w:ascii="黑体" w:hAnsi="黑体" w:cs="黑体" w:eastAsia="黑体" w:hint="default"/>
          <w:spacing w:val="-2"/>
          <w:w w:val="95"/>
          <w:sz w:val="20"/>
          <w:szCs w:val="20"/>
        </w:rPr>
        <w:t>在行权期内，如达到相应的行权期规定的行权条件，则激励对象可以在该行权期内行权；如未达</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到行权条件或激励对象在行权期内未行权，该部分股票期权由本公司注销。</w:t>
      </w:r>
    </w:p>
    <w:p>
      <w:pPr>
        <w:spacing w:line="240" w:lineRule="auto" w:before="7"/>
        <w:rPr>
          <w:rFonts w:ascii="黑体" w:hAnsi="黑体" w:cs="黑体" w:eastAsia="黑体" w:hint="default"/>
          <w:sz w:val="17"/>
          <w:szCs w:val="17"/>
        </w:rPr>
      </w:pPr>
    </w:p>
    <w:p>
      <w:pPr>
        <w:spacing w:line="260" w:lineRule="exact" w:before="0"/>
        <w:ind w:left="398" w:right="0" w:firstLine="0"/>
        <w:jc w:val="left"/>
        <w:rPr>
          <w:rFonts w:ascii="黑体" w:hAnsi="黑体" w:cs="黑体" w:eastAsia="黑体" w:hint="default"/>
          <w:sz w:val="20"/>
          <w:szCs w:val="20"/>
        </w:rPr>
      </w:pPr>
      <w:r>
        <w:rPr>
          <w:rFonts w:ascii="黑体" w:hAnsi="黑体" w:cs="黑体" w:eastAsia="黑体" w:hint="default"/>
          <w:sz w:val="20"/>
          <w:szCs w:val="20"/>
        </w:rPr>
        <w:t>授予的以权益结算的股份支付于授予日的公允价值，采用布莱克</w:t>
      </w:r>
      <w:r>
        <w:rPr>
          <w:rFonts w:ascii="Arial" w:hAnsi="Arial" w:cs="Arial" w:eastAsia="Arial" w:hint="default"/>
          <w:sz w:val="20"/>
          <w:szCs w:val="20"/>
        </w:rPr>
        <w:t>-</w:t>
      </w:r>
      <w:r>
        <w:rPr>
          <w:rFonts w:ascii="黑体" w:hAnsi="黑体" w:cs="黑体" w:eastAsia="黑体" w:hint="default"/>
          <w:sz w:val="20"/>
          <w:szCs w:val="20"/>
        </w:rPr>
        <w:t>斯科尔斯模型，结合授予股份</w:t>
      </w:r>
      <w:r>
        <w:rPr>
          <w:rFonts w:ascii="黑体" w:hAnsi="黑体" w:cs="黑体" w:eastAsia="黑体" w:hint="default"/>
          <w:spacing w:val="-62"/>
          <w:sz w:val="20"/>
          <w:szCs w:val="20"/>
        </w:rPr>
        <w:t> </w:t>
      </w:r>
      <w:r>
        <w:rPr>
          <w:rFonts w:ascii="黑体" w:hAnsi="黑体" w:cs="黑体" w:eastAsia="黑体" w:hint="default"/>
          <w:spacing w:val="-62"/>
          <w:sz w:val="20"/>
          <w:szCs w:val="20"/>
        </w:rPr>
      </w:r>
      <w:r>
        <w:rPr>
          <w:rFonts w:ascii="黑体" w:hAnsi="黑体" w:cs="黑体" w:eastAsia="黑体" w:hint="default"/>
          <w:sz w:val="20"/>
          <w:szCs w:val="20"/>
        </w:rPr>
        <w:t>的条款和条件，作出估计。下表列示了所用模型的输入变量：</w:t>
      </w:r>
    </w:p>
    <w:p>
      <w:pPr>
        <w:spacing w:line="240" w:lineRule="auto" w:before="6"/>
        <w:rPr>
          <w:rFonts w:ascii="黑体" w:hAnsi="黑体" w:cs="黑体" w:eastAsia="黑体" w:hint="default"/>
          <w:sz w:val="4"/>
          <w:szCs w:val="4"/>
        </w:rPr>
      </w:pPr>
    </w:p>
    <w:tbl>
      <w:tblPr>
        <w:tblW w:w="0" w:type="auto"/>
        <w:jc w:val="left"/>
        <w:tblInd w:w="226" w:type="dxa"/>
        <w:tblLayout w:type="fixed"/>
        <w:tblCellMar>
          <w:top w:w="0" w:type="dxa"/>
          <w:left w:w="0" w:type="dxa"/>
          <w:bottom w:w="0" w:type="dxa"/>
          <w:right w:w="0" w:type="dxa"/>
        </w:tblCellMar>
        <w:tblLook w:val="01E0"/>
      </w:tblPr>
      <w:tblGrid>
        <w:gridCol w:w="3419"/>
        <w:gridCol w:w="1984"/>
        <w:gridCol w:w="1688"/>
        <w:gridCol w:w="1701"/>
      </w:tblGrid>
      <w:tr>
        <w:trPr>
          <w:trHeight w:val="250" w:hRule="exact"/>
        </w:trPr>
        <w:tc>
          <w:tcPr>
            <w:tcW w:w="341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nil" w:sz="6" w:space="0" w:color="auto"/>
            </w:tcBorders>
          </w:tcPr>
          <w:p>
            <w:pPr>
              <w:pStyle w:val="TableParagraph"/>
              <w:spacing w:line="199" w:lineRule="exact"/>
              <w:ind w:left="467" w:right="0"/>
              <w:jc w:val="left"/>
              <w:rPr>
                <w:rFonts w:ascii="黑体" w:hAnsi="黑体" w:cs="黑体" w:eastAsia="黑体" w:hint="default"/>
                <w:sz w:val="20"/>
                <w:szCs w:val="20"/>
              </w:rPr>
            </w:pPr>
            <w:r>
              <w:rPr>
                <w:rFonts w:ascii="黑体" w:hAnsi="黑体" w:cs="黑体" w:eastAsia="黑体" w:hint="default"/>
                <w:sz w:val="20"/>
                <w:szCs w:val="20"/>
              </w:rPr>
              <w:t>第一个行权期</w:t>
            </w:r>
          </w:p>
        </w:tc>
        <w:tc>
          <w:tcPr>
            <w:tcW w:w="1688" w:type="dxa"/>
            <w:tcBorders>
              <w:top w:val="nil" w:sz="6" w:space="0" w:color="auto"/>
              <w:left w:val="nil" w:sz="6" w:space="0" w:color="auto"/>
              <w:bottom w:val="nil" w:sz="6" w:space="0" w:color="auto"/>
              <w:right w:val="nil" w:sz="6" w:space="0" w:color="auto"/>
            </w:tcBorders>
          </w:tcPr>
          <w:p>
            <w:pPr>
              <w:pStyle w:val="TableParagraph"/>
              <w:spacing w:line="199" w:lineRule="exact"/>
              <w:ind w:right="286"/>
              <w:jc w:val="right"/>
              <w:rPr>
                <w:rFonts w:ascii="黑体" w:hAnsi="黑体" w:cs="黑体" w:eastAsia="黑体" w:hint="default"/>
                <w:sz w:val="20"/>
                <w:szCs w:val="20"/>
              </w:rPr>
            </w:pPr>
            <w:r>
              <w:rPr>
                <w:rFonts w:ascii="黑体" w:hAnsi="黑体" w:cs="黑体" w:eastAsia="黑体" w:hint="default"/>
                <w:w w:val="95"/>
                <w:sz w:val="20"/>
                <w:szCs w:val="20"/>
              </w:rPr>
              <w:t>第二个行权期</w:t>
            </w:r>
            <w:r>
              <w:rPr>
                <w:rFonts w:ascii="黑体" w:hAnsi="黑体" w:cs="黑体" w:eastAsia="黑体" w:hint="default"/>
                <w:sz w:val="20"/>
                <w:szCs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199" w:lineRule="exact"/>
              <w:ind w:left="239" w:right="0"/>
              <w:jc w:val="left"/>
              <w:rPr>
                <w:rFonts w:ascii="黑体" w:hAnsi="黑体" w:cs="黑体" w:eastAsia="黑体" w:hint="default"/>
                <w:sz w:val="20"/>
                <w:szCs w:val="20"/>
              </w:rPr>
            </w:pPr>
            <w:r>
              <w:rPr>
                <w:rFonts w:ascii="黑体" w:hAnsi="黑体" w:cs="黑体" w:eastAsia="黑体" w:hint="default"/>
                <w:sz w:val="20"/>
                <w:szCs w:val="20"/>
              </w:rPr>
              <w:t>第三个行权期</w:t>
            </w:r>
          </w:p>
        </w:tc>
      </w:tr>
      <w:tr>
        <w:trPr>
          <w:trHeight w:val="305"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64" w:lineRule="exact"/>
              <w:ind w:left="200" w:right="0"/>
              <w:jc w:val="left"/>
              <w:rPr>
                <w:rFonts w:ascii="Arial" w:hAnsi="Arial" w:cs="Arial" w:eastAsia="Arial" w:hint="default"/>
                <w:sz w:val="20"/>
                <w:szCs w:val="20"/>
              </w:rPr>
            </w:pPr>
            <w:r>
              <w:rPr>
                <w:rFonts w:ascii="黑体" w:hAnsi="黑体" w:cs="黑体" w:eastAsia="黑体" w:hint="default"/>
                <w:sz w:val="20"/>
                <w:szCs w:val="20"/>
              </w:rPr>
              <w:t>股利率</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0"/>
              <w:jc w:val="right"/>
              <w:rPr>
                <w:rFonts w:ascii="Arial" w:hAnsi="Arial" w:cs="Arial" w:eastAsia="Arial" w:hint="default"/>
                <w:sz w:val="20"/>
                <w:szCs w:val="20"/>
              </w:rPr>
            </w:pPr>
            <w:r>
              <w:rPr>
                <w:rFonts w:ascii="Arial"/>
                <w:spacing w:val="-1"/>
                <w:w w:val="95"/>
                <w:sz w:val="20"/>
              </w:rPr>
              <w:t>0.73</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38"/>
              <w:jc w:val="right"/>
              <w:rPr>
                <w:rFonts w:ascii="Arial" w:hAnsi="Arial" w:cs="Arial" w:eastAsia="Arial" w:hint="default"/>
                <w:sz w:val="20"/>
                <w:szCs w:val="20"/>
              </w:rPr>
            </w:pPr>
            <w:r>
              <w:rPr>
                <w:rFonts w:ascii="Arial"/>
                <w:spacing w:val="-1"/>
                <w:w w:val="95"/>
                <w:sz w:val="20"/>
              </w:rPr>
              <w:t>0.75</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98"/>
              <w:jc w:val="right"/>
              <w:rPr>
                <w:rFonts w:ascii="Arial" w:hAnsi="Arial" w:cs="Arial" w:eastAsia="Arial" w:hint="default"/>
                <w:sz w:val="20"/>
                <w:szCs w:val="20"/>
              </w:rPr>
            </w:pPr>
            <w:r>
              <w:rPr>
                <w:rFonts w:ascii="Arial"/>
                <w:spacing w:val="-1"/>
                <w:w w:val="95"/>
                <w:sz w:val="20"/>
              </w:rPr>
              <w:t>0.71</w:t>
            </w:r>
            <w:r>
              <w:rPr>
                <w:rFonts w:ascii="Arial"/>
                <w:sz w:val="20"/>
              </w:rPr>
            </w:r>
          </w:p>
        </w:tc>
      </w:tr>
      <w:tr>
        <w:trPr>
          <w:trHeight w:val="300"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预计波动率</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32.93</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20"/>
                <w:szCs w:val="20"/>
              </w:rPr>
            </w:pPr>
            <w:r>
              <w:rPr>
                <w:rFonts w:ascii="Arial"/>
                <w:w w:val="95"/>
                <w:sz w:val="20"/>
              </w:rPr>
              <w:t>58.77</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55.81</w:t>
            </w:r>
            <w:r>
              <w:rPr>
                <w:rFonts w:ascii="Arial"/>
                <w:sz w:val="20"/>
              </w:rPr>
            </w:r>
          </w:p>
        </w:tc>
      </w:tr>
      <w:tr>
        <w:trPr>
          <w:trHeight w:val="300"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无风险利率</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20"/>
                <w:szCs w:val="20"/>
              </w:rPr>
            </w:pPr>
            <w:r>
              <w:rPr>
                <w:rFonts w:ascii="Arial"/>
                <w:spacing w:val="-1"/>
                <w:w w:val="95"/>
                <w:sz w:val="20"/>
              </w:rPr>
              <w:t>1.50</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20"/>
                <w:szCs w:val="20"/>
              </w:rPr>
            </w:pPr>
            <w:r>
              <w:rPr>
                <w:rFonts w:ascii="Arial"/>
                <w:spacing w:val="-1"/>
                <w:w w:val="95"/>
                <w:sz w:val="20"/>
              </w:rPr>
              <w:t>2.10</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spacing w:val="-1"/>
                <w:w w:val="95"/>
                <w:sz w:val="20"/>
              </w:rPr>
              <w:t>2.75</w:t>
            </w:r>
            <w:r>
              <w:rPr>
                <w:rFonts w:ascii="Arial"/>
                <w:sz w:val="20"/>
              </w:rPr>
            </w:r>
          </w:p>
        </w:tc>
      </w:tr>
      <w:tr>
        <w:trPr>
          <w:trHeight w:val="300"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股份期权预计期限</w:t>
            </w:r>
            <w:r>
              <w:rPr>
                <w:rFonts w:ascii="Arial" w:hAnsi="Arial" w:cs="Arial" w:eastAsia="Arial" w:hint="default"/>
                <w:sz w:val="20"/>
                <w:szCs w:val="20"/>
              </w:rPr>
              <w:t>(</w:t>
            </w:r>
            <w:r>
              <w:rPr>
                <w:rFonts w:ascii="黑体" w:hAnsi="黑体" w:cs="黑体" w:eastAsia="黑体" w:hint="default"/>
                <w:sz w:val="20"/>
                <w:szCs w:val="20"/>
              </w:rPr>
              <w:t>年</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59" w:lineRule="exact"/>
              <w:ind w:right="198"/>
              <w:jc w:val="right"/>
              <w:rPr>
                <w:rFonts w:ascii="黑体" w:hAnsi="黑体" w:cs="黑体" w:eastAsia="黑体" w:hint="default"/>
                <w:sz w:val="20"/>
                <w:szCs w:val="20"/>
              </w:rPr>
            </w:pPr>
            <w:r>
              <w:rPr>
                <w:rFonts w:ascii="Arial" w:hAnsi="Arial" w:cs="Arial" w:eastAsia="Arial" w:hint="default"/>
                <w:spacing w:val="-1"/>
                <w:w w:val="95"/>
                <w:sz w:val="20"/>
                <w:szCs w:val="20"/>
              </w:rPr>
              <w:t>1</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59" w:lineRule="exact"/>
              <w:ind w:right="239"/>
              <w:jc w:val="right"/>
              <w:rPr>
                <w:rFonts w:ascii="黑体" w:hAnsi="黑体" w:cs="黑体" w:eastAsia="黑体" w:hint="default"/>
                <w:sz w:val="20"/>
                <w:szCs w:val="20"/>
              </w:rPr>
            </w:pPr>
            <w:r>
              <w:rPr>
                <w:rFonts w:ascii="Arial" w:hAnsi="Arial" w:cs="Arial" w:eastAsia="Arial" w:hint="default"/>
                <w:spacing w:val="-1"/>
                <w:w w:val="95"/>
                <w:sz w:val="20"/>
                <w:szCs w:val="20"/>
              </w:rPr>
              <w:t>2</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59" w:lineRule="exact"/>
              <w:ind w:right="198"/>
              <w:jc w:val="right"/>
              <w:rPr>
                <w:rFonts w:ascii="黑体" w:hAnsi="黑体" w:cs="黑体" w:eastAsia="黑体" w:hint="default"/>
                <w:sz w:val="20"/>
                <w:szCs w:val="20"/>
              </w:rPr>
            </w:pPr>
            <w:r>
              <w:rPr>
                <w:rFonts w:ascii="Arial" w:hAnsi="Arial" w:cs="Arial" w:eastAsia="Arial" w:hint="default"/>
                <w:spacing w:val="-1"/>
                <w:w w:val="95"/>
                <w:sz w:val="20"/>
                <w:szCs w:val="20"/>
              </w:rPr>
              <w:t>3</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254"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授予日股价</w:t>
            </w:r>
            <w:r>
              <w:rPr>
                <w:rFonts w:ascii="Arial" w:hAnsi="Arial" w:cs="Arial" w:eastAsia="Arial" w:hint="default"/>
                <w:sz w:val="20"/>
                <w:szCs w:val="20"/>
              </w:rPr>
              <w:t>(</w:t>
            </w:r>
            <w:r>
              <w:rPr>
                <w:rFonts w:ascii="黑体" w:hAnsi="黑体" w:cs="黑体" w:eastAsia="黑体" w:hint="default"/>
                <w:sz w:val="20"/>
                <w:szCs w:val="20"/>
              </w:rPr>
              <w:t>元</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16.90</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20"/>
                <w:szCs w:val="20"/>
              </w:rPr>
            </w:pPr>
            <w:r>
              <w:rPr>
                <w:rFonts w:ascii="Arial"/>
                <w:w w:val="95"/>
                <w:sz w:val="20"/>
              </w:rPr>
              <w:t>16.90</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16.90</w:t>
            </w:r>
            <w:r>
              <w:rPr>
                <w:rFonts w:ascii="Arial"/>
                <w:sz w:val="20"/>
              </w:rPr>
            </w:r>
          </w:p>
        </w:tc>
      </w:tr>
    </w:tbl>
    <w:p>
      <w:pPr>
        <w:spacing w:line="240" w:lineRule="auto" w:before="4"/>
        <w:rPr>
          <w:rFonts w:ascii="黑体" w:hAnsi="黑体" w:cs="黑体" w:eastAsia="黑体" w:hint="default"/>
          <w:sz w:val="15"/>
          <w:szCs w:val="15"/>
        </w:rPr>
      </w:pPr>
    </w:p>
    <w:p>
      <w:pPr>
        <w:spacing w:line="260" w:lineRule="exact" w:before="63"/>
        <w:ind w:left="398" w:right="415" w:firstLine="0"/>
        <w:jc w:val="both"/>
        <w:rPr>
          <w:rFonts w:ascii="黑体" w:hAnsi="黑体" w:cs="黑体" w:eastAsia="黑体" w:hint="default"/>
          <w:sz w:val="20"/>
          <w:szCs w:val="20"/>
        </w:rPr>
      </w:pPr>
      <w:r>
        <w:rPr>
          <w:rFonts w:ascii="黑体" w:hAnsi="黑体" w:cs="黑体" w:eastAsia="黑体" w:hint="default"/>
          <w:spacing w:val="-2"/>
          <w:w w:val="99"/>
          <w:sz w:val="20"/>
          <w:szCs w:val="20"/>
        </w:rPr>
        <w:t>股票期权的预计期限是根据对未来股票价格波动所可能引致的员工行权时间为基础确定的，其反</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w w:val="99"/>
          <w:sz w:val="20"/>
          <w:szCs w:val="20"/>
        </w:rPr>
        <w:t>映的行权模式并不一定是未来可能出现的行权模式。预计波动率是基于历史波动率能反映出未来</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趋势的假设，但并不一定是实际的结果。公允价值未考虑所授予股票期权的其他特征。</w:t>
      </w:r>
    </w:p>
    <w:p>
      <w:pPr>
        <w:spacing w:after="0" w:line="260" w:lineRule="exact"/>
        <w:jc w:val="both"/>
        <w:rPr>
          <w:rFonts w:ascii="黑体" w:hAnsi="黑体" w:cs="黑体" w:eastAsia="黑体" w:hint="default"/>
          <w:sz w:val="20"/>
          <w:szCs w:val="20"/>
        </w:rPr>
        <w:sectPr>
          <w:headerReference w:type="default" r:id="rId85"/>
          <w:footerReference w:type="default" r:id="rId86"/>
          <w:pgSz w:w="11910" w:h="16850"/>
          <w:pgMar w:header="745" w:footer="0" w:top="980" w:bottom="280" w:left="1400" w:right="1380"/>
        </w:sect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6"/>
          <w:szCs w:val="26"/>
        </w:rPr>
      </w:pPr>
    </w:p>
    <w:p>
      <w:pPr>
        <w:spacing w:before="37"/>
        <w:ind w:left="318" w:right="0" w:firstLine="0"/>
        <w:jc w:val="left"/>
        <w:rPr>
          <w:rFonts w:ascii="Arial" w:hAnsi="Arial" w:cs="Arial" w:eastAsia="Arial" w:hint="default"/>
          <w:sz w:val="20"/>
          <w:szCs w:val="20"/>
        </w:rPr>
      </w:pPr>
      <w:r>
        <w:rPr>
          <w:rFonts w:ascii="Arial" w:hAnsi="Arial" w:cs="Arial" w:eastAsia="Arial" w:hint="default"/>
          <w:sz w:val="20"/>
          <w:szCs w:val="20"/>
        </w:rPr>
        <w:t>2017</w:t>
      </w:r>
      <w:r>
        <w:rPr>
          <w:rFonts w:ascii="黑体" w:hAnsi="黑体" w:cs="黑体" w:eastAsia="黑体" w:hint="default"/>
          <w:sz w:val="20"/>
          <w:szCs w:val="20"/>
        </w:rPr>
        <w:t>年股份支付计划</w:t>
      </w:r>
      <w:r>
        <w:rPr>
          <w:rFonts w:ascii="Arial" w:hAnsi="Arial" w:cs="Arial" w:eastAsia="Arial" w:hint="default"/>
          <w:sz w:val="20"/>
          <w:szCs w:val="20"/>
        </w:rPr>
        <w:t>(</w:t>
      </w:r>
      <w:r>
        <w:rPr>
          <w:rFonts w:ascii="黑体" w:hAnsi="黑体" w:cs="黑体" w:eastAsia="黑体" w:hint="default"/>
          <w:sz w:val="20"/>
          <w:szCs w:val="20"/>
        </w:rPr>
        <w:t>续</w:t>
      </w:r>
      <w:r>
        <w:rPr>
          <w:rFonts w:ascii="Arial" w:hAnsi="Arial" w:cs="Arial" w:eastAsia="Arial" w:hint="default"/>
          <w:sz w:val="20"/>
          <w:szCs w:val="20"/>
        </w:rPr>
        <w:t>)</w:t>
      </w:r>
    </w:p>
    <w:p>
      <w:pPr>
        <w:spacing w:line="240" w:lineRule="auto" w:before="7"/>
        <w:rPr>
          <w:rFonts w:ascii="Arial" w:hAnsi="Arial" w:cs="Arial" w:eastAsia="Arial" w:hint="default"/>
          <w:sz w:val="18"/>
          <w:szCs w:val="18"/>
        </w:rPr>
      </w:pPr>
    </w:p>
    <w:p>
      <w:pPr>
        <w:spacing w:before="0"/>
        <w:ind w:left="318" w:right="0" w:firstLine="0"/>
        <w:jc w:val="left"/>
        <w:rPr>
          <w:rFonts w:ascii="黑体" w:hAnsi="黑体" w:cs="黑体" w:eastAsia="黑体" w:hint="default"/>
          <w:sz w:val="20"/>
          <w:szCs w:val="20"/>
        </w:rPr>
      </w:pPr>
      <w:r>
        <w:rPr>
          <w:rFonts w:ascii="黑体" w:hAnsi="黑体" w:cs="黑体" w:eastAsia="黑体" w:hint="default"/>
          <w:sz w:val="20"/>
          <w:szCs w:val="20"/>
        </w:rPr>
        <w:t>截至资产负债表日，发行在外的股票期权的行权价格和行权有效期如下：</w:t>
      </w:r>
    </w:p>
    <w:p>
      <w:pPr>
        <w:spacing w:line="240" w:lineRule="auto" w:before="1"/>
        <w:rPr>
          <w:rFonts w:ascii="黑体" w:hAnsi="黑体" w:cs="黑体" w:eastAsia="黑体" w:hint="default"/>
          <w:sz w:val="23"/>
          <w:szCs w:val="23"/>
        </w:rPr>
      </w:pPr>
    </w:p>
    <w:tbl>
      <w:tblPr>
        <w:tblW w:w="0" w:type="auto"/>
        <w:jc w:val="left"/>
        <w:tblInd w:w="113" w:type="dxa"/>
        <w:tblLayout w:type="fixed"/>
        <w:tblCellMar>
          <w:top w:w="0" w:type="dxa"/>
          <w:left w:w="0" w:type="dxa"/>
          <w:bottom w:w="0" w:type="dxa"/>
          <w:right w:w="0" w:type="dxa"/>
        </w:tblCellMar>
        <w:tblLook w:val="01E0"/>
      </w:tblPr>
      <w:tblGrid>
        <w:gridCol w:w="1881"/>
        <w:gridCol w:w="2495"/>
        <w:gridCol w:w="2472"/>
        <w:gridCol w:w="1982"/>
      </w:tblGrid>
      <w:tr>
        <w:trPr>
          <w:trHeight w:val="234" w:hRule="exact"/>
        </w:trPr>
        <w:tc>
          <w:tcPr>
            <w:tcW w:w="1881" w:type="dxa"/>
            <w:tcBorders>
              <w:top w:val="nil" w:sz="6" w:space="0" w:color="auto"/>
              <w:left w:val="nil" w:sz="6" w:space="0" w:color="auto"/>
              <w:bottom w:val="nil" w:sz="6" w:space="0" w:color="auto"/>
              <w:right w:val="nil" w:sz="6" w:space="0" w:color="auto"/>
            </w:tcBorders>
          </w:tcPr>
          <w:p>
            <w:pPr>
              <w:pStyle w:val="TableParagraph"/>
              <w:spacing w:line="214" w:lineRule="exact"/>
              <w:ind w:left="54" w:right="0"/>
              <w:jc w:val="center"/>
              <w:rPr>
                <w:rFonts w:ascii="Arial" w:hAnsi="Arial" w:cs="Arial" w:eastAsia="Arial" w:hint="default"/>
                <w:sz w:val="20"/>
                <w:szCs w:val="20"/>
              </w:rPr>
            </w:pPr>
            <w:r>
              <w:rPr>
                <w:rFonts w:ascii="黑体" w:hAnsi="黑体" w:cs="黑体" w:eastAsia="黑体" w:hint="default"/>
                <w:sz w:val="20"/>
                <w:szCs w:val="20"/>
              </w:rPr>
              <w:t>股票期权数量</w:t>
            </w:r>
            <w:r>
              <w:rPr>
                <w:rFonts w:ascii="Arial" w:hAnsi="Arial" w:cs="Arial" w:eastAsia="Arial" w:hint="default"/>
                <w:sz w:val="20"/>
                <w:szCs w:val="20"/>
              </w:rPr>
              <w:t>(</w:t>
            </w:r>
            <w:r>
              <w:rPr>
                <w:rFonts w:ascii="黑体" w:hAnsi="黑体" w:cs="黑体" w:eastAsia="黑体" w:hint="default"/>
                <w:sz w:val="20"/>
                <w:szCs w:val="20"/>
              </w:rPr>
              <w:t>份</w:t>
            </w:r>
            <w:r>
              <w:rPr>
                <w:rFonts w:ascii="Arial" w:hAnsi="Arial" w:cs="Arial" w:eastAsia="Arial" w:hint="default"/>
                <w:sz w:val="20"/>
                <w:szCs w:val="20"/>
              </w:rPr>
              <w:t>)</w:t>
            </w:r>
          </w:p>
        </w:tc>
        <w:tc>
          <w:tcPr>
            <w:tcW w:w="2495" w:type="dxa"/>
            <w:tcBorders>
              <w:top w:val="nil" w:sz="6" w:space="0" w:color="auto"/>
              <w:left w:val="nil" w:sz="6" w:space="0" w:color="auto"/>
              <w:bottom w:val="nil" w:sz="6" w:space="0" w:color="auto"/>
              <w:right w:val="nil" w:sz="6" w:space="0" w:color="auto"/>
            </w:tcBorders>
          </w:tcPr>
          <w:p>
            <w:pPr>
              <w:pStyle w:val="TableParagraph"/>
              <w:spacing w:line="214" w:lineRule="exact"/>
              <w:ind w:right="20"/>
              <w:jc w:val="center"/>
              <w:rPr>
                <w:rFonts w:ascii="Arial" w:hAnsi="Arial" w:cs="Arial" w:eastAsia="Arial" w:hint="default"/>
                <w:sz w:val="20"/>
                <w:szCs w:val="20"/>
              </w:rPr>
            </w:pPr>
            <w:r>
              <w:rPr>
                <w:rFonts w:ascii="黑体" w:hAnsi="黑体" w:cs="黑体" w:eastAsia="黑体" w:hint="default"/>
                <w:sz w:val="20"/>
                <w:szCs w:val="20"/>
              </w:rPr>
              <w:t>预计</w:t>
            </w:r>
            <w:r>
              <w:rPr>
                <w:rFonts w:ascii="Arial" w:hAnsi="Arial" w:cs="Arial" w:eastAsia="Arial" w:hint="default"/>
                <w:sz w:val="20"/>
                <w:szCs w:val="20"/>
              </w:rPr>
              <w:t>2020</w:t>
            </w:r>
            <w:r>
              <w:rPr>
                <w:rFonts w:ascii="黑体" w:hAnsi="黑体" w:cs="黑体" w:eastAsia="黑体" w:hint="default"/>
                <w:sz w:val="20"/>
                <w:szCs w:val="20"/>
              </w:rPr>
              <w:t>年行权数量</w:t>
            </w:r>
            <w:r>
              <w:rPr>
                <w:rFonts w:ascii="Arial" w:hAnsi="Arial" w:cs="Arial" w:eastAsia="Arial" w:hint="default"/>
                <w:sz w:val="20"/>
                <w:szCs w:val="20"/>
              </w:rPr>
              <w:t>(</w:t>
            </w:r>
            <w:r>
              <w:rPr>
                <w:rFonts w:ascii="黑体" w:hAnsi="黑体" w:cs="黑体" w:eastAsia="黑体" w:hint="default"/>
                <w:sz w:val="20"/>
                <w:szCs w:val="20"/>
              </w:rPr>
              <w:t>份</w:t>
            </w:r>
            <w:r>
              <w:rPr>
                <w:rFonts w:ascii="Arial" w:hAnsi="Arial" w:cs="Arial" w:eastAsia="Arial" w:hint="default"/>
                <w:sz w:val="20"/>
                <w:szCs w:val="20"/>
              </w:rPr>
              <w:t>)</w:t>
            </w:r>
          </w:p>
        </w:tc>
        <w:tc>
          <w:tcPr>
            <w:tcW w:w="2472" w:type="dxa"/>
            <w:tcBorders>
              <w:top w:val="nil" w:sz="6" w:space="0" w:color="auto"/>
              <w:left w:val="nil" w:sz="6" w:space="0" w:color="auto"/>
              <w:bottom w:val="nil" w:sz="6" w:space="0" w:color="auto"/>
              <w:right w:val="nil" w:sz="6" w:space="0" w:color="auto"/>
            </w:tcBorders>
          </w:tcPr>
          <w:p>
            <w:pPr>
              <w:pStyle w:val="TableParagraph"/>
              <w:spacing w:line="214" w:lineRule="exact"/>
              <w:ind w:left="168" w:right="0"/>
              <w:jc w:val="left"/>
              <w:rPr>
                <w:rFonts w:ascii="Arial" w:hAnsi="Arial" w:cs="Arial" w:eastAsia="Arial" w:hint="default"/>
                <w:sz w:val="20"/>
                <w:szCs w:val="20"/>
              </w:rPr>
            </w:pPr>
            <w:r>
              <w:rPr>
                <w:rFonts w:ascii="黑体" w:hAnsi="黑体" w:cs="黑体" w:eastAsia="黑体" w:hint="default"/>
                <w:sz w:val="20"/>
                <w:szCs w:val="20"/>
              </w:rPr>
              <w:t>行权价格</w:t>
            </w:r>
            <w:r>
              <w:rPr>
                <w:rFonts w:ascii="Arial" w:hAnsi="Arial" w:cs="Arial" w:eastAsia="Arial" w:hint="default"/>
                <w:sz w:val="20"/>
                <w:szCs w:val="20"/>
              </w:rPr>
              <w:t>(</w:t>
            </w:r>
            <w:r>
              <w:rPr>
                <w:rFonts w:ascii="黑体" w:hAnsi="黑体" w:cs="黑体" w:eastAsia="黑体" w:hint="default"/>
                <w:sz w:val="20"/>
                <w:szCs w:val="20"/>
              </w:rPr>
              <w:t>人民币元</w:t>
            </w:r>
            <w:r>
              <w:rPr>
                <w:rFonts w:ascii="Arial" w:hAnsi="Arial" w:cs="Arial" w:eastAsia="Arial" w:hint="default"/>
                <w:sz w:val="20"/>
                <w:szCs w:val="20"/>
              </w:rPr>
              <w:t>/</w:t>
            </w:r>
            <w:r>
              <w:rPr>
                <w:rFonts w:ascii="黑体" w:hAnsi="黑体" w:cs="黑体" w:eastAsia="黑体" w:hint="default"/>
                <w:sz w:val="20"/>
                <w:szCs w:val="20"/>
              </w:rPr>
              <w:t>股</w:t>
            </w:r>
            <w:r>
              <w:rPr>
                <w:rFonts w:ascii="Arial" w:hAnsi="Arial" w:cs="Arial" w:eastAsia="Arial" w:hint="default"/>
                <w:sz w:val="20"/>
                <w:szCs w:val="20"/>
              </w:rPr>
              <w:t>)</w:t>
            </w:r>
          </w:p>
        </w:tc>
        <w:tc>
          <w:tcPr>
            <w:tcW w:w="1982" w:type="dxa"/>
            <w:tcBorders>
              <w:top w:val="nil" w:sz="6" w:space="0" w:color="auto"/>
              <w:left w:val="nil" w:sz="6" w:space="0" w:color="auto"/>
              <w:bottom w:val="nil" w:sz="6" w:space="0" w:color="auto"/>
              <w:right w:val="nil" w:sz="6" w:space="0" w:color="auto"/>
            </w:tcBorders>
          </w:tcPr>
          <w:p>
            <w:pPr>
              <w:pStyle w:val="TableParagraph"/>
              <w:spacing w:line="199" w:lineRule="exact"/>
              <w:ind w:left="745" w:right="0"/>
              <w:jc w:val="left"/>
              <w:rPr>
                <w:rFonts w:ascii="黑体" w:hAnsi="黑体" w:cs="黑体" w:eastAsia="黑体" w:hint="default"/>
                <w:sz w:val="20"/>
                <w:szCs w:val="20"/>
              </w:rPr>
            </w:pPr>
            <w:r>
              <w:rPr>
                <w:rFonts w:ascii="黑体" w:hAnsi="黑体" w:cs="黑体" w:eastAsia="黑体" w:hint="default"/>
                <w:sz w:val="20"/>
                <w:szCs w:val="20"/>
              </w:rPr>
              <w:t>行权有效期</w:t>
            </w:r>
          </w:p>
        </w:tc>
      </w:tr>
      <w:tr>
        <w:trPr>
          <w:trHeight w:val="493" w:hRule="exact"/>
        </w:trPr>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left="26" w:right="0"/>
              <w:jc w:val="center"/>
              <w:rPr>
                <w:rFonts w:ascii="Arial" w:hAnsi="Arial" w:cs="Arial" w:eastAsia="Arial" w:hint="default"/>
                <w:sz w:val="20"/>
                <w:szCs w:val="20"/>
              </w:rPr>
            </w:pPr>
            <w:r>
              <w:rPr>
                <w:rFonts w:ascii="Arial"/>
                <w:sz w:val="20"/>
              </w:rPr>
              <w:t>19,502,065</w:t>
            </w:r>
          </w:p>
        </w:tc>
        <w:tc>
          <w:tcPr>
            <w:tcW w:w="249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right="103"/>
              <w:jc w:val="center"/>
              <w:rPr>
                <w:rFonts w:ascii="Arial" w:hAnsi="Arial" w:cs="Arial" w:eastAsia="Arial" w:hint="default"/>
                <w:sz w:val="20"/>
                <w:szCs w:val="20"/>
              </w:rPr>
            </w:pPr>
            <w:r>
              <w:rPr>
                <w:rFonts w:ascii="Arial"/>
                <w:sz w:val="20"/>
              </w:rPr>
              <w:t>17,254,983</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right="268"/>
              <w:jc w:val="center"/>
              <w:rPr>
                <w:rFonts w:ascii="Arial" w:hAnsi="Arial" w:cs="Arial" w:eastAsia="Arial" w:hint="default"/>
                <w:sz w:val="20"/>
                <w:szCs w:val="20"/>
              </w:rPr>
            </w:pPr>
            <w:r>
              <w:rPr>
                <w:rFonts w:ascii="Arial"/>
                <w:sz w:val="20"/>
              </w:rPr>
              <w:t>9.12</w:t>
            </w:r>
          </w:p>
        </w:tc>
        <w:tc>
          <w:tcPr>
            <w:tcW w:w="1982" w:type="dxa"/>
            <w:tcBorders>
              <w:top w:val="nil" w:sz="6" w:space="0" w:color="auto"/>
              <w:left w:val="nil" w:sz="6" w:space="0" w:color="auto"/>
              <w:bottom w:val="nil" w:sz="6" w:space="0" w:color="auto"/>
              <w:right w:val="nil" w:sz="6" w:space="0" w:color="auto"/>
            </w:tcBorders>
          </w:tcPr>
          <w:p>
            <w:pPr>
              <w:pStyle w:val="TableParagraph"/>
              <w:spacing w:line="230" w:lineRule="exact"/>
              <w:ind w:left="112" w:right="0"/>
              <w:jc w:val="center"/>
              <w:rPr>
                <w:rFonts w:ascii="黑体" w:hAnsi="黑体" w:cs="黑体" w:eastAsia="黑体" w:hint="default"/>
                <w:sz w:val="20"/>
                <w:szCs w:val="20"/>
              </w:rPr>
            </w:pPr>
            <w:r>
              <w:rPr>
                <w:rFonts w:ascii="Arial" w:hAnsi="Arial" w:cs="Arial" w:eastAsia="Arial" w:hint="default"/>
                <w:sz w:val="20"/>
                <w:szCs w:val="20"/>
              </w:rPr>
              <w:t>2020</w:t>
            </w:r>
            <w:r>
              <w:rPr>
                <w:rFonts w:ascii="黑体" w:hAnsi="黑体" w:cs="黑体" w:eastAsia="黑体" w:hint="default"/>
                <w:sz w:val="20"/>
                <w:szCs w:val="20"/>
              </w:rPr>
              <w:t>年</w:t>
            </w:r>
            <w:r>
              <w:rPr>
                <w:rFonts w:ascii="Arial" w:hAnsi="Arial" w:cs="Arial" w:eastAsia="Arial" w:hint="default"/>
                <w:sz w:val="20"/>
                <w:szCs w:val="20"/>
              </w:rPr>
              <w:t>8</w:t>
            </w:r>
            <w:r>
              <w:rPr>
                <w:rFonts w:ascii="黑体" w:hAnsi="黑体" w:cs="黑体" w:eastAsia="黑体" w:hint="default"/>
                <w:sz w:val="20"/>
                <w:szCs w:val="20"/>
              </w:rPr>
              <w:t>月</w:t>
            </w:r>
            <w:r>
              <w:rPr>
                <w:rFonts w:ascii="Arial" w:hAnsi="Arial" w:cs="Arial" w:eastAsia="Arial" w:hint="default"/>
                <w:sz w:val="20"/>
                <w:szCs w:val="20"/>
              </w:rPr>
              <w:t>5</w:t>
            </w:r>
            <w:r>
              <w:rPr>
                <w:rFonts w:ascii="黑体" w:hAnsi="黑体" w:cs="黑体" w:eastAsia="黑体" w:hint="default"/>
                <w:sz w:val="20"/>
                <w:szCs w:val="20"/>
              </w:rPr>
              <w:t>日至</w:t>
            </w:r>
          </w:p>
          <w:p>
            <w:pPr>
              <w:pStyle w:val="TableParagraph"/>
              <w:spacing w:line="268" w:lineRule="exact"/>
              <w:ind w:left="306" w:right="0"/>
              <w:jc w:val="center"/>
              <w:rPr>
                <w:rFonts w:ascii="黑体" w:hAnsi="黑体" w:cs="黑体" w:eastAsia="黑体" w:hint="default"/>
                <w:sz w:val="20"/>
                <w:szCs w:val="20"/>
              </w:rPr>
            </w:pPr>
            <w:r>
              <w:rPr>
                <w:rFonts w:ascii="Arial" w:hAnsi="Arial" w:cs="Arial" w:eastAsia="Arial" w:hint="default"/>
                <w:sz w:val="20"/>
                <w:szCs w:val="20"/>
              </w:rPr>
              <w:t>2021</w:t>
            </w:r>
            <w:r>
              <w:rPr>
                <w:rFonts w:ascii="黑体" w:hAnsi="黑体" w:cs="黑体" w:eastAsia="黑体" w:hint="default"/>
                <w:sz w:val="20"/>
                <w:szCs w:val="20"/>
              </w:rPr>
              <w:t>年</w:t>
            </w:r>
            <w:r>
              <w:rPr>
                <w:rFonts w:ascii="Arial" w:hAnsi="Arial" w:cs="Arial" w:eastAsia="Arial" w:hint="default"/>
                <w:sz w:val="20"/>
                <w:szCs w:val="20"/>
              </w:rPr>
              <w:t>8</w:t>
            </w:r>
            <w:r>
              <w:rPr>
                <w:rFonts w:ascii="黑体" w:hAnsi="黑体" w:cs="黑体" w:eastAsia="黑体" w:hint="default"/>
                <w:sz w:val="20"/>
                <w:szCs w:val="20"/>
              </w:rPr>
              <w:t>月</w:t>
            </w:r>
            <w:r>
              <w:rPr>
                <w:rFonts w:ascii="Arial" w:hAnsi="Arial" w:cs="Arial" w:eastAsia="Arial" w:hint="default"/>
                <w:sz w:val="20"/>
                <w:szCs w:val="20"/>
              </w:rPr>
              <w:t>4</w:t>
            </w:r>
            <w:r>
              <w:rPr>
                <w:rFonts w:ascii="黑体" w:hAnsi="黑体" w:cs="黑体" w:eastAsia="黑体" w:hint="default"/>
                <w:sz w:val="20"/>
                <w:szCs w:val="20"/>
              </w:rPr>
              <w:t>日</w:t>
            </w:r>
          </w:p>
        </w:tc>
      </w:tr>
    </w:tbl>
    <w:p>
      <w:pPr>
        <w:spacing w:line="240" w:lineRule="auto" w:before="12"/>
        <w:rPr>
          <w:rFonts w:ascii="黑体" w:hAnsi="黑体" w:cs="黑体" w:eastAsia="黑体" w:hint="default"/>
          <w:sz w:val="12"/>
          <w:szCs w:val="12"/>
        </w:rPr>
      </w:pPr>
    </w:p>
    <w:p>
      <w:pPr>
        <w:spacing w:before="37"/>
        <w:ind w:left="318" w:right="0" w:firstLine="0"/>
        <w:jc w:val="both"/>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股票期权的行权价格与数量根据本公司</w:t>
      </w:r>
      <w:r>
        <w:rPr>
          <w:rFonts w:ascii="Arial" w:hAnsi="Arial" w:cs="Arial" w:eastAsia="Arial" w:hint="default"/>
          <w:sz w:val="20"/>
          <w:szCs w:val="20"/>
        </w:rPr>
        <w:t>2017</w:t>
      </w:r>
      <w:r>
        <w:rPr>
          <w:rFonts w:ascii="黑体" w:hAnsi="黑体" w:cs="黑体" w:eastAsia="黑体" w:hint="default"/>
          <w:sz w:val="20"/>
          <w:szCs w:val="20"/>
        </w:rPr>
        <w:t>年和</w:t>
      </w:r>
      <w:r>
        <w:rPr>
          <w:rFonts w:ascii="Arial" w:hAnsi="Arial" w:cs="Arial" w:eastAsia="Arial" w:hint="default"/>
          <w:sz w:val="20"/>
          <w:szCs w:val="20"/>
        </w:rPr>
        <w:t>2018</w:t>
      </w:r>
      <w:r>
        <w:rPr>
          <w:rFonts w:ascii="黑体" w:hAnsi="黑体" w:cs="黑体" w:eastAsia="黑体" w:hint="default"/>
          <w:sz w:val="20"/>
          <w:szCs w:val="20"/>
        </w:rPr>
        <w:t>年的权益分派实施方案进行调整。</w:t>
      </w:r>
    </w:p>
    <w:p>
      <w:pPr>
        <w:spacing w:line="240" w:lineRule="auto" w:before="4"/>
        <w:rPr>
          <w:rFonts w:ascii="黑体" w:hAnsi="黑体" w:cs="黑体" w:eastAsia="黑体" w:hint="default"/>
          <w:sz w:val="18"/>
          <w:szCs w:val="18"/>
        </w:rPr>
      </w:pPr>
    </w:p>
    <w:p>
      <w:pPr>
        <w:spacing w:line="260" w:lineRule="exact" w:before="0"/>
        <w:ind w:left="318" w:right="408" w:firstLine="0"/>
        <w:jc w:val="both"/>
        <w:rPr>
          <w:rFonts w:ascii="黑体" w:hAnsi="黑体" w:cs="黑体" w:eastAsia="黑体" w:hint="default"/>
          <w:sz w:val="20"/>
          <w:szCs w:val="20"/>
        </w:rPr>
      </w:pPr>
      <w:r>
        <w:rPr>
          <w:rFonts w:ascii="黑体" w:hAnsi="黑体" w:cs="黑体" w:eastAsia="黑体" w:hint="default"/>
          <w:w w:val="95"/>
          <w:sz w:val="20"/>
          <w:szCs w:val="20"/>
        </w:rPr>
        <w:t>于</w:t>
      </w:r>
      <w:r>
        <w:rPr>
          <w:rFonts w:ascii="Arial" w:hAnsi="Arial" w:cs="Arial" w:eastAsia="Arial" w:hint="default"/>
          <w:w w:val="95"/>
          <w:sz w:val="20"/>
          <w:szCs w:val="20"/>
        </w:rPr>
        <w:t>2019</w:t>
      </w:r>
      <w:r>
        <w:rPr>
          <w:rFonts w:ascii="黑体" w:hAnsi="黑体" w:cs="黑体" w:eastAsia="黑体" w:hint="default"/>
          <w:w w:val="95"/>
          <w:sz w:val="20"/>
          <w:szCs w:val="20"/>
        </w:rPr>
        <w:t>年</w:t>
      </w:r>
      <w:r>
        <w:rPr>
          <w:rFonts w:ascii="Arial" w:hAnsi="Arial" w:cs="Arial" w:eastAsia="Arial" w:hint="default"/>
          <w:w w:val="95"/>
          <w:sz w:val="20"/>
          <w:szCs w:val="20"/>
        </w:rPr>
        <w:t>12</w:t>
      </w:r>
      <w:r>
        <w:rPr>
          <w:rFonts w:ascii="黑体" w:hAnsi="黑体" w:cs="黑体" w:eastAsia="黑体" w:hint="default"/>
          <w:w w:val="95"/>
          <w:sz w:val="20"/>
          <w:szCs w:val="20"/>
        </w:rPr>
        <w:t>月</w:t>
      </w:r>
      <w:r>
        <w:rPr>
          <w:rFonts w:ascii="Arial" w:hAnsi="Arial" w:cs="Arial" w:eastAsia="Arial" w:hint="default"/>
          <w:w w:val="95"/>
          <w:sz w:val="20"/>
          <w:szCs w:val="20"/>
        </w:rPr>
        <w:t>31</w:t>
      </w:r>
      <w:r>
        <w:rPr>
          <w:rFonts w:ascii="黑体" w:hAnsi="黑体" w:cs="黑体" w:eastAsia="黑体" w:hint="default"/>
          <w:w w:val="95"/>
          <w:sz w:val="20"/>
          <w:szCs w:val="20"/>
        </w:rPr>
        <w:t>日，本公司在本计划下发行在外的股票期权为</w:t>
      </w:r>
      <w:r>
        <w:rPr>
          <w:rFonts w:ascii="Arial" w:hAnsi="Arial" w:cs="Arial" w:eastAsia="Arial" w:hint="default"/>
          <w:w w:val="95"/>
          <w:sz w:val="20"/>
          <w:szCs w:val="20"/>
        </w:rPr>
        <w:t>19,502,065</w:t>
      </w:r>
      <w:r>
        <w:rPr>
          <w:rFonts w:ascii="黑体" w:hAnsi="黑体" w:cs="黑体" w:eastAsia="黑体" w:hint="default"/>
          <w:w w:val="95"/>
          <w:sz w:val="20"/>
          <w:szCs w:val="20"/>
        </w:rPr>
        <w:t>份，因</w:t>
      </w:r>
      <w:r>
        <w:rPr>
          <w:rFonts w:ascii="Arial" w:hAnsi="Arial" w:cs="Arial" w:eastAsia="Arial" w:hint="default"/>
          <w:w w:val="95"/>
          <w:sz w:val="20"/>
          <w:szCs w:val="20"/>
        </w:rPr>
        <w:t>2019</w:t>
      </w:r>
      <w:r>
        <w:rPr>
          <w:rFonts w:ascii="黑体" w:hAnsi="黑体" w:cs="黑体" w:eastAsia="黑体" w:hint="default"/>
          <w:w w:val="95"/>
          <w:sz w:val="20"/>
          <w:szCs w:val="20"/>
        </w:rPr>
        <w:t>年公司业</w:t>
      </w:r>
      <w:r>
        <w:rPr>
          <w:rFonts w:ascii="黑体" w:hAnsi="黑体" w:cs="黑体" w:eastAsia="黑体" w:hint="default"/>
          <w:spacing w:val="3"/>
          <w:w w:val="95"/>
          <w:sz w:val="20"/>
          <w:szCs w:val="20"/>
        </w:rPr>
        <w:t> </w:t>
      </w:r>
      <w:r>
        <w:rPr>
          <w:rFonts w:ascii="黑体" w:hAnsi="黑体" w:cs="黑体" w:eastAsia="黑体" w:hint="default"/>
          <w:sz w:val="20"/>
          <w:szCs w:val="20"/>
        </w:rPr>
        <w:t>绩已达到</w:t>
      </w:r>
      <w:r>
        <w:rPr>
          <w:rFonts w:ascii="Arial" w:hAnsi="Arial" w:cs="Arial" w:eastAsia="Arial" w:hint="default"/>
          <w:sz w:val="20"/>
          <w:szCs w:val="20"/>
        </w:rPr>
        <w:t>2019</w:t>
      </w:r>
      <w:r>
        <w:rPr>
          <w:rFonts w:ascii="黑体" w:hAnsi="黑体" w:cs="黑体" w:eastAsia="黑体" w:hint="default"/>
          <w:sz w:val="20"/>
          <w:szCs w:val="20"/>
        </w:rPr>
        <w:t>年股票期权激励计划的行权条件，预计</w:t>
      </w:r>
      <w:r>
        <w:rPr>
          <w:rFonts w:ascii="Arial" w:hAnsi="Arial" w:cs="Arial" w:eastAsia="Arial" w:hint="default"/>
          <w:sz w:val="20"/>
          <w:szCs w:val="20"/>
        </w:rPr>
        <w:t>2020</w:t>
      </w:r>
      <w:r>
        <w:rPr>
          <w:rFonts w:ascii="黑体" w:hAnsi="黑体" w:cs="黑体" w:eastAsia="黑体" w:hint="default"/>
          <w:sz w:val="20"/>
          <w:szCs w:val="20"/>
        </w:rPr>
        <w:t>年可行权期权份数为</w:t>
      </w:r>
      <w:r>
        <w:rPr>
          <w:rFonts w:ascii="Arial" w:hAnsi="Arial" w:cs="Arial" w:eastAsia="Arial" w:hint="default"/>
          <w:sz w:val="20"/>
          <w:szCs w:val="20"/>
        </w:rPr>
        <w:t>17,254,983</w:t>
      </w:r>
      <w:r>
        <w:rPr>
          <w:rFonts w:ascii="黑体" w:hAnsi="黑体" w:cs="黑体" w:eastAsia="黑体" w:hint="default"/>
          <w:sz w:val="20"/>
          <w:szCs w:val="20"/>
        </w:rPr>
        <w:t>份。</w:t>
      </w:r>
    </w:p>
    <w:p>
      <w:pPr>
        <w:spacing w:line="240" w:lineRule="auto" w:before="8"/>
        <w:rPr>
          <w:rFonts w:ascii="黑体" w:hAnsi="黑体" w:cs="黑体" w:eastAsia="黑体" w:hint="default"/>
          <w:sz w:val="15"/>
          <w:szCs w:val="15"/>
        </w:rPr>
      </w:pPr>
    </w:p>
    <w:p>
      <w:pPr>
        <w:spacing w:before="0"/>
        <w:ind w:left="318" w:right="0" w:firstLine="0"/>
        <w:jc w:val="both"/>
        <w:rPr>
          <w:rFonts w:ascii="黑体" w:hAnsi="黑体" w:cs="黑体" w:eastAsia="黑体" w:hint="default"/>
          <w:sz w:val="20"/>
          <w:szCs w:val="20"/>
        </w:rPr>
      </w:pPr>
      <w:r>
        <w:rPr>
          <w:rFonts w:ascii="Arial" w:hAnsi="Arial" w:cs="Arial" w:eastAsia="Arial" w:hint="default"/>
          <w:sz w:val="20"/>
          <w:szCs w:val="20"/>
        </w:rPr>
        <w:t>2018</w:t>
      </w:r>
      <w:r>
        <w:rPr>
          <w:rFonts w:ascii="黑体" w:hAnsi="黑体" w:cs="黑体" w:eastAsia="黑体" w:hint="default"/>
          <w:sz w:val="20"/>
          <w:szCs w:val="20"/>
        </w:rPr>
        <w:t>年股份支付计划</w:t>
      </w:r>
    </w:p>
    <w:p>
      <w:pPr>
        <w:spacing w:line="240" w:lineRule="auto" w:before="3"/>
        <w:rPr>
          <w:rFonts w:ascii="黑体" w:hAnsi="黑体" w:cs="黑体" w:eastAsia="黑体" w:hint="default"/>
          <w:sz w:val="17"/>
          <w:szCs w:val="17"/>
        </w:rPr>
      </w:pPr>
    </w:p>
    <w:p>
      <w:pPr>
        <w:spacing w:line="228" w:lineRule="auto" w:before="0"/>
        <w:ind w:left="318" w:right="411" w:firstLine="0"/>
        <w:jc w:val="both"/>
        <w:rPr>
          <w:rFonts w:ascii="黑体" w:hAnsi="黑体" w:cs="黑体" w:eastAsia="黑体" w:hint="default"/>
          <w:sz w:val="20"/>
          <w:szCs w:val="20"/>
        </w:rPr>
      </w:pPr>
      <w:r>
        <w:rPr>
          <w:rFonts w:ascii="黑体" w:hAnsi="黑体" w:cs="黑体" w:eastAsia="黑体" w:hint="default"/>
          <w:spacing w:val="-1"/>
          <w:w w:val="95"/>
          <w:sz w:val="20"/>
          <w:szCs w:val="20"/>
        </w:rPr>
        <w:t>本公司于</w:t>
      </w:r>
      <w:r>
        <w:rPr>
          <w:rFonts w:ascii="Arial" w:hAnsi="Arial" w:cs="Arial" w:eastAsia="Arial" w:hint="default"/>
          <w:spacing w:val="-1"/>
          <w:w w:val="95"/>
          <w:sz w:val="20"/>
          <w:szCs w:val="20"/>
        </w:rPr>
        <w:t>2018</w:t>
      </w:r>
      <w:r>
        <w:rPr>
          <w:rFonts w:ascii="黑体" w:hAnsi="黑体" w:cs="黑体" w:eastAsia="黑体" w:hint="default"/>
          <w:spacing w:val="-1"/>
          <w:w w:val="95"/>
          <w:sz w:val="20"/>
          <w:szCs w:val="20"/>
        </w:rPr>
        <w:t>年</w:t>
      </w:r>
      <w:r>
        <w:rPr>
          <w:rFonts w:ascii="Arial" w:hAnsi="Arial" w:cs="Arial" w:eastAsia="Arial" w:hint="default"/>
          <w:spacing w:val="-1"/>
          <w:w w:val="95"/>
          <w:sz w:val="20"/>
          <w:szCs w:val="20"/>
        </w:rPr>
        <w:t>8</w:t>
      </w:r>
      <w:r>
        <w:rPr>
          <w:rFonts w:ascii="黑体" w:hAnsi="黑体" w:cs="黑体" w:eastAsia="黑体" w:hint="default"/>
          <w:spacing w:val="-1"/>
          <w:w w:val="95"/>
          <w:sz w:val="20"/>
          <w:szCs w:val="20"/>
        </w:rPr>
        <w:t>月</w:t>
      </w:r>
      <w:r>
        <w:rPr>
          <w:rFonts w:ascii="Arial" w:hAnsi="Arial" w:cs="Arial" w:eastAsia="Arial" w:hint="default"/>
          <w:spacing w:val="-1"/>
          <w:w w:val="95"/>
          <w:sz w:val="20"/>
          <w:szCs w:val="20"/>
        </w:rPr>
        <w:t>30</w:t>
      </w:r>
      <w:r>
        <w:rPr>
          <w:rFonts w:ascii="黑体" w:hAnsi="黑体" w:cs="黑体" w:eastAsia="黑体" w:hint="default"/>
          <w:spacing w:val="-1"/>
          <w:w w:val="95"/>
          <w:sz w:val="20"/>
          <w:szCs w:val="20"/>
        </w:rPr>
        <w:t>日召开公司第七届董事会第二十五次会议，审议通过了《用友网络科技股</w:t>
      </w:r>
      <w:r>
        <w:rPr>
          <w:rFonts w:ascii="黑体" w:hAnsi="黑体" w:cs="黑体" w:eastAsia="黑体" w:hint="default"/>
          <w:spacing w:val="7"/>
          <w:w w:val="95"/>
          <w:sz w:val="20"/>
          <w:szCs w:val="20"/>
        </w:rPr>
        <w:t> </w:t>
      </w:r>
      <w:r>
        <w:rPr>
          <w:rFonts w:ascii="黑体" w:hAnsi="黑体" w:cs="黑体" w:eastAsia="黑体" w:hint="default"/>
          <w:spacing w:val="7"/>
          <w:w w:val="95"/>
          <w:sz w:val="20"/>
          <w:szCs w:val="20"/>
        </w:rPr>
      </w:r>
      <w:r>
        <w:rPr>
          <w:rFonts w:ascii="黑体" w:hAnsi="黑体" w:cs="黑体" w:eastAsia="黑体" w:hint="default"/>
          <w:sz w:val="20"/>
          <w:szCs w:val="20"/>
        </w:rPr>
        <w:t>份有限公司 </w:t>
      </w:r>
      <w:r>
        <w:rPr>
          <w:rFonts w:ascii="Arial" w:hAnsi="Arial" w:cs="Arial" w:eastAsia="Arial" w:hint="default"/>
          <w:sz w:val="20"/>
          <w:szCs w:val="20"/>
        </w:rPr>
        <w:t>2018 </w:t>
      </w:r>
      <w:r>
        <w:rPr>
          <w:rFonts w:ascii="黑体" w:hAnsi="黑体" w:cs="黑体" w:eastAsia="黑体" w:hint="default"/>
          <w:spacing w:val="-4"/>
          <w:sz w:val="20"/>
          <w:szCs w:val="20"/>
        </w:rPr>
        <w:t>年股票期权与限制性股票激励计划（草</w:t>
      </w:r>
      <w:r>
        <w:rPr>
          <w:rFonts w:ascii="黑体" w:hAnsi="黑体" w:cs="黑体" w:eastAsia="黑体" w:hint="default"/>
          <w:spacing w:val="-19"/>
          <w:sz w:val="20"/>
          <w:szCs w:val="20"/>
        </w:rPr>
        <w:t> </w:t>
      </w:r>
      <w:r>
        <w:rPr>
          <w:rFonts w:ascii="黑体" w:hAnsi="黑体" w:cs="黑体" w:eastAsia="黑体" w:hint="default"/>
          <w:spacing w:val="-11"/>
          <w:sz w:val="20"/>
          <w:szCs w:val="20"/>
        </w:rPr>
        <w:t>案）及摘要的议案》并出具公告。</w:t>
      </w:r>
      <w:r>
        <w:rPr>
          <w:rFonts w:ascii="Arial" w:hAnsi="Arial" w:cs="Arial" w:eastAsia="Arial" w:hint="default"/>
          <w:spacing w:val="-11"/>
          <w:sz w:val="20"/>
          <w:szCs w:val="20"/>
        </w:rPr>
        <w:t>2018</w:t>
      </w:r>
      <w:r>
        <w:rPr>
          <w:rFonts w:ascii="Arial" w:hAnsi="Arial" w:cs="Arial" w:eastAsia="Arial" w:hint="default"/>
          <w:spacing w:val="-1"/>
          <w:w w:val="99"/>
          <w:sz w:val="20"/>
          <w:szCs w:val="20"/>
        </w:rPr>
        <w:t> </w:t>
      </w:r>
      <w:r>
        <w:rPr>
          <w:rFonts w:ascii="黑体" w:hAnsi="黑体" w:cs="黑体" w:eastAsia="黑体" w:hint="default"/>
          <w:spacing w:val="2"/>
          <w:w w:val="95"/>
          <w:sz w:val="20"/>
          <w:szCs w:val="20"/>
        </w:rPr>
        <w:t>年</w:t>
      </w:r>
      <w:r>
        <w:rPr>
          <w:rFonts w:ascii="Arial" w:hAnsi="Arial" w:cs="Arial" w:eastAsia="Arial" w:hint="default"/>
          <w:spacing w:val="2"/>
          <w:w w:val="95"/>
          <w:sz w:val="20"/>
          <w:szCs w:val="20"/>
        </w:rPr>
        <w:t>9</w:t>
      </w:r>
      <w:r>
        <w:rPr>
          <w:rFonts w:ascii="黑体" w:hAnsi="黑体" w:cs="黑体" w:eastAsia="黑体" w:hint="default"/>
          <w:spacing w:val="2"/>
          <w:w w:val="95"/>
          <w:sz w:val="20"/>
          <w:szCs w:val="20"/>
        </w:rPr>
        <w:t>月</w:t>
      </w:r>
      <w:r>
        <w:rPr>
          <w:rFonts w:ascii="Arial" w:hAnsi="Arial" w:cs="Arial" w:eastAsia="Arial" w:hint="default"/>
          <w:spacing w:val="2"/>
          <w:w w:val="95"/>
          <w:sz w:val="20"/>
          <w:szCs w:val="20"/>
        </w:rPr>
        <w:t>15</w:t>
      </w:r>
      <w:r>
        <w:rPr>
          <w:rFonts w:ascii="黑体" w:hAnsi="黑体" w:cs="黑体" w:eastAsia="黑体" w:hint="default"/>
          <w:spacing w:val="2"/>
          <w:w w:val="95"/>
          <w:sz w:val="20"/>
          <w:szCs w:val="20"/>
        </w:rPr>
        <w:t>日，公司</w:t>
      </w:r>
      <w:r>
        <w:rPr>
          <w:rFonts w:ascii="Arial" w:hAnsi="Arial" w:cs="Arial" w:eastAsia="Arial" w:hint="default"/>
          <w:spacing w:val="2"/>
          <w:w w:val="95"/>
          <w:sz w:val="20"/>
          <w:szCs w:val="20"/>
        </w:rPr>
        <w:t>2018</w:t>
      </w:r>
      <w:r>
        <w:rPr>
          <w:rFonts w:ascii="黑体" w:hAnsi="黑体" w:cs="黑体" w:eastAsia="黑体" w:hint="default"/>
          <w:spacing w:val="2"/>
          <w:w w:val="95"/>
          <w:sz w:val="20"/>
          <w:szCs w:val="20"/>
        </w:rPr>
        <w:t>年第二次临时股东大会审议并通过了《用友网络科技股份有限公司</w:t>
      </w:r>
      <w:r>
        <w:rPr>
          <w:rFonts w:ascii="Arial" w:hAnsi="Arial" w:cs="Arial" w:eastAsia="Arial" w:hint="default"/>
          <w:spacing w:val="2"/>
          <w:w w:val="95"/>
          <w:sz w:val="20"/>
          <w:szCs w:val="20"/>
        </w:rPr>
        <w:t>2017</w:t>
      </w:r>
      <w:r>
        <w:rPr>
          <w:rFonts w:ascii="Arial" w:hAnsi="Arial" w:cs="Arial" w:eastAsia="Arial" w:hint="default"/>
          <w:spacing w:val="11"/>
          <w:w w:val="95"/>
          <w:sz w:val="20"/>
          <w:szCs w:val="20"/>
        </w:rPr>
        <w:t> </w:t>
      </w:r>
      <w:r>
        <w:rPr>
          <w:rFonts w:ascii="黑体" w:hAnsi="黑体" w:cs="黑体" w:eastAsia="黑体" w:hint="default"/>
          <w:spacing w:val="-2"/>
          <w:sz w:val="20"/>
          <w:szCs w:val="20"/>
        </w:rPr>
        <w:t>年股票期权与限制性股票激励计划（草案）及其摘要》，决定向激励对象授予股票期权与限制性</w:t>
      </w:r>
      <w:r>
        <w:rPr>
          <w:rFonts w:ascii="黑体" w:hAnsi="黑体" w:cs="黑体" w:eastAsia="黑体" w:hint="default"/>
          <w:w w:val="99"/>
          <w:sz w:val="20"/>
          <w:szCs w:val="20"/>
        </w:rPr>
        <w:t> </w:t>
      </w:r>
      <w:r>
        <w:rPr>
          <w:rFonts w:ascii="黑体" w:hAnsi="黑体" w:cs="黑体" w:eastAsia="黑体" w:hint="default"/>
          <w:sz w:val="20"/>
          <w:szCs w:val="20"/>
        </w:rPr>
        <w:t>股票</w:t>
      </w:r>
      <w:r>
        <w:rPr>
          <w:rFonts w:ascii="Arial" w:hAnsi="Arial" w:cs="Arial" w:eastAsia="Arial" w:hint="default"/>
          <w:sz w:val="20"/>
          <w:szCs w:val="20"/>
        </w:rPr>
        <w:t>(</w:t>
      </w:r>
      <w:r>
        <w:rPr>
          <w:rFonts w:ascii="黑体" w:hAnsi="黑体" w:cs="黑体" w:eastAsia="黑体" w:hint="default"/>
          <w:sz w:val="20"/>
          <w:szCs w:val="20"/>
        </w:rPr>
        <w:t>以下简称</w:t>
      </w:r>
      <w:r>
        <w:rPr>
          <w:rFonts w:ascii="Arial" w:hAnsi="Arial" w:cs="Arial" w:eastAsia="Arial" w:hint="default"/>
          <w:sz w:val="20"/>
          <w:szCs w:val="20"/>
        </w:rPr>
        <w:t>“2018</w:t>
      </w:r>
      <w:r>
        <w:rPr>
          <w:rFonts w:ascii="黑体" w:hAnsi="黑体" w:cs="黑体" w:eastAsia="黑体" w:hint="default"/>
          <w:sz w:val="20"/>
          <w:szCs w:val="20"/>
        </w:rPr>
        <w:t>年授予计划</w:t>
      </w:r>
      <w:r>
        <w:rPr>
          <w:rFonts w:ascii="Arial" w:hAnsi="Arial" w:cs="Arial" w:eastAsia="Arial" w:hint="default"/>
          <w:sz w:val="20"/>
          <w:szCs w:val="20"/>
        </w:rPr>
        <w:t>”)</w:t>
      </w:r>
      <w:r>
        <w:rPr>
          <w:rFonts w:ascii="黑体" w:hAnsi="黑体" w:cs="黑体" w:eastAsia="黑体" w:hint="default"/>
          <w:sz w:val="20"/>
          <w:szCs w:val="20"/>
        </w:rPr>
        <w:t>。本公司</w:t>
      </w:r>
      <w:r>
        <w:rPr>
          <w:rFonts w:ascii="Arial" w:hAnsi="Arial" w:cs="Arial" w:eastAsia="Arial" w:hint="default"/>
          <w:sz w:val="20"/>
          <w:szCs w:val="20"/>
        </w:rPr>
        <w:t>2018</w:t>
      </w:r>
      <w:r>
        <w:rPr>
          <w:rFonts w:ascii="黑体" w:hAnsi="黑体" w:cs="黑体" w:eastAsia="黑体" w:hint="default"/>
          <w:sz w:val="20"/>
          <w:szCs w:val="20"/>
        </w:rPr>
        <w:t>年授予计划的授予日为</w:t>
      </w:r>
      <w:r>
        <w:rPr>
          <w:rFonts w:ascii="Arial" w:hAnsi="Arial" w:cs="Arial" w:eastAsia="Arial" w:hint="default"/>
          <w:sz w:val="20"/>
          <w:szCs w:val="20"/>
        </w:rPr>
        <w:t>2018</w:t>
      </w:r>
      <w:r>
        <w:rPr>
          <w:rFonts w:ascii="黑体" w:hAnsi="黑体" w:cs="黑体" w:eastAsia="黑体" w:hint="default"/>
          <w:sz w:val="20"/>
          <w:szCs w:val="20"/>
        </w:rPr>
        <w:t>年</w:t>
      </w:r>
      <w:r>
        <w:rPr>
          <w:rFonts w:ascii="Arial" w:hAnsi="Arial" w:cs="Arial" w:eastAsia="Arial" w:hint="default"/>
          <w:sz w:val="20"/>
          <w:szCs w:val="20"/>
        </w:rPr>
        <w:t>10</w:t>
      </w:r>
      <w:r>
        <w:rPr>
          <w:rFonts w:ascii="黑体" w:hAnsi="黑体" w:cs="黑体" w:eastAsia="黑体" w:hint="default"/>
          <w:sz w:val="20"/>
          <w:szCs w:val="20"/>
        </w:rPr>
        <w:t>月</w:t>
      </w:r>
      <w:r>
        <w:rPr>
          <w:rFonts w:ascii="Arial" w:hAnsi="Arial" w:cs="Arial" w:eastAsia="Arial" w:hint="default"/>
          <w:sz w:val="20"/>
          <w:szCs w:val="20"/>
        </w:rPr>
        <w:t>17</w:t>
      </w:r>
      <w:r>
        <w:rPr>
          <w:rFonts w:ascii="黑体" w:hAnsi="黑体" w:cs="黑体" w:eastAsia="黑体" w:hint="default"/>
          <w:sz w:val="20"/>
          <w:szCs w:val="20"/>
        </w:rPr>
        <w:t>日。</w:t>
      </w:r>
    </w:p>
    <w:p>
      <w:pPr>
        <w:spacing w:line="240" w:lineRule="auto" w:before="4"/>
        <w:rPr>
          <w:rFonts w:ascii="黑体" w:hAnsi="黑体" w:cs="黑体" w:eastAsia="黑体" w:hint="default"/>
          <w:sz w:val="16"/>
          <w:szCs w:val="16"/>
        </w:rPr>
      </w:pPr>
    </w:p>
    <w:p>
      <w:pPr>
        <w:spacing w:before="0"/>
        <w:ind w:left="318" w:right="0" w:firstLine="0"/>
        <w:jc w:val="both"/>
        <w:rPr>
          <w:rFonts w:ascii="黑体" w:hAnsi="黑体" w:cs="黑体" w:eastAsia="黑体" w:hint="default"/>
          <w:sz w:val="20"/>
          <w:szCs w:val="20"/>
        </w:rPr>
      </w:pPr>
      <w:r>
        <w:rPr>
          <w:rFonts w:ascii="黑体" w:hAnsi="黑体" w:cs="黑体" w:eastAsia="黑体" w:hint="default"/>
          <w:sz w:val="20"/>
          <w:szCs w:val="20"/>
        </w:rPr>
        <w:t>（</w:t>
      </w:r>
      <w:r>
        <w:rPr>
          <w:rFonts w:ascii="Arial" w:hAnsi="Arial" w:cs="Arial" w:eastAsia="Arial" w:hint="default"/>
          <w:sz w:val="20"/>
          <w:szCs w:val="20"/>
        </w:rPr>
        <w:t>1</w:t>
      </w:r>
      <w:r>
        <w:rPr>
          <w:rFonts w:ascii="黑体" w:hAnsi="黑体" w:cs="黑体" w:eastAsia="黑体" w:hint="default"/>
          <w:sz w:val="20"/>
          <w:szCs w:val="20"/>
        </w:rPr>
        <w:t>）限制性股票激励计划</w:t>
      </w:r>
    </w:p>
    <w:p>
      <w:pPr>
        <w:spacing w:line="240" w:lineRule="auto" w:before="4"/>
        <w:rPr>
          <w:rFonts w:ascii="黑体" w:hAnsi="黑体" w:cs="黑体" w:eastAsia="黑体" w:hint="default"/>
          <w:sz w:val="18"/>
          <w:szCs w:val="18"/>
        </w:rPr>
      </w:pPr>
    </w:p>
    <w:p>
      <w:pPr>
        <w:spacing w:line="260" w:lineRule="exact" w:before="0"/>
        <w:ind w:left="318" w:right="411" w:firstLine="0"/>
        <w:jc w:val="both"/>
        <w:rPr>
          <w:rFonts w:ascii="黑体" w:hAnsi="黑体" w:cs="黑体" w:eastAsia="黑体" w:hint="default"/>
          <w:sz w:val="20"/>
          <w:szCs w:val="20"/>
        </w:rPr>
      </w:pPr>
      <w:r>
        <w:rPr>
          <w:rFonts w:ascii="黑体" w:hAnsi="黑体" w:cs="黑体" w:eastAsia="黑体" w:hint="default"/>
          <w:spacing w:val="-2"/>
          <w:sz w:val="20"/>
          <w:szCs w:val="20"/>
        </w:rPr>
        <w:t>本公司</w:t>
      </w:r>
      <w:r>
        <w:rPr>
          <w:rFonts w:ascii="Arial" w:hAnsi="Arial" w:cs="Arial" w:eastAsia="Arial" w:hint="default"/>
          <w:spacing w:val="-2"/>
          <w:sz w:val="20"/>
          <w:szCs w:val="20"/>
        </w:rPr>
        <w:t>2018</w:t>
      </w:r>
      <w:r>
        <w:rPr>
          <w:rFonts w:ascii="黑体" w:hAnsi="黑体" w:cs="黑体" w:eastAsia="黑体" w:hint="default"/>
          <w:spacing w:val="-2"/>
          <w:sz w:val="20"/>
          <w:szCs w:val="20"/>
        </w:rPr>
        <w:t>年发行了新限制性股票激励计划，向</w:t>
      </w:r>
      <w:r>
        <w:rPr>
          <w:rFonts w:ascii="Arial" w:hAnsi="Arial" w:cs="Arial" w:eastAsia="Arial" w:hint="default"/>
          <w:spacing w:val="-2"/>
          <w:sz w:val="20"/>
          <w:szCs w:val="20"/>
        </w:rPr>
        <w:t>28</w:t>
      </w:r>
      <w:r>
        <w:rPr>
          <w:rFonts w:ascii="黑体" w:hAnsi="黑体" w:cs="黑体" w:eastAsia="黑体" w:hint="default"/>
          <w:spacing w:val="-2"/>
          <w:sz w:val="20"/>
          <w:szCs w:val="20"/>
        </w:rPr>
        <w:t>位激励对象授予限制性股票</w:t>
      </w:r>
      <w:r>
        <w:rPr>
          <w:rFonts w:ascii="Arial" w:hAnsi="Arial" w:cs="Arial" w:eastAsia="Arial" w:hint="default"/>
          <w:spacing w:val="-2"/>
          <w:sz w:val="20"/>
          <w:szCs w:val="20"/>
        </w:rPr>
        <w:t>442,030</w:t>
      </w:r>
      <w:r>
        <w:rPr>
          <w:rFonts w:ascii="黑体" w:hAnsi="黑体" w:cs="黑体" w:eastAsia="黑体" w:hint="default"/>
          <w:spacing w:val="-2"/>
          <w:sz w:val="20"/>
          <w:szCs w:val="20"/>
        </w:rPr>
        <w:t>股，限制</w:t>
      </w:r>
      <w:r>
        <w:rPr>
          <w:rFonts w:ascii="黑体" w:hAnsi="黑体" w:cs="黑体" w:eastAsia="黑体" w:hint="default"/>
          <w:spacing w:val="-90"/>
          <w:sz w:val="20"/>
          <w:szCs w:val="20"/>
        </w:rPr>
        <w:t> </w:t>
      </w:r>
      <w:r>
        <w:rPr>
          <w:rFonts w:ascii="黑体" w:hAnsi="黑体" w:cs="黑体" w:eastAsia="黑体" w:hint="default"/>
          <w:spacing w:val="-90"/>
          <w:sz w:val="20"/>
          <w:szCs w:val="20"/>
        </w:rPr>
      </w:r>
      <w:r>
        <w:rPr>
          <w:rFonts w:ascii="黑体" w:hAnsi="黑体" w:cs="黑体" w:eastAsia="黑体" w:hint="default"/>
          <w:w w:val="95"/>
          <w:sz w:val="20"/>
          <w:szCs w:val="20"/>
        </w:rPr>
        <w:t>性股票的授予价格为</w:t>
      </w:r>
      <w:r>
        <w:rPr>
          <w:rFonts w:ascii="Arial" w:hAnsi="Arial" w:cs="Arial" w:eastAsia="Arial" w:hint="default"/>
          <w:w w:val="95"/>
          <w:sz w:val="20"/>
          <w:szCs w:val="20"/>
        </w:rPr>
        <w:t>5.99</w:t>
      </w:r>
      <w:r>
        <w:rPr>
          <w:rFonts w:ascii="黑体" w:hAnsi="黑体" w:cs="黑体" w:eastAsia="黑体" w:hint="default"/>
          <w:w w:val="95"/>
          <w:sz w:val="20"/>
          <w:szCs w:val="20"/>
        </w:rPr>
        <w:t>元，股票来源为公司从二级市场回购的本公司</w:t>
      </w:r>
      <w:r>
        <w:rPr>
          <w:rFonts w:ascii="Arial" w:hAnsi="Arial" w:cs="Arial" w:eastAsia="Arial" w:hint="default"/>
          <w:w w:val="95"/>
          <w:sz w:val="20"/>
          <w:szCs w:val="20"/>
        </w:rPr>
        <w:t>A</w:t>
      </w:r>
      <w:r>
        <w:rPr>
          <w:rFonts w:ascii="黑体" w:hAnsi="黑体" w:cs="黑体" w:eastAsia="黑体" w:hint="default"/>
          <w:w w:val="95"/>
          <w:sz w:val="20"/>
          <w:szCs w:val="20"/>
        </w:rPr>
        <w:t>股普通股。获授的限制</w:t>
      </w:r>
      <w:r>
        <w:rPr>
          <w:rFonts w:ascii="黑体" w:hAnsi="黑体" w:cs="黑体" w:eastAsia="黑体" w:hint="default"/>
          <w:spacing w:val="19"/>
          <w:w w:val="95"/>
          <w:sz w:val="20"/>
          <w:szCs w:val="20"/>
        </w:rPr>
        <w:t> </w:t>
      </w:r>
      <w:r>
        <w:rPr>
          <w:rFonts w:ascii="黑体" w:hAnsi="黑体" w:cs="黑体" w:eastAsia="黑体" w:hint="default"/>
          <w:spacing w:val="19"/>
          <w:w w:val="95"/>
          <w:sz w:val="20"/>
          <w:szCs w:val="20"/>
        </w:rPr>
      </w:r>
      <w:r>
        <w:rPr>
          <w:rFonts w:ascii="黑体" w:hAnsi="黑体" w:cs="黑体" w:eastAsia="黑体" w:hint="default"/>
          <w:sz w:val="20"/>
          <w:szCs w:val="20"/>
        </w:rPr>
        <w:t>性股票应在授予日起满</w:t>
      </w:r>
      <w:r>
        <w:rPr>
          <w:rFonts w:ascii="Arial" w:hAnsi="Arial" w:cs="Arial" w:eastAsia="Arial" w:hint="default"/>
          <w:sz w:val="20"/>
          <w:szCs w:val="20"/>
        </w:rPr>
        <w:t>12</w:t>
      </w:r>
      <w:r>
        <w:rPr>
          <w:rFonts w:ascii="黑体" w:hAnsi="黑体" w:cs="黑体" w:eastAsia="黑体" w:hint="default"/>
          <w:sz w:val="20"/>
          <w:szCs w:val="20"/>
        </w:rPr>
        <w:t>个月后的未来</w:t>
      </w:r>
      <w:r>
        <w:rPr>
          <w:rFonts w:ascii="Arial" w:hAnsi="Arial" w:cs="Arial" w:eastAsia="Arial" w:hint="default"/>
          <w:sz w:val="20"/>
          <w:szCs w:val="20"/>
        </w:rPr>
        <w:t>36</w:t>
      </w:r>
      <w:r>
        <w:rPr>
          <w:rFonts w:ascii="黑体" w:hAnsi="黑体" w:cs="黑体" w:eastAsia="黑体" w:hint="default"/>
          <w:sz w:val="20"/>
          <w:szCs w:val="20"/>
        </w:rPr>
        <w:t>个月内分三期解锁。具体安排如下：</w:t>
      </w:r>
    </w:p>
    <w:p>
      <w:pPr>
        <w:spacing w:line="240" w:lineRule="auto" w:before="10"/>
        <w:rPr>
          <w:rFonts w:ascii="黑体" w:hAnsi="黑体" w:cs="黑体" w:eastAsia="黑体"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2076"/>
        <w:gridCol w:w="5210"/>
        <w:gridCol w:w="1216"/>
      </w:tblGrid>
      <w:tr>
        <w:trPr>
          <w:trHeight w:val="258"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199" w:lineRule="exact"/>
              <w:ind w:left="478" w:right="0"/>
              <w:jc w:val="left"/>
              <w:rPr>
                <w:rFonts w:ascii="黑体" w:hAnsi="黑体" w:cs="黑体" w:eastAsia="黑体" w:hint="default"/>
                <w:sz w:val="20"/>
                <w:szCs w:val="20"/>
              </w:rPr>
            </w:pPr>
            <w:r>
              <w:rPr>
                <w:rFonts w:ascii="黑体" w:hAnsi="黑体" w:cs="黑体" w:eastAsia="黑体" w:hint="default"/>
                <w:sz w:val="20"/>
                <w:szCs w:val="20"/>
              </w:rPr>
              <w:t>解除限售安排</w:t>
            </w:r>
          </w:p>
        </w:tc>
        <w:tc>
          <w:tcPr>
            <w:tcW w:w="5210" w:type="dxa"/>
            <w:tcBorders>
              <w:top w:val="nil" w:sz="6" w:space="0" w:color="auto"/>
              <w:left w:val="nil" w:sz="6" w:space="0" w:color="auto"/>
              <w:bottom w:val="nil" w:sz="6" w:space="0" w:color="auto"/>
              <w:right w:val="nil" w:sz="6" w:space="0" w:color="auto"/>
            </w:tcBorders>
          </w:tcPr>
          <w:p>
            <w:pPr>
              <w:pStyle w:val="TableParagraph"/>
              <w:spacing w:line="199" w:lineRule="exact"/>
              <w:ind w:right="114"/>
              <w:jc w:val="center"/>
              <w:rPr>
                <w:rFonts w:ascii="黑体" w:hAnsi="黑体" w:cs="黑体" w:eastAsia="黑体" w:hint="default"/>
                <w:sz w:val="20"/>
                <w:szCs w:val="20"/>
              </w:rPr>
            </w:pPr>
            <w:r>
              <w:rPr>
                <w:rFonts w:ascii="黑体" w:hAnsi="黑体" w:cs="黑体" w:eastAsia="黑体" w:hint="default"/>
                <w:sz w:val="20"/>
                <w:szCs w:val="20"/>
              </w:rPr>
              <w:t>解锁时间</w:t>
            </w:r>
          </w:p>
        </w:tc>
        <w:tc>
          <w:tcPr>
            <w:tcW w:w="1216" w:type="dxa"/>
            <w:tcBorders>
              <w:top w:val="nil" w:sz="6" w:space="0" w:color="auto"/>
              <w:left w:val="nil" w:sz="6" w:space="0" w:color="auto"/>
              <w:bottom w:val="nil" w:sz="6" w:space="0" w:color="auto"/>
              <w:right w:val="nil" w:sz="6" w:space="0" w:color="auto"/>
            </w:tcBorders>
          </w:tcPr>
          <w:p>
            <w:pPr>
              <w:pStyle w:val="TableParagraph"/>
              <w:spacing w:line="199" w:lineRule="exact"/>
              <w:ind w:left="216" w:right="0"/>
              <w:jc w:val="left"/>
              <w:rPr>
                <w:rFonts w:ascii="黑体" w:hAnsi="黑体" w:cs="黑体" w:eastAsia="黑体" w:hint="default"/>
                <w:sz w:val="20"/>
                <w:szCs w:val="20"/>
              </w:rPr>
            </w:pPr>
            <w:r>
              <w:rPr>
                <w:rFonts w:ascii="黑体" w:hAnsi="黑体" w:cs="黑体" w:eastAsia="黑体" w:hint="default"/>
                <w:sz w:val="20"/>
                <w:szCs w:val="20"/>
              </w:rPr>
              <w:t>解锁比例</w:t>
            </w:r>
          </w:p>
        </w:tc>
      </w:tr>
      <w:tr>
        <w:trPr>
          <w:trHeight w:val="613"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76" w:lineRule="auto"/>
              <w:ind w:left="200" w:right="106"/>
              <w:jc w:val="left"/>
              <w:rPr>
                <w:rFonts w:ascii="黑体" w:hAnsi="黑体" w:cs="黑体" w:eastAsia="黑体" w:hint="default"/>
                <w:sz w:val="20"/>
                <w:szCs w:val="20"/>
              </w:rPr>
            </w:pPr>
            <w:r>
              <w:rPr>
                <w:rFonts w:ascii="黑体" w:hAnsi="黑体" w:cs="黑体" w:eastAsia="黑体" w:hint="default"/>
                <w:sz w:val="20"/>
                <w:szCs w:val="20"/>
              </w:rPr>
              <w:t>限</w:t>
            </w:r>
            <w:r>
              <w:rPr>
                <w:rFonts w:ascii="黑体" w:hAnsi="黑体" w:cs="黑体" w:eastAsia="黑体" w:hint="default"/>
                <w:spacing w:val="-76"/>
                <w:sz w:val="20"/>
                <w:szCs w:val="20"/>
              </w:rPr>
              <w:t> </w:t>
            </w:r>
            <w:r>
              <w:rPr>
                <w:rFonts w:ascii="黑体" w:hAnsi="黑体" w:cs="黑体" w:eastAsia="黑体" w:hint="default"/>
                <w:spacing w:val="11"/>
                <w:sz w:val="20"/>
                <w:szCs w:val="20"/>
              </w:rPr>
              <w:t>制性</w:t>
            </w:r>
            <w:r>
              <w:rPr>
                <w:rFonts w:ascii="黑体" w:hAnsi="黑体" w:cs="黑体" w:eastAsia="黑体" w:hint="default"/>
                <w:spacing w:val="-76"/>
                <w:sz w:val="20"/>
                <w:szCs w:val="20"/>
              </w:rPr>
              <w:t> </w:t>
            </w:r>
            <w:r>
              <w:rPr>
                <w:rFonts w:ascii="黑体" w:hAnsi="黑体" w:cs="黑体" w:eastAsia="黑体" w:hint="default"/>
                <w:spacing w:val="15"/>
                <w:sz w:val="20"/>
                <w:szCs w:val="20"/>
              </w:rPr>
              <w:t>股票第</w:t>
            </w:r>
            <w:r>
              <w:rPr>
                <w:rFonts w:ascii="黑体" w:hAnsi="黑体" w:cs="黑体" w:eastAsia="黑体" w:hint="default"/>
                <w:spacing w:val="-76"/>
                <w:sz w:val="20"/>
                <w:szCs w:val="20"/>
              </w:rPr>
              <w:t> </w:t>
            </w:r>
            <w:r>
              <w:rPr>
                <w:rFonts w:ascii="黑体" w:hAnsi="黑体" w:cs="黑体" w:eastAsia="黑体" w:hint="default"/>
                <w:spacing w:val="11"/>
                <w:sz w:val="20"/>
                <w:szCs w:val="20"/>
              </w:rPr>
              <w:t>一个</w:t>
            </w:r>
            <w:r>
              <w:rPr>
                <w:rFonts w:ascii="黑体" w:hAnsi="黑体" w:cs="黑体" w:eastAsia="黑体" w:hint="default"/>
                <w:w w:val="99"/>
                <w:sz w:val="20"/>
                <w:szCs w:val="20"/>
              </w:rPr>
              <w:t> </w:t>
            </w:r>
            <w:r>
              <w:rPr>
                <w:rFonts w:ascii="黑体" w:hAnsi="黑体" w:cs="黑体" w:eastAsia="黑体" w:hint="default"/>
                <w:sz w:val="20"/>
                <w:szCs w:val="20"/>
              </w:rPr>
              <w:t>解除限售期</w:t>
            </w:r>
          </w:p>
        </w:tc>
        <w:tc>
          <w:tcPr>
            <w:tcW w:w="5210" w:type="dxa"/>
            <w:tcBorders>
              <w:top w:val="nil" w:sz="6" w:space="0" w:color="auto"/>
              <w:left w:val="nil" w:sz="6" w:space="0" w:color="auto"/>
              <w:bottom w:val="nil" w:sz="6" w:space="0" w:color="auto"/>
              <w:right w:val="nil" w:sz="6" w:space="0" w:color="auto"/>
            </w:tcBorders>
          </w:tcPr>
          <w:p>
            <w:pPr>
              <w:pStyle w:val="TableParagraph"/>
              <w:spacing w:line="261" w:lineRule="auto"/>
              <w:ind w:left="108" w:right="214"/>
              <w:jc w:val="left"/>
              <w:rPr>
                <w:rFonts w:ascii="黑体" w:hAnsi="黑体" w:cs="黑体" w:eastAsia="黑体" w:hint="default"/>
                <w:sz w:val="20"/>
                <w:szCs w:val="20"/>
              </w:rPr>
            </w:pPr>
            <w:r>
              <w:rPr>
                <w:rFonts w:ascii="黑体" w:hAnsi="黑体" w:cs="黑体" w:eastAsia="黑体" w:hint="default"/>
                <w:spacing w:val="2"/>
                <w:sz w:val="20"/>
                <w:szCs w:val="20"/>
              </w:rPr>
              <w:t>自授予登记完成之日起</w:t>
            </w:r>
            <w:r>
              <w:rPr>
                <w:rFonts w:ascii="Arial" w:hAnsi="Arial" w:cs="Arial" w:eastAsia="Arial" w:hint="default"/>
                <w:spacing w:val="2"/>
                <w:sz w:val="20"/>
                <w:szCs w:val="20"/>
              </w:rPr>
              <w:t>12</w:t>
            </w:r>
            <w:r>
              <w:rPr>
                <w:rFonts w:ascii="黑体" w:hAnsi="黑体" w:cs="黑体" w:eastAsia="黑体" w:hint="default"/>
                <w:spacing w:val="2"/>
                <w:sz w:val="20"/>
                <w:szCs w:val="20"/>
              </w:rPr>
              <w:t>个月后的首个交易日，起至授</w:t>
            </w:r>
            <w:r>
              <w:rPr>
                <w:rFonts w:ascii="黑体" w:hAnsi="黑体" w:cs="黑体" w:eastAsia="黑体" w:hint="default"/>
                <w:spacing w:val="-98"/>
                <w:sz w:val="20"/>
                <w:szCs w:val="20"/>
              </w:rPr>
              <w:t> </w:t>
            </w:r>
            <w:r>
              <w:rPr>
                <w:rFonts w:ascii="黑体" w:hAnsi="黑体" w:cs="黑体" w:eastAsia="黑体" w:hint="default"/>
                <w:spacing w:val="-98"/>
                <w:sz w:val="20"/>
                <w:szCs w:val="20"/>
              </w:rPr>
            </w:r>
            <w:r>
              <w:rPr>
                <w:rFonts w:ascii="黑体" w:hAnsi="黑体" w:cs="黑体" w:eastAsia="黑体" w:hint="default"/>
                <w:sz w:val="20"/>
                <w:szCs w:val="20"/>
              </w:rPr>
              <w:t>予登记完成之日起</w:t>
            </w:r>
            <w:r>
              <w:rPr>
                <w:rFonts w:ascii="Arial" w:hAnsi="Arial" w:cs="Arial" w:eastAsia="Arial" w:hint="default"/>
                <w:sz w:val="20"/>
                <w:szCs w:val="20"/>
              </w:rPr>
              <w:t>24</w:t>
            </w:r>
            <w:r>
              <w:rPr>
                <w:rFonts w:ascii="黑体" w:hAnsi="黑体" w:cs="黑体" w:eastAsia="黑体" w:hint="default"/>
                <w:sz w:val="20"/>
                <w:szCs w:val="20"/>
              </w:rPr>
              <w:t>个月内的最后一个交易日当日止</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07" w:right="0"/>
              <w:jc w:val="left"/>
              <w:rPr>
                <w:rFonts w:ascii="Arial" w:hAnsi="Arial" w:cs="Arial" w:eastAsia="Arial" w:hint="default"/>
                <w:sz w:val="20"/>
                <w:szCs w:val="20"/>
              </w:rPr>
            </w:pPr>
            <w:r>
              <w:rPr>
                <w:rFonts w:ascii="Arial"/>
                <w:sz w:val="20"/>
              </w:rPr>
              <w:t>40%</w:t>
            </w:r>
          </w:p>
        </w:tc>
      </w:tr>
      <w:tr>
        <w:trPr>
          <w:trHeight w:val="600"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黑体" w:hAnsi="黑体" w:cs="黑体" w:eastAsia="黑体" w:hint="default"/>
                <w:sz w:val="20"/>
                <w:szCs w:val="20"/>
              </w:rPr>
            </w:pPr>
            <w:r>
              <w:rPr>
                <w:rFonts w:ascii="黑体" w:hAnsi="黑体" w:cs="黑体" w:eastAsia="黑体" w:hint="default"/>
                <w:sz w:val="20"/>
                <w:szCs w:val="20"/>
              </w:rPr>
              <w:t>限</w:t>
            </w:r>
            <w:r>
              <w:rPr>
                <w:rFonts w:ascii="黑体" w:hAnsi="黑体" w:cs="黑体" w:eastAsia="黑体" w:hint="default"/>
                <w:spacing w:val="-76"/>
                <w:sz w:val="20"/>
                <w:szCs w:val="20"/>
              </w:rPr>
              <w:t> </w:t>
            </w:r>
            <w:r>
              <w:rPr>
                <w:rFonts w:ascii="黑体" w:hAnsi="黑体" w:cs="黑体" w:eastAsia="黑体" w:hint="default"/>
                <w:spacing w:val="11"/>
                <w:sz w:val="20"/>
                <w:szCs w:val="20"/>
              </w:rPr>
              <w:t>制性</w:t>
            </w:r>
            <w:r>
              <w:rPr>
                <w:rFonts w:ascii="黑体" w:hAnsi="黑体" w:cs="黑体" w:eastAsia="黑体" w:hint="default"/>
                <w:spacing w:val="-76"/>
                <w:sz w:val="20"/>
                <w:szCs w:val="20"/>
              </w:rPr>
              <w:t> </w:t>
            </w:r>
            <w:r>
              <w:rPr>
                <w:rFonts w:ascii="黑体" w:hAnsi="黑体" w:cs="黑体" w:eastAsia="黑体" w:hint="default"/>
                <w:spacing w:val="15"/>
                <w:sz w:val="20"/>
                <w:szCs w:val="20"/>
              </w:rPr>
              <w:t>股票第</w:t>
            </w:r>
            <w:r>
              <w:rPr>
                <w:rFonts w:ascii="黑体" w:hAnsi="黑体" w:cs="黑体" w:eastAsia="黑体" w:hint="default"/>
                <w:spacing w:val="-76"/>
                <w:sz w:val="20"/>
                <w:szCs w:val="20"/>
              </w:rPr>
              <w:t> </w:t>
            </w:r>
            <w:r>
              <w:rPr>
                <w:rFonts w:ascii="黑体" w:hAnsi="黑体" w:cs="黑体" w:eastAsia="黑体" w:hint="default"/>
                <w:spacing w:val="11"/>
                <w:sz w:val="20"/>
                <w:szCs w:val="20"/>
              </w:rPr>
              <w:t>二个</w:t>
            </w:r>
          </w:p>
          <w:p>
            <w:pPr>
              <w:pStyle w:val="TableParagraph"/>
              <w:spacing w:line="240" w:lineRule="auto" w:before="38"/>
              <w:ind w:left="200" w:right="0"/>
              <w:jc w:val="left"/>
              <w:rPr>
                <w:rFonts w:ascii="黑体" w:hAnsi="黑体" w:cs="黑体" w:eastAsia="黑体" w:hint="default"/>
                <w:sz w:val="20"/>
                <w:szCs w:val="20"/>
              </w:rPr>
            </w:pPr>
            <w:r>
              <w:rPr>
                <w:rFonts w:ascii="黑体" w:hAnsi="黑体" w:cs="黑体" w:eastAsia="黑体" w:hint="default"/>
                <w:sz w:val="20"/>
                <w:szCs w:val="20"/>
              </w:rPr>
              <w:t>解除限售期</w:t>
            </w:r>
          </w:p>
        </w:tc>
        <w:tc>
          <w:tcPr>
            <w:tcW w:w="5210" w:type="dxa"/>
            <w:tcBorders>
              <w:top w:val="nil" w:sz="6" w:space="0" w:color="auto"/>
              <w:left w:val="nil" w:sz="6" w:space="0" w:color="auto"/>
              <w:bottom w:val="nil" w:sz="6" w:space="0" w:color="auto"/>
              <w:right w:val="nil" w:sz="6" w:space="0" w:color="auto"/>
            </w:tcBorders>
          </w:tcPr>
          <w:p>
            <w:pPr>
              <w:pStyle w:val="TableParagraph"/>
              <w:spacing w:line="259" w:lineRule="exact"/>
              <w:ind w:left="108" w:right="0"/>
              <w:jc w:val="left"/>
              <w:rPr>
                <w:rFonts w:ascii="黑体" w:hAnsi="黑体" w:cs="黑体" w:eastAsia="黑体" w:hint="default"/>
                <w:sz w:val="20"/>
                <w:szCs w:val="20"/>
              </w:rPr>
            </w:pPr>
            <w:r>
              <w:rPr>
                <w:rFonts w:ascii="黑体" w:hAnsi="黑体" w:cs="黑体" w:eastAsia="黑体" w:hint="default"/>
                <w:spacing w:val="2"/>
                <w:sz w:val="20"/>
                <w:szCs w:val="20"/>
              </w:rPr>
              <w:t>自授予登记完成之日起</w:t>
            </w:r>
            <w:r>
              <w:rPr>
                <w:rFonts w:ascii="Arial" w:hAnsi="Arial" w:cs="Arial" w:eastAsia="Arial" w:hint="default"/>
                <w:spacing w:val="2"/>
                <w:sz w:val="20"/>
                <w:szCs w:val="20"/>
              </w:rPr>
              <w:t>24</w:t>
            </w:r>
            <w:r>
              <w:rPr>
                <w:rFonts w:ascii="黑体" w:hAnsi="黑体" w:cs="黑体" w:eastAsia="黑体" w:hint="default"/>
                <w:spacing w:val="2"/>
                <w:sz w:val="20"/>
                <w:szCs w:val="20"/>
              </w:rPr>
              <w:t>个月后的首个交易日，起至授</w:t>
            </w:r>
          </w:p>
          <w:p>
            <w:pPr>
              <w:pStyle w:val="TableParagraph"/>
              <w:spacing w:line="240" w:lineRule="auto" w:before="24"/>
              <w:ind w:left="108"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36</w:t>
            </w:r>
            <w:r>
              <w:rPr>
                <w:rFonts w:ascii="黑体" w:hAnsi="黑体" w:cs="黑体" w:eastAsia="黑体" w:hint="default"/>
                <w:sz w:val="20"/>
                <w:szCs w:val="20"/>
              </w:rPr>
              <w:t>个月内的最后一个交易日当日止</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07" w:right="0"/>
              <w:jc w:val="left"/>
              <w:rPr>
                <w:rFonts w:ascii="Arial" w:hAnsi="Arial" w:cs="Arial" w:eastAsia="Arial" w:hint="default"/>
                <w:sz w:val="20"/>
                <w:szCs w:val="20"/>
              </w:rPr>
            </w:pPr>
            <w:r>
              <w:rPr>
                <w:rFonts w:ascii="Arial"/>
                <w:sz w:val="20"/>
              </w:rPr>
              <w:t>30%</w:t>
            </w:r>
          </w:p>
        </w:tc>
      </w:tr>
      <w:tr>
        <w:trPr>
          <w:trHeight w:val="554"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黑体" w:hAnsi="黑体" w:cs="黑体" w:eastAsia="黑体" w:hint="default"/>
                <w:sz w:val="20"/>
                <w:szCs w:val="20"/>
              </w:rPr>
            </w:pPr>
            <w:r>
              <w:rPr>
                <w:rFonts w:ascii="黑体" w:hAnsi="黑体" w:cs="黑体" w:eastAsia="黑体" w:hint="default"/>
                <w:sz w:val="20"/>
                <w:szCs w:val="20"/>
              </w:rPr>
              <w:t>限</w:t>
            </w:r>
            <w:r>
              <w:rPr>
                <w:rFonts w:ascii="黑体" w:hAnsi="黑体" w:cs="黑体" w:eastAsia="黑体" w:hint="default"/>
                <w:spacing w:val="-76"/>
                <w:sz w:val="20"/>
                <w:szCs w:val="20"/>
              </w:rPr>
              <w:t> </w:t>
            </w:r>
            <w:r>
              <w:rPr>
                <w:rFonts w:ascii="黑体" w:hAnsi="黑体" w:cs="黑体" w:eastAsia="黑体" w:hint="default"/>
                <w:spacing w:val="11"/>
                <w:sz w:val="20"/>
                <w:szCs w:val="20"/>
              </w:rPr>
              <w:t>制性</w:t>
            </w:r>
            <w:r>
              <w:rPr>
                <w:rFonts w:ascii="黑体" w:hAnsi="黑体" w:cs="黑体" w:eastAsia="黑体" w:hint="default"/>
                <w:spacing w:val="-76"/>
                <w:sz w:val="20"/>
                <w:szCs w:val="20"/>
              </w:rPr>
              <w:t> </w:t>
            </w:r>
            <w:r>
              <w:rPr>
                <w:rFonts w:ascii="黑体" w:hAnsi="黑体" w:cs="黑体" w:eastAsia="黑体" w:hint="default"/>
                <w:spacing w:val="15"/>
                <w:sz w:val="20"/>
                <w:szCs w:val="20"/>
              </w:rPr>
              <w:t>股票第</w:t>
            </w:r>
            <w:r>
              <w:rPr>
                <w:rFonts w:ascii="黑体" w:hAnsi="黑体" w:cs="黑体" w:eastAsia="黑体" w:hint="default"/>
                <w:spacing w:val="-76"/>
                <w:sz w:val="20"/>
                <w:szCs w:val="20"/>
              </w:rPr>
              <w:t> </w:t>
            </w:r>
            <w:r>
              <w:rPr>
                <w:rFonts w:ascii="黑体" w:hAnsi="黑体" w:cs="黑体" w:eastAsia="黑体" w:hint="default"/>
                <w:spacing w:val="11"/>
                <w:sz w:val="20"/>
                <w:szCs w:val="20"/>
              </w:rPr>
              <w:t>三个</w:t>
            </w:r>
          </w:p>
          <w:p>
            <w:pPr>
              <w:pStyle w:val="TableParagraph"/>
              <w:spacing w:line="240" w:lineRule="auto" w:before="38"/>
              <w:ind w:left="200" w:right="0"/>
              <w:jc w:val="left"/>
              <w:rPr>
                <w:rFonts w:ascii="黑体" w:hAnsi="黑体" w:cs="黑体" w:eastAsia="黑体" w:hint="default"/>
                <w:sz w:val="20"/>
                <w:szCs w:val="20"/>
              </w:rPr>
            </w:pPr>
            <w:r>
              <w:rPr>
                <w:rFonts w:ascii="黑体" w:hAnsi="黑体" w:cs="黑体" w:eastAsia="黑体" w:hint="default"/>
                <w:sz w:val="20"/>
                <w:szCs w:val="20"/>
              </w:rPr>
              <w:t>解除限售期</w:t>
            </w:r>
          </w:p>
        </w:tc>
        <w:tc>
          <w:tcPr>
            <w:tcW w:w="5210" w:type="dxa"/>
            <w:tcBorders>
              <w:top w:val="nil" w:sz="6" w:space="0" w:color="auto"/>
              <w:left w:val="nil" w:sz="6" w:space="0" w:color="auto"/>
              <w:bottom w:val="nil" w:sz="6" w:space="0" w:color="auto"/>
              <w:right w:val="nil" w:sz="6" w:space="0" w:color="auto"/>
            </w:tcBorders>
          </w:tcPr>
          <w:p>
            <w:pPr>
              <w:pStyle w:val="TableParagraph"/>
              <w:spacing w:line="259" w:lineRule="exact"/>
              <w:ind w:left="108" w:right="0"/>
              <w:jc w:val="left"/>
              <w:rPr>
                <w:rFonts w:ascii="黑体" w:hAnsi="黑体" w:cs="黑体" w:eastAsia="黑体" w:hint="default"/>
                <w:sz w:val="20"/>
                <w:szCs w:val="20"/>
              </w:rPr>
            </w:pPr>
            <w:r>
              <w:rPr>
                <w:rFonts w:ascii="黑体" w:hAnsi="黑体" w:cs="黑体" w:eastAsia="黑体" w:hint="default"/>
                <w:spacing w:val="2"/>
                <w:sz w:val="20"/>
                <w:szCs w:val="20"/>
              </w:rPr>
              <w:t>自授予登记完成之日起</w:t>
            </w:r>
            <w:r>
              <w:rPr>
                <w:rFonts w:ascii="Arial" w:hAnsi="Arial" w:cs="Arial" w:eastAsia="Arial" w:hint="default"/>
                <w:spacing w:val="2"/>
                <w:sz w:val="20"/>
                <w:szCs w:val="20"/>
              </w:rPr>
              <w:t>36</w:t>
            </w:r>
            <w:r>
              <w:rPr>
                <w:rFonts w:ascii="黑体" w:hAnsi="黑体" w:cs="黑体" w:eastAsia="黑体" w:hint="default"/>
                <w:spacing w:val="2"/>
                <w:sz w:val="20"/>
                <w:szCs w:val="20"/>
              </w:rPr>
              <w:t>个月后的首个交易日，起至授</w:t>
            </w:r>
          </w:p>
          <w:p>
            <w:pPr>
              <w:pStyle w:val="TableParagraph"/>
              <w:spacing w:line="240" w:lineRule="auto" w:before="24"/>
              <w:ind w:left="108"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48</w:t>
            </w:r>
            <w:r>
              <w:rPr>
                <w:rFonts w:ascii="黑体" w:hAnsi="黑体" w:cs="黑体" w:eastAsia="黑体" w:hint="default"/>
                <w:sz w:val="20"/>
                <w:szCs w:val="20"/>
              </w:rPr>
              <w:t>个月内的最后一个交易日当日止</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07" w:right="0"/>
              <w:jc w:val="left"/>
              <w:rPr>
                <w:rFonts w:ascii="Arial" w:hAnsi="Arial" w:cs="Arial" w:eastAsia="Arial" w:hint="default"/>
                <w:sz w:val="20"/>
                <w:szCs w:val="20"/>
              </w:rPr>
            </w:pPr>
            <w:r>
              <w:rPr>
                <w:rFonts w:ascii="Arial"/>
                <w:sz w:val="20"/>
              </w:rPr>
              <w:t>30%</w:t>
            </w:r>
          </w:p>
        </w:tc>
      </w:tr>
    </w:tbl>
    <w:p>
      <w:pPr>
        <w:spacing w:after="0" w:line="240" w:lineRule="auto"/>
        <w:jc w:val="left"/>
        <w:rPr>
          <w:rFonts w:ascii="Arial" w:hAnsi="Arial" w:cs="Arial" w:eastAsia="Arial" w:hint="default"/>
          <w:sz w:val="20"/>
          <w:szCs w:val="20"/>
        </w:rPr>
        <w:sectPr>
          <w:headerReference w:type="default" r:id="rId87"/>
          <w:footerReference w:type="default" r:id="rId88"/>
          <w:pgSz w:w="11910" w:h="16850"/>
          <w:pgMar w:header="745" w:footer="0" w:top="980" w:bottom="280" w:left="1480" w:right="1380"/>
        </w:sect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6"/>
          <w:szCs w:val="26"/>
        </w:rPr>
      </w:pPr>
    </w:p>
    <w:p>
      <w:pPr>
        <w:spacing w:line="260" w:lineRule="exact" w:before="63"/>
        <w:ind w:left="412" w:right="0" w:firstLine="14"/>
        <w:jc w:val="left"/>
        <w:rPr>
          <w:rFonts w:ascii="黑体" w:hAnsi="黑体" w:cs="黑体" w:eastAsia="黑体" w:hint="default"/>
          <w:sz w:val="20"/>
          <w:szCs w:val="20"/>
        </w:rPr>
      </w:pPr>
      <w:r>
        <w:rPr>
          <w:rFonts w:ascii="黑体" w:hAnsi="黑体" w:cs="黑体" w:eastAsia="黑体" w:hint="default"/>
          <w:spacing w:val="2"/>
          <w:w w:val="95"/>
          <w:sz w:val="20"/>
          <w:szCs w:val="20"/>
        </w:rPr>
        <w:t>公司未满足业绩考核目标的，激励对象对应期间获授的限制性股票均不得解除限售，由公司回</w:t>
      </w:r>
      <w:r>
        <w:rPr>
          <w:rFonts w:ascii="黑体" w:hAnsi="黑体" w:cs="黑体" w:eastAsia="黑体" w:hint="default"/>
          <w:spacing w:val="91"/>
          <w:w w:val="95"/>
          <w:sz w:val="20"/>
          <w:szCs w:val="20"/>
        </w:rPr>
        <w:t> </w:t>
      </w:r>
      <w:r>
        <w:rPr>
          <w:rFonts w:ascii="黑体" w:hAnsi="黑体" w:cs="黑体" w:eastAsia="黑体" w:hint="default"/>
          <w:spacing w:val="91"/>
          <w:w w:val="95"/>
          <w:sz w:val="20"/>
          <w:szCs w:val="20"/>
        </w:rPr>
      </w:r>
      <w:r>
        <w:rPr>
          <w:rFonts w:ascii="黑体" w:hAnsi="黑体" w:cs="黑体" w:eastAsia="黑体" w:hint="default"/>
          <w:sz w:val="20"/>
          <w:szCs w:val="20"/>
        </w:rPr>
        <w:t>购注销，回购价格为授予价格。</w:t>
      </w:r>
    </w:p>
    <w:p>
      <w:pPr>
        <w:spacing w:line="240" w:lineRule="auto" w:before="8"/>
        <w:rPr>
          <w:rFonts w:ascii="黑体" w:hAnsi="黑体" w:cs="黑体" w:eastAsia="黑体" w:hint="default"/>
          <w:sz w:val="15"/>
          <w:szCs w:val="15"/>
        </w:rPr>
      </w:pPr>
    </w:p>
    <w:p>
      <w:pPr>
        <w:spacing w:before="0"/>
        <w:ind w:left="398" w:right="0" w:firstLine="0"/>
        <w:jc w:val="left"/>
        <w:rPr>
          <w:rFonts w:ascii="黑体" w:hAnsi="黑体" w:cs="黑体" w:eastAsia="黑体" w:hint="default"/>
          <w:sz w:val="20"/>
          <w:szCs w:val="20"/>
        </w:rPr>
      </w:pPr>
      <w:r>
        <w:rPr>
          <w:rFonts w:ascii="黑体" w:hAnsi="黑体" w:cs="黑体" w:eastAsia="黑体" w:hint="default"/>
          <w:sz w:val="20"/>
          <w:szCs w:val="20"/>
        </w:rPr>
        <w:t>（</w:t>
      </w:r>
      <w:r>
        <w:rPr>
          <w:rFonts w:ascii="Arial" w:hAnsi="Arial" w:cs="Arial" w:eastAsia="Arial" w:hint="default"/>
          <w:sz w:val="20"/>
          <w:szCs w:val="20"/>
        </w:rPr>
        <w:t>2</w:t>
      </w:r>
      <w:r>
        <w:rPr>
          <w:rFonts w:ascii="黑体" w:hAnsi="黑体" w:cs="黑体" w:eastAsia="黑体" w:hint="default"/>
          <w:sz w:val="20"/>
          <w:szCs w:val="20"/>
        </w:rPr>
        <w:t>）股票期权激励计划</w:t>
      </w:r>
    </w:p>
    <w:p>
      <w:pPr>
        <w:spacing w:line="240" w:lineRule="auto" w:before="4"/>
        <w:rPr>
          <w:rFonts w:ascii="黑体" w:hAnsi="黑体" w:cs="黑体" w:eastAsia="黑体" w:hint="default"/>
          <w:sz w:val="16"/>
          <w:szCs w:val="16"/>
        </w:rPr>
      </w:pPr>
    </w:p>
    <w:p>
      <w:pPr>
        <w:spacing w:line="268" w:lineRule="exact" w:before="0"/>
        <w:ind w:left="398" w:right="0" w:firstLine="0"/>
        <w:jc w:val="left"/>
        <w:rPr>
          <w:rFonts w:ascii="黑体" w:hAnsi="黑体" w:cs="黑体" w:eastAsia="黑体" w:hint="default"/>
          <w:sz w:val="20"/>
          <w:szCs w:val="20"/>
        </w:rPr>
      </w:pPr>
      <w:r>
        <w:rPr>
          <w:rFonts w:ascii="Arial" w:hAnsi="Arial" w:cs="Arial" w:eastAsia="Arial" w:hint="default"/>
          <w:sz w:val="20"/>
          <w:szCs w:val="20"/>
        </w:rPr>
        <w:t>2018</w:t>
      </w:r>
      <w:r>
        <w:rPr>
          <w:rFonts w:ascii="黑体" w:hAnsi="黑体" w:cs="黑体" w:eastAsia="黑体" w:hint="default"/>
          <w:sz w:val="20"/>
          <w:szCs w:val="20"/>
        </w:rPr>
        <w:t>年本公司发行了股票期权激励计划，向</w:t>
      </w:r>
      <w:r>
        <w:rPr>
          <w:rFonts w:ascii="Arial" w:hAnsi="Arial" w:cs="Arial" w:eastAsia="Arial" w:hint="default"/>
          <w:sz w:val="20"/>
          <w:szCs w:val="20"/>
        </w:rPr>
        <w:t>28</w:t>
      </w:r>
      <w:r>
        <w:rPr>
          <w:rFonts w:ascii="黑体" w:hAnsi="黑体" w:cs="黑体" w:eastAsia="黑体" w:hint="default"/>
          <w:sz w:val="20"/>
          <w:szCs w:val="20"/>
        </w:rPr>
        <w:t>名激励对象授予</w:t>
      </w:r>
      <w:r>
        <w:rPr>
          <w:rFonts w:ascii="Arial" w:hAnsi="Arial" w:cs="Arial" w:eastAsia="Arial" w:hint="default"/>
          <w:sz w:val="20"/>
          <w:szCs w:val="20"/>
        </w:rPr>
        <w:t>883,970</w:t>
      </w:r>
      <w:r>
        <w:rPr>
          <w:rFonts w:ascii="黑体" w:hAnsi="黑体" w:cs="黑体" w:eastAsia="黑体" w:hint="default"/>
          <w:sz w:val="20"/>
          <w:szCs w:val="20"/>
        </w:rPr>
        <w:t>份股票期权，行权价格为</w:t>
      </w:r>
    </w:p>
    <w:p>
      <w:pPr>
        <w:spacing w:line="268" w:lineRule="exact" w:before="0"/>
        <w:ind w:left="398" w:right="0" w:firstLine="0"/>
        <w:jc w:val="left"/>
        <w:rPr>
          <w:rFonts w:ascii="黑体" w:hAnsi="黑体" w:cs="黑体" w:eastAsia="黑体" w:hint="default"/>
          <w:sz w:val="20"/>
          <w:szCs w:val="20"/>
        </w:rPr>
      </w:pPr>
      <w:r>
        <w:rPr>
          <w:rFonts w:ascii="Arial" w:hAnsi="Arial" w:cs="Arial" w:eastAsia="Arial" w:hint="default"/>
          <w:sz w:val="20"/>
          <w:szCs w:val="20"/>
        </w:rPr>
        <w:t>28.18</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份。股票期权的行权期及各期行权时间安排如下表所示：</w:t>
      </w:r>
    </w:p>
    <w:p>
      <w:pPr>
        <w:spacing w:line="240" w:lineRule="auto" w:before="10"/>
        <w:rPr>
          <w:rFonts w:ascii="黑体" w:hAnsi="黑体" w:cs="黑体" w:eastAsia="黑体" w:hint="default"/>
          <w:sz w:val="20"/>
          <w:szCs w:val="20"/>
        </w:rPr>
      </w:pPr>
    </w:p>
    <w:tbl>
      <w:tblPr>
        <w:tblW w:w="0" w:type="auto"/>
        <w:jc w:val="left"/>
        <w:tblInd w:w="104" w:type="dxa"/>
        <w:tblLayout w:type="fixed"/>
        <w:tblCellMar>
          <w:top w:w="0" w:type="dxa"/>
          <w:left w:w="0" w:type="dxa"/>
          <w:bottom w:w="0" w:type="dxa"/>
          <w:right w:w="0" w:type="dxa"/>
        </w:tblCellMar>
        <w:tblLook w:val="01E0"/>
      </w:tblPr>
      <w:tblGrid>
        <w:gridCol w:w="1497"/>
        <w:gridCol w:w="4928"/>
        <w:gridCol w:w="2152"/>
      </w:tblGrid>
      <w:tr>
        <w:trPr>
          <w:trHeight w:val="606"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199" w:lineRule="exact"/>
              <w:ind w:left="591" w:right="0"/>
              <w:jc w:val="left"/>
              <w:rPr>
                <w:rFonts w:ascii="黑体" w:hAnsi="黑体" w:cs="黑体" w:eastAsia="黑体" w:hint="default"/>
                <w:sz w:val="20"/>
                <w:szCs w:val="20"/>
              </w:rPr>
            </w:pPr>
            <w:r>
              <w:rPr>
                <w:rFonts w:ascii="黑体" w:hAnsi="黑体" w:cs="黑体" w:eastAsia="黑体" w:hint="default"/>
                <w:sz w:val="20"/>
                <w:szCs w:val="20"/>
              </w:rPr>
              <w:t>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199" w:lineRule="exact"/>
              <w:ind w:left="94" w:right="0"/>
              <w:jc w:val="center"/>
              <w:rPr>
                <w:rFonts w:ascii="黑体" w:hAnsi="黑体" w:cs="黑体" w:eastAsia="黑体" w:hint="default"/>
                <w:sz w:val="20"/>
                <w:szCs w:val="20"/>
              </w:rPr>
            </w:pPr>
            <w:r>
              <w:rPr>
                <w:rFonts w:ascii="黑体" w:hAnsi="黑体" w:cs="黑体" w:eastAsia="黑体" w:hint="default"/>
                <w:sz w:val="20"/>
                <w:szCs w:val="20"/>
              </w:rPr>
              <w:t>行权时间</w:t>
            </w:r>
          </w:p>
        </w:tc>
        <w:tc>
          <w:tcPr>
            <w:tcW w:w="2152" w:type="dxa"/>
            <w:tcBorders>
              <w:top w:val="nil" w:sz="6" w:space="0" w:color="auto"/>
              <w:left w:val="nil" w:sz="6" w:space="0" w:color="auto"/>
              <w:bottom w:val="nil" w:sz="6" w:space="0" w:color="auto"/>
              <w:right w:val="nil" w:sz="6" w:space="0" w:color="auto"/>
            </w:tcBorders>
          </w:tcPr>
          <w:p>
            <w:pPr>
              <w:pStyle w:val="TableParagraph"/>
              <w:spacing w:line="188" w:lineRule="exact"/>
              <w:ind w:right="46"/>
              <w:jc w:val="center"/>
              <w:rPr>
                <w:rFonts w:ascii="黑体" w:hAnsi="黑体" w:cs="黑体" w:eastAsia="黑体" w:hint="default"/>
                <w:sz w:val="20"/>
                <w:szCs w:val="20"/>
              </w:rPr>
            </w:pPr>
            <w:r>
              <w:rPr>
                <w:rFonts w:ascii="黑体" w:hAnsi="黑体" w:cs="黑体" w:eastAsia="黑体" w:hint="default"/>
                <w:sz w:val="20"/>
                <w:szCs w:val="20"/>
              </w:rPr>
              <w:t>可行权数量占获授期</w:t>
            </w:r>
          </w:p>
          <w:p>
            <w:pPr>
              <w:pStyle w:val="TableParagraph"/>
              <w:spacing w:line="251" w:lineRule="exact"/>
              <w:ind w:right="47"/>
              <w:jc w:val="center"/>
              <w:rPr>
                <w:rFonts w:ascii="黑体" w:hAnsi="黑体" w:cs="黑体" w:eastAsia="黑体" w:hint="default"/>
                <w:sz w:val="20"/>
                <w:szCs w:val="20"/>
              </w:rPr>
            </w:pPr>
            <w:r>
              <w:rPr>
                <w:rFonts w:ascii="黑体" w:hAnsi="黑体" w:cs="黑体" w:eastAsia="黑体" w:hint="default"/>
                <w:sz w:val="20"/>
                <w:szCs w:val="20"/>
              </w:rPr>
              <w:t>权数量比例</w:t>
            </w:r>
          </w:p>
        </w:tc>
      </w:tr>
      <w:tr>
        <w:trPr>
          <w:trHeight w:val="632"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200" w:right="0"/>
              <w:jc w:val="left"/>
              <w:rPr>
                <w:rFonts w:ascii="黑体" w:hAnsi="黑体" w:cs="黑体" w:eastAsia="黑体" w:hint="default"/>
                <w:sz w:val="20"/>
                <w:szCs w:val="20"/>
              </w:rPr>
            </w:pPr>
            <w:r>
              <w:rPr>
                <w:rFonts w:ascii="黑体" w:hAnsi="黑体" w:cs="黑体" w:eastAsia="黑体" w:hint="default"/>
                <w:sz w:val="20"/>
                <w:szCs w:val="20"/>
              </w:rPr>
              <w:t>第一个行权期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240" w:lineRule="exact" w:before="146"/>
              <w:ind w:left="97" w:right="151" w:firstLine="55"/>
              <w:jc w:val="left"/>
              <w:rPr>
                <w:rFonts w:ascii="黑体" w:hAnsi="黑体" w:cs="黑体" w:eastAsia="黑体" w:hint="default"/>
                <w:sz w:val="20"/>
                <w:szCs w:val="20"/>
              </w:rPr>
            </w:pPr>
            <w:r>
              <w:rPr>
                <w:rFonts w:ascii="黑体" w:hAnsi="黑体" w:cs="黑体" w:eastAsia="黑体" w:hint="default"/>
                <w:sz w:val="20"/>
                <w:szCs w:val="20"/>
              </w:rPr>
              <w:t>自授予登记完成之日起</w:t>
            </w:r>
            <w:r>
              <w:rPr>
                <w:rFonts w:ascii="Arial" w:hAnsi="Arial" w:cs="Arial" w:eastAsia="Arial" w:hint="default"/>
                <w:sz w:val="20"/>
                <w:szCs w:val="20"/>
              </w:rPr>
              <w:t>12</w:t>
            </w:r>
            <w:r>
              <w:rPr>
                <w:rFonts w:ascii="黑体" w:hAnsi="黑体" w:cs="黑体" w:eastAsia="黑体" w:hint="default"/>
                <w:sz w:val="20"/>
                <w:szCs w:val="20"/>
              </w:rPr>
              <w:t>个月后的首个交易日，起至</w:t>
            </w:r>
            <w:r>
              <w:rPr>
                <w:rFonts w:ascii="黑体" w:hAnsi="黑体" w:cs="黑体" w:eastAsia="黑体" w:hint="default"/>
                <w:w w:val="99"/>
                <w:sz w:val="20"/>
                <w:szCs w:val="20"/>
              </w:rPr>
              <w:t> </w:t>
            </w:r>
            <w:r>
              <w:rPr>
                <w:rFonts w:ascii="黑体" w:hAnsi="黑体" w:cs="黑体" w:eastAsia="黑体" w:hint="default"/>
                <w:sz w:val="20"/>
                <w:szCs w:val="20"/>
              </w:rPr>
              <w:t>予登记完成之日起</w:t>
            </w:r>
            <w:r>
              <w:rPr>
                <w:rFonts w:ascii="Arial" w:hAnsi="Arial" w:cs="Arial" w:eastAsia="Arial" w:hint="default"/>
                <w:sz w:val="20"/>
                <w:szCs w:val="20"/>
              </w:rPr>
              <w:t>24</w:t>
            </w:r>
            <w:r>
              <w:rPr>
                <w:rFonts w:ascii="黑体" w:hAnsi="黑体" w:cs="黑体" w:eastAsia="黑体" w:hint="default"/>
                <w:sz w:val="20"/>
                <w:szCs w:val="20"/>
              </w:rPr>
              <w:t>个月内的最后一个交易日当日止</w:t>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832" w:right="0"/>
              <w:jc w:val="left"/>
              <w:rPr>
                <w:rFonts w:ascii="Arial" w:hAnsi="Arial" w:cs="Arial" w:eastAsia="Arial" w:hint="default"/>
                <w:sz w:val="20"/>
                <w:szCs w:val="20"/>
              </w:rPr>
            </w:pPr>
            <w:r>
              <w:rPr>
                <w:rFonts w:ascii="Arial"/>
                <w:sz w:val="20"/>
              </w:rPr>
              <w:t>40%</w:t>
            </w:r>
          </w:p>
        </w:tc>
      </w:tr>
      <w:tr>
        <w:trPr>
          <w:trHeight w:val="480"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15" w:lineRule="exact"/>
              <w:ind w:left="200" w:right="0"/>
              <w:jc w:val="left"/>
              <w:rPr>
                <w:rFonts w:ascii="黑体" w:hAnsi="黑体" w:cs="黑体" w:eastAsia="黑体" w:hint="default"/>
                <w:sz w:val="20"/>
                <w:szCs w:val="20"/>
              </w:rPr>
            </w:pPr>
            <w:r>
              <w:rPr>
                <w:rFonts w:ascii="黑体" w:hAnsi="黑体" w:cs="黑体" w:eastAsia="黑体" w:hint="default"/>
                <w:sz w:val="20"/>
                <w:szCs w:val="20"/>
              </w:rPr>
              <w:t>第二个行权期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211" w:lineRule="exact"/>
              <w:ind w:left="97" w:right="0" w:firstLine="55"/>
              <w:jc w:val="left"/>
              <w:rPr>
                <w:rFonts w:ascii="黑体" w:hAnsi="黑体" w:cs="黑体" w:eastAsia="黑体" w:hint="default"/>
                <w:sz w:val="20"/>
                <w:szCs w:val="20"/>
              </w:rPr>
            </w:pPr>
            <w:r>
              <w:rPr>
                <w:rFonts w:ascii="黑体" w:hAnsi="黑体" w:cs="黑体" w:eastAsia="黑体" w:hint="default"/>
                <w:sz w:val="20"/>
                <w:szCs w:val="20"/>
              </w:rPr>
              <w:t>自授予登记完成之日起</w:t>
            </w:r>
            <w:r>
              <w:rPr>
                <w:rFonts w:ascii="Arial" w:hAnsi="Arial" w:cs="Arial" w:eastAsia="Arial" w:hint="default"/>
                <w:sz w:val="20"/>
                <w:szCs w:val="20"/>
              </w:rPr>
              <w:t>24</w:t>
            </w:r>
            <w:r>
              <w:rPr>
                <w:rFonts w:ascii="黑体" w:hAnsi="黑体" w:cs="黑体" w:eastAsia="黑体" w:hint="default"/>
                <w:sz w:val="20"/>
                <w:szCs w:val="20"/>
              </w:rPr>
              <w:t>个月后的首个交易日，起至</w:t>
            </w:r>
          </w:p>
          <w:p>
            <w:pPr>
              <w:pStyle w:val="TableParagraph"/>
              <w:spacing w:line="258" w:lineRule="exact"/>
              <w:ind w:left="97"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36</w:t>
            </w:r>
            <w:r>
              <w:rPr>
                <w:rFonts w:ascii="黑体" w:hAnsi="黑体" w:cs="黑体" w:eastAsia="黑体" w:hint="default"/>
                <w:sz w:val="20"/>
                <w:szCs w:val="20"/>
              </w:rPr>
              <w:t>个月内的最后一个交易日当日止</w:t>
            </w:r>
          </w:p>
        </w:tc>
        <w:tc>
          <w:tcPr>
            <w:tcW w:w="2152" w:type="dxa"/>
            <w:tcBorders>
              <w:top w:val="nil" w:sz="6" w:space="0" w:color="auto"/>
              <w:left w:val="nil" w:sz="6" w:space="0" w:color="auto"/>
              <w:bottom w:val="nil" w:sz="6" w:space="0" w:color="auto"/>
              <w:right w:val="nil" w:sz="6" w:space="0" w:color="auto"/>
            </w:tcBorders>
          </w:tcPr>
          <w:p>
            <w:pPr>
              <w:pStyle w:val="TableParagraph"/>
              <w:spacing w:line="229" w:lineRule="exact"/>
              <w:ind w:left="832" w:right="0"/>
              <w:jc w:val="left"/>
              <w:rPr>
                <w:rFonts w:ascii="Arial" w:hAnsi="Arial" w:cs="Arial" w:eastAsia="Arial" w:hint="default"/>
                <w:sz w:val="20"/>
                <w:szCs w:val="20"/>
              </w:rPr>
            </w:pPr>
            <w:r>
              <w:rPr>
                <w:rFonts w:ascii="Arial"/>
                <w:sz w:val="20"/>
              </w:rPr>
              <w:t>30%</w:t>
            </w:r>
          </w:p>
        </w:tc>
      </w:tr>
      <w:tr>
        <w:trPr>
          <w:trHeight w:val="464"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15" w:lineRule="exact"/>
              <w:ind w:left="200" w:right="0"/>
              <w:jc w:val="left"/>
              <w:rPr>
                <w:rFonts w:ascii="黑体" w:hAnsi="黑体" w:cs="黑体" w:eastAsia="黑体" w:hint="default"/>
                <w:sz w:val="20"/>
                <w:szCs w:val="20"/>
              </w:rPr>
            </w:pPr>
            <w:r>
              <w:rPr>
                <w:rFonts w:ascii="黑体" w:hAnsi="黑体" w:cs="黑体" w:eastAsia="黑体" w:hint="default"/>
                <w:sz w:val="20"/>
                <w:szCs w:val="20"/>
              </w:rPr>
              <w:t>第三个行权期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211" w:lineRule="exact"/>
              <w:ind w:left="97" w:right="0" w:firstLine="55"/>
              <w:jc w:val="left"/>
              <w:rPr>
                <w:rFonts w:ascii="黑体" w:hAnsi="黑体" w:cs="黑体" w:eastAsia="黑体" w:hint="default"/>
                <w:sz w:val="20"/>
                <w:szCs w:val="20"/>
              </w:rPr>
            </w:pPr>
            <w:r>
              <w:rPr>
                <w:rFonts w:ascii="黑体" w:hAnsi="黑体" w:cs="黑体" w:eastAsia="黑体" w:hint="default"/>
                <w:sz w:val="20"/>
                <w:szCs w:val="20"/>
              </w:rPr>
              <w:t>自授予登记完成之日起</w:t>
            </w:r>
            <w:r>
              <w:rPr>
                <w:rFonts w:ascii="Arial" w:hAnsi="Arial" w:cs="Arial" w:eastAsia="Arial" w:hint="default"/>
                <w:sz w:val="20"/>
                <w:szCs w:val="20"/>
              </w:rPr>
              <w:t>36</w:t>
            </w:r>
            <w:r>
              <w:rPr>
                <w:rFonts w:ascii="黑体" w:hAnsi="黑体" w:cs="黑体" w:eastAsia="黑体" w:hint="default"/>
                <w:sz w:val="20"/>
                <w:szCs w:val="20"/>
              </w:rPr>
              <w:t>个月后的首个交易日，起至</w:t>
            </w:r>
          </w:p>
          <w:p>
            <w:pPr>
              <w:pStyle w:val="TableParagraph"/>
              <w:spacing w:line="258" w:lineRule="exact"/>
              <w:ind w:left="97"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48</w:t>
            </w:r>
            <w:r>
              <w:rPr>
                <w:rFonts w:ascii="黑体" w:hAnsi="黑体" w:cs="黑体" w:eastAsia="黑体" w:hint="default"/>
                <w:sz w:val="20"/>
                <w:szCs w:val="20"/>
              </w:rPr>
              <w:t>个月内的最后一个交易日当日止</w:t>
            </w:r>
          </w:p>
        </w:tc>
        <w:tc>
          <w:tcPr>
            <w:tcW w:w="2152" w:type="dxa"/>
            <w:tcBorders>
              <w:top w:val="nil" w:sz="6" w:space="0" w:color="auto"/>
              <w:left w:val="nil" w:sz="6" w:space="0" w:color="auto"/>
              <w:bottom w:val="nil" w:sz="6" w:space="0" w:color="auto"/>
              <w:right w:val="nil" w:sz="6" w:space="0" w:color="auto"/>
            </w:tcBorders>
          </w:tcPr>
          <w:p>
            <w:pPr>
              <w:pStyle w:val="TableParagraph"/>
              <w:spacing w:line="229" w:lineRule="exact"/>
              <w:ind w:left="832" w:right="0"/>
              <w:jc w:val="left"/>
              <w:rPr>
                <w:rFonts w:ascii="Arial" w:hAnsi="Arial" w:cs="Arial" w:eastAsia="Arial" w:hint="default"/>
                <w:sz w:val="20"/>
                <w:szCs w:val="20"/>
              </w:rPr>
            </w:pPr>
            <w:r>
              <w:rPr>
                <w:rFonts w:ascii="Arial"/>
                <w:sz w:val="20"/>
              </w:rPr>
              <w:t>30%</w:t>
            </w:r>
          </w:p>
        </w:tc>
      </w:tr>
    </w:tbl>
    <w:p>
      <w:pPr>
        <w:spacing w:line="240" w:lineRule="auto" w:before="9"/>
        <w:rPr>
          <w:rFonts w:ascii="黑体" w:hAnsi="黑体" w:cs="黑体" w:eastAsia="黑体" w:hint="default"/>
          <w:sz w:val="12"/>
          <w:szCs w:val="12"/>
        </w:rPr>
      </w:pPr>
    </w:p>
    <w:p>
      <w:pPr>
        <w:spacing w:line="260" w:lineRule="exact" w:before="63"/>
        <w:ind w:left="398" w:right="0" w:firstLine="0"/>
        <w:jc w:val="left"/>
        <w:rPr>
          <w:rFonts w:ascii="黑体" w:hAnsi="黑体" w:cs="黑体" w:eastAsia="黑体" w:hint="default"/>
          <w:sz w:val="20"/>
          <w:szCs w:val="20"/>
        </w:rPr>
      </w:pPr>
      <w:r>
        <w:rPr>
          <w:rFonts w:ascii="黑体" w:hAnsi="黑体" w:cs="黑体" w:eastAsia="黑体" w:hint="default"/>
          <w:spacing w:val="-2"/>
          <w:w w:val="95"/>
          <w:sz w:val="20"/>
          <w:szCs w:val="20"/>
        </w:rPr>
        <w:t>在行权期内，如达到相应的行权期规定的行权条件，则激励对象可以在该行权期内行权；如未达</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到行权条件或激励对象在行权期内未行权，该部分股票期权由本公司注销。</w:t>
      </w:r>
    </w:p>
    <w:p>
      <w:pPr>
        <w:spacing w:line="240" w:lineRule="auto" w:before="7"/>
        <w:rPr>
          <w:rFonts w:ascii="黑体" w:hAnsi="黑体" w:cs="黑体" w:eastAsia="黑体" w:hint="default"/>
          <w:sz w:val="17"/>
          <w:szCs w:val="17"/>
        </w:rPr>
      </w:pPr>
    </w:p>
    <w:p>
      <w:pPr>
        <w:spacing w:line="260" w:lineRule="exact" w:before="0"/>
        <w:ind w:left="398" w:right="0" w:firstLine="0"/>
        <w:jc w:val="left"/>
        <w:rPr>
          <w:rFonts w:ascii="黑体" w:hAnsi="黑体" w:cs="黑体" w:eastAsia="黑体" w:hint="default"/>
          <w:sz w:val="20"/>
          <w:szCs w:val="20"/>
        </w:rPr>
      </w:pPr>
      <w:r>
        <w:rPr>
          <w:rFonts w:ascii="黑体" w:hAnsi="黑体" w:cs="黑体" w:eastAsia="黑体" w:hint="default"/>
          <w:sz w:val="20"/>
          <w:szCs w:val="20"/>
        </w:rPr>
        <w:t>授予的以权益结算的股份支付于授予日的公允价值，采用布莱克</w:t>
      </w:r>
      <w:r>
        <w:rPr>
          <w:rFonts w:ascii="Arial" w:hAnsi="Arial" w:cs="Arial" w:eastAsia="Arial" w:hint="default"/>
          <w:sz w:val="20"/>
          <w:szCs w:val="20"/>
        </w:rPr>
        <w:t>-</w:t>
      </w:r>
      <w:r>
        <w:rPr>
          <w:rFonts w:ascii="黑体" w:hAnsi="黑体" w:cs="黑体" w:eastAsia="黑体" w:hint="default"/>
          <w:sz w:val="20"/>
          <w:szCs w:val="20"/>
        </w:rPr>
        <w:t>斯科尔斯模型，结合授予股份</w:t>
      </w:r>
      <w:r>
        <w:rPr>
          <w:rFonts w:ascii="黑体" w:hAnsi="黑体" w:cs="黑体" w:eastAsia="黑体" w:hint="default"/>
          <w:spacing w:val="-62"/>
          <w:sz w:val="20"/>
          <w:szCs w:val="20"/>
        </w:rPr>
        <w:t> </w:t>
      </w:r>
      <w:r>
        <w:rPr>
          <w:rFonts w:ascii="黑体" w:hAnsi="黑体" w:cs="黑体" w:eastAsia="黑体" w:hint="default"/>
          <w:spacing w:val="-62"/>
          <w:sz w:val="20"/>
          <w:szCs w:val="20"/>
        </w:rPr>
      </w:r>
      <w:r>
        <w:rPr>
          <w:rFonts w:ascii="黑体" w:hAnsi="黑体" w:cs="黑体" w:eastAsia="黑体" w:hint="default"/>
          <w:sz w:val="20"/>
          <w:szCs w:val="20"/>
        </w:rPr>
        <w:t>的条款和条件，作出估计。下表列示了所用模型的输入变量：</w:t>
      </w:r>
    </w:p>
    <w:p>
      <w:pPr>
        <w:spacing w:line="240" w:lineRule="auto" w:before="5"/>
        <w:rPr>
          <w:rFonts w:ascii="黑体" w:hAnsi="黑体" w:cs="黑体" w:eastAsia="黑体" w:hint="default"/>
          <w:sz w:val="4"/>
          <w:szCs w:val="4"/>
        </w:rPr>
      </w:pPr>
    </w:p>
    <w:tbl>
      <w:tblPr>
        <w:tblW w:w="0" w:type="auto"/>
        <w:jc w:val="left"/>
        <w:tblInd w:w="226" w:type="dxa"/>
        <w:tblLayout w:type="fixed"/>
        <w:tblCellMar>
          <w:top w:w="0" w:type="dxa"/>
          <w:left w:w="0" w:type="dxa"/>
          <w:bottom w:w="0" w:type="dxa"/>
          <w:right w:w="0" w:type="dxa"/>
        </w:tblCellMar>
        <w:tblLook w:val="01E0"/>
      </w:tblPr>
      <w:tblGrid>
        <w:gridCol w:w="3419"/>
        <w:gridCol w:w="1984"/>
        <w:gridCol w:w="1688"/>
        <w:gridCol w:w="1701"/>
      </w:tblGrid>
      <w:tr>
        <w:trPr>
          <w:trHeight w:val="250" w:hRule="exact"/>
        </w:trPr>
        <w:tc>
          <w:tcPr>
            <w:tcW w:w="341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nil" w:sz="6" w:space="0" w:color="auto"/>
            </w:tcBorders>
          </w:tcPr>
          <w:p>
            <w:pPr>
              <w:pStyle w:val="TableParagraph"/>
              <w:spacing w:line="199" w:lineRule="exact"/>
              <w:ind w:left="467" w:right="0"/>
              <w:jc w:val="left"/>
              <w:rPr>
                <w:rFonts w:ascii="黑体" w:hAnsi="黑体" w:cs="黑体" w:eastAsia="黑体" w:hint="default"/>
                <w:sz w:val="20"/>
                <w:szCs w:val="20"/>
              </w:rPr>
            </w:pPr>
            <w:r>
              <w:rPr>
                <w:rFonts w:ascii="黑体" w:hAnsi="黑体" w:cs="黑体" w:eastAsia="黑体" w:hint="default"/>
                <w:sz w:val="20"/>
                <w:szCs w:val="20"/>
              </w:rPr>
              <w:t>第一个行权期</w:t>
            </w:r>
          </w:p>
        </w:tc>
        <w:tc>
          <w:tcPr>
            <w:tcW w:w="1688" w:type="dxa"/>
            <w:tcBorders>
              <w:top w:val="nil" w:sz="6" w:space="0" w:color="auto"/>
              <w:left w:val="nil" w:sz="6" w:space="0" w:color="auto"/>
              <w:bottom w:val="nil" w:sz="6" w:space="0" w:color="auto"/>
              <w:right w:val="nil" w:sz="6" w:space="0" w:color="auto"/>
            </w:tcBorders>
          </w:tcPr>
          <w:p>
            <w:pPr>
              <w:pStyle w:val="TableParagraph"/>
              <w:spacing w:line="199" w:lineRule="exact"/>
              <w:ind w:right="286"/>
              <w:jc w:val="right"/>
              <w:rPr>
                <w:rFonts w:ascii="黑体" w:hAnsi="黑体" w:cs="黑体" w:eastAsia="黑体" w:hint="default"/>
                <w:sz w:val="20"/>
                <w:szCs w:val="20"/>
              </w:rPr>
            </w:pPr>
            <w:r>
              <w:rPr>
                <w:rFonts w:ascii="黑体" w:hAnsi="黑体" w:cs="黑体" w:eastAsia="黑体" w:hint="default"/>
                <w:w w:val="95"/>
                <w:sz w:val="20"/>
                <w:szCs w:val="20"/>
              </w:rPr>
              <w:t>第二个行权期</w:t>
            </w:r>
            <w:r>
              <w:rPr>
                <w:rFonts w:ascii="黑体" w:hAnsi="黑体" w:cs="黑体" w:eastAsia="黑体" w:hint="default"/>
                <w:sz w:val="20"/>
                <w:szCs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199" w:lineRule="exact"/>
              <w:ind w:left="239" w:right="0"/>
              <w:jc w:val="left"/>
              <w:rPr>
                <w:rFonts w:ascii="黑体" w:hAnsi="黑体" w:cs="黑体" w:eastAsia="黑体" w:hint="default"/>
                <w:sz w:val="20"/>
                <w:szCs w:val="20"/>
              </w:rPr>
            </w:pPr>
            <w:r>
              <w:rPr>
                <w:rFonts w:ascii="黑体" w:hAnsi="黑体" w:cs="黑体" w:eastAsia="黑体" w:hint="default"/>
                <w:sz w:val="20"/>
                <w:szCs w:val="20"/>
              </w:rPr>
              <w:t>第三个行权期</w:t>
            </w:r>
          </w:p>
        </w:tc>
      </w:tr>
      <w:tr>
        <w:trPr>
          <w:trHeight w:val="305"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64" w:lineRule="exact"/>
              <w:ind w:left="200" w:right="0"/>
              <w:jc w:val="left"/>
              <w:rPr>
                <w:rFonts w:ascii="Arial" w:hAnsi="Arial" w:cs="Arial" w:eastAsia="Arial" w:hint="default"/>
                <w:sz w:val="20"/>
                <w:szCs w:val="20"/>
              </w:rPr>
            </w:pPr>
            <w:r>
              <w:rPr>
                <w:rFonts w:ascii="黑体" w:hAnsi="黑体" w:cs="黑体" w:eastAsia="黑体" w:hint="default"/>
                <w:sz w:val="20"/>
                <w:szCs w:val="20"/>
              </w:rPr>
              <w:t>股利率</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0"/>
              <w:jc w:val="right"/>
              <w:rPr>
                <w:rFonts w:ascii="Arial" w:hAnsi="Arial" w:cs="Arial" w:eastAsia="Arial" w:hint="default"/>
                <w:sz w:val="20"/>
                <w:szCs w:val="20"/>
              </w:rPr>
            </w:pPr>
            <w:r>
              <w:rPr>
                <w:rFonts w:ascii="Arial"/>
                <w:spacing w:val="-1"/>
                <w:w w:val="95"/>
                <w:sz w:val="20"/>
              </w:rPr>
              <w:t>0.41</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38"/>
              <w:jc w:val="right"/>
              <w:rPr>
                <w:rFonts w:ascii="Arial" w:hAnsi="Arial" w:cs="Arial" w:eastAsia="Arial" w:hint="default"/>
                <w:sz w:val="20"/>
                <w:szCs w:val="20"/>
              </w:rPr>
            </w:pPr>
            <w:r>
              <w:rPr>
                <w:rFonts w:ascii="Arial"/>
                <w:spacing w:val="-1"/>
                <w:w w:val="95"/>
                <w:sz w:val="20"/>
              </w:rPr>
              <w:t>0.57</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98"/>
              <w:jc w:val="right"/>
              <w:rPr>
                <w:rFonts w:ascii="Arial" w:hAnsi="Arial" w:cs="Arial" w:eastAsia="Arial" w:hint="default"/>
                <w:sz w:val="20"/>
                <w:szCs w:val="20"/>
              </w:rPr>
            </w:pPr>
            <w:r>
              <w:rPr>
                <w:rFonts w:ascii="Arial"/>
                <w:spacing w:val="-1"/>
                <w:w w:val="95"/>
                <w:sz w:val="20"/>
              </w:rPr>
              <w:t>0.64</w:t>
            </w:r>
            <w:r>
              <w:rPr>
                <w:rFonts w:ascii="Arial"/>
                <w:sz w:val="20"/>
              </w:rPr>
            </w:r>
          </w:p>
        </w:tc>
      </w:tr>
      <w:tr>
        <w:trPr>
          <w:trHeight w:val="300"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预计波动率</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56.85</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20"/>
                <w:szCs w:val="20"/>
              </w:rPr>
            </w:pPr>
            <w:r>
              <w:rPr>
                <w:rFonts w:ascii="Arial"/>
                <w:w w:val="95"/>
                <w:sz w:val="20"/>
              </w:rPr>
              <w:t>47.61</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56.06</w:t>
            </w:r>
            <w:r>
              <w:rPr>
                <w:rFonts w:ascii="Arial"/>
                <w:sz w:val="20"/>
              </w:rPr>
            </w:r>
          </w:p>
        </w:tc>
      </w:tr>
      <w:tr>
        <w:trPr>
          <w:trHeight w:val="300"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无风险利率</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20"/>
                <w:szCs w:val="20"/>
              </w:rPr>
            </w:pPr>
            <w:r>
              <w:rPr>
                <w:rFonts w:ascii="Arial"/>
                <w:spacing w:val="-1"/>
                <w:w w:val="95"/>
                <w:sz w:val="20"/>
              </w:rPr>
              <w:t>2.85</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20"/>
                <w:szCs w:val="20"/>
              </w:rPr>
            </w:pPr>
            <w:r>
              <w:rPr>
                <w:rFonts w:ascii="Arial"/>
                <w:spacing w:val="-1"/>
                <w:w w:val="95"/>
                <w:sz w:val="20"/>
              </w:rPr>
              <w:t>3.08</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spacing w:val="-1"/>
                <w:w w:val="95"/>
                <w:sz w:val="20"/>
              </w:rPr>
              <w:t>3.30</w:t>
            </w:r>
            <w:r>
              <w:rPr>
                <w:rFonts w:ascii="Arial"/>
                <w:sz w:val="20"/>
              </w:rPr>
            </w:r>
          </w:p>
        </w:tc>
      </w:tr>
      <w:tr>
        <w:trPr>
          <w:trHeight w:val="300"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股份期权预计期限</w:t>
            </w:r>
            <w:r>
              <w:rPr>
                <w:rFonts w:ascii="Arial" w:hAnsi="Arial" w:cs="Arial" w:eastAsia="Arial" w:hint="default"/>
                <w:sz w:val="20"/>
                <w:szCs w:val="20"/>
              </w:rPr>
              <w:t>(</w:t>
            </w:r>
            <w:r>
              <w:rPr>
                <w:rFonts w:ascii="黑体" w:hAnsi="黑体" w:cs="黑体" w:eastAsia="黑体" w:hint="default"/>
                <w:sz w:val="20"/>
                <w:szCs w:val="20"/>
              </w:rPr>
              <w:t>年</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59" w:lineRule="exact"/>
              <w:ind w:right="198"/>
              <w:jc w:val="right"/>
              <w:rPr>
                <w:rFonts w:ascii="黑体" w:hAnsi="黑体" w:cs="黑体" w:eastAsia="黑体" w:hint="default"/>
                <w:sz w:val="20"/>
                <w:szCs w:val="20"/>
              </w:rPr>
            </w:pPr>
            <w:r>
              <w:rPr>
                <w:rFonts w:ascii="Arial" w:hAnsi="Arial" w:cs="Arial" w:eastAsia="Arial" w:hint="default"/>
                <w:spacing w:val="-1"/>
                <w:w w:val="95"/>
                <w:sz w:val="20"/>
                <w:szCs w:val="20"/>
              </w:rPr>
              <w:t>1</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59" w:lineRule="exact"/>
              <w:ind w:right="239"/>
              <w:jc w:val="right"/>
              <w:rPr>
                <w:rFonts w:ascii="黑体" w:hAnsi="黑体" w:cs="黑体" w:eastAsia="黑体" w:hint="default"/>
                <w:sz w:val="20"/>
                <w:szCs w:val="20"/>
              </w:rPr>
            </w:pPr>
            <w:r>
              <w:rPr>
                <w:rFonts w:ascii="Arial" w:hAnsi="Arial" w:cs="Arial" w:eastAsia="Arial" w:hint="default"/>
                <w:spacing w:val="-1"/>
                <w:w w:val="95"/>
                <w:sz w:val="20"/>
                <w:szCs w:val="20"/>
              </w:rPr>
              <w:t>2</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59" w:lineRule="exact"/>
              <w:ind w:right="198"/>
              <w:jc w:val="right"/>
              <w:rPr>
                <w:rFonts w:ascii="黑体" w:hAnsi="黑体" w:cs="黑体" w:eastAsia="黑体" w:hint="default"/>
                <w:sz w:val="20"/>
                <w:szCs w:val="20"/>
              </w:rPr>
            </w:pPr>
            <w:r>
              <w:rPr>
                <w:rFonts w:ascii="Arial" w:hAnsi="Arial" w:cs="Arial" w:eastAsia="Arial" w:hint="default"/>
                <w:spacing w:val="-1"/>
                <w:w w:val="95"/>
                <w:sz w:val="20"/>
                <w:szCs w:val="20"/>
              </w:rPr>
              <w:t>3</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254"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授予日股价</w:t>
            </w:r>
            <w:r>
              <w:rPr>
                <w:rFonts w:ascii="Arial" w:hAnsi="Arial" w:cs="Arial" w:eastAsia="Arial" w:hint="default"/>
                <w:sz w:val="20"/>
                <w:szCs w:val="20"/>
              </w:rPr>
              <w:t>(</w:t>
            </w:r>
            <w:r>
              <w:rPr>
                <w:rFonts w:ascii="黑体" w:hAnsi="黑体" w:cs="黑体" w:eastAsia="黑体" w:hint="default"/>
                <w:sz w:val="20"/>
                <w:szCs w:val="20"/>
              </w:rPr>
              <w:t>元</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22.65</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20"/>
                <w:szCs w:val="20"/>
              </w:rPr>
            </w:pPr>
            <w:r>
              <w:rPr>
                <w:rFonts w:ascii="Arial"/>
                <w:w w:val="95"/>
                <w:sz w:val="20"/>
              </w:rPr>
              <w:t>22.65</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22.65</w:t>
            </w:r>
            <w:r>
              <w:rPr>
                <w:rFonts w:ascii="Arial"/>
                <w:sz w:val="20"/>
              </w:rPr>
            </w:r>
          </w:p>
        </w:tc>
      </w:tr>
    </w:tbl>
    <w:p>
      <w:pPr>
        <w:spacing w:line="240" w:lineRule="auto" w:before="4"/>
        <w:rPr>
          <w:rFonts w:ascii="黑体" w:hAnsi="黑体" w:cs="黑体" w:eastAsia="黑体" w:hint="default"/>
          <w:sz w:val="15"/>
          <w:szCs w:val="15"/>
        </w:rPr>
      </w:pPr>
    </w:p>
    <w:p>
      <w:pPr>
        <w:spacing w:line="260" w:lineRule="exact" w:before="63"/>
        <w:ind w:left="398" w:right="415" w:firstLine="0"/>
        <w:jc w:val="both"/>
        <w:rPr>
          <w:rFonts w:ascii="黑体" w:hAnsi="黑体" w:cs="黑体" w:eastAsia="黑体" w:hint="default"/>
          <w:sz w:val="20"/>
          <w:szCs w:val="20"/>
        </w:rPr>
      </w:pPr>
      <w:r>
        <w:rPr>
          <w:rFonts w:ascii="黑体" w:hAnsi="黑体" w:cs="黑体" w:eastAsia="黑体" w:hint="default"/>
          <w:spacing w:val="-2"/>
          <w:w w:val="99"/>
          <w:sz w:val="20"/>
          <w:szCs w:val="20"/>
        </w:rPr>
        <w:t>股票期权的预计期限是根据对未来股票价格波动所可能引致的员工行权时间为基础确定的，其反</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w w:val="99"/>
          <w:sz w:val="20"/>
          <w:szCs w:val="20"/>
        </w:rPr>
        <w:t>映的行权模式并不一定是未来可能出现的行权模式。预计波动率是基于历史波动率能反映出未来</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趋势的假设，但并不一定是实际的结果。公允价值未考虑所授予股票期权的其他特征。</w:t>
      </w:r>
    </w:p>
    <w:p>
      <w:pPr>
        <w:spacing w:line="240" w:lineRule="auto" w:before="8"/>
        <w:rPr>
          <w:rFonts w:ascii="黑体" w:hAnsi="黑体" w:cs="黑体" w:eastAsia="黑体" w:hint="default"/>
          <w:sz w:val="15"/>
          <w:szCs w:val="15"/>
        </w:rPr>
      </w:pPr>
    </w:p>
    <w:p>
      <w:pPr>
        <w:spacing w:before="0"/>
        <w:ind w:left="398" w:right="0" w:firstLine="0"/>
        <w:jc w:val="both"/>
        <w:rPr>
          <w:rFonts w:ascii="黑体" w:hAnsi="黑体" w:cs="黑体" w:eastAsia="黑体" w:hint="default"/>
          <w:sz w:val="20"/>
          <w:szCs w:val="20"/>
        </w:rPr>
      </w:pPr>
      <w:r>
        <w:rPr>
          <w:rFonts w:ascii="黑体" w:hAnsi="黑体" w:cs="黑体" w:eastAsia="黑体" w:hint="default"/>
          <w:sz w:val="20"/>
          <w:szCs w:val="20"/>
        </w:rPr>
        <w:t>截至资产负债表日，发行在外的股票期权的行权价格和行权有效期如下：</w:t>
      </w:r>
    </w:p>
    <w:p>
      <w:pPr>
        <w:spacing w:line="240" w:lineRule="auto" w:before="1"/>
        <w:rPr>
          <w:rFonts w:ascii="黑体" w:hAnsi="黑体" w:cs="黑体" w:eastAsia="黑体" w:hint="default"/>
          <w:sz w:val="23"/>
          <w:szCs w:val="23"/>
        </w:rPr>
      </w:pPr>
    </w:p>
    <w:tbl>
      <w:tblPr>
        <w:tblW w:w="0" w:type="auto"/>
        <w:jc w:val="left"/>
        <w:tblInd w:w="193" w:type="dxa"/>
        <w:tblLayout w:type="fixed"/>
        <w:tblCellMar>
          <w:top w:w="0" w:type="dxa"/>
          <w:left w:w="0" w:type="dxa"/>
          <w:bottom w:w="0" w:type="dxa"/>
          <w:right w:w="0" w:type="dxa"/>
        </w:tblCellMar>
        <w:tblLook w:val="01E0"/>
      </w:tblPr>
      <w:tblGrid>
        <w:gridCol w:w="1881"/>
        <w:gridCol w:w="2495"/>
        <w:gridCol w:w="2361"/>
        <w:gridCol w:w="2091"/>
      </w:tblGrid>
      <w:tr>
        <w:trPr>
          <w:trHeight w:val="234" w:hRule="exact"/>
        </w:trPr>
        <w:tc>
          <w:tcPr>
            <w:tcW w:w="1881" w:type="dxa"/>
            <w:tcBorders>
              <w:top w:val="nil" w:sz="6" w:space="0" w:color="auto"/>
              <w:left w:val="nil" w:sz="6" w:space="0" w:color="auto"/>
              <w:bottom w:val="nil" w:sz="6" w:space="0" w:color="auto"/>
              <w:right w:val="nil" w:sz="6" w:space="0" w:color="auto"/>
            </w:tcBorders>
          </w:tcPr>
          <w:p>
            <w:pPr>
              <w:pStyle w:val="TableParagraph"/>
              <w:spacing w:line="214" w:lineRule="exact"/>
              <w:ind w:left="54" w:right="0"/>
              <w:jc w:val="center"/>
              <w:rPr>
                <w:rFonts w:ascii="Arial" w:hAnsi="Arial" w:cs="Arial" w:eastAsia="Arial" w:hint="default"/>
                <w:sz w:val="20"/>
                <w:szCs w:val="20"/>
              </w:rPr>
            </w:pPr>
            <w:r>
              <w:rPr>
                <w:rFonts w:ascii="黑体" w:hAnsi="黑体" w:cs="黑体" w:eastAsia="黑体" w:hint="default"/>
                <w:sz w:val="20"/>
                <w:szCs w:val="20"/>
              </w:rPr>
              <w:t>股票期权数量</w:t>
            </w:r>
            <w:r>
              <w:rPr>
                <w:rFonts w:ascii="Arial" w:hAnsi="Arial" w:cs="Arial" w:eastAsia="Arial" w:hint="default"/>
                <w:sz w:val="20"/>
                <w:szCs w:val="20"/>
              </w:rPr>
              <w:t>(</w:t>
            </w:r>
            <w:r>
              <w:rPr>
                <w:rFonts w:ascii="黑体" w:hAnsi="黑体" w:cs="黑体" w:eastAsia="黑体" w:hint="default"/>
                <w:sz w:val="20"/>
                <w:szCs w:val="20"/>
              </w:rPr>
              <w:t>份</w:t>
            </w:r>
            <w:r>
              <w:rPr>
                <w:rFonts w:ascii="Arial" w:hAnsi="Arial" w:cs="Arial" w:eastAsia="Arial" w:hint="default"/>
                <w:sz w:val="20"/>
                <w:szCs w:val="20"/>
              </w:rPr>
              <w:t>)</w:t>
            </w:r>
          </w:p>
        </w:tc>
        <w:tc>
          <w:tcPr>
            <w:tcW w:w="2495" w:type="dxa"/>
            <w:tcBorders>
              <w:top w:val="nil" w:sz="6" w:space="0" w:color="auto"/>
              <w:left w:val="nil" w:sz="6" w:space="0" w:color="auto"/>
              <w:bottom w:val="nil" w:sz="6" w:space="0" w:color="auto"/>
              <w:right w:val="nil" w:sz="6" w:space="0" w:color="auto"/>
            </w:tcBorders>
          </w:tcPr>
          <w:p>
            <w:pPr>
              <w:pStyle w:val="TableParagraph"/>
              <w:spacing w:line="214" w:lineRule="exact"/>
              <w:ind w:right="20"/>
              <w:jc w:val="center"/>
              <w:rPr>
                <w:rFonts w:ascii="Arial" w:hAnsi="Arial" w:cs="Arial" w:eastAsia="Arial" w:hint="default"/>
                <w:sz w:val="20"/>
                <w:szCs w:val="20"/>
              </w:rPr>
            </w:pPr>
            <w:r>
              <w:rPr>
                <w:rFonts w:ascii="黑体" w:hAnsi="黑体" w:cs="黑体" w:eastAsia="黑体" w:hint="default"/>
                <w:sz w:val="20"/>
                <w:szCs w:val="20"/>
              </w:rPr>
              <w:t>预计</w:t>
            </w:r>
            <w:r>
              <w:rPr>
                <w:rFonts w:ascii="Arial" w:hAnsi="Arial" w:cs="Arial" w:eastAsia="Arial" w:hint="default"/>
                <w:sz w:val="20"/>
                <w:szCs w:val="20"/>
              </w:rPr>
              <w:t>2020</w:t>
            </w:r>
            <w:r>
              <w:rPr>
                <w:rFonts w:ascii="黑体" w:hAnsi="黑体" w:cs="黑体" w:eastAsia="黑体" w:hint="default"/>
                <w:sz w:val="20"/>
                <w:szCs w:val="20"/>
              </w:rPr>
              <w:t>年行权数量</w:t>
            </w:r>
            <w:r>
              <w:rPr>
                <w:rFonts w:ascii="Arial" w:hAnsi="Arial" w:cs="Arial" w:eastAsia="Arial" w:hint="default"/>
                <w:sz w:val="20"/>
                <w:szCs w:val="20"/>
              </w:rPr>
              <w:t>(</w:t>
            </w:r>
            <w:r>
              <w:rPr>
                <w:rFonts w:ascii="黑体" w:hAnsi="黑体" w:cs="黑体" w:eastAsia="黑体" w:hint="default"/>
                <w:sz w:val="20"/>
                <w:szCs w:val="20"/>
              </w:rPr>
              <w:t>份</w:t>
            </w:r>
            <w:r>
              <w:rPr>
                <w:rFonts w:ascii="Arial" w:hAnsi="Arial" w:cs="Arial" w:eastAsia="Arial" w:hint="default"/>
                <w:sz w:val="20"/>
                <w:szCs w:val="20"/>
              </w:rPr>
              <w:t>)</w:t>
            </w:r>
          </w:p>
        </w:tc>
        <w:tc>
          <w:tcPr>
            <w:tcW w:w="2361" w:type="dxa"/>
            <w:tcBorders>
              <w:top w:val="nil" w:sz="6" w:space="0" w:color="auto"/>
              <w:left w:val="nil" w:sz="6" w:space="0" w:color="auto"/>
              <w:bottom w:val="nil" w:sz="6" w:space="0" w:color="auto"/>
              <w:right w:val="nil" w:sz="6" w:space="0" w:color="auto"/>
            </w:tcBorders>
          </w:tcPr>
          <w:p>
            <w:pPr>
              <w:pStyle w:val="TableParagraph"/>
              <w:spacing w:line="214" w:lineRule="exact"/>
              <w:ind w:left="168" w:right="0"/>
              <w:jc w:val="left"/>
              <w:rPr>
                <w:rFonts w:ascii="Arial" w:hAnsi="Arial" w:cs="Arial" w:eastAsia="Arial" w:hint="default"/>
                <w:sz w:val="20"/>
                <w:szCs w:val="20"/>
              </w:rPr>
            </w:pPr>
            <w:r>
              <w:rPr>
                <w:rFonts w:ascii="黑体" w:hAnsi="黑体" w:cs="黑体" w:eastAsia="黑体" w:hint="default"/>
                <w:sz w:val="20"/>
                <w:szCs w:val="20"/>
              </w:rPr>
              <w:t>行权价格</w:t>
            </w:r>
            <w:r>
              <w:rPr>
                <w:rFonts w:ascii="Arial" w:hAnsi="Arial" w:cs="Arial" w:eastAsia="Arial" w:hint="default"/>
                <w:sz w:val="20"/>
                <w:szCs w:val="20"/>
              </w:rPr>
              <w:t>(</w:t>
            </w:r>
            <w:r>
              <w:rPr>
                <w:rFonts w:ascii="黑体" w:hAnsi="黑体" w:cs="黑体" w:eastAsia="黑体" w:hint="default"/>
                <w:sz w:val="20"/>
                <w:szCs w:val="20"/>
              </w:rPr>
              <w:t>人民币元</w:t>
            </w:r>
            <w:r>
              <w:rPr>
                <w:rFonts w:ascii="Arial" w:hAnsi="Arial" w:cs="Arial" w:eastAsia="Arial" w:hint="default"/>
                <w:sz w:val="20"/>
                <w:szCs w:val="20"/>
              </w:rPr>
              <w:t>/</w:t>
            </w:r>
            <w:r>
              <w:rPr>
                <w:rFonts w:ascii="黑体" w:hAnsi="黑体" w:cs="黑体" w:eastAsia="黑体" w:hint="default"/>
                <w:sz w:val="20"/>
                <w:szCs w:val="20"/>
              </w:rPr>
              <w:t>股</w:t>
            </w:r>
            <w:r>
              <w:rPr>
                <w:rFonts w:ascii="Arial" w:hAnsi="Arial" w:cs="Arial" w:eastAsia="Arial" w:hint="default"/>
                <w:sz w:val="20"/>
                <w:szCs w:val="20"/>
              </w:rPr>
              <w:t>)</w:t>
            </w:r>
          </w:p>
        </w:tc>
        <w:tc>
          <w:tcPr>
            <w:tcW w:w="2091" w:type="dxa"/>
            <w:tcBorders>
              <w:top w:val="nil" w:sz="6" w:space="0" w:color="auto"/>
              <w:left w:val="nil" w:sz="6" w:space="0" w:color="auto"/>
              <w:bottom w:val="nil" w:sz="6" w:space="0" w:color="auto"/>
              <w:right w:val="nil" w:sz="6" w:space="0" w:color="auto"/>
            </w:tcBorders>
          </w:tcPr>
          <w:p>
            <w:pPr>
              <w:pStyle w:val="TableParagraph"/>
              <w:spacing w:line="199" w:lineRule="exact"/>
              <w:ind w:left="856" w:right="0"/>
              <w:jc w:val="left"/>
              <w:rPr>
                <w:rFonts w:ascii="黑体" w:hAnsi="黑体" w:cs="黑体" w:eastAsia="黑体" w:hint="default"/>
                <w:sz w:val="20"/>
                <w:szCs w:val="20"/>
              </w:rPr>
            </w:pPr>
            <w:r>
              <w:rPr>
                <w:rFonts w:ascii="黑体" w:hAnsi="黑体" w:cs="黑体" w:eastAsia="黑体" w:hint="default"/>
                <w:sz w:val="20"/>
                <w:szCs w:val="20"/>
              </w:rPr>
              <w:t>行权有效期</w:t>
            </w:r>
          </w:p>
        </w:tc>
      </w:tr>
      <w:tr>
        <w:trPr>
          <w:trHeight w:val="496" w:hRule="exact"/>
        </w:trPr>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0"/>
                <w:szCs w:val="20"/>
              </w:rPr>
            </w:pPr>
          </w:p>
          <w:p>
            <w:pPr>
              <w:pStyle w:val="TableParagraph"/>
              <w:spacing w:line="240" w:lineRule="auto"/>
              <w:ind w:left="26" w:right="0"/>
              <w:jc w:val="center"/>
              <w:rPr>
                <w:rFonts w:ascii="Arial" w:hAnsi="Arial" w:cs="Arial" w:eastAsia="Arial" w:hint="default"/>
                <w:sz w:val="20"/>
                <w:szCs w:val="20"/>
              </w:rPr>
            </w:pPr>
            <w:r>
              <w:rPr>
                <w:rFonts w:ascii="Arial"/>
                <w:sz w:val="20"/>
              </w:rPr>
              <w:t>689,496</w:t>
            </w:r>
          </w:p>
        </w:tc>
        <w:tc>
          <w:tcPr>
            <w:tcW w:w="24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0"/>
                <w:szCs w:val="20"/>
              </w:rPr>
            </w:pPr>
          </w:p>
          <w:p>
            <w:pPr>
              <w:pStyle w:val="TableParagraph"/>
              <w:spacing w:line="240" w:lineRule="auto"/>
              <w:ind w:right="103"/>
              <w:jc w:val="center"/>
              <w:rPr>
                <w:rFonts w:ascii="Arial" w:hAnsi="Arial" w:cs="Arial" w:eastAsia="Arial" w:hint="default"/>
                <w:sz w:val="20"/>
                <w:szCs w:val="20"/>
              </w:rPr>
            </w:pPr>
            <w:r>
              <w:rPr>
                <w:rFonts w:ascii="Arial"/>
                <w:sz w:val="20"/>
              </w:rPr>
              <w:t>318,229</w:t>
            </w:r>
          </w:p>
        </w:tc>
        <w:tc>
          <w:tcPr>
            <w:tcW w:w="23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0"/>
                <w:szCs w:val="20"/>
              </w:rPr>
            </w:pPr>
          </w:p>
          <w:p>
            <w:pPr>
              <w:pStyle w:val="TableParagraph"/>
              <w:spacing w:line="240" w:lineRule="auto"/>
              <w:ind w:right="158"/>
              <w:jc w:val="center"/>
              <w:rPr>
                <w:rFonts w:ascii="Arial" w:hAnsi="Arial" w:cs="Arial" w:eastAsia="Arial" w:hint="default"/>
                <w:sz w:val="20"/>
                <w:szCs w:val="20"/>
              </w:rPr>
            </w:pPr>
            <w:r>
              <w:rPr>
                <w:rFonts w:ascii="Arial"/>
                <w:sz w:val="20"/>
              </w:rPr>
              <w:t>21.48</w:t>
            </w:r>
          </w:p>
        </w:tc>
        <w:tc>
          <w:tcPr>
            <w:tcW w:w="2091" w:type="dxa"/>
            <w:tcBorders>
              <w:top w:val="nil" w:sz="6" w:space="0" w:color="auto"/>
              <w:left w:val="nil" w:sz="6" w:space="0" w:color="auto"/>
              <w:bottom w:val="nil" w:sz="6" w:space="0" w:color="auto"/>
              <w:right w:val="nil" w:sz="6" w:space="0" w:color="auto"/>
            </w:tcBorders>
          </w:tcPr>
          <w:p>
            <w:pPr>
              <w:pStyle w:val="TableParagraph"/>
              <w:spacing w:line="232" w:lineRule="exact"/>
              <w:ind w:right="0"/>
              <w:jc w:val="center"/>
              <w:rPr>
                <w:rFonts w:ascii="黑体" w:hAnsi="黑体" w:cs="黑体" w:eastAsia="黑体" w:hint="default"/>
                <w:sz w:val="20"/>
                <w:szCs w:val="20"/>
              </w:rPr>
            </w:pPr>
            <w:r>
              <w:rPr>
                <w:rFonts w:ascii="Arial" w:hAnsi="Arial" w:cs="Arial" w:eastAsia="Arial" w:hint="default"/>
                <w:sz w:val="20"/>
                <w:szCs w:val="20"/>
              </w:rPr>
              <w:t>2020</w:t>
            </w:r>
            <w:r>
              <w:rPr>
                <w:rFonts w:ascii="黑体" w:hAnsi="黑体" w:cs="黑体" w:eastAsia="黑体" w:hint="default"/>
                <w:sz w:val="20"/>
                <w:szCs w:val="20"/>
              </w:rPr>
              <w:t>年</w:t>
            </w:r>
            <w:r>
              <w:rPr>
                <w:rFonts w:ascii="Arial" w:hAnsi="Arial" w:cs="Arial" w:eastAsia="Arial" w:hint="default"/>
                <w:sz w:val="20"/>
                <w:szCs w:val="20"/>
              </w:rPr>
              <w:t>11</w:t>
            </w:r>
            <w:r>
              <w:rPr>
                <w:rFonts w:ascii="黑体" w:hAnsi="黑体" w:cs="黑体" w:eastAsia="黑体" w:hint="default"/>
                <w:sz w:val="20"/>
                <w:szCs w:val="20"/>
              </w:rPr>
              <w:t>月</w:t>
            </w:r>
            <w:r>
              <w:rPr>
                <w:rFonts w:ascii="Arial" w:hAnsi="Arial" w:cs="Arial" w:eastAsia="Arial" w:hint="default"/>
                <w:sz w:val="20"/>
                <w:szCs w:val="20"/>
              </w:rPr>
              <w:t>12</w:t>
            </w:r>
            <w:r>
              <w:rPr>
                <w:rFonts w:ascii="黑体" w:hAnsi="黑体" w:cs="黑体" w:eastAsia="黑体" w:hint="default"/>
                <w:sz w:val="20"/>
                <w:szCs w:val="20"/>
              </w:rPr>
              <w:t>日至</w:t>
            </w:r>
          </w:p>
          <w:p>
            <w:pPr>
              <w:pStyle w:val="TableParagraph"/>
              <w:spacing w:line="269" w:lineRule="exact"/>
              <w:ind w:left="195" w:right="0"/>
              <w:jc w:val="center"/>
              <w:rPr>
                <w:rFonts w:ascii="黑体" w:hAnsi="黑体" w:cs="黑体" w:eastAsia="黑体" w:hint="default"/>
                <w:sz w:val="20"/>
                <w:szCs w:val="20"/>
              </w:rPr>
            </w:pPr>
            <w:r>
              <w:rPr>
                <w:rFonts w:ascii="Arial" w:hAnsi="Arial" w:cs="Arial" w:eastAsia="Arial" w:hint="default"/>
                <w:sz w:val="20"/>
                <w:szCs w:val="20"/>
              </w:rPr>
              <w:t>2022</w:t>
            </w:r>
            <w:r>
              <w:rPr>
                <w:rFonts w:ascii="黑体" w:hAnsi="黑体" w:cs="黑体" w:eastAsia="黑体" w:hint="default"/>
                <w:sz w:val="20"/>
                <w:szCs w:val="20"/>
              </w:rPr>
              <w:t>年</w:t>
            </w:r>
            <w:r>
              <w:rPr>
                <w:rFonts w:ascii="Arial" w:hAnsi="Arial" w:cs="Arial" w:eastAsia="Arial" w:hint="default"/>
                <w:sz w:val="20"/>
                <w:szCs w:val="20"/>
              </w:rPr>
              <w:t>11</w:t>
            </w:r>
            <w:r>
              <w:rPr>
                <w:rFonts w:ascii="黑体" w:hAnsi="黑体" w:cs="黑体" w:eastAsia="黑体" w:hint="default"/>
                <w:sz w:val="20"/>
                <w:szCs w:val="20"/>
              </w:rPr>
              <w:t>月</w:t>
            </w:r>
            <w:r>
              <w:rPr>
                <w:rFonts w:ascii="Arial" w:hAnsi="Arial" w:cs="Arial" w:eastAsia="Arial" w:hint="default"/>
                <w:sz w:val="20"/>
                <w:szCs w:val="20"/>
              </w:rPr>
              <w:t>11</w:t>
            </w:r>
            <w:r>
              <w:rPr>
                <w:rFonts w:ascii="黑体" w:hAnsi="黑体" w:cs="黑体" w:eastAsia="黑体" w:hint="default"/>
                <w:sz w:val="20"/>
                <w:szCs w:val="20"/>
              </w:rPr>
              <w:t>日</w:t>
            </w:r>
          </w:p>
        </w:tc>
      </w:tr>
    </w:tbl>
    <w:p>
      <w:pPr>
        <w:spacing w:line="240" w:lineRule="auto" w:before="12"/>
        <w:rPr>
          <w:rFonts w:ascii="黑体" w:hAnsi="黑体" w:cs="黑体" w:eastAsia="黑体" w:hint="default"/>
          <w:sz w:val="12"/>
          <w:szCs w:val="12"/>
        </w:rPr>
      </w:pPr>
    </w:p>
    <w:p>
      <w:pPr>
        <w:spacing w:before="37"/>
        <w:ind w:left="398" w:right="0" w:firstLine="0"/>
        <w:jc w:val="both"/>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股票期权的行权价格可根据配股、派发股票股利或本公司股本的其他类似变化予以调整。</w:t>
      </w:r>
    </w:p>
    <w:p>
      <w:pPr>
        <w:spacing w:line="240" w:lineRule="auto" w:before="4"/>
        <w:rPr>
          <w:rFonts w:ascii="黑体" w:hAnsi="黑体" w:cs="黑体" w:eastAsia="黑体" w:hint="default"/>
          <w:sz w:val="18"/>
          <w:szCs w:val="18"/>
        </w:rPr>
      </w:pPr>
    </w:p>
    <w:p>
      <w:pPr>
        <w:spacing w:line="260" w:lineRule="exact" w:before="0"/>
        <w:ind w:left="398" w:right="409" w:firstLine="0"/>
        <w:jc w:val="both"/>
        <w:rPr>
          <w:rFonts w:ascii="黑体" w:hAnsi="黑体" w:cs="黑体" w:eastAsia="黑体" w:hint="default"/>
          <w:sz w:val="20"/>
          <w:szCs w:val="20"/>
        </w:rPr>
      </w:pPr>
      <w:r>
        <w:rPr>
          <w:rFonts w:ascii="黑体" w:hAnsi="黑体" w:cs="黑体" w:eastAsia="黑体" w:hint="default"/>
          <w:sz w:val="20"/>
          <w:szCs w:val="20"/>
        </w:rPr>
        <w:t>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日，本公司在本计划下发行在外的股票期权为</w:t>
      </w:r>
      <w:r>
        <w:rPr>
          <w:rFonts w:ascii="Arial" w:hAnsi="Arial" w:cs="Arial" w:eastAsia="Arial" w:hint="default"/>
          <w:sz w:val="20"/>
          <w:szCs w:val="20"/>
        </w:rPr>
        <w:t>689,496</w:t>
      </w:r>
      <w:r>
        <w:rPr>
          <w:rFonts w:ascii="黑体" w:hAnsi="黑体" w:cs="黑体" w:eastAsia="黑体" w:hint="default"/>
          <w:sz w:val="20"/>
          <w:szCs w:val="20"/>
        </w:rPr>
        <w:t>份，因</w:t>
      </w:r>
      <w:r>
        <w:rPr>
          <w:rFonts w:ascii="Arial" w:hAnsi="Arial" w:cs="Arial" w:eastAsia="Arial" w:hint="default"/>
          <w:sz w:val="20"/>
          <w:szCs w:val="20"/>
        </w:rPr>
        <w:t>2019</w:t>
      </w:r>
      <w:r>
        <w:rPr>
          <w:rFonts w:ascii="黑体" w:hAnsi="黑体" w:cs="黑体" w:eastAsia="黑体" w:hint="default"/>
          <w:sz w:val="20"/>
          <w:szCs w:val="20"/>
        </w:rPr>
        <w:t>年公司业绩</w:t>
      </w:r>
      <w:r>
        <w:rPr>
          <w:rFonts w:ascii="黑体" w:hAnsi="黑体" w:cs="黑体" w:eastAsia="黑体" w:hint="default"/>
          <w:spacing w:val="-65"/>
          <w:sz w:val="20"/>
          <w:szCs w:val="20"/>
        </w:rPr>
        <w:t> </w:t>
      </w:r>
      <w:r>
        <w:rPr>
          <w:rFonts w:ascii="黑体" w:hAnsi="黑体" w:cs="黑体" w:eastAsia="黑体" w:hint="default"/>
          <w:spacing w:val="-65"/>
          <w:sz w:val="20"/>
          <w:szCs w:val="20"/>
        </w:rPr>
      </w:r>
      <w:r>
        <w:rPr>
          <w:rFonts w:ascii="黑体" w:hAnsi="黑体" w:cs="黑体" w:eastAsia="黑体" w:hint="default"/>
          <w:sz w:val="20"/>
          <w:szCs w:val="20"/>
        </w:rPr>
        <w:t>已达到</w:t>
      </w:r>
      <w:r>
        <w:rPr>
          <w:rFonts w:ascii="Arial" w:hAnsi="Arial" w:cs="Arial" w:eastAsia="Arial" w:hint="default"/>
          <w:sz w:val="20"/>
          <w:szCs w:val="20"/>
        </w:rPr>
        <w:t>2019</w:t>
      </w:r>
      <w:r>
        <w:rPr>
          <w:rFonts w:ascii="黑体" w:hAnsi="黑体" w:cs="黑体" w:eastAsia="黑体" w:hint="default"/>
          <w:sz w:val="20"/>
          <w:szCs w:val="20"/>
        </w:rPr>
        <w:t>年股票期权激励计划的行权条件，预计</w:t>
      </w:r>
      <w:r>
        <w:rPr>
          <w:rFonts w:ascii="Arial" w:hAnsi="Arial" w:cs="Arial" w:eastAsia="Arial" w:hint="default"/>
          <w:sz w:val="20"/>
          <w:szCs w:val="20"/>
        </w:rPr>
        <w:t>2020</w:t>
      </w:r>
      <w:r>
        <w:rPr>
          <w:rFonts w:ascii="黑体" w:hAnsi="黑体" w:cs="黑体" w:eastAsia="黑体" w:hint="default"/>
          <w:sz w:val="20"/>
          <w:szCs w:val="20"/>
        </w:rPr>
        <w:t>年可行权期权份数为</w:t>
      </w:r>
      <w:r>
        <w:rPr>
          <w:rFonts w:ascii="Arial" w:hAnsi="Arial" w:cs="Arial" w:eastAsia="Arial" w:hint="default"/>
          <w:sz w:val="20"/>
          <w:szCs w:val="20"/>
        </w:rPr>
        <w:t>318,229</w:t>
      </w:r>
      <w:r>
        <w:rPr>
          <w:rFonts w:ascii="黑体" w:hAnsi="黑体" w:cs="黑体" w:eastAsia="黑体" w:hint="default"/>
          <w:sz w:val="20"/>
          <w:szCs w:val="20"/>
        </w:rPr>
        <w:t>份。</w:t>
      </w:r>
    </w:p>
    <w:p>
      <w:pPr>
        <w:spacing w:line="240" w:lineRule="auto" w:before="8"/>
        <w:rPr>
          <w:rFonts w:ascii="黑体" w:hAnsi="黑体" w:cs="黑体" w:eastAsia="黑体" w:hint="default"/>
          <w:sz w:val="15"/>
          <w:szCs w:val="15"/>
        </w:rPr>
      </w:pPr>
    </w:p>
    <w:p>
      <w:pPr>
        <w:spacing w:before="0"/>
        <w:ind w:left="398" w:right="0" w:firstLine="0"/>
        <w:jc w:val="both"/>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年股份支付计划</w:t>
      </w:r>
    </w:p>
    <w:p>
      <w:pPr>
        <w:spacing w:line="240" w:lineRule="auto" w:before="3"/>
        <w:rPr>
          <w:rFonts w:ascii="黑体" w:hAnsi="黑体" w:cs="黑体" w:eastAsia="黑体" w:hint="default"/>
          <w:sz w:val="17"/>
          <w:szCs w:val="17"/>
        </w:rPr>
      </w:pPr>
    </w:p>
    <w:p>
      <w:pPr>
        <w:spacing w:line="225" w:lineRule="auto" w:before="0"/>
        <w:ind w:left="398" w:right="409" w:firstLine="0"/>
        <w:jc w:val="both"/>
        <w:rPr>
          <w:rFonts w:ascii="黑体" w:hAnsi="黑体" w:cs="黑体" w:eastAsia="黑体" w:hint="default"/>
          <w:sz w:val="20"/>
          <w:szCs w:val="20"/>
        </w:rPr>
      </w:pPr>
      <w:r>
        <w:rPr>
          <w:rFonts w:ascii="黑体" w:hAnsi="黑体" w:cs="黑体" w:eastAsia="黑体" w:hint="default"/>
          <w:spacing w:val="-1"/>
          <w:w w:val="95"/>
          <w:sz w:val="20"/>
          <w:szCs w:val="20"/>
        </w:rPr>
        <w:t>本公司于</w:t>
      </w: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Arial" w:hAnsi="Arial" w:cs="Arial" w:eastAsia="Arial" w:hint="default"/>
          <w:spacing w:val="-1"/>
          <w:w w:val="95"/>
          <w:sz w:val="20"/>
          <w:szCs w:val="20"/>
        </w:rPr>
        <w:t>8</w:t>
      </w:r>
      <w:r>
        <w:rPr>
          <w:rFonts w:ascii="黑体" w:hAnsi="黑体" w:cs="黑体" w:eastAsia="黑体" w:hint="default"/>
          <w:spacing w:val="-1"/>
          <w:w w:val="95"/>
          <w:sz w:val="20"/>
          <w:szCs w:val="20"/>
        </w:rPr>
        <w:t>月</w:t>
      </w:r>
      <w:r>
        <w:rPr>
          <w:rFonts w:ascii="Arial" w:hAnsi="Arial" w:cs="Arial" w:eastAsia="Arial" w:hint="default"/>
          <w:spacing w:val="-1"/>
          <w:w w:val="95"/>
          <w:sz w:val="20"/>
          <w:szCs w:val="20"/>
        </w:rPr>
        <w:t>14</w:t>
      </w:r>
      <w:r>
        <w:rPr>
          <w:rFonts w:ascii="黑体" w:hAnsi="黑体" w:cs="黑体" w:eastAsia="黑体" w:hint="default"/>
          <w:spacing w:val="-1"/>
          <w:w w:val="95"/>
          <w:sz w:val="20"/>
          <w:szCs w:val="20"/>
        </w:rPr>
        <w:t>日召开公司第七届董事会第三十九次会议，审议通过了《用友网络科技股</w:t>
      </w:r>
      <w:r>
        <w:rPr>
          <w:rFonts w:ascii="黑体" w:hAnsi="黑体" w:cs="黑体" w:eastAsia="黑体" w:hint="default"/>
          <w:spacing w:val="7"/>
          <w:w w:val="95"/>
          <w:sz w:val="20"/>
          <w:szCs w:val="20"/>
        </w:rPr>
        <w:t> </w:t>
      </w:r>
      <w:r>
        <w:rPr>
          <w:rFonts w:ascii="黑体" w:hAnsi="黑体" w:cs="黑体" w:eastAsia="黑体" w:hint="default"/>
          <w:spacing w:val="7"/>
          <w:w w:val="95"/>
          <w:sz w:val="20"/>
          <w:szCs w:val="20"/>
        </w:rPr>
      </w:r>
      <w:r>
        <w:rPr>
          <w:rFonts w:ascii="黑体" w:hAnsi="黑体" w:cs="黑体" w:eastAsia="黑体" w:hint="default"/>
          <w:sz w:val="20"/>
          <w:szCs w:val="20"/>
        </w:rPr>
        <w:t>份有限公司 </w:t>
      </w:r>
      <w:r>
        <w:rPr>
          <w:rFonts w:ascii="Arial" w:hAnsi="Arial" w:cs="Arial" w:eastAsia="Arial" w:hint="default"/>
          <w:sz w:val="20"/>
          <w:szCs w:val="20"/>
        </w:rPr>
        <w:t>2019 </w:t>
      </w:r>
      <w:r>
        <w:rPr>
          <w:rFonts w:ascii="黑体" w:hAnsi="黑体" w:cs="黑体" w:eastAsia="黑体" w:hint="default"/>
          <w:sz w:val="20"/>
          <w:szCs w:val="20"/>
        </w:rPr>
        <w:t>年股票期权与限制性股票激励计划（草</w:t>
      </w:r>
      <w:r>
        <w:rPr>
          <w:rFonts w:ascii="黑体" w:hAnsi="黑体" w:cs="黑体" w:eastAsia="黑体" w:hint="default"/>
          <w:spacing w:val="-44"/>
          <w:sz w:val="20"/>
          <w:szCs w:val="20"/>
        </w:rPr>
        <w:t> </w:t>
      </w:r>
      <w:r>
        <w:rPr>
          <w:rFonts w:ascii="黑体" w:hAnsi="黑体" w:cs="黑体" w:eastAsia="黑体" w:hint="default"/>
          <w:sz w:val="20"/>
          <w:szCs w:val="20"/>
        </w:rPr>
        <w:t>案）及摘要的议案》并出具公告。公</w:t>
      </w:r>
      <w:r>
        <w:rPr>
          <w:rFonts w:ascii="黑体" w:hAnsi="黑体" w:cs="黑体" w:eastAsia="黑体" w:hint="default"/>
          <w:w w:val="99"/>
          <w:sz w:val="20"/>
          <w:szCs w:val="20"/>
        </w:rPr>
        <w:t> </w:t>
      </w:r>
      <w:r>
        <w:rPr>
          <w:rFonts w:ascii="黑体" w:hAnsi="黑体" w:cs="黑体" w:eastAsia="黑体" w:hint="default"/>
          <w:spacing w:val="2"/>
          <w:w w:val="95"/>
          <w:sz w:val="20"/>
          <w:szCs w:val="20"/>
        </w:rPr>
        <w:t>司于</w:t>
      </w:r>
      <w:r>
        <w:rPr>
          <w:rFonts w:ascii="Arial" w:hAnsi="Arial" w:cs="Arial" w:eastAsia="Arial" w:hint="default"/>
          <w:spacing w:val="2"/>
          <w:w w:val="95"/>
          <w:sz w:val="20"/>
          <w:szCs w:val="20"/>
        </w:rPr>
        <w:t>2019</w:t>
      </w:r>
      <w:r>
        <w:rPr>
          <w:rFonts w:ascii="黑体" w:hAnsi="黑体" w:cs="黑体" w:eastAsia="黑体" w:hint="default"/>
          <w:spacing w:val="2"/>
          <w:w w:val="95"/>
          <w:sz w:val="20"/>
          <w:szCs w:val="20"/>
        </w:rPr>
        <w:t>年</w:t>
      </w:r>
      <w:r>
        <w:rPr>
          <w:rFonts w:ascii="Arial" w:hAnsi="Arial" w:cs="Arial" w:eastAsia="Arial" w:hint="default"/>
          <w:spacing w:val="2"/>
          <w:w w:val="95"/>
          <w:sz w:val="20"/>
          <w:szCs w:val="20"/>
        </w:rPr>
        <w:t>8</w:t>
      </w:r>
      <w:r>
        <w:rPr>
          <w:rFonts w:ascii="黑体" w:hAnsi="黑体" w:cs="黑体" w:eastAsia="黑体" w:hint="default"/>
          <w:spacing w:val="2"/>
          <w:w w:val="95"/>
          <w:sz w:val="20"/>
          <w:szCs w:val="20"/>
        </w:rPr>
        <w:t>月</w:t>
      </w:r>
      <w:r>
        <w:rPr>
          <w:rFonts w:ascii="Arial" w:hAnsi="Arial" w:cs="Arial" w:eastAsia="Arial" w:hint="default"/>
          <w:spacing w:val="2"/>
          <w:w w:val="95"/>
          <w:sz w:val="20"/>
          <w:szCs w:val="20"/>
        </w:rPr>
        <w:t>30</w:t>
      </w:r>
      <w:r>
        <w:rPr>
          <w:rFonts w:ascii="黑体" w:hAnsi="黑体" w:cs="黑体" w:eastAsia="黑体" w:hint="default"/>
          <w:spacing w:val="2"/>
          <w:w w:val="95"/>
          <w:sz w:val="20"/>
          <w:szCs w:val="20"/>
        </w:rPr>
        <w:t>日召开公司</w:t>
      </w:r>
      <w:r>
        <w:rPr>
          <w:rFonts w:ascii="Arial" w:hAnsi="Arial" w:cs="Arial" w:eastAsia="Arial" w:hint="default"/>
          <w:spacing w:val="2"/>
          <w:w w:val="95"/>
          <w:sz w:val="20"/>
          <w:szCs w:val="20"/>
        </w:rPr>
        <w:t>2019</w:t>
      </w:r>
      <w:r>
        <w:rPr>
          <w:rFonts w:ascii="黑体" w:hAnsi="黑体" w:cs="黑体" w:eastAsia="黑体" w:hint="default"/>
          <w:spacing w:val="2"/>
          <w:w w:val="95"/>
          <w:sz w:val="20"/>
          <w:szCs w:val="20"/>
        </w:rPr>
        <w:t>年第一次临时股东大会决议公告，审议通过了《用友网络科</w:t>
      </w:r>
      <w:r>
        <w:rPr>
          <w:rFonts w:ascii="黑体" w:hAnsi="黑体" w:cs="黑体" w:eastAsia="黑体" w:hint="default"/>
          <w:spacing w:val="97"/>
          <w:w w:val="95"/>
          <w:sz w:val="20"/>
          <w:szCs w:val="20"/>
        </w:rPr>
        <w:t> </w:t>
      </w:r>
      <w:r>
        <w:rPr>
          <w:rFonts w:ascii="黑体" w:hAnsi="黑体" w:cs="黑体" w:eastAsia="黑体" w:hint="default"/>
          <w:spacing w:val="97"/>
          <w:w w:val="95"/>
          <w:sz w:val="20"/>
          <w:szCs w:val="20"/>
        </w:rPr>
      </w:r>
      <w:r>
        <w:rPr>
          <w:rFonts w:ascii="黑体" w:hAnsi="黑体" w:cs="黑体" w:eastAsia="黑体" w:hint="default"/>
          <w:sz w:val="20"/>
          <w:szCs w:val="20"/>
        </w:rPr>
        <w:t>技股份有限公司</w:t>
      </w:r>
      <w:r>
        <w:rPr>
          <w:rFonts w:ascii="黑体" w:hAnsi="黑体" w:cs="黑体" w:eastAsia="黑体" w:hint="default"/>
          <w:spacing w:val="23"/>
          <w:sz w:val="20"/>
          <w:szCs w:val="20"/>
        </w:rPr>
        <w:t> </w:t>
      </w:r>
      <w:r>
        <w:rPr>
          <w:rFonts w:ascii="Arial" w:hAnsi="Arial" w:cs="Arial" w:eastAsia="Arial" w:hint="default"/>
          <w:sz w:val="20"/>
          <w:szCs w:val="20"/>
        </w:rPr>
        <w:t>2019</w:t>
      </w:r>
      <w:r>
        <w:rPr>
          <w:rFonts w:ascii="黑体" w:hAnsi="黑体" w:cs="黑体" w:eastAsia="黑体" w:hint="default"/>
          <w:sz w:val="20"/>
          <w:szCs w:val="20"/>
        </w:rPr>
        <w:t>年股票期权与限制性股票激励计划（草</w:t>
      </w:r>
      <w:r>
        <w:rPr>
          <w:rFonts w:ascii="黑体" w:hAnsi="黑体" w:cs="黑体" w:eastAsia="黑体" w:hint="default"/>
          <w:spacing w:val="28"/>
          <w:sz w:val="20"/>
          <w:szCs w:val="20"/>
        </w:rPr>
        <w:t> </w:t>
      </w:r>
      <w:r>
        <w:rPr>
          <w:rFonts w:ascii="黑体" w:hAnsi="黑体" w:cs="黑体" w:eastAsia="黑体" w:hint="default"/>
          <w:sz w:val="20"/>
          <w:szCs w:val="20"/>
        </w:rPr>
        <w:t>案）及摘要的议案》，决定向激</w:t>
      </w:r>
      <w:r>
        <w:rPr>
          <w:rFonts w:ascii="黑体" w:hAnsi="黑体" w:cs="黑体" w:eastAsia="黑体" w:hint="default"/>
          <w:spacing w:val="-97"/>
          <w:sz w:val="20"/>
          <w:szCs w:val="20"/>
        </w:rPr>
        <w:t> </w:t>
      </w:r>
      <w:r>
        <w:rPr>
          <w:rFonts w:ascii="黑体" w:hAnsi="黑体" w:cs="黑体" w:eastAsia="黑体" w:hint="default"/>
          <w:spacing w:val="-97"/>
          <w:sz w:val="20"/>
          <w:szCs w:val="20"/>
        </w:rPr>
      </w:r>
      <w:r>
        <w:rPr>
          <w:rFonts w:ascii="黑体" w:hAnsi="黑体" w:cs="黑体" w:eastAsia="黑体" w:hint="default"/>
          <w:sz w:val="20"/>
          <w:szCs w:val="20"/>
        </w:rPr>
        <w:t>励对象授予股票期权与限制性股票。本公司</w:t>
      </w:r>
      <w:r>
        <w:rPr>
          <w:rFonts w:ascii="Arial" w:hAnsi="Arial" w:cs="Arial" w:eastAsia="Arial" w:hint="default"/>
          <w:sz w:val="20"/>
          <w:szCs w:val="20"/>
        </w:rPr>
        <w:t>2019</w:t>
      </w:r>
      <w:r>
        <w:rPr>
          <w:rFonts w:ascii="黑体" w:hAnsi="黑体" w:cs="黑体" w:eastAsia="黑体" w:hint="default"/>
          <w:sz w:val="20"/>
          <w:szCs w:val="20"/>
        </w:rPr>
        <w:t>年授予计划的授予日为</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9</w:t>
      </w:r>
      <w:r>
        <w:rPr>
          <w:rFonts w:ascii="黑体" w:hAnsi="黑体" w:cs="黑体" w:eastAsia="黑体" w:hint="default"/>
          <w:sz w:val="20"/>
          <w:szCs w:val="20"/>
        </w:rPr>
        <w:t>月</w:t>
      </w:r>
      <w:r>
        <w:rPr>
          <w:rFonts w:ascii="Arial" w:hAnsi="Arial" w:cs="Arial" w:eastAsia="Arial" w:hint="default"/>
          <w:sz w:val="20"/>
          <w:szCs w:val="20"/>
        </w:rPr>
        <w:t>9</w:t>
      </w:r>
      <w:r>
        <w:rPr>
          <w:rFonts w:ascii="黑体" w:hAnsi="黑体" w:cs="黑体" w:eastAsia="黑体" w:hint="default"/>
          <w:sz w:val="20"/>
          <w:szCs w:val="20"/>
        </w:rPr>
        <w:t>日。</w:t>
      </w:r>
    </w:p>
    <w:p>
      <w:pPr>
        <w:spacing w:after="0" w:line="225" w:lineRule="auto"/>
        <w:jc w:val="both"/>
        <w:rPr>
          <w:rFonts w:ascii="黑体" w:hAnsi="黑体" w:cs="黑体" w:eastAsia="黑体" w:hint="default"/>
          <w:sz w:val="20"/>
          <w:szCs w:val="20"/>
        </w:rPr>
        <w:sectPr>
          <w:headerReference w:type="default" r:id="rId89"/>
          <w:footerReference w:type="default" r:id="rId90"/>
          <w:pgSz w:w="11910" w:h="16850"/>
          <w:pgMar w:header="745" w:footer="0" w:top="980" w:bottom="280" w:left="1400" w:right="1380"/>
        </w:sectPr>
      </w:pPr>
    </w:p>
    <w:p>
      <w:pPr>
        <w:spacing w:line="240" w:lineRule="auto" w:before="10"/>
        <w:rPr>
          <w:rFonts w:ascii="黑体" w:hAnsi="黑体" w:cs="黑体" w:eastAsia="黑体" w:hint="default"/>
          <w:sz w:val="28"/>
          <w:szCs w:val="28"/>
        </w:rPr>
      </w:pPr>
    </w:p>
    <w:p>
      <w:pPr>
        <w:spacing w:before="37"/>
        <w:ind w:left="318" w:right="0" w:firstLine="0"/>
        <w:jc w:val="both"/>
        <w:rPr>
          <w:rFonts w:ascii="黑体" w:hAnsi="黑体" w:cs="黑体" w:eastAsia="黑体" w:hint="default"/>
          <w:sz w:val="20"/>
          <w:szCs w:val="20"/>
        </w:rPr>
      </w:pPr>
      <w:r>
        <w:rPr>
          <w:rFonts w:ascii="黑体" w:hAnsi="黑体" w:cs="黑体" w:eastAsia="黑体" w:hint="default"/>
          <w:sz w:val="20"/>
          <w:szCs w:val="20"/>
        </w:rPr>
        <w:t>（</w:t>
      </w:r>
      <w:r>
        <w:rPr>
          <w:rFonts w:ascii="Arial" w:hAnsi="Arial" w:cs="Arial" w:eastAsia="Arial" w:hint="default"/>
          <w:sz w:val="20"/>
          <w:szCs w:val="20"/>
        </w:rPr>
        <w:t>1</w:t>
      </w:r>
      <w:r>
        <w:rPr>
          <w:rFonts w:ascii="黑体" w:hAnsi="黑体" w:cs="黑体" w:eastAsia="黑体" w:hint="default"/>
          <w:sz w:val="20"/>
          <w:szCs w:val="20"/>
        </w:rPr>
        <w:t>）限制性股票激励计划</w:t>
      </w:r>
    </w:p>
    <w:p>
      <w:pPr>
        <w:spacing w:line="240" w:lineRule="auto" w:before="4"/>
        <w:rPr>
          <w:rFonts w:ascii="黑体" w:hAnsi="黑体" w:cs="黑体" w:eastAsia="黑体" w:hint="default"/>
          <w:sz w:val="18"/>
          <w:szCs w:val="18"/>
        </w:rPr>
      </w:pPr>
    </w:p>
    <w:p>
      <w:pPr>
        <w:spacing w:line="260" w:lineRule="exact" w:before="0"/>
        <w:ind w:left="318" w:right="108" w:firstLine="0"/>
        <w:jc w:val="both"/>
        <w:rPr>
          <w:rFonts w:ascii="黑体" w:hAnsi="黑体" w:cs="黑体" w:eastAsia="黑体" w:hint="default"/>
          <w:sz w:val="20"/>
          <w:szCs w:val="20"/>
        </w:rPr>
      </w:pPr>
      <w:r>
        <w:rPr>
          <w:rFonts w:ascii="黑体" w:hAnsi="黑体" w:cs="黑体" w:eastAsia="黑体" w:hint="default"/>
          <w:sz w:val="20"/>
          <w:szCs w:val="20"/>
        </w:rPr>
        <w:t>本公司</w:t>
      </w:r>
      <w:r>
        <w:rPr>
          <w:rFonts w:ascii="Arial" w:hAnsi="Arial" w:cs="Arial" w:eastAsia="Arial" w:hint="default"/>
          <w:sz w:val="20"/>
          <w:szCs w:val="20"/>
        </w:rPr>
        <w:t>2019</w:t>
      </w:r>
      <w:r>
        <w:rPr>
          <w:rFonts w:ascii="黑体" w:hAnsi="黑体" w:cs="黑体" w:eastAsia="黑体" w:hint="default"/>
          <w:sz w:val="20"/>
          <w:szCs w:val="20"/>
        </w:rPr>
        <w:t>年发行了新限制性股票激励计划，向</w:t>
      </w:r>
      <w:r>
        <w:rPr>
          <w:rFonts w:ascii="Arial" w:hAnsi="Arial" w:cs="Arial" w:eastAsia="Arial" w:hint="default"/>
          <w:sz w:val="20"/>
          <w:szCs w:val="20"/>
        </w:rPr>
        <w:t>150</w:t>
      </w:r>
      <w:r>
        <w:rPr>
          <w:rFonts w:ascii="黑体" w:hAnsi="黑体" w:cs="黑体" w:eastAsia="黑体" w:hint="default"/>
          <w:sz w:val="20"/>
          <w:szCs w:val="20"/>
        </w:rPr>
        <w:t>位激励对象授予限制性股票</w:t>
      </w:r>
      <w:r>
        <w:rPr>
          <w:rFonts w:ascii="Arial" w:hAnsi="Arial" w:cs="Arial" w:eastAsia="Arial" w:hint="default"/>
          <w:sz w:val="20"/>
          <w:szCs w:val="20"/>
        </w:rPr>
        <w:t>706,060</w:t>
      </w:r>
      <w:r>
        <w:rPr>
          <w:rFonts w:ascii="黑体" w:hAnsi="黑体" w:cs="黑体" w:eastAsia="黑体" w:hint="default"/>
          <w:sz w:val="20"/>
          <w:szCs w:val="20"/>
        </w:rPr>
        <w:t>股，限</w:t>
      </w:r>
      <w:r>
        <w:rPr>
          <w:rFonts w:ascii="黑体" w:hAnsi="黑体" w:cs="黑体" w:eastAsia="黑体" w:hint="default"/>
          <w:spacing w:val="-96"/>
          <w:sz w:val="20"/>
          <w:szCs w:val="20"/>
        </w:rPr>
        <w:t> </w:t>
      </w:r>
      <w:r>
        <w:rPr>
          <w:rFonts w:ascii="黑体" w:hAnsi="黑体" w:cs="黑体" w:eastAsia="黑体" w:hint="default"/>
          <w:w w:val="95"/>
          <w:sz w:val="20"/>
          <w:szCs w:val="20"/>
        </w:rPr>
        <w:t>制性股票的授予价格为</w:t>
      </w:r>
      <w:r>
        <w:rPr>
          <w:rFonts w:ascii="Arial" w:hAnsi="Arial" w:cs="Arial" w:eastAsia="Arial" w:hint="default"/>
          <w:w w:val="95"/>
          <w:sz w:val="20"/>
          <w:szCs w:val="20"/>
        </w:rPr>
        <w:t>6.11</w:t>
      </w:r>
      <w:r>
        <w:rPr>
          <w:rFonts w:ascii="黑体" w:hAnsi="黑体" w:cs="黑体" w:eastAsia="黑体" w:hint="default"/>
          <w:w w:val="95"/>
          <w:sz w:val="20"/>
          <w:szCs w:val="20"/>
        </w:rPr>
        <w:t>元，股票来源为公司从二级市场回购的本公司</w:t>
      </w:r>
      <w:r>
        <w:rPr>
          <w:rFonts w:ascii="Arial" w:hAnsi="Arial" w:cs="Arial" w:eastAsia="Arial" w:hint="default"/>
          <w:w w:val="95"/>
          <w:sz w:val="20"/>
          <w:szCs w:val="20"/>
        </w:rPr>
        <w:t>A</w:t>
      </w:r>
      <w:r>
        <w:rPr>
          <w:rFonts w:ascii="黑体" w:hAnsi="黑体" w:cs="黑体" w:eastAsia="黑体" w:hint="default"/>
          <w:w w:val="95"/>
          <w:sz w:val="20"/>
          <w:szCs w:val="20"/>
        </w:rPr>
        <w:t>股普通股。获授的限</w:t>
      </w:r>
      <w:r>
        <w:rPr>
          <w:rFonts w:ascii="黑体" w:hAnsi="黑体" w:cs="黑体" w:eastAsia="黑体" w:hint="default"/>
          <w:spacing w:val="20"/>
          <w:w w:val="95"/>
          <w:sz w:val="20"/>
          <w:szCs w:val="20"/>
        </w:rPr>
        <w:t> </w:t>
      </w:r>
      <w:r>
        <w:rPr>
          <w:rFonts w:ascii="黑体" w:hAnsi="黑体" w:cs="黑体" w:eastAsia="黑体" w:hint="default"/>
          <w:spacing w:val="20"/>
          <w:w w:val="95"/>
          <w:sz w:val="20"/>
          <w:szCs w:val="20"/>
        </w:rPr>
      </w:r>
      <w:r>
        <w:rPr>
          <w:rFonts w:ascii="黑体" w:hAnsi="黑体" w:cs="黑体" w:eastAsia="黑体" w:hint="default"/>
          <w:sz w:val="20"/>
          <w:szCs w:val="20"/>
        </w:rPr>
        <w:t>制性股票应在授予日起满</w:t>
      </w:r>
      <w:r>
        <w:rPr>
          <w:rFonts w:ascii="Arial" w:hAnsi="Arial" w:cs="Arial" w:eastAsia="Arial" w:hint="default"/>
          <w:sz w:val="20"/>
          <w:szCs w:val="20"/>
        </w:rPr>
        <w:t>12</w:t>
      </w:r>
      <w:r>
        <w:rPr>
          <w:rFonts w:ascii="黑体" w:hAnsi="黑体" w:cs="黑体" w:eastAsia="黑体" w:hint="default"/>
          <w:sz w:val="20"/>
          <w:szCs w:val="20"/>
        </w:rPr>
        <w:t>个月后的未来</w:t>
      </w:r>
      <w:r>
        <w:rPr>
          <w:rFonts w:ascii="Arial" w:hAnsi="Arial" w:cs="Arial" w:eastAsia="Arial" w:hint="default"/>
          <w:sz w:val="20"/>
          <w:szCs w:val="20"/>
        </w:rPr>
        <w:t>36</w:t>
      </w:r>
      <w:r>
        <w:rPr>
          <w:rFonts w:ascii="黑体" w:hAnsi="黑体" w:cs="黑体" w:eastAsia="黑体" w:hint="default"/>
          <w:sz w:val="20"/>
          <w:szCs w:val="20"/>
        </w:rPr>
        <w:t>个月内分三期解锁。具体安排如下：</w:t>
      </w:r>
    </w:p>
    <w:p>
      <w:pPr>
        <w:spacing w:line="240" w:lineRule="auto" w:before="9"/>
        <w:rPr>
          <w:rFonts w:ascii="黑体" w:hAnsi="黑体" w:cs="黑体" w:eastAsia="黑体"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2076"/>
        <w:gridCol w:w="5210"/>
        <w:gridCol w:w="1216"/>
      </w:tblGrid>
      <w:tr>
        <w:trPr>
          <w:trHeight w:val="25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199" w:lineRule="exact"/>
              <w:ind w:left="478" w:right="0"/>
              <w:jc w:val="left"/>
              <w:rPr>
                <w:rFonts w:ascii="黑体" w:hAnsi="黑体" w:cs="黑体" w:eastAsia="黑体" w:hint="default"/>
                <w:sz w:val="20"/>
                <w:szCs w:val="20"/>
              </w:rPr>
            </w:pPr>
            <w:r>
              <w:rPr>
                <w:rFonts w:ascii="黑体" w:hAnsi="黑体" w:cs="黑体" w:eastAsia="黑体" w:hint="default"/>
                <w:sz w:val="20"/>
                <w:szCs w:val="20"/>
              </w:rPr>
              <w:t>解除限售安排</w:t>
            </w:r>
          </w:p>
        </w:tc>
        <w:tc>
          <w:tcPr>
            <w:tcW w:w="5210" w:type="dxa"/>
            <w:tcBorders>
              <w:top w:val="nil" w:sz="6" w:space="0" w:color="auto"/>
              <w:left w:val="nil" w:sz="6" w:space="0" w:color="auto"/>
              <w:bottom w:val="nil" w:sz="6" w:space="0" w:color="auto"/>
              <w:right w:val="nil" w:sz="6" w:space="0" w:color="auto"/>
            </w:tcBorders>
          </w:tcPr>
          <w:p>
            <w:pPr>
              <w:pStyle w:val="TableParagraph"/>
              <w:spacing w:line="199" w:lineRule="exact"/>
              <w:ind w:right="114"/>
              <w:jc w:val="center"/>
              <w:rPr>
                <w:rFonts w:ascii="黑体" w:hAnsi="黑体" w:cs="黑体" w:eastAsia="黑体" w:hint="default"/>
                <w:sz w:val="20"/>
                <w:szCs w:val="20"/>
              </w:rPr>
            </w:pPr>
            <w:r>
              <w:rPr>
                <w:rFonts w:ascii="黑体" w:hAnsi="黑体" w:cs="黑体" w:eastAsia="黑体" w:hint="default"/>
                <w:sz w:val="20"/>
                <w:szCs w:val="20"/>
              </w:rPr>
              <w:t>解锁时间</w:t>
            </w:r>
          </w:p>
        </w:tc>
        <w:tc>
          <w:tcPr>
            <w:tcW w:w="1216" w:type="dxa"/>
            <w:tcBorders>
              <w:top w:val="nil" w:sz="6" w:space="0" w:color="auto"/>
              <w:left w:val="nil" w:sz="6" w:space="0" w:color="auto"/>
              <w:bottom w:val="nil" w:sz="6" w:space="0" w:color="auto"/>
              <w:right w:val="nil" w:sz="6" w:space="0" w:color="auto"/>
            </w:tcBorders>
          </w:tcPr>
          <w:p>
            <w:pPr>
              <w:pStyle w:val="TableParagraph"/>
              <w:spacing w:line="199" w:lineRule="exact"/>
              <w:ind w:left="216" w:right="0"/>
              <w:jc w:val="left"/>
              <w:rPr>
                <w:rFonts w:ascii="黑体" w:hAnsi="黑体" w:cs="黑体" w:eastAsia="黑体" w:hint="default"/>
                <w:sz w:val="20"/>
                <w:szCs w:val="20"/>
              </w:rPr>
            </w:pPr>
            <w:r>
              <w:rPr>
                <w:rFonts w:ascii="黑体" w:hAnsi="黑体" w:cs="黑体" w:eastAsia="黑体" w:hint="default"/>
                <w:sz w:val="20"/>
                <w:szCs w:val="20"/>
              </w:rPr>
              <w:t>解锁比例</w:t>
            </w:r>
          </w:p>
        </w:tc>
      </w:tr>
      <w:tr>
        <w:trPr>
          <w:trHeight w:val="612"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76" w:lineRule="auto"/>
              <w:ind w:left="200" w:right="106"/>
              <w:jc w:val="left"/>
              <w:rPr>
                <w:rFonts w:ascii="黑体" w:hAnsi="黑体" w:cs="黑体" w:eastAsia="黑体" w:hint="default"/>
                <w:sz w:val="20"/>
                <w:szCs w:val="20"/>
              </w:rPr>
            </w:pPr>
            <w:r>
              <w:rPr>
                <w:rFonts w:ascii="黑体" w:hAnsi="黑体" w:cs="黑体" w:eastAsia="黑体" w:hint="default"/>
                <w:sz w:val="20"/>
                <w:szCs w:val="20"/>
              </w:rPr>
              <w:t>限</w:t>
            </w:r>
            <w:r>
              <w:rPr>
                <w:rFonts w:ascii="黑体" w:hAnsi="黑体" w:cs="黑体" w:eastAsia="黑体" w:hint="default"/>
                <w:spacing w:val="-76"/>
                <w:sz w:val="20"/>
                <w:szCs w:val="20"/>
              </w:rPr>
              <w:t> </w:t>
            </w:r>
            <w:r>
              <w:rPr>
                <w:rFonts w:ascii="黑体" w:hAnsi="黑体" w:cs="黑体" w:eastAsia="黑体" w:hint="default"/>
                <w:spacing w:val="11"/>
                <w:sz w:val="20"/>
                <w:szCs w:val="20"/>
              </w:rPr>
              <w:t>制性</w:t>
            </w:r>
            <w:r>
              <w:rPr>
                <w:rFonts w:ascii="黑体" w:hAnsi="黑体" w:cs="黑体" w:eastAsia="黑体" w:hint="default"/>
                <w:spacing w:val="-76"/>
                <w:sz w:val="20"/>
                <w:szCs w:val="20"/>
              </w:rPr>
              <w:t> </w:t>
            </w:r>
            <w:r>
              <w:rPr>
                <w:rFonts w:ascii="黑体" w:hAnsi="黑体" w:cs="黑体" w:eastAsia="黑体" w:hint="default"/>
                <w:spacing w:val="15"/>
                <w:sz w:val="20"/>
                <w:szCs w:val="20"/>
              </w:rPr>
              <w:t>股票第</w:t>
            </w:r>
            <w:r>
              <w:rPr>
                <w:rFonts w:ascii="黑体" w:hAnsi="黑体" w:cs="黑体" w:eastAsia="黑体" w:hint="default"/>
                <w:spacing w:val="-76"/>
                <w:sz w:val="20"/>
                <w:szCs w:val="20"/>
              </w:rPr>
              <w:t> </w:t>
            </w:r>
            <w:r>
              <w:rPr>
                <w:rFonts w:ascii="黑体" w:hAnsi="黑体" w:cs="黑体" w:eastAsia="黑体" w:hint="default"/>
                <w:spacing w:val="11"/>
                <w:sz w:val="20"/>
                <w:szCs w:val="20"/>
              </w:rPr>
              <w:t>一个</w:t>
            </w:r>
            <w:r>
              <w:rPr>
                <w:rFonts w:ascii="黑体" w:hAnsi="黑体" w:cs="黑体" w:eastAsia="黑体" w:hint="default"/>
                <w:w w:val="99"/>
                <w:sz w:val="20"/>
                <w:szCs w:val="20"/>
              </w:rPr>
              <w:t> </w:t>
            </w:r>
            <w:r>
              <w:rPr>
                <w:rFonts w:ascii="黑体" w:hAnsi="黑体" w:cs="黑体" w:eastAsia="黑体" w:hint="default"/>
                <w:sz w:val="20"/>
                <w:szCs w:val="20"/>
              </w:rPr>
              <w:t>解除限售期</w:t>
            </w:r>
          </w:p>
        </w:tc>
        <w:tc>
          <w:tcPr>
            <w:tcW w:w="5210" w:type="dxa"/>
            <w:tcBorders>
              <w:top w:val="nil" w:sz="6" w:space="0" w:color="auto"/>
              <w:left w:val="nil" w:sz="6" w:space="0" w:color="auto"/>
              <w:bottom w:val="nil" w:sz="6" w:space="0" w:color="auto"/>
              <w:right w:val="nil" w:sz="6" w:space="0" w:color="auto"/>
            </w:tcBorders>
          </w:tcPr>
          <w:p>
            <w:pPr>
              <w:pStyle w:val="TableParagraph"/>
              <w:spacing w:line="261" w:lineRule="auto"/>
              <w:ind w:left="108" w:right="214"/>
              <w:jc w:val="left"/>
              <w:rPr>
                <w:rFonts w:ascii="黑体" w:hAnsi="黑体" w:cs="黑体" w:eastAsia="黑体" w:hint="default"/>
                <w:sz w:val="20"/>
                <w:szCs w:val="20"/>
              </w:rPr>
            </w:pPr>
            <w:r>
              <w:rPr>
                <w:rFonts w:ascii="黑体" w:hAnsi="黑体" w:cs="黑体" w:eastAsia="黑体" w:hint="default"/>
                <w:spacing w:val="2"/>
                <w:sz w:val="20"/>
                <w:szCs w:val="20"/>
              </w:rPr>
              <w:t>自授予登记完成之日起</w:t>
            </w:r>
            <w:r>
              <w:rPr>
                <w:rFonts w:ascii="Arial" w:hAnsi="Arial" w:cs="Arial" w:eastAsia="Arial" w:hint="default"/>
                <w:spacing w:val="2"/>
                <w:sz w:val="20"/>
                <w:szCs w:val="20"/>
              </w:rPr>
              <w:t>12</w:t>
            </w:r>
            <w:r>
              <w:rPr>
                <w:rFonts w:ascii="黑体" w:hAnsi="黑体" w:cs="黑体" w:eastAsia="黑体" w:hint="default"/>
                <w:spacing w:val="2"/>
                <w:sz w:val="20"/>
                <w:szCs w:val="20"/>
              </w:rPr>
              <w:t>个月后的首个交易日，起至授</w:t>
            </w:r>
            <w:r>
              <w:rPr>
                <w:rFonts w:ascii="黑体" w:hAnsi="黑体" w:cs="黑体" w:eastAsia="黑体" w:hint="default"/>
                <w:spacing w:val="-98"/>
                <w:sz w:val="20"/>
                <w:szCs w:val="20"/>
              </w:rPr>
              <w:t> </w:t>
            </w:r>
            <w:r>
              <w:rPr>
                <w:rFonts w:ascii="黑体" w:hAnsi="黑体" w:cs="黑体" w:eastAsia="黑体" w:hint="default"/>
                <w:spacing w:val="-98"/>
                <w:sz w:val="20"/>
                <w:szCs w:val="20"/>
              </w:rPr>
            </w:r>
            <w:r>
              <w:rPr>
                <w:rFonts w:ascii="黑体" w:hAnsi="黑体" w:cs="黑体" w:eastAsia="黑体" w:hint="default"/>
                <w:sz w:val="20"/>
                <w:szCs w:val="20"/>
              </w:rPr>
              <w:t>予登记完成之日起</w:t>
            </w:r>
            <w:r>
              <w:rPr>
                <w:rFonts w:ascii="Arial" w:hAnsi="Arial" w:cs="Arial" w:eastAsia="Arial" w:hint="default"/>
                <w:sz w:val="20"/>
                <w:szCs w:val="20"/>
              </w:rPr>
              <w:t>24</w:t>
            </w:r>
            <w:r>
              <w:rPr>
                <w:rFonts w:ascii="黑体" w:hAnsi="黑体" w:cs="黑体" w:eastAsia="黑体" w:hint="default"/>
                <w:sz w:val="20"/>
                <w:szCs w:val="20"/>
              </w:rPr>
              <w:t>个月内的最后一个交易日当日止</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07" w:right="0"/>
              <w:jc w:val="left"/>
              <w:rPr>
                <w:rFonts w:ascii="Arial" w:hAnsi="Arial" w:cs="Arial" w:eastAsia="Arial" w:hint="default"/>
                <w:sz w:val="20"/>
                <w:szCs w:val="20"/>
              </w:rPr>
            </w:pPr>
            <w:r>
              <w:rPr>
                <w:rFonts w:ascii="Arial"/>
                <w:sz w:val="20"/>
              </w:rPr>
              <w:t>40%</w:t>
            </w:r>
          </w:p>
        </w:tc>
      </w:tr>
      <w:tr>
        <w:trPr>
          <w:trHeight w:val="600"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黑体" w:hAnsi="黑体" w:cs="黑体" w:eastAsia="黑体" w:hint="default"/>
                <w:sz w:val="20"/>
                <w:szCs w:val="20"/>
              </w:rPr>
            </w:pPr>
            <w:r>
              <w:rPr>
                <w:rFonts w:ascii="黑体" w:hAnsi="黑体" w:cs="黑体" w:eastAsia="黑体" w:hint="default"/>
                <w:sz w:val="20"/>
                <w:szCs w:val="20"/>
              </w:rPr>
              <w:t>限</w:t>
            </w:r>
            <w:r>
              <w:rPr>
                <w:rFonts w:ascii="黑体" w:hAnsi="黑体" w:cs="黑体" w:eastAsia="黑体" w:hint="default"/>
                <w:spacing w:val="-76"/>
                <w:sz w:val="20"/>
                <w:szCs w:val="20"/>
              </w:rPr>
              <w:t> </w:t>
            </w:r>
            <w:r>
              <w:rPr>
                <w:rFonts w:ascii="黑体" w:hAnsi="黑体" w:cs="黑体" w:eastAsia="黑体" w:hint="default"/>
                <w:spacing w:val="11"/>
                <w:sz w:val="20"/>
                <w:szCs w:val="20"/>
              </w:rPr>
              <w:t>制性</w:t>
            </w:r>
            <w:r>
              <w:rPr>
                <w:rFonts w:ascii="黑体" w:hAnsi="黑体" w:cs="黑体" w:eastAsia="黑体" w:hint="default"/>
                <w:spacing w:val="-76"/>
                <w:sz w:val="20"/>
                <w:szCs w:val="20"/>
              </w:rPr>
              <w:t> </w:t>
            </w:r>
            <w:r>
              <w:rPr>
                <w:rFonts w:ascii="黑体" w:hAnsi="黑体" w:cs="黑体" w:eastAsia="黑体" w:hint="default"/>
                <w:spacing w:val="15"/>
                <w:sz w:val="20"/>
                <w:szCs w:val="20"/>
              </w:rPr>
              <w:t>股票第</w:t>
            </w:r>
            <w:r>
              <w:rPr>
                <w:rFonts w:ascii="黑体" w:hAnsi="黑体" w:cs="黑体" w:eastAsia="黑体" w:hint="default"/>
                <w:spacing w:val="-76"/>
                <w:sz w:val="20"/>
                <w:szCs w:val="20"/>
              </w:rPr>
              <w:t> </w:t>
            </w:r>
            <w:r>
              <w:rPr>
                <w:rFonts w:ascii="黑体" w:hAnsi="黑体" w:cs="黑体" w:eastAsia="黑体" w:hint="default"/>
                <w:spacing w:val="11"/>
                <w:sz w:val="20"/>
                <w:szCs w:val="20"/>
              </w:rPr>
              <w:t>二个</w:t>
            </w:r>
          </w:p>
          <w:p>
            <w:pPr>
              <w:pStyle w:val="TableParagraph"/>
              <w:spacing w:line="240" w:lineRule="auto" w:before="38"/>
              <w:ind w:left="200" w:right="0"/>
              <w:jc w:val="left"/>
              <w:rPr>
                <w:rFonts w:ascii="黑体" w:hAnsi="黑体" w:cs="黑体" w:eastAsia="黑体" w:hint="default"/>
                <w:sz w:val="20"/>
                <w:szCs w:val="20"/>
              </w:rPr>
            </w:pPr>
            <w:r>
              <w:rPr>
                <w:rFonts w:ascii="黑体" w:hAnsi="黑体" w:cs="黑体" w:eastAsia="黑体" w:hint="default"/>
                <w:sz w:val="20"/>
                <w:szCs w:val="20"/>
              </w:rPr>
              <w:t>解除限售期</w:t>
            </w:r>
          </w:p>
        </w:tc>
        <w:tc>
          <w:tcPr>
            <w:tcW w:w="5210" w:type="dxa"/>
            <w:tcBorders>
              <w:top w:val="nil" w:sz="6" w:space="0" w:color="auto"/>
              <w:left w:val="nil" w:sz="6" w:space="0" w:color="auto"/>
              <w:bottom w:val="nil" w:sz="6" w:space="0" w:color="auto"/>
              <w:right w:val="nil" w:sz="6" w:space="0" w:color="auto"/>
            </w:tcBorders>
          </w:tcPr>
          <w:p>
            <w:pPr>
              <w:pStyle w:val="TableParagraph"/>
              <w:spacing w:line="259" w:lineRule="exact"/>
              <w:ind w:left="108" w:right="0"/>
              <w:jc w:val="left"/>
              <w:rPr>
                <w:rFonts w:ascii="黑体" w:hAnsi="黑体" w:cs="黑体" w:eastAsia="黑体" w:hint="default"/>
                <w:sz w:val="20"/>
                <w:szCs w:val="20"/>
              </w:rPr>
            </w:pPr>
            <w:r>
              <w:rPr>
                <w:rFonts w:ascii="黑体" w:hAnsi="黑体" w:cs="黑体" w:eastAsia="黑体" w:hint="default"/>
                <w:spacing w:val="2"/>
                <w:sz w:val="20"/>
                <w:szCs w:val="20"/>
              </w:rPr>
              <w:t>自授予登记完成之日起</w:t>
            </w:r>
            <w:r>
              <w:rPr>
                <w:rFonts w:ascii="Arial" w:hAnsi="Arial" w:cs="Arial" w:eastAsia="Arial" w:hint="default"/>
                <w:spacing w:val="2"/>
                <w:sz w:val="20"/>
                <w:szCs w:val="20"/>
              </w:rPr>
              <w:t>24</w:t>
            </w:r>
            <w:r>
              <w:rPr>
                <w:rFonts w:ascii="黑体" w:hAnsi="黑体" w:cs="黑体" w:eastAsia="黑体" w:hint="default"/>
                <w:spacing w:val="2"/>
                <w:sz w:val="20"/>
                <w:szCs w:val="20"/>
              </w:rPr>
              <w:t>个月后的首个交易日，起至授</w:t>
            </w:r>
          </w:p>
          <w:p>
            <w:pPr>
              <w:pStyle w:val="TableParagraph"/>
              <w:spacing w:line="240" w:lineRule="auto" w:before="24"/>
              <w:ind w:left="108"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36</w:t>
            </w:r>
            <w:r>
              <w:rPr>
                <w:rFonts w:ascii="黑体" w:hAnsi="黑体" w:cs="黑体" w:eastAsia="黑体" w:hint="default"/>
                <w:sz w:val="20"/>
                <w:szCs w:val="20"/>
              </w:rPr>
              <w:t>个月内的最后一个交易日当日止</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07" w:right="0"/>
              <w:jc w:val="left"/>
              <w:rPr>
                <w:rFonts w:ascii="Arial" w:hAnsi="Arial" w:cs="Arial" w:eastAsia="Arial" w:hint="default"/>
                <w:sz w:val="20"/>
                <w:szCs w:val="20"/>
              </w:rPr>
            </w:pPr>
            <w:r>
              <w:rPr>
                <w:rFonts w:ascii="Arial"/>
                <w:sz w:val="20"/>
              </w:rPr>
              <w:t>30%</w:t>
            </w:r>
          </w:p>
        </w:tc>
      </w:tr>
      <w:tr>
        <w:trPr>
          <w:trHeight w:val="554"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黑体" w:hAnsi="黑体" w:cs="黑体" w:eastAsia="黑体" w:hint="default"/>
                <w:sz w:val="20"/>
                <w:szCs w:val="20"/>
              </w:rPr>
            </w:pPr>
            <w:r>
              <w:rPr>
                <w:rFonts w:ascii="黑体" w:hAnsi="黑体" w:cs="黑体" w:eastAsia="黑体" w:hint="default"/>
                <w:sz w:val="20"/>
                <w:szCs w:val="20"/>
              </w:rPr>
              <w:t>限</w:t>
            </w:r>
            <w:r>
              <w:rPr>
                <w:rFonts w:ascii="黑体" w:hAnsi="黑体" w:cs="黑体" w:eastAsia="黑体" w:hint="default"/>
                <w:spacing w:val="-76"/>
                <w:sz w:val="20"/>
                <w:szCs w:val="20"/>
              </w:rPr>
              <w:t> </w:t>
            </w:r>
            <w:r>
              <w:rPr>
                <w:rFonts w:ascii="黑体" w:hAnsi="黑体" w:cs="黑体" w:eastAsia="黑体" w:hint="default"/>
                <w:spacing w:val="11"/>
                <w:sz w:val="20"/>
                <w:szCs w:val="20"/>
              </w:rPr>
              <w:t>制性</w:t>
            </w:r>
            <w:r>
              <w:rPr>
                <w:rFonts w:ascii="黑体" w:hAnsi="黑体" w:cs="黑体" w:eastAsia="黑体" w:hint="default"/>
                <w:spacing w:val="-76"/>
                <w:sz w:val="20"/>
                <w:szCs w:val="20"/>
              </w:rPr>
              <w:t> </w:t>
            </w:r>
            <w:r>
              <w:rPr>
                <w:rFonts w:ascii="黑体" w:hAnsi="黑体" w:cs="黑体" w:eastAsia="黑体" w:hint="default"/>
                <w:spacing w:val="15"/>
                <w:sz w:val="20"/>
                <w:szCs w:val="20"/>
              </w:rPr>
              <w:t>股票第</w:t>
            </w:r>
            <w:r>
              <w:rPr>
                <w:rFonts w:ascii="黑体" w:hAnsi="黑体" w:cs="黑体" w:eastAsia="黑体" w:hint="default"/>
                <w:spacing w:val="-76"/>
                <w:sz w:val="20"/>
                <w:szCs w:val="20"/>
              </w:rPr>
              <w:t> </w:t>
            </w:r>
            <w:r>
              <w:rPr>
                <w:rFonts w:ascii="黑体" w:hAnsi="黑体" w:cs="黑体" w:eastAsia="黑体" w:hint="default"/>
                <w:spacing w:val="11"/>
                <w:sz w:val="20"/>
                <w:szCs w:val="20"/>
              </w:rPr>
              <w:t>三个</w:t>
            </w:r>
          </w:p>
          <w:p>
            <w:pPr>
              <w:pStyle w:val="TableParagraph"/>
              <w:spacing w:line="240" w:lineRule="auto" w:before="38"/>
              <w:ind w:left="200" w:right="0"/>
              <w:jc w:val="left"/>
              <w:rPr>
                <w:rFonts w:ascii="黑体" w:hAnsi="黑体" w:cs="黑体" w:eastAsia="黑体" w:hint="default"/>
                <w:sz w:val="20"/>
                <w:szCs w:val="20"/>
              </w:rPr>
            </w:pPr>
            <w:r>
              <w:rPr>
                <w:rFonts w:ascii="黑体" w:hAnsi="黑体" w:cs="黑体" w:eastAsia="黑体" w:hint="default"/>
                <w:sz w:val="20"/>
                <w:szCs w:val="20"/>
              </w:rPr>
              <w:t>解除限售期</w:t>
            </w:r>
          </w:p>
        </w:tc>
        <w:tc>
          <w:tcPr>
            <w:tcW w:w="5210" w:type="dxa"/>
            <w:tcBorders>
              <w:top w:val="nil" w:sz="6" w:space="0" w:color="auto"/>
              <w:left w:val="nil" w:sz="6" w:space="0" w:color="auto"/>
              <w:bottom w:val="nil" w:sz="6" w:space="0" w:color="auto"/>
              <w:right w:val="nil" w:sz="6" w:space="0" w:color="auto"/>
            </w:tcBorders>
          </w:tcPr>
          <w:p>
            <w:pPr>
              <w:pStyle w:val="TableParagraph"/>
              <w:spacing w:line="259" w:lineRule="exact"/>
              <w:ind w:left="108" w:right="0"/>
              <w:jc w:val="left"/>
              <w:rPr>
                <w:rFonts w:ascii="黑体" w:hAnsi="黑体" w:cs="黑体" w:eastAsia="黑体" w:hint="default"/>
                <w:sz w:val="20"/>
                <w:szCs w:val="20"/>
              </w:rPr>
            </w:pPr>
            <w:r>
              <w:rPr>
                <w:rFonts w:ascii="黑体" w:hAnsi="黑体" w:cs="黑体" w:eastAsia="黑体" w:hint="default"/>
                <w:spacing w:val="2"/>
                <w:sz w:val="20"/>
                <w:szCs w:val="20"/>
              </w:rPr>
              <w:t>自授予登记完成之日起</w:t>
            </w:r>
            <w:r>
              <w:rPr>
                <w:rFonts w:ascii="Arial" w:hAnsi="Arial" w:cs="Arial" w:eastAsia="Arial" w:hint="default"/>
                <w:spacing w:val="2"/>
                <w:sz w:val="20"/>
                <w:szCs w:val="20"/>
              </w:rPr>
              <w:t>36</w:t>
            </w:r>
            <w:r>
              <w:rPr>
                <w:rFonts w:ascii="黑体" w:hAnsi="黑体" w:cs="黑体" w:eastAsia="黑体" w:hint="default"/>
                <w:spacing w:val="2"/>
                <w:sz w:val="20"/>
                <w:szCs w:val="20"/>
              </w:rPr>
              <w:t>个月后的首个交易日，起至授</w:t>
            </w:r>
          </w:p>
          <w:p>
            <w:pPr>
              <w:pStyle w:val="TableParagraph"/>
              <w:spacing w:line="240" w:lineRule="auto" w:before="24"/>
              <w:ind w:left="108"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48</w:t>
            </w:r>
            <w:r>
              <w:rPr>
                <w:rFonts w:ascii="黑体" w:hAnsi="黑体" w:cs="黑体" w:eastAsia="黑体" w:hint="default"/>
                <w:sz w:val="20"/>
                <w:szCs w:val="20"/>
              </w:rPr>
              <w:t>个月内的最后一个交易日当日止</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07" w:right="0"/>
              <w:jc w:val="left"/>
              <w:rPr>
                <w:rFonts w:ascii="Arial" w:hAnsi="Arial" w:cs="Arial" w:eastAsia="Arial" w:hint="default"/>
                <w:sz w:val="20"/>
                <w:szCs w:val="20"/>
              </w:rPr>
            </w:pPr>
            <w:r>
              <w:rPr>
                <w:rFonts w:ascii="Arial"/>
                <w:sz w:val="20"/>
              </w:rPr>
              <w:t>30%</w:t>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17"/>
          <w:szCs w:val="17"/>
        </w:rPr>
      </w:pPr>
    </w:p>
    <w:p>
      <w:pPr>
        <w:spacing w:before="0"/>
        <w:ind w:left="4107" w:right="3906" w:firstLine="0"/>
        <w:jc w:val="center"/>
        <w:rPr>
          <w:rFonts w:ascii="Calibri" w:hAnsi="Calibri" w:cs="Calibri" w:eastAsia="Calibri" w:hint="default"/>
          <w:sz w:val="18"/>
          <w:szCs w:val="18"/>
        </w:rPr>
      </w:pPr>
      <w:r>
        <w:rPr>
          <w:rFonts w:ascii="Calibri"/>
          <w:b/>
          <w:sz w:val="18"/>
        </w:rPr>
        <w:t>171 </w:t>
      </w:r>
      <w:r>
        <w:rPr>
          <w:rFonts w:ascii="Calibri"/>
          <w:sz w:val="18"/>
        </w:rPr>
        <w:t>/</w:t>
      </w:r>
      <w:r>
        <w:rPr>
          <w:rFonts w:ascii="Calibri"/>
          <w:spacing w:val="-5"/>
          <w:sz w:val="18"/>
        </w:rPr>
        <w:t> </w:t>
      </w:r>
      <w:r>
        <w:rPr>
          <w:rFonts w:ascii="Calibri"/>
          <w:b/>
          <w:sz w:val="18"/>
        </w:rPr>
        <w:t>260</w:t>
      </w:r>
      <w:r>
        <w:rPr>
          <w:rFonts w:ascii="Calibri"/>
          <w:sz w:val="18"/>
        </w:rPr>
      </w:r>
    </w:p>
    <w:p>
      <w:pPr>
        <w:spacing w:after="0"/>
        <w:jc w:val="center"/>
        <w:rPr>
          <w:rFonts w:ascii="Calibri" w:hAnsi="Calibri" w:cs="Calibri" w:eastAsia="Calibri" w:hint="default"/>
          <w:sz w:val="18"/>
          <w:szCs w:val="18"/>
        </w:rPr>
        <w:sectPr>
          <w:headerReference w:type="default" r:id="rId91"/>
          <w:footerReference w:type="default" r:id="rId92"/>
          <w:pgSz w:w="11910" w:h="16850"/>
          <w:pgMar w:header="745" w:footer="0" w:top="980" w:bottom="280" w:left="1480" w:right="1680"/>
        </w:sectPr>
      </w:pPr>
    </w:p>
    <w:p>
      <w:pPr>
        <w:spacing w:line="240" w:lineRule="auto" w:before="0"/>
        <w:rPr>
          <w:rFonts w:ascii="Calibri" w:hAnsi="Calibri" w:cs="Calibri" w:eastAsia="Calibri" w:hint="default"/>
          <w:b/>
          <w:bCs/>
          <w:sz w:val="20"/>
          <w:szCs w:val="20"/>
        </w:rPr>
      </w:pPr>
    </w:p>
    <w:p>
      <w:pPr>
        <w:spacing w:line="240" w:lineRule="auto" w:before="9"/>
        <w:rPr>
          <w:rFonts w:ascii="Calibri" w:hAnsi="Calibri" w:cs="Calibri" w:eastAsia="Calibri" w:hint="default"/>
          <w:b/>
          <w:bCs/>
          <w:sz w:val="29"/>
          <w:szCs w:val="29"/>
        </w:rPr>
      </w:pPr>
    </w:p>
    <w:p>
      <w:pPr>
        <w:spacing w:line="260" w:lineRule="exact" w:before="63"/>
        <w:ind w:left="432" w:right="0" w:firstLine="14"/>
        <w:jc w:val="left"/>
        <w:rPr>
          <w:rFonts w:ascii="黑体" w:hAnsi="黑体" w:cs="黑体" w:eastAsia="黑体" w:hint="default"/>
          <w:sz w:val="20"/>
          <w:szCs w:val="20"/>
        </w:rPr>
      </w:pPr>
      <w:r>
        <w:rPr>
          <w:rFonts w:ascii="黑体" w:hAnsi="黑体" w:cs="黑体" w:eastAsia="黑体" w:hint="default"/>
          <w:spacing w:val="2"/>
          <w:w w:val="95"/>
          <w:sz w:val="20"/>
          <w:szCs w:val="20"/>
        </w:rPr>
        <w:t>公司未满足业绩考核目标的，激励对象对应期间获授的限制性股票均不得解除限售，由公司回</w:t>
      </w:r>
      <w:r>
        <w:rPr>
          <w:rFonts w:ascii="黑体" w:hAnsi="黑体" w:cs="黑体" w:eastAsia="黑体" w:hint="default"/>
          <w:spacing w:val="91"/>
          <w:w w:val="95"/>
          <w:sz w:val="20"/>
          <w:szCs w:val="20"/>
        </w:rPr>
        <w:t> </w:t>
      </w:r>
      <w:r>
        <w:rPr>
          <w:rFonts w:ascii="黑体" w:hAnsi="黑体" w:cs="黑体" w:eastAsia="黑体" w:hint="default"/>
          <w:spacing w:val="91"/>
          <w:w w:val="95"/>
          <w:sz w:val="20"/>
          <w:szCs w:val="20"/>
        </w:rPr>
      </w:r>
      <w:r>
        <w:rPr>
          <w:rFonts w:ascii="黑体" w:hAnsi="黑体" w:cs="黑体" w:eastAsia="黑体" w:hint="default"/>
          <w:sz w:val="20"/>
          <w:szCs w:val="20"/>
        </w:rPr>
        <w:t>购注销，回购价格为授予价格。</w:t>
      </w:r>
    </w:p>
    <w:p>
      <w:pPr>
        <w:spacing w:line="240" w:lineRule="auto" w:before="8"/>
        <w:rPr>
          <w:rFonts w:ascii="黑体" w:hAnsi="黑体" w:cs="黑体" w:eastAsia="黑体" w:hint="default"/>
          <w:sz w:val="15"/>
          <w:szCs w:val="15"/>
        </w:rPr>
      </w:pPr>
    </w:p>
    <w:p>
      <w:pPr>
        <w:spacing w:before="0"/>
        <w:ind w:left="418" w:right="0" w:firstLine="0"/>
        <w:jc w:val="left"/>
        <w:rPr>
          <w:rFonts w:ascii="黑体" w:hAnsi="黑体" w:cs="黑体" w:eastAsia="黑体" w:hint="default"/>
          <w:sz w:val="20"/>
          <w:szCs w:val="20"/>
        </w:rPr>
      </w:pPr>
      <w:r>
        <w:rPr>
          <w:rFonts w:ascii="黑体" w:hAnsi="黑体" w:cs="黑体" w:eastAsia="黑体" w:hint="default"/>
          <w:sz w:val="20"/>
          <w:szCs w:val="20"/>
        </w:rPr>
        <w:t>（</w:t>
      </w:r>
      <w:r>
        <w:rPr>
          <w:rFonts w:ascii="Arial" w:hAnsi="Arial" w:cs="Arial" w:eastAsia="Arial" w:hint="default"/>
          <w:sz w:val="20"/>
          <w:szCs w:val="20"/>
        </w:rPr>
        <w:t>2</w:t>
      </w:r>
      <w:r>
        <w:rPr>
          <w:rFonts w:ascii="黑体" w:hAnsi="黑体" w:cs="黑体" w:eastAsia="黑体" w:hint="default"/>
          <w:sz w:val="20"/>
          <w:szCs w:val="20"/>
        </w:rPr>
        <w:t>）股票期权激励计划</w:t>
      </w:r>
    </w:p>
    <w:p>
      <w:pPr>
        <w:spacing w:line="240" w:lineRule="auto" w:before="4"/>
        <w:rPr>
          <w:rFonts w:ascii="黑体" w:hAnsi="黑体" w:cs="黑体" w:eastAsia="黑体" w:hint="default"/>
          <w:sz w:val="18"/>
          <w:szCs w:val="18"/>
        </w:rPr>
      </w:pPr>
    </w:p>
    <w:p>
      <w:pPr>
        <w:spacing w:line="260" w:lineRule="exact" w:before="0"/>
        <w:ind w:left="418" w:right="0" w:firstLine="0"/>
        <w:jc w:val="left"/>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年本公司发行了股票期权激励计划，向</w:t>
      </w:r>
      <w:r>
        <w:rPr>
          <w:rFonts w:ascii="Arial" w:hAnsi="Arial" w:cs="Arial" w:eastAsia="Arial" w:hint="default"/>
          <w:sz w:val="20"/>
          <w:szCs w:val="20"/>
        </w:rPr>
        <w:t>150</w:t>
      </w:r>
      <w:r>
        <w:rPr>
          <w:rFonts w:ascii="黑体" w:hAnsi="黑体" w:cs="黑体" w:eastAsia="黑体" w:hint="default"/>
          <w:sz w:val="20"/>
          <w:szCs w:val="20"/>
        </w:rPr>
        <w:t>名激励对象授予</w:t>
      </w:r>
      <w:r>
        <w:rPr>
          <w:rFonts w:ascii="Arial" w:hAnsi="Arial" w:cs="Arial" w:eastAsia="Arial" w:hint="default"/>
          <w:sz w:val="20"/>
          <w:szCs w:val="20"/>
        </w:rPr>
        <w:t>1,412,190</w:t>
      </w:r>
      <w:r>
        <w:rPr>
          <w:rFonts w:ascii="黑体" w:hAnsi="黑体" w:cs="黑体" w:eastAsia="黑体" w:hint="default"/>
          <w:sz w:val="20"/>
          <w:szCs w:val="20"/>
        </w:rPr>
        <w:t>份股票期权，行权价</w:t>
      </w:r>
      <w:r>
        <w:rPr>
          <w:rFonts w:ascii="黑体" w:hAnsi="黑体" w:cs="黑体" w:eastAsia="黑体" w:hint="default"/>
          <w:spacing w:val="-72"/>
          <w:sz w:val="20"/>
          <w:szCs w:val="20"/>
        </w:rPr>
        <w:t> </w:t>
      </w:r>
      <w:r>
        <w:rPr>
          <w:rFonts w:ascii="黑体" w:hAnsi="黑体" w:cs="黑体" w:eastAsia="黑体" w:hint="default"/>
          <w:sz w:val="20"/>
          <w:szCs w:val="20"/>
        </w:rPr>
        <w:t>格为</w:t>
      </w:r>
      <w:r>
        <w:rPr>
          <w:rFonts w:ascii="Arial" w:hAnsi="Arial" w:cs="Arial" w:eastAsia="Arial" w:hint="default"/>
          <w:sz w:val="20"/>
          <w:szCs w:val="20"/>
        </w:rPr>
        <w:t>28.15</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份。股票期权的行权期及各期行权时间安排如下表所示：</w:t>
      </w:r>
    </w:p>
    <w:p>
      <w:pPr>
        <w:spacing w:line="240" w:lineRule="auto" w:before="13"/>
        <w:rPr>
          <w:rFonts w:ascii="黑体" w:hAnsi="黑体" w:cs="黑体" w:eastAsia="黑体" w:hint="default"/>
          <w:sz w:val="19"/>
          <w:szCs w:val="19"/>
        </w:rPr>
      </w:pPr>
    </w:p>
    <w:tbl>
      <w:tblPr>
        <w:tblW w:w="0" w:type="auto"/>
        <w:jc w:val="left"/>
        <w:tblInd w:w="124" w:type="dxa"/>
        <w:tblLayout w:type="fixed"/>
        <w:tblCellMar>
          <w:top w:w="0" w:type="dxa"/>
          <w:left w:w="0" w:type="dxa"/>
          <w:bottom w:w="0" w:type="dxa"/>
          <w:right w:w="0" w:type="dxa"/>
        </w:tblCellMar>
        <w:tblLook w:val="01E0"/>
      </w:tblPr>
      <w:tblGrid>
        <w:gridCol w:w="1497"/>
        <w:gridCol w:w="4928"/>
        <w:gridCol w:w="2152"/>
      </w:tblGrid>
      <w:tr>
        <w:trPr>
          <w:trHeight w:val="606"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199" w:lineRule="exact"/>
              <w:ind w:left="591" w:right="0"/>
              <w:jc w:val="left"/>
              <w:rPr>
                <w:rFonts w:ascii="黑体" w:hAnsi="黑体" w:cs="黑体" w:eastAsia="黑体" w:hint="default"/>
                <w:sz w:val="20"/>
                <w:szCs w:val="20"/>
              </w:rPr>
            </w:pPr>
            <w:r>
              <w:rPr>
                <w:rFonts w:ascii="黑体" w:hAnsi="黑体" w:cs="黑体" w:eastAsia="黑体" w:hint="default"/>
                <w:sz w:val="20"/>
                <w:szCs w:val="20"/>
              </w:rPr>
              <w:t>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199" w:lineRule="exact"/>
              <w:ind w:left="94" w:right="0"/>
              <w:jc w:val="center"/>
              <w:rPr>
                <w:rFonts w:ascii="黑体" w:hAnsi="黑体" w:cs="黑体" w:eastAsia="黑体" w:hint="default"/>
                <w:sz w:val="20"/>
                <w:szCs w:val="20"/>
              </w:rPr>
            </w:pPr>
            <w:r>
              <w:rPr>
                <w:rFonts w:ascii="黑体" w:hAnsi="黑体" w:cs="黑体" w:eastAsia="黑体" w:hint="default"/>
                <w:sz w:val="20"/>
                <w:szCs w:val="20"/>
              </w:rPr>
              <w:t>行权时间</w:t>
            </w:r>
          </w:p>
        </w:tc>
        <w:tc>
          <w:tcPr>
            <w:tcW w:w="2152" w:type="dxa"/>
            <w:tcBorders>
              <w:top w:val="nil" w:sz="6" w:space="0" w:color="auto"/>
              <w:left w:val="nil" w:sz="6" w:space="0" w:color="auto"/>
              <w:bottom w:val="nil" w:sz="6" w:space="0" w:color="auto"/>
              <w:right w:val="nil" w:sz="6" w:space="0" w:color="auto"/>
            </w:tcBorders>
          </w:tcPr>
          <w:p>
            <w:pPr>
              <w:pStyle w:val="TableParagraph"/>
              <w:spacing w:line="188" w:lineRule="exact"/>
              <w:ind w:right="46"/>
              <w:jc w:val="center"/>
              <w:rPr>
                <w:rFonts w:ascii="黑体" w:hAnsi="黑体" w:cs="黑体" w:eastAsia="黑体" w:hint="default"/>
                <w:sz w:val="20"/>
                <w:szCs w:val="20"/>
              </w:rPr>
            </w:pPr>
            <w:r>
              <w:rPr>
                <w:rFonts w:ascii="黑体" w:hAnsi="黑体" w:cs="黑体" w:eastAsia="黑体" w:hint="default"/>
                <w:sz w:val="20"/>
                <w:szCs w:val="20"/>
              </w:rPr>
              <w:t>可行权数量占获授期</w:t>
            </w:r>
          </w:p>
          <w:p>
            <w:pPr>
              <w:pStyle w:val="TableParagraph"/>
              <w:spacing w:line="251" w:lineRule="exact"/>
              <w:ind w:right="47"/>
              <w:jc w:val="center"/>
              <w:rPr>
                <w:rFonts w:ascii="黑体" w:hAnsi="黑体" w:cs="黑体" w:eastAsia="黑体" w:hint="default"/>
                <w:sz w:val="20"/>
                <w:szCs w:val="20"/>
              </w:rPr>
            </w:pPr>
            <w:r>
              <w:rPr>
                <w:rFonts w:ascii="黑体" w:hAnsi="黑体" w:cs="黑体" w:eastAsia="黑体" w:hint="default"/>
                <w:sz w:val="20"/>
                <w:szCs w:val="20"/>
              </w:rPr>
              <w:t>权数量比例</w:t>
            </w:r>
          </w:p>
        </w:tc>
      </w:tr>
      <w:tr>
        <w:trPr>
          <w:trHeight w:val="632"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200" w:right="0"/>
              <w:jc w:val="left"/>
              <w:rPr>
                <w:rFonts w:ascii="黑体" w:hAnsi="黑体" w:cs="黑体" w:eastAsia="黑体" w:hint="default"/>
                <w:sz w:val="20"/>
                <w:szCs w:val="20"/>
              </w:rPr>
            </w:pPr>
            <w:r>
              <w:rPr>
                <w:rFonts w:ascii="黑体" w:hAnsi="黑体" w:cs="黑体" w:eastAsia="黑体" w:hint="default"/>
                <w:sz w:val="20"/>
                <w:szCs w:val="20"/>
              </w:rPr>
              <w:t>第一个行权期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240" w:lineRule="exact" w:before="146"/>
              <w:ind w:left="97" w:right="151" w:firstLine="55"/>
              <w:jc w:val="left"/>
              <w:rPr>
                <w:rFonts w:ascii="黑体" w:hAnsi="黑体" w:cs="黑体" w:eastAsia="黑体" w:hint="default"/>
                <w:sz w:val="20"/>
                <w:szCs w:val="20"/>
              </w:rPr>
            </w:pPr>
            <w:r>
              <w:rPr>
                <w:rFonts w:ascii="黑体" w:hAnsi="黑体" w:cs="黑体" w:eastAsia="黑体" w:hint="default"/>
                <w:sz w:val="20"/>
                <w:szCs w:val="20"/>
              </w:rPr>
              <w:t>自授予登记完成之日起</w:t>
            </w:r>
            <w:r>
              <w:rPr>
                <w:rFonts w:ascii="Arial" w:hAnsi="Arial" w:cs="Arial" w:eastAsia="Arial" w:hint="default"/>
                <w:sz w:val="20"/>
                <w:szCs w:val="20"/>
              </w:rPr>
              <w:t>12</w:t>
            </w:r>
            <w:r>
              <w:rPr>
                <w:rFonts w:ascii="黑体" w:hAnsi="黑体" w:cs="黑体" w:eastAsia="黑体" w:hint="default"/>
                <w:sz w:val="20"/>
                <w:szCs w:val="20"/>
              </w:rPr>
              <w:t>个月后的首个交易日，起至</w:t>
            </w:r>
            <w:r>
              <w:rPr>
                <w:rFonts w:ascii="黑体" w:hAnsi="黑体" w:cs="黑体" w:eastAsia="黑体" w:hint="default"/>
                <w:w w:val="99"/>
                <w:sz w:val="20"/>
                <w:szCs w:val="20"/>
              </w:rPr>
              <w:t> </w:t>
            </w:r>
            <w:r>
              <w:rPr>
                <w:rFonts w:ascii="黑体" w:hAnsi="黑体" w:cs="黑体" w:eastAsia="黑体" w:hint="default"/>
                <w:sz w:val="20"/>
                <w:szCs w:val="20"/>
              </w:rPr>
              <w:t>予登记完成之日起</w:t>
            </w:r>
            <w:r>
              <w:rPr>
                <w:rFonts w:ascii="Arial" w:hAnsi="Arial" w:cs="Arial" w:eastAsia="Arial" w:hint="default"/>
                <w:sz w:val="20"/>
                <w:szCs w:val="20"/>
              </w:rPr>
              <w:t>24</w:t>
            </w:r>
            <w:r>
              <w:rPr>
                <w:rFonts w:ascii="黑体" w:hAnsi="黑体" w:cs="黑体" w:eastAsia="黑体" w:hint="default"/>
                <w:sz w:val="20"/>
                <w:szCs w:val="20"/>
              </w:rPr>
              <w:t>个月内的最后一个交易日当日止</w:t>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832" w:right="0"/>
              <w:jc w:val="left"/>
              <w:rPr>
                <w:rFonts w:ascii="Arial" w:hAnsi="Arial" w:cs="Arial" w:eastAsia="Arial" w:hint="default"/>
                <w:sz w:val="20"/>
                <w:szCs w:val="20"/>
              </w:rPr>
            </w:pPr>
            <w:r>
              <w:rPr>
                <w:rFonts w:ascii="Arial"/>
                <w:sz w:val="20"/>
              </w:rPr>
              <w:t>40%</w:t>
            </w:r>
          </w:p>
        </w:tc>
      </w:tr>
      <w:tr>
        <w:trPr>
          <w:trHeight w:val="480"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15" w:lineRule="exact"/>
              <w:ind w:left="200" w:right="0"/>
              <w:jc w:val="left"/>
              <w:rPr>
                <w:rFonts w:ascii="黑体" w:hAnsi="黑体" w:cs="黑体" w:eastAsia="黑体" w:hint="default"/>
                <w:sz w:val="20"/>
                <w:szCs w:val="20"/>
              </w:rPr>
            </w:pPr>
            <w:r>
              <w:rPr>
                <w:rFonts w:ascii="黑体" w:hAnsi="黑体" w:cs="黑体" w:eastAsia="黑体" w:hint="default"/>
                <w:sz w:val="20"/>
                <w:szCs w:val="20"/>
              </w:rPr>
              <w:t>第二个行权期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211" w:lineRule="exact"/>
              <w:ind w:left="97" w:right="0" w:firstLine="55"/>
              <w:jc w:val="left"/>
              <w:rPr>
                <w:rFonts w:ascii="黑体" w:hAnsi="黑体" w:cs="黑体" w:eastAsia="黑体" w:hint="default"/>
                <w:sz w:val="20"/>
                <w:szCs w:val="20"/>
              </w:rPr>
            </w:pPr>
            <w:r>
              <w:rPr>
                <w:rFonts w:ascii="黑体" w:hAnsi="黑体" w:cs="黑体" w:eastAsia="黑体" w:hint="default"/>
                <w:sz w:val="20"/>
                <w:szCs w:val="20"/>
              </w:rPr>
              <w:t>自授予登记完成之日起</w:t>
            </w:r>
            <w:r>
              <w:rPr>
                <w:rFonts w:ascii="Arial" w:hAnsi="Arial" w:cs="Arial" w:eastAsia="Arial" w:hint="default"/>
                <w:sz w:val="20"/>
                <w:szCs w:val="20"/>
              </w:rPr>
              <w:t>24</w:t>
            </w:r>
            <w:r>
              <w:rPr>
                <w:rFonts w:ascii="黑体" w:hAnsi="黑体" w:cs="黑体" w:eastAsia="黑体" w:hint="default"/>
                <w:sz w:val="20"/>
                <w:szCs w:val="20"/>
              </w:rPr>
              <w:t>个月后的首个交易日，起至</w:t>
            </w:r>
          </w:p>
          <w:p>
            <w:pPr>
              <w:pStyle w:val="TableParagraph"/>
              <w:spacing w:line="258" w:lineRule="exact"/>
              <w:ind w:left="97"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36</w:t>
            </w:r>
            <w:r>
              <w:rPr>
                <w:rFonts w:ascii="黑体" w:hAnsi="黑体" w:cs="黑体" w:eastAsia="黑体" w:hint="default"/>
                <w:sz w:val="20"/>
                <w:szCs w:val="20"/>
              </w:rPr>
              <w:t>个月内的最后一个交易日当日止</w:t>
            </w:r>
          </w:p>
        </w:tc>
        <w:tc>
          <w:tcPr>
            <w:tcW w:w="2152" w:type="dxa"/>
            <w:tcBorders>
              <w:top w:val="nil" w:sz="6" w:space="0" w:color="auto"/>
              <w:left w:val="nil" w:sz="6" w:space="0" w:color="auto"/>
              <w:bottom w:val="nil" w:sz="6" w:space="0" w:color="auto"/>
              <w:right w:val="nil" w:sz="6" w:space="0" w:color="auto"/>
            </w:tcBorders>
          </w:tcPr>
          <w:p>
            <w:pPr>
              <w:pStyle w:val="TableParagraph"/>
              <w:spacing w:line="229" w:lineRule="exact"/>
              <w:ind w:left="832" w:right="0"/>
              <w:jc w:val="left"/>
              <w:rPr>
                <w:rFonts w:ascii="Arial" w:hAnsi="Arial" w:cs="Arial" w:eastAsia="Arial" w:hint="default"/>
                <w:sz w:val="20"/>
                <w:szCs w:val="20"/>
              </w:rPr>
            </w:pPr>
            <w:r>
              <w:rPr>
                <w:rFonts w:ascii="Arial"/>
                <w:sz w:val="20"/>
              </w:rPr>
              <w:t>30%</w:t>
            </w:r>
          </w:p>
        </w:tc>
      </w:tr>
      <w:tr>
        <w:trPr>
          <w:trHeight w:val="464"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15" w:lineRule="exact"/>
              <w:ind w:left="200" w:right="0"/>
              <w:jc w:val="left"/>
              <w:rPr>
                <w:rFonts w:ascii="黑体" w:hAnsi="黑体" w:cs="黑体" w:eastAsia="黑体" w:hint="default"/>
                <w:sz w:val="20"/>
                <w:szCs w:val="20"/>
              </w:rPr>
            </w:pPr>
            <w:r>
              <w:rPr>
                <w:rFonts w:ascii="黑体" w:hAnsi="黑体" w:cs="黑体" w:eastAsia="黑体" w:hint="default"/>
                <w:sz w:val="20"/>
                <w:szCs w:val="20"/>
              </w:rPr>
              <w:t>第三个行权期</w:t>
            </w:r>
          </w:p>
        </w:tc>
        <w:tc>
          <w:tcPr>
            <w:tcW w:w="4928" w:type="dxa"/>
            <w:tcBorders>
              <w:top w:val="nil" w:sz="6" w:space="0" w:color="auto"/>
              <w:left w:val="nil" w:sz="6" w:space="0" w:color="auto"/>
              <w:bottom w:val="nil" w:sz="6" w:space="0" w:color="auto"/>
              <w:right w:val="nil" w:sz="6" w:space="0" w:color="auto"/>
            </w:tcBorders>
          </w:tcPr>
          <w:p>
            <w:pPr>
              <w:pStyle w:val="TableParagraph"/>
              <w:spacing w:line="211" w:lineRule="exact"/>
              <w:ind w:left="97" w:right="0" w:firstLine="55"/>
              <w:jc w:val="left"/>
              <w:rPr>
                <w:rFonts w:ascii="黑体" w:hAnsi="黑体" w:cs="黑体" w:eastAsia="黑体" w:hint="default"/>
                <w:sz w:val="20"/>
                <w:szCs w:val="20"/>
              </w:rPr>
            </w:pPr>
            <w:r>
              <w:rPr>
                <w:rFonts w:ascii="黑体" w:hAnsi="黑体" w:cs="黑体" w:eastAsia="黑体" w:hint="default"/>
                <w:sz w:val="20"/>
                <w:szCs w:val="20"/>
              </w:rPr>
              <w:t>自授予登记完成之日起</w:t>
            </w:r>
            <w:r>
              <w:rPr>
                <w:rFonts w:ascii="Arial" w:hAnsi="Arial" w:cs="Arial" w:eastAsia="Arial" w:hint="default"/>
                <w:sz w:val="20"/>
                <w:szCs w:val="20"/>
              </w:rPr>
              <w:t>36</w:t>
            </w:r>
            <w:r>
              <w:rPr>
                <w:rFonts w:ascii="黑体" w:hAnsi="黑体" w:cs="黑体" w:eastAsia="黑体" w:hint="default"/>
                <w:sz w:val="20"/>
                <w:szCs w:val="20"/>
              </w:rPr>
              <w:t>个月后的首个交易日，起至</w:t>
            </w:r>
          </w:p>
          <w:p>
            <w:pPr>
              <w:pStyle w:val="TableParagraph"/>
              <w:spacing w:line="258" w:lineRule="exact"/>
              <w:ind w:left="97" w:right="0"/>
              <w:jc w:val="left"/>
              <w:rPr>
                <w:rFonts w:ascii="黑体" w:hAnsi="黑体" w:cs="黑体" w:eastAsia="黑体" w:hint="default"/>
                <w:sz w:val="20"/>
                <w:szCs w:val="20"/>
              </w:rPr>
            </w:pPr>
            <w:r>
              <w:rPr>
                <w:rFonts w:ascii="黑体" w:hAnsi="黑体" w:cs="黑体" w:eastAsia="黑体" w:hint="default"/>
                <w:sz w:val="20"/>
                <w:szCs w:val="20"/>
              </w:rPr>
              <w:t>予登记完成之日起</w:t>
            </w:r>
            <w:r>
              <w:rPr>
                <w:rFonts w:ascii="Arial" w:hAnsi="Arial" w:cs="Arial" w:eastAsia="Arial" w:hint="default"/>
                <w:sz w:val="20"/>
                <w:szCs w:val="20"/>
              </w:rPr>
              <w:t>48</w:t>
            </w:r>
            <w:r>
              <w:rPr>
                <w:rFonts w:ascii="黑体" w:hAnsi="黑体" w:cs="黑体" w:eastAsia="黑体" w:hint="default"/>
                <w:sz w:val="20"/>
                <w:szCs w:val="20"/>
              </w:rPr>
              <w:t>个月内的最后一个交易日当日止</w:t>
            </w:r>
          </w:p>
        </w:tc>
        <w:tc>
          <w:tcPr>
            <w:tcW w:w="2152" w:type="dxa"/>
            <w:tcBorders>
              <w:top w:val="nil" w:sz="6" w:space="0" w:color="auto"/>
              <w:left w:val="nil" w:sz="6" w:space="0" w:color="auto"/>
              <w:bottom w:val="nil" w:sz="6" w:space="0" w:color="auto"/>
              <w:right w:val="nil" w:sz="6" w:space="0" w:color="auto"/>
            </w:tcBorders>
          </w:tcPr>
          <w:p>
            <w:pPr>
              <w:pStyle w:val="TableParagraph"/>
              <w:spacing w:line="229" w:lineRule="exact"/>
              <w:ind w:left="832" w:right="0"/>
              <w:jc w:val="left"/>
              <w:rPr>
                <w:rFonts w:ascii="Arial" w:hAnsi="Arial" w:cs="Arial" w:eastAsia="Arial" w:hint="default"/>
                <w:sz w:val="20"/>
                <w:szCs w:val="20"/>
              </w:rPr>
            </w:pPr>
            <w:r>
              <w:rPr>
                <w:rFonts w:ascii="Arial"/>
                <w:sz w:val="20"/>
              </w:rPr>
              <w:t>30%</w:t>
            </w:r>
          </w:p>
        </w:tc>
      </w:tr>
    </w:tbl>
    <w:p>
      <w:pPr>
        <w:spacing w:line="240" w:lineRule="auto" w:before="9"/>
        <w:rPr>
          <w:rFonts w:ascii="黑体" w:hAnsi="黑体" w:cs="黑体" w:eastAsia="黑体" w:hint="default"/>
          <w:sz w:val="12"/>
          <w:szCs w:val="12"/>
        </w:rPr>
      </w:pPr>
    </w:p>
    <w:p>
      <w:pPr>
        <w:spacing w:line="260" w:lineRule="exact" w:before="63"/>
        <w:ind w:left="418" w:right="0" w:firstLine="0"/>
        <w:jc w:val="left"/>
        <w:rPr>
          <w:rFonts w:ascii="黑体" w:hAnsi="黑体" w:cs="黑体" w:eastAsia="黑体" w:hint="default"/>
          <w:sz w:val="20"/>
          <w:szCs w:val="20"/>
        </w:rPr>
      </w:pPr>
      <w:r>
        <w:rPr>
          <w:rFonts w:ascii="黑体" w:hAnsi="黑体" w:cs="黑体" w:eastAsia="黑体" w:hint="default"/>
          <w:spacing w:val="-2"/>
          <w:w w:val="95"/>
          <w:sz w:val="20"/>
          <w:szCs w:val="20"/>
        </w:rPr>
        <w:t>在行权期内，如达到相应的行权期规定的行权条件，则激励对象可以在该行权期内行权；如未达</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到行权条件或激励对象在行权期内未行权，该部分股票期权由本公司注销。</w:t>
      </w:r>
    </w:p>
    <w:p>
      <w:pPr>
        <w:spacing w:line="240" w:lineRule="auto" w:before="7"/>
        <w:rPr>
          <w:rFonts w:ascii="黑体" w:hAnsi="黑体" w:cs="黑体" w:eastAsia="黑体" w:hint="default"/>
          <w:sz w:val="17"/>
          <w:szCs w:val="17"/>
        </w:rPr>
      </w:pPr>
    </w:p>
    <w:p>
      <w:pPr>
        <w:spacing w:line="260" w:lineRule="exact" w:before="0"/>
        <w:ind w:left="418" w:right="0" w:firstLine="0"/>
        <w:jc w:val="left"/>
        <w:rPr>
          <w:rFonts w:ascii="黑体" w:hAnsi="黑体" w:cs="黑体" w:eastAsia="黑体" w:hint="default"/>
          <w:sz w:val="20"/>
          <w:szCs w:val="20"/>
        </w:rPr>
      </w:pPr>
      <w:r>
        <w:rPr>
          <w:rFonts w:ascii="黑体" w:hAnsi="黑体" w:cs="黑体" w:eastAsia="黑体" w:hint="default"/>
          <w:sz w:val="20"/>
          <w:szCs w:val="20"/>
        </w:rPr>
        <w:t>授予的以权益结算的股份支付于授予日的公允价值，采用布莱克</w:t>
      </w:r>
      <w:r>
        <w:rPr>
          <w:rFonts w:ascii="Arial" w:hAnsi="Arial" w:cs="Arial" w:eastAsia="Arial" w:hint="default"/>
          <w:sz w:val="20"/>
          <w:szCs w:val="20"/>
        </w:rPr>
        <w:t>-</w:t>
      </w:r>
      <w:r>
        <w:rPr>
          <w:rFonts w:ascii="黑体" w:hAnsi="黑体" w:cs="黑体" w:eastAsia="黑体" w:hint="default"/>
          <w:sz w:val="20"/>
          <w:szCs w:val="20"/>
        </w:rPr>
        <w:t>斯科尔斯模型，结合授予股份</w:t>
      </w:r>
      <w:r>
        <w:rPr>
          <w:rFonts w:ascii="黑体" w:hAnsi="黑体" w:cs="黑体" w:eastAsia="黑体" w:hint="default"/>
          <w:spacing w:val="-62"/>
          <w:sz w:val="20"/>
          <w:szCs w:val="20"/>
        </w:rPr>
        <w:t> </w:t>
      </w:r>
      <w:r>
        <w:rPr>
          <w:rFonts w:ascii="黑体" w:hAnsi="黑体" w:cs="黑体" w:eastAsia="黑体" w:hint="default"/>
          <w:spacing w:val="-62"/>
          <w:sz w:val="20"/>
          <w:szCs w:val="20"/>
        </w:rPr>
      </w:r>
      <w:r>
        <w:rPr>
          <w:rFonts w:ascii="黑体" w:hAnsi="黑体" w:cs="黑体" w:eastAsia="黑体" w:hint="default"/>
          <w:sz w:val="20"/>
          <w:szCs w:val="20"/>
        </w:rPr>
        <w:t>的条款和条件，作出估计。下表列示了所用模型的输入变量：</w:t>
      </w:r>
    </w:p>
    <w:p>
      <w:pPr>
        <w:spacing w:line="240" w:lineRule="auto" w:before="5"/>
        <w:rPr>
          <w:rFonts w:ascii="黑体" w:hAnsi="黑体" w:cs="黑体" w:eastAsia="黑体" w:hint="default"/>
          <w:sz w:val="4"/>
          <w:szCs w:val="4"/>
        </w:rPr>
      </w:pPr>
    </w:p>
    <w:tbl>
      <w:tblPr>
        <w:tblW w:w="0" w:type="auto"/>
        <w:jc w:val="left"/>
        <w:tblInd w:w="246" w:type="dxa"/>
        <w:tblLayout w:type="fixed"/>
        <w:tblCellMar>
          <w:top w:w="0" w:type="dxa"/>
          <w:left w:w="0" w:type="dxa"/>
          <w:bottom w:w="0" w:type="dxa"/>
          <w:right w:w="0" w:type="dxa"/>
        </w:tblCellMar>
        <w:tblLook w:val="01E0"/>
      </w:tblPr>
      <w:tblGrid>
        <w:gridCol w:w="3419"/>
        <w:gridCol w:w="1984"/>
        <w:gridCol w:w="1688"/>
        <w:gridCol w:w="1701"/>
      </w:tblGrid>
      <w:tr>
        <w:trPr>
          <w:trHeight w:val="250" w:hRule="exact"/>
        </w:trPr>
        <w:tc>
          <w:tcPr>
            <w:tcW w:w="3419"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nil" w:sz="6" w:space="0" w:color="auto"/>
            </w:tcBorders>
          </w:tcPr>
          <w:p>
            <w:pPr>
              <w:pStyle w:val="TableParagraph"/>
              <w:spacing w:line="199" w:lineRule="exact"/>
              <w:ind w:left="467" w:right="0"/>
              <w:jc w:val="left"/>
              <w:rPr>
                <w:rFonts w:ascii="黑体" w:hAnsi="黑体" w:cs="黑体" w:eastAsia="黑体" w:hint="default"/>
                <w:sz w:val="20"/>
                <w:szCs w:val="20"/>
              </w:rPr>
            </w:pPr>
            <w:r>
              <w:rPr>
                <w:rFonts w:ascii="黑体" w:hAnsi="黑体" w:cs="黑体" w:eastAsia="黑体" w:hint="default"/>
                <w:sz w:val="20"/>
                <w:szCs w:val="20"/>
              </w:rPr>
              <w:t>第一个行权期</w:t>
            </w:r>
          </w:p>
        </w:tc>
        <w:tc>
          <w:tcPr>
            <w:tcW w:w="1688" w:type="dxa"/>
            <w:tcBorders>
              <w:top w:val="nil" w:sz="6" w:space="0" w:color="auto"/>
              <w:left w:val="nil" w:sz="6" w:space="0" w:color="auto"/>
              <w:bottom w:val="nil" w:sz="6" w:space="0" w:color="auto"/>
              <w:right w:val="nil" w:sz="6" w:space="0" w:color="auto"/>
            </w:tcBorders>
          </w:tcPr>
          <w:p>
            <w:pPr>
              <w:pStyle w:val="TableParagraph"/>
              <w:spacing w:line="199" w:lineRule="exact"/>
              <w:ind w:right="286"/>
              <w:jc w:val="right"/>
              <w:rPr>
                <w:rFonts w:ascii="黑体" w:hAnsi="黑体" w:cs="黑体" w:eastAsia="黑体" w:hint="default"/>
                <w:sz w:val="20"/>
                <w:szCs w:val="20"/>
              </w:rPr>
            </w:pPr>
            <w:r>
              <w:rPr>
                <w:rFonts w:ascii="黑体" w:hAnsi="黑体" w:cs="黑体" w:eastAsia="黑体" w:hint="default"/>
                <w:w w:val="95"/>
                <w:sz w:val="20"/>
                <w:szCs w:val="20"/>
              </w:rPr>
              <w:t>第二个行权期</w:t>
            </w:r>
            <w:r>
              <w:rPr>
                <w:rFonts w:ascii="黑体" w:hAnsi="黑体" w:cs="黑体" w:eastAsia="黑体" w:hint="default"/>
                <w:sz w:val="20"/>
                <w:szCs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199" w:lineRule="exact"/>
              <w:ind w:left="239" w:right="0"/>
              <w:jc w:val="left"/>
              <w:rPr>
                <w:rFonts w:ascii="黑体" w:hAnsi="黑体" w:cs="黑体" w:eastAsia="黑体" w:hint="default"/>
                <w:sz w:val="20"/>
                <w:szCs w:val="20"/>
              </w:rPr>
            </w:pPr>
            <w:r>
              <w:rPr>
                <w:rFonts w:ascii="黑体" w:hAnsi="黑体" w:cs="黑体" w:eastAsia="黑体" w:hint="default"/>
                <w:sz w:val="20"/>
                <w:szCs w:val="20"/>
              </w:rPr>
              <w:t>第三个行权期</w:t>
            </w:r>
          </w:p>
        </w:tc>
      </w:tr>
      <w:tr>
        <w:trPr>
          <w:trHeight w:val="305"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64" w:lineRule="exact"/>
              <w:ind w:left="200" w:right="0"/>
              <w:jc w:val="left"/>
              <w:rPr>
                <w:rFonts w:ascii="Arial" w:hAnsi="Arial" w:cs="Arial" w:eastAsia="Arial" w:hint="default"/>
                <w:sz w:val="20"/>
                <w:szCs w:val="20"/>
              </w:rPr>
            </w:pPr>
            <w:r>
              <w:rPr>
                <w:rFonts w:ascii="黑体" w:hAnsi="黑体" w:cs="黑体" w:eastAsia="黑体" w:hint="default"/>
                <w:sz w:val="20"/>
                <w:szCs w:val="20"/>
              </w:rPr>
              <w:t>股利率</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0"/>
              <w:jc w:val="right"/>
              <w:rPr>
                <w:rFonts w:ascii="Arial" w:hAnsi="Arial" w:cs="Arial" w:eastAsia="Arial" w:hint="default"/>
                <w:sz w:val="20"/>
                <w:szCs w:val="20"/>
              </w:rPr>
            </w:pPr>
            <w:r>
              <w:rPr>
                <w:rFonts w:ascii="Arial"/>
                <w:spacing w:val="-1"/>
                <w:w w:val="95"/>
                <w:sz w:val="20"/>
              </w:rPr>
              <w:t>0.88</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38"/>
              <w:jc w:val="right"/>
              <w:rPr>
                <w:rFonts w:ascii="Arial" w:hAnsi="Arial" w:cs="Arial" w:eastAsia="Arial" w:hint="default"/>
                <w:sz w:val="20"/>
                <w:szCs w:val="20"/>
              </w:rPr>
            </w:pPr>
            <w:r>
              <w:rPr>
                <w:rFonts w:ascii="Arial"/>
                <w:spacing w:val="-1"/>
                <w:w w:val="95"/>
                <w:sz w:val="20"/>
              </w:rPr>
              <w:t>0.64</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98"/>
              <w:jc w:val="right"/>
              <w:rPr>
                <w:rFonts w:ascii="Arial" w:hAnsi="Arial" w:cs="Arial" w:eastAsia="Arial" w:hint="default"/>
                <w:sz w:val="20"/>
                <w:szCs w:val="20"/>
              </w:rPr>
            </w:pPr>
            <w:r>
              <w:rPr>
                <w:rFonts w:ascii="Arial"/>
                <w:spacing w:val="-1"/>
                <w:w w:val="95"/>
                <w:sz w:val="20"/>
              </w:rPr>
              <w:t>0.67</w:t>
            </w:r>
            <w:r>
              <w:rPr>
                <w:rFonts w:ascii="Arial"/>
                <w:sz w:val="20"/>
              </w:rPr>
            </w:r>
          </w:p>
        </w:tc>
      </w:tr>
      <w:tr>
        <w:trPr>
          <w:trHeight w:val="300"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预计波动率</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48.78</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20"/>
                <w:szCs w:val="20"/>
              </w:rPr>
            </w:pPr>
            <w:r>
              <w:rPr>
                <w:rFonts w:ascii="Arial"/>
                <w:w w:val="95"/>
                <w:sz w:val="20"/>
              </w:rPr>
              <w:t>52.59</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47.49</w:t>
            </w:r>
            <w:r>
              <w:rPr>
                <w:rFonts w:ascii="Arial"/>
                <w:sz w:val="20"/>
              </w:rPr>
            </w:r>
          </w:p>
        </w:tc>
      </w:tr>
      <w:tr>
        <w:trPr>
          <w:trHeight w:val="300"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无风险利率</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0"/>
              <w:jc w:val="right"/>
              <w:rPr>
                <w:rFonts w:ascii="Arial" w:hAnsi="Arial" w:cs="Arial" w:eastAsia="Arial" w:hint="default"/>
                <w:sz w:val="20"/>
                <w:szCs w:val="20"/>
              </w:rPr>
            </w:pPr>
            <w:r>
              <w:rPr>
                <w:rFonts w:ascii="Arial"/>
                <w:spacing w:val="-1"/>
                <w:w w:val="95"/>
                <w:sz w:val="20"/>
              </w:rPr>
              <w:t>2.61</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20"/>
                <w:szCs w:val="20"/>
              </w:rPr>
            </w:pPr>
            <w:r>
              <w:rPr>
                <w:rFonts w:ascii="Arial"/>
                <w:spacing w:val="-1"/>
                <w:w w:val="95"/>
                <w:sz w:val="20"/>
              </w:rPr>
              <w:t>2.70</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spacing w:val="-1"/>
                <w:w w:val="95"/>
                <w:sz w:val="20"/>
              </w:rPr>
              <w:t>2.74</w:t>
            </w:r>
            <w:r>
              <w:rPr>
                <w:rFonts w:ascii="Arial"/>
                <w:sz w:val="20"/>
              </w:rPr>
            </w:r>
          </w:p>
        </w:tc>
      </w:tr>
      <w:tr>
        <w:trPr>
          <w:trHeight w:val="300"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股份期权预计期限</w:t>
            </w:r>
            <w:r>
              <w:rPr>
                <w:rFonts w:ascii="Arial" w:hAnsi="Arial" w:cs="Arial" w:eastAsia="Arial" w:hint="default"/>
                <w:sz w:val="20"/>
                <w:szCs w:val="20"/>
              </w:rPr>
              <w:t>(</w:t>
            </w:r>
            <w:r>
              <w:rPr>
                <w:rFonts w:ascii="黑体" w:hAnsi="黑体" w:cs="黑体" w:eastAsia="黑体" w:hint="default"/>
                <w:sz w:val="20"/>
                <w:szCs w:val="20"/>
              </w:rPr>
              <w:t>年</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59" w:lineRule="exact"/>
              <w:ind w:right="198"/>
              <w:jc w:val="right"/>
              <w:rPr>
                <w:rFonts w:ascii="黑体" w:hAnsi="黑体" w:cs="黑体" w:eastAsia="黑体" w:hint="default"/>
                <w:sz w:val="20"/>
                <w:szCs w:val="20"/>
              </w:rPr>
            </w:pPr>
            <w:r>
              <w:rPr>
                <w:rFonts w:ascii="Arial" w:hAnsi="Arial" w:cs="Arial" w:eastAsia="Arial" w:hint="default"/>
                <w:spacing w:val="-1"/>
                <w:w w:val="95"/>
                <w:sz w:val="20"/>
                <w:szCs w:val="20"/>
              </w:rPr>
              <w:t>1</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59" w:lineRule="exact"/>
              <w:ind w:right="239"/>
              <w:jc w:val="right"/>
              <w:rPr>
                <w:rFonts w:ascii="黑体" w:hAnsi="黑体" w:cs="黑体" w:eastAsia="黑体" w:hint="default"/>
                <w:sz w:val="20"/>
                <w:szCs w:val="20"/>
              </w:rPr>
            </w:pPr>
            <w:r>
              <w:rPr>
                <w:rFonts w:ascii="Arial" w:hAnsi="Arial" w:cs="Arial" w:eastAsia="Arial" w:hint="default"/>
                <w:spacing w:val="-1"/>
                <w:w w:val="95"/>
                <w:sz w:val="20"/>
                <w:szCs w:val="20"/>
              </w:rPr>
              <w:t>2</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59" w:lineRule="exact"/>
              <w:ind w:right="198"/>
              <w:jc w:val="right"/>
              <w:rPr>
                <w:rFonts w:ascii="黑体" w:hAnsi="黑体" w:cs="黑体" w:eastAsia="黑体" w:hint="default"/>
                <w:sz w:val="20"/>
                <w:szCs w:val="20"/>
              </w:rPr>
            </w:pPr>
            <w:r>
              <w:rPr>
                <w:rFonts w:ascii="Arial" w:hAnsi="Arial" w:cs="Arial" w:eastAsia="Arial" w:hint="default"/>
                <w:spacing w:val="-1"/>
                <w:w w:val="95"/>
                <w:sz w:val="20"/>
                <w:szCs w:val="20"/>
              </w:rPr>
              <w:t>3</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254" w:hRule="exact"/>
        </w:trPr>
        <w:tc>
          <w:tcPr>
            <w:tcW w:w="3419" w:type="dxa"/>
            <w:tcBorders>
              <w:top w:val="nil" w:sz="6" w:space="0" w:color="auto"/>
              <w:left w:val="nil" w:sz="6" w:space="0" w:color="auto"/>
              <w:bottom w:val="nil" w:sz="6" w:space="0" w:color="auto"/>
              <w:right w:val="nil" w:sz="6" w:space="0" w:color="auto"/>
            </w:tcBorders>
          </w:tcPr>
          <w:p>
            <w:pPr>
              <w:pStyle w:val="TableParagraph"/>
              <w:spacing w:line="259" w:lineRule="exact"/>
              <w:ind w:left="200" w:right="0"/>
              <w:jc w:val="left"/>
              <w:rPr>
                <w:rFonts w:ascii="Arial" w:hAnsi="Arial" w:cs="Arial" w:eastAsia="Arial" w:hint="default"/>
                <w:sz w:val="20"/>
                <w:szCs w:val="20"/>
              </w:rPr>
            </w:pPr>
            <w:r>
              <w:rPr>
                <w:rFonts w:ascii="黑体" w:hAnsi="黑体" w:cs="黑体" w:eastAsia="黑体" w:hint="default"/>
                <w:sz w:val="20"/>
                <w:szCs w:val="20"/>
              </w:rPr>
              <w:t>授予日股价</w:t>
            </w:r>
            <w:r>
              <w:rPr>
                <w:rFonts w:ascii="Arial" w:hAnsi="Arial" w:cs="Arial" w:eastAsia="Arial" w:hint="default"/>
                <w:sz w:val="20"/>
                <w:szCs w:val="20"/>
              </w:rPr>
              <w:t>(</w:t>
            </w:r>
            <w:r>
              <w:rPr>
                <w:rFonts w:ascii="黑体" w:hAnsi="黑体" w:cs="黑体" w:eastAsia="黑体" w:hint="default"/>
                <w:sz w:val="20"/>
                <w:szCs w:val="20"/>
              </w:rPr>
              <w:t>元</w:t>
            </w:r>
            <w:r>
              <w:rPr>
                <w:rFonts w:ascii="Arial" w:hAnsi="Arial" w:cs="Arial" w:eastAsia="Arial" w:hint="default"/>
                <w:sz w:val="20"/>
                <w:szCs w:val="20"/>
              </w:rPr>
              <w:t>)</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35.60</w:t>
            </w:r>
            <w:r>
              <w:rPr>
                <w:rFonts w:ascii="Arial"/>
                <w:sz w:val="20"/>
              </w:rPr>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8"/>
              <w:jc w:val="right"/>
              <w:rPr>
                <w:rFonts w:ascii="Arial" w:hAnsi="Arial" w:cs="Arial" w:eastAsia="Arial" w:hint="default"/>
                <w:sz w:val="20"/>
                <w:szCs w:val="20"/>
              </w:rPr>
            </w:pPr>
            <w:r>
              <w:rPr>
                <w:rFonts w:ascii="Arial"/>
                <w:w w:val="95"/>
                <w:sz w:val="20"/>
              </w:rPr>
              <w:t>35.60</w:t>
            </w:r>
            <w:r>
              <w:rPr>
                <w:rFonts w:ascii="Arial"/>
                <w:sz w:val="20"/>
              </w:rPr>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w w:val="95"/>
                <w:sz w:val="20"/>
              </w:rPr>
              <w:t>35.60</w:t>
            </w:r>
            <w:r>
              <w:rPr>
                <w:rFonts w:ascii="Arial"/>
                <w:sz w:val="20"/>
              </w:rPr>
            </w:r>
          </w:p>
        </w:tc>
      </w:tr>
    </w:tbl>
    <w:p>
      <w:pPr>
        <w:spacing w:line="240" w:lineRule="auto" w:before="4"/>
        <w:rPr>
          <w:rFonts w:ascii="黑体" w:hAnsi="黑体" w:cs="黑体" w:eastAsia="黑体" w:hint="default"/>
          <w:sz w:val="15"/>
          <w:szCs w:val="15"/>
        </w:rPr>
      </w:pPr>
    </w:p>
    <w:p>
      <w:pPr>
        <w:spacing w:line="260" w:lineRule="exact" w:before="63"/>
        <w:ind w:left="418" w:right="415" w:firstLine="0"/>
        <w:jc w:val="both"/>
        <w:rPr>
          <w:rFonts w:ascii="黑体" w:hAnsi="黑体" w:cs="黑体" w:eastAsia="黑体" w:hint="default"/>
          <w:sz w:val="20"/>
          <w:szCs w:val="20"/>
        </w:rPr>
      </w:pPr>
      <w:r>
        <w:rPr>
          <w:rFonts w:ascii="黑体" w:hAnsi="黑体" w:cs="黑体" w:eastAsia="黑体" w:hint="default"/>
          <w:spacing w:val="-2"/>
          <w:w w:val="99"/>
          <w:sz w:val="20"/>
          <w:szCs w:val="20"/>
        </w:rPr>
        <w:t>股票期权的预计期限是根据对未来股票价格波动所可能引致的员工行权时间为基础确定的，其反</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w w:val="99"/>
          <w:sz w:val="20"/>
          <w:szCs w:val="20"/>
        </w:rPr>
        <w:t>映的行权模式并不一定是未来可能出现的行权模式。预计波动率是基于历史波动率能反映出未来</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趋势的假设，但并不一定是实际的结果。公允价值未考虑所授予股票期权的其他特征。</w:t>
      </w:r>
    </w:p>
    <w:p>
      <w:pPr>
        <w:spacing w:line="240" w:lineRule="auto" w:before="8"/>
        <w:rPr>
          <w:rFonts w:ascii="黑体" w:hAnsi="黑体" w:cs="黑体" w:eastAsia="黑体" w:hint="default"/>
          <w:sz w:val="15"/>
          <w:szCs w:val="15"/>
        </w:rPr>
      </w:pPr>
    </w:p>
    <w:p>
      <w:pPr>
        <w:spacing w:before="0"/>
        <w:ind w:left="418" w:right="0" w:firstLine="0"/>
        <w:jc w:val="both"/>
        <w:rPr>
          <w:rFonts w:ascii="黑体" w:hAnsi="黑体" w:cs="黑体" w:eastAsia="黑体" w:hint="default"/>
          <w:sz w:val="20"/>
          <w:szCs w:val="20"/>
        </w:rPr>
      </w:pPr>
      <w:r>
        <w:rPr>
          <w:rFonts w:ascii="黑体" w:hAnsi="黑体" w:cs="黑体" w:eastAsia="黑体" w:hint="default"/>
          <w:sz w:val="20"/>
          <w:szCs w:val="20"/>
        </w:rPr>
        <w:t>截至资产负债表日，发行在外的股票期权的行权价格和行权有效期如下：</w:t>
      </w:r>
    </w:p>
    <w:p>
      <w:pPr>
        <w:spacing w:line="240" w:lineRule="auto" w:before="1"/>
        <w:rPr>
          <w:rFonts w:ascii="黑体" w:hAnsi="黑体" w:cs="黑体" w:eastAsia="黑体" w:hint="default"/>
          <w:sz w:val="23"/>
          <w:szCs w:val="23"/>
        </w:rPr>
      </w:pPr>
    </w:p>
    <w:tbl>
      <w:tblPr>
        <w:tblW w:w="0" w:type="auto"/>
        <w:jc w:val="left"/>
        <w:tblInd w:w="213" w:type="dxa"/>
        <w:tblLayout w:type="fixed"/>
        <w:tblCellMar>
          <w:top w:w="0" w:type="dxa"/>
          <w:left w:w="0" w:type="dxa"/>
          <w:bottom w:w="0" w:type="dxa"/>
          <w:right w:w="0" w:type="dxa"/>
        </w:tblCellMar>
        <w:tblLook w:val="01E0"/>
      </w:tblPr>
      <w:tblGrid>
        <w:gridCol w:w="1881"/>
        <w:gridCol w:w="2495"/>
        <w:gridCol w:w="2361"/>
        <w:gridCol w:w="2091"/>
      </w:tblGrid>
      <w:tr>
        <w:trPr>
          <w:trHeight w:val="234" w:hRule="exact"/>
        </w:trPr>
        <w:tc>
          <w:tcPr>
            <w:tcW w:w="1881" w:type="dxa"/>
            <w:tcBorders>
              <w:top w:val="nil" w:sz="6" w:space="0" w:color="auto"/>
              <w:left w:val="nil" w:sz="6" w:space="0" w:color="auto"/>
              <w:bottom w:val="nil" w:sz="6" w:space="0" w:color="auto"/>
              <w:right w:val="nil" w:sz="6" w:space="0" w:color="auto"/>
            </w:tcBorders>
          </w:tcPr>
          <w:p>
            <w:pPr>
              <w:pStyle w:val="TableParagraph"/>
              <w:spacing w:line="214" w:lineRule="exact"/>
              <w:ind w:left="54" w:right="0"/>
              <w:jc w:val="center"/>
              <w:rPr>
                <w:rFonts w:ascii="Arial" w:hAnsi="Arial" w:cs="Arial" w:eastAsia="Arial" w:hint="default"/>
                <w:sz w:val="20"/>
                <w:szCs w:val="20"/>
              </w:rPr>
            </w:pPr>
            <w:r>
              <w:rPr>
                <w:rFonts w:ascii="黑体" w:hAnsi="黑体" w:cs="黑体" w:eastAsia="黑体" w:hint="default"/>
                <w:sz w:val="20"/>
                <w:szCs w:val="20"/>
              </w:rPr>
              <w:t>股票期权数量</w:t>
            </w:r>
            <w:r>
              <w:rPr>
                <w:rFonts w:ascii="Arial" w:hAnsi="Arial" w:cs="Arial" w:eastAsia="Arial" w:hint="default"/>
                <w:sz w:val="20"/>
                <w:szCs w:val="20"/>
              </w:rPr>
              <w:t>(</w:t>
            </w:r>
            <w:r>
              <w:rPr>
                <w:rFonts w:ascii="黑体" w:hAnsi="黑体" w:cs="黑体" w:eastAsia="黑体" w:hint="default"/>
                <w:sz w:val="20"/>
                <w:szCs w:val="20"/>
              </w:rPr>
              <w:t>份</w:t>
            </w:r>
            <w:r>
              <w:rPr>
                <w:rFonts w:ascii="Arial" w:hAnsi="Arial" w:cs="Arial" w:eastAsia="Arial" w:hint="default"/>
                <w:sz w:val="20"/>
                <w:szCs w:val="20"/>
              </w:rPr>
              <w:t>)</w:t>
            </w:r>
          </w:p>
        </w:tc>
        <w:tc>
          <w:tcPr>
            <w:tcW w:w="2495" w:type="dxa"/>
            <w:tcBorders>
              <w:top w:val="nil" w:sz="6" w:space="0" w:color="auto"/>
              <w:left w:val="nil" w:sz="6" w:space="0" w:color="auto"/>
              <w:bottom w:val="nil" w:sz="6" w:space="0" w:color="auto"/>
              <w:right w:val="nil" w:sz="6" w:space="0" w:color="auto"/>
            </w:tcBorders>
          </w:tcPr>
          <w:p>
            <w:pPr>
              <w:pStyle w:val="TableParagraph"/>
              <w:spacing w:line="214" w:lineRule="exact"/>
              <w:ind w:right="20"/>
              <w:jc w:val="center"/>
              <w:rPr>
                <w:rFonts w:ascii="Arial" w:hAnsi="Arial" w:cs="Arial" w:eastAsia="Arial" w:hint="default"/>
                <w:sz w:val="20"/>
                <w:szCs w:val="20"/>
              </w:rPr>
            </w:pPr>
            <w:r>
              <w:rPr>
                <w:rFonts w:ascii="黑体" w:hAnsi="黑体" w:cs="黑体" w:eastAsia="黑体" w:hint="default"/>
                <w:sz w:val="20"/>
                <w:szCs w:val="20"/>
              </w:rPr>
              <w:t>预计</w:t>
            </w:r>
            <w:r>
              <w:rPr>
                <w:rFonts w:ascii="Arial" w:hAnsi="Arial" w:cs="Arial" w:eastAsia="Arial" w:hint="default"/>
                <w:sz w:val="20"/>
                <w:szCs w:val="20"/>
              </w:rPr>
              <w:t>2020</w:t>
            </w:r>
            <w:r>
              <w:rPr>
                <w:rFonts w:ascii="黑体" w:hAnsi="黑体" w:cs="黑体" w:eastAsia="黑体" w:hint="default"/>
                <w:sz w:val="20"/>
                <w:szCs w:val="20"/>
              </w:rPr>
              <w:t>年行权数量</w:t>
            </w:r>
            <w:r>
              <w:rPr>
                <w:rFonts w:ascii="Arial" w:hAnsi="Arial" w:cs="Arial" w:eastAsia="Arial" w:hint="default"/>
                <w:sz w:val="20"/>
                <w:szCs w:val="20"/>
              </w:rPr>
              <w:t>(</w:t>
            </w:r>
            <w:r>
              <w:rPr>
                <w:rFonts w:ascii="黑体" w:hAnsi="黑体" w:cs="黑体" w:eastAsia="黑体" w:hint="default"/>
                <w:sz w:val="20"/>
                <w:szCs w:val="20"/>
              </w:rPr>
              <w:t>份</w:t>
            </w:r>
            <w:r>
              <w:rPr>
                <w:rFonts w:ascii="Arial" w:hAnsi="Arial" w:cs="Arial" w:eastAsia="Arial" w:hint="default"/>
                <w:sz w:val="20"/>
                <w:szCs w:val="20"/>
              </w:rPr>
              <w:t>)</w:t>
            </w:r>
          </w:p>
        </w:tc>
        <w:tc>
          <w:tcPr>
            <w:tcW w:w="2361" w:type="dxa"/>
            <w:tcBorders>
              <w:top w:val="nil" w:sz="6" w:space="0" w:color="auto"/>
              <w:left w:val="nil" w:sz="6" w:space="0" w:color="auto"/>
              <w:bottom w:val="nil" w:sz="6" w:space="0" w:color="auto"/>
              <w:right w:val="nil" w:sz="6" w:space="0" w:color="auto"/>
            </w:tcBorders>
          </w:tcPr>
          <w:p>
            <w:pPr>
              <w:pStyle w:val="TableParagraph"/>
              <w:spacing w:line="214" w:lineRule="exact"/>
              <w:ind w:left="168" w:right="0"/>
              <w:jc w:val="left"/>
              <w:rPr>
                <w:rFonts w:ascii="Arial" w:hAnsi="Arial" w:cs="Arial" w:eastAsia="Arial" w:hint="default"/>
                <w:sz w:val="20"/>
                <w:szCs w:val="20"/>
              </w:rPr>
            </w:pPr>
            <w:r>
              <w:rPr>
                <w:rFonts w:ascii="黑体" w:hAnsi="黑体" w:cs="黑体" w:eastAsia="黑体" w:hint="default"/>
                <w:sz w:val="20"/>
                <w:szCs w:val="20"/>
              </w:rPr>
              <w:t>行权价格</w:t>
            </w:r>
            <w:r>
              <w:rPr>
                <w:rFonts w:ascii="Arial" w:hAnsi="Arial" w:cs="Arial" w:eastAsia="Arial" w:hint="default"/>
                <w:sz w:val="20"/>
                <w:szCs w:val="20"/>
              </w:rPr>
              <w:t>(</w:t>
            </w:r>
            <w:r>
              <w:rPr>
                <w:rFonts w:ascii="黑体" w:hAnsi="黑体" w:cs="黑体" w:eastAsia="黑体" w:hint="default"/>
                <w:sz w:val="20"/>
                <w:szCs w:val="20"/>
              </w:rPr>
              <w:t>人民币元</w:t>
            </w:r>
            <w:r>
              <w:rPr>
                <w:rFonts w:ascii="Arial" w:hAnsi="Arial" w:cs="Arial" w:eastAsia="Arial" w:hint="default"/>
                <w:sz w:val="20"/>
                <w:szCs w:val="20"/>
              </w:rPr>
              <w:t>/</w:t>
            </w:r>
            <w:r>
              <w:rPr>
                <w:rFonts w:ascii="黑体" w:hAnsi="黑体" w:cs="黑体" w:eastAsia="黑体" w:hint="default"/>
                <w:sz w:val="20"/>
                <w:szCs w:val="20"/>
              </w:rPr>
              <w:t>股</w:t>
            </w:r>
            <w:r>
              <w:rPr>
                <w:rFonts w:ascii="Arial" w:hAnsi="Arial" w:cs="Arial" w:eastAsia="Arial" w:hint="default"/>
                <w:sz w:val="20"/>
                <w:szCs w:val="20"/>
              </w:rPr>
              <w:t>)</w:t>
            </w:r>
          </w:p>
        </w:tc>
        <w:tc>
          <w:tcPr>
            <w:tcW w:w="2091" w:type="dxa"/>
            <w:tcBorders>
              <w:top w:val="nil" w:sz="6" w:space="0" w:color="auto"/>
              <w:left w:val="nil" w:sz="6" w:space="0" w:color="auto"/>
              <w:bottom w:val="nil" w:sz="6" w:space="0" w:color="auto"/>
              <w:right w:val="nil" w:sz="6" w:space="0" w:color="auto"/>
            </w:tcBorders>
          </w:tcPr>
          <w:p>
            <w:pPr>
              <w:pStyle w:val="TableParagraph"/>
              <w:spacing w:line="199" w:lineRule="exact"/>
              <w:ind w:left="856" w:right="0"/>
              <w:jc w:val="left"/>
              <w:rPr>
                <w:rFonts w:ascii="黑体" w:hAnsi="黑体" w:cs="黑体" w:eastAsia="黑体" w:hint="default"/>
                <w:sz w:val="20"/>
                <w:szCs w:val="20"/>
              </w:rPr>
            </w:pPr>
            <w:r>
              <w:rPr>
                <w:rFonts w:ascii="黑体" w:hAnsi="黑体" w:cs="黑体" w:eastAsia="黑体" w:hint="default"/>
                <w:sz w:val="20"/>
                <w:szCs w:val="20"/>
              </w:rPr>
              <w:t>行权有效期</w:t>
            </w:r>
          </w:p>
        </w:tc>
      </w:tr>
      <w:tr>
        <w:trPr>
          <w:trHeight w:val="496" w:hRule="exact"/>
        </w:trPr>
        <w:tc>
          <w:tcPr>
            <w:tcW w:w="18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0"/>
                <w:szCs w:val="20"/>
              </w:rPr>
            </w:pPr>
          </w:p>
          <w:p>
            <w:pPr>
              <w:pStyle w:val="TableParagraph"/>
              <w:spacing w:line="240" w:lineRule="auto"/>
              <w:ind w:left="26" w:right="0"/>
              <w:jc w:val="center"/>
              <w:rPr>
                <w:rFonts w:ascii="Arial" w:hAnsi="Arial" w:cs="Arial" w:eastAsia="Arial" w:hint="default"/>
                <w:sz w:val="20"/>
                <w:szCs w:val="20"/>
              </w:rPr>
            </w:pPr>
            <w:r>
              <w:rPr>
                <w:rFonts w:ascii="Arial"/>
                <w:sz w:val="20"/>
              </w:rPr>
              <w:t>1,412,190</w:t>
            </w:r>
          </w:p>
        </w:tc>
        <w:tc>
          <w:tcPr>
            <w:tcW w:w="24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0"/>
                <w:szCs w:val="20"/>
              </w:rPr>
            </w:pPr>
          </w:p>
          <w:p>
            <w:pPr>
              <w:pStyle w:val="TableParagraph"/>
              <w:spacing w:line="240" w:lineRule="auto"/>
              <w:ind w:right="103"/>
              <w:jc w:val="center"/>
              <w:rPr>
                <w:rFonts w:ascii="Arial" w:hAnsi="Arial" w:cs="Arial" w:eastAsia="Arial" w:hint="default"/>
                <w:sz w:val="20"/>
                <w:szCs w:val="20"/>
              </w:rPr>
            </w:pPr>
            <w:r>
              <w:rPr>
                <w:rFonts w:ascii="Arial"/>
                <w:sz w:val="20"/>
              </w:rPr>
              <w:t>542,846</w:t>
            </w:r>
          </w:p>
        </w:tc>
        <w:tc>
          <w:tcPr>
            <w:tcW w:w="23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0"/>
                <w:szCs w:val="20"/>
              </w:rPr>
            </w:pPr>
          </w:p>
          <w:p>
            <w:pPr>
              <w:pStyle w:val="TableParagraph"/>
              <w:spacing w:line="240" w:lineRule="auto"/>
              <w:ind w:right="158"/>
              <w:jc w:val="center"/>
              <w:rPr>
                <w:rFonts w:ascii="Arial" w:hAnsi="Arial" w:cs="Arial" w:eastAsia="Arial" w:hint="default"/>
                <w:sz w:val="20"/>
                <w:szCs w:val="20"/>
              </w:rPr>
            </w:pPr>
            <w:r>
              <w:rPr>
                <w:rFonts w:ascii="Arial"/>
                <w:sz w:val="20"/>
              </w:rPr>
              <w:t>28.15</w:t>
            </w:r>
          </w:p>
        </w:tc>
        <w:tc>
          <w:tcPr>
            <w:tcW w:w="2091" w:type="dxa"/>
            <w:tcBorders>
              <w:top w:val="nil" w:sz="6" w:space="0" w:color="auto"/>
              <w:left w:val="nil" w:sz="6" w:space="0" w:color="auto"/>
              <w:bottom w:val="nil" w:sz="6" w:space="0" w:color="auto"/>
              <w:right w:val="nil" w:sz="6" w:space="0" w:color="auto"/>
            </w:tcBorders>
          </w:tcPr>
          <w:p>
            <w:pPr>
              <w:pStyle w:val="TableParagraph"/>
              <w:spacing w:line="232" w:lineRule="exact"/>
              <w:ind w:right="0"/>
              <w:jc w:val="center"/>
              <w:rPr>
                <w:rFonts w:ascii="黑体" w:hAnsi="黑体" w:cs="黑体" w:eastAsia="黑体" w:hint="default"/>
                <w:sz w:val="20"/>
                <w:szCs w:val="20"/>
              </w:rPr>
            </w:pPr>
            <w:r>
              <w:rPr>
                <w:rFonts w:ascii="Arial" w:hAnsi="Arial" w:cs="Arial" w:eastAsia="Arial" w:hint="default"/>
                <w:sz w:val="20"/>
                <w:szCs w:val="20"/>
              </w:rPr>
              <w:t>2020</w:t>
            </w:r>
            <w:r>
              <w:rPr>
                <w:rFonts w:ascii="黑体" w:hAnsi="黑体" w:cs="黑体" w:eastAsia="黑体" w:hint="default"/>
                <w:sz w:val="20"/>
                <w:szCs w:val="20"/>
              </w:rPr>
              <w:t>年</w:t>
            </w:r>
            <w:r>
              <w:rPr>
                <w:rFonts w:ascii="Arial" w:hAnsi="Arial" w:cs="Arial" w:eastAsia="Arial" w:hint="default"/>
                <w:sz w:val="20"/>
                <w:szCs w:val="20"/>
              </w:rPr>
              <w:t>10</w:t>
            </w:r>
            <w:r>
              <w:rPr>
                <w:rFonts w:ascii="黑体" w:hAnsi="黑体" w:cs="黑体" w:eastAsia="黑体" w:hint="default"/>
                <w:sz w:val="20"/>
                <w:szCs w:val="20"/>
              </w:rPr>
              <w:t>月</w:t>
            </w:r>
            <w:r>
              <w:rPr>
                <w:rFonts w:ascii="Arial" w:hAnsi="Arial" w:cs="Arial" w:eastAsia="Arial" w:hint="default"/>
                <w:sz w:val="20"/>
                <w:szCs w:val="20"/>
              </w:rPr>
              <w:t>26</w:t>
            </w:r>
            <w:r>
              <w:rPr>
                <w:rFonts w:ascii="黑体" w:hAnsi="黑体" w:cs="黑体" w:eastAsia="黑体" w:hint="default"/>
                <w:sz w:val="20"/>
                <w:szCs w:val="20"/>
              </w:rPr>
              <w:t>日至</w:t>
            </w:r>
          </w:p>
          <w:p>
            <w:pPr>
              <w:pStyle w:val="TableParagraph"/>
              <w:spacing w:line="269" w:lineRule="exact"/>
              <w:ind w:left="195" w:right="0"/>
              <w:jc w:val="center"/>
              <w:rPr>
                <w:rFonts w:ascii="黑体" w:hAnsi="黑体" w:cs="黑体" w:eastAsia="黑体" w:hint="default"/>
                <w:sz w:val="20"/>
                <w:szCs w:val="20"/>
              </w:rPr>
            </w:pPr>
            <w:r>
              <w:rPr>
                <w:rFonts w:ascii="Arial" w:hAnsi="Arial" w:cs="Arial" w:eastAsia="Arial" w:hint="default"/>
                <w:sz w:val="20"/>
                <w:szCs w:val="20"/>
              </w:rPr>
              <w:t>2023</w:t>
            </w:r>
            <w:r>
              <w:rPr>
                <w:rFonts w:ascii="黑体" w:hAnsi="黑体" w:cs="黑体" w:eastAsia="黑体" w:hint="default"/>
                <w:sz w:val="20"/>
                <w:szCs w:val="20"/>
              </w:rPr>
              <w:t>年</w:t>
            </w:r>
            <w:r>
              <w:rPr>
                <w:rFonts w:ascii="Arial" w:hAnsi="Arial" w:cs="Arial" w:eastAsia="Arial" w:hint="default"/>
                <w:sz w:val="20"/>
                <w:szCs w:val="20"/>
              </w:rPr>
              <w:t>10</w:t>
            </w:r>
            <w:r>
              <w:rPr>
                <w:rFonts w:ascii="黑体" w:hAnsi="黑体" w:cs="黑体" w:eastAsia="黑体" w:hint="default"/>
                <w:sz w:val="20"/>
                <w:szCs w:val="20"/>
              </w:rPr>
              <w:t>月</w:t>
            </w:r>
            <w:r>
              <w:rPr>
                <w:rFonts w:ascii="Arial" w:hAnsi="Arial" w:cs="Arial" w:eastAsia="Arial" w:hint="default"/>
                <w:sz w:val="20"/>
                <w:szCs w:val="20"/>
              </w:rPr>
              <w:t>25</w:t>
            </w:r>
            <w:r>
              <w:rPr>
                <w:rFonts w:ascii="黑体" w:hAnsi="黑体" w:cs="黑体" w:eastAsia="黑体" w:hint="default"/>
                <w:sz w:val="20"/>
                <w:szCs w:val="20"/>
              </w:rPr>
              <w:t>日</w:t>
            </w:r>
          </w:p>
        </w:tc>
      </w:tr>
    </w:tbl>
    <w:p>
      <w:pPr>
        <w:spacing w:line="240" w:lineRule="auto" w:before="12"/>
        <w:rPr>
          <w:rFonts w:ascii="黑体" w:hAnsi="黑体" w:cs="黑体" w:eastAsia="黑体" w:hint="default"/>
          <w:sz w:val="12"/>
          <w:szCs w:val="12"/>
        </w:rPr>
      </w:pPr>
    </w:p>
    <w:p>
      <w:pPr>
        <w:spacing w:before="37"/>
        <w:ind w:left="418" w:right="0" w:firstLine="0"/>
        <w:jc w:val="left"/>
        <w:rPr>
          <w:rFonts w:ascii="黑体" w:hAnsi="黑体" w:cs="黑体" w:eastAsia="黑体" w:hint="default"/>
          <w:sz w:val="20"/>
          <w:szCs w:val="20"/>
        </w:rPr>
      </w:pPr>
      <w:r>
        <w:rPr>
          <w:rFonts w:ascii="Arial" w:hAnsi="Arial" w:cs="Arial" w:eastAsia="Arial" w:hint="default"/>
          <w:sz w:val="20"/>
          <w:szCs w:val="20"/>
        </w:rPr>
        <w:t>*</w:t>
      </w:r>
      <w:r>
        <w:rPr>
          <w:rFonts w:ascii="黑体" w:hAnsi="黑体" w:cs="黑体" w:eastAsia="黑体" w:hint="default"/>
          <w:sz w:val="20"/>
          <w:szCs w:val="20"/>
        </w:rPr>
        <w:t>股票期权的行权价格可根据配股、派发股票股利或本公司股本的其他类似变化予以调整。</w:t>
      </w:r>
    </w:p>
    <w:p>
      <w:pPr>
        <w:spacing w:line="240" w:lineRule="auto" w:before="4"/>
        <w:rPr>
          <w:rFonts w:ascii="黑体" w:hAnsi="黑体" w:cs="黑体" w:eastAsia="黑体" w:hint="default"/>
          <w:sz w:val="18"/>
          <w:szCs w:val="18"/>
        </w:rPr>
      </w:pPr>
    </w:p>
    <w:p>
      <w:pPr>
        <w:spacing w:line="260" w:lineRule="exact" w:before="0"/>
        <w:ind w:left="418" w:right="0" w:firstLine="0"/>
        <w:jc w:val="left"/>
        <w:rPr>
          <w:rFonts w:ascii="黑体" w:hAnsi="黑体" w:cs="黑体" w:eastAsia="黑体" w:hint="default"/>
          <w:sz w:val="20"/>
          <w:szCs w:val="20"/>
        </w:rPr>
      </w:pPr>
      <w:r>
        <w:rPr>
          <w:rFonts w:ascii="黑体" w:hAnsi="黑体" w:cs="黑体" w:eastAsia="黑体" w:hint="default"/>
          <w:spacing w:val="2"/>
          <w:w w:val="95"/>
          <w:sz w:val="20"/>
          <w:szCs w:val="20"/>
        </w:rPr>
        <w:t>于</w:t>
      </w:r>
      <w:r>
        <w:rPr>
          <w:rFonts w:ascii="Arial" w:hAnsi="Arial" w:cs="Arial" w:eastAsia="Arial" w:hint="default"/>
          <w:spacing w:val="2"/>
          <w:w w:val="95"/>
          <w:sz w:val="20"/>
          <w:szCs w:val="20"/>
        </w:rPr>
        <w:t>2019</w:t>
      </w:r>
      <w:r>
        <w:rPr>
          <w:rFonts w:ascii="黑体" w:hAnsi="黑体" w:cs="黑体" w:eastAsia="黑体" w:hint="default"/>
          <w:spacing w:val="2"/>
          <w:w w:val="95"/>
          <w:sz w:val="20"/>
          <w:szCs w:val="20"/>
        </w:rPr>
        <w:t>年</w:t>
      </w:r>
      <w:r>
        <w:rPr>
          <w:rFonts w:ascii="Arial" w:hAnsi="Arial" w:cs="Arial" w:eastAsia="Arial" w:hint="default"/>
          <w:spacing w:val="2"/>
          <w:w w:val="95"/>
          <w:sz w:val="20"/>
          <w:szCs w:val="20"/>
        </w:rPr>
        <w:t>12</w:t>
      </w:r>
      <w:r>
        <w:rPr>
          <w:rFonts w:ascii="黑体" w:hAnsi="黑体" w:cs="黑体" w:eastAsia="黑体" w:hint="default"/>
          <w:spacing w:val="2"/>
          <w:w w:val="95"/>
          <w:sz w:val="20"/>
          <w:szCs w:val="20"/>
        </w:rPr>
        <w:t>月</w:t>
      </w:r>
      <w:r>
        <w:rPr>
          <w:rFonts w:ascii="Arial" w:hAnsi="Arial" w:cs="Arial" w:eastAsia="Arial" w:hint="default"/>
          <w:spacing w:val="2"/>
          <w:w w:val="95"/>
          <w:sz w:val="20"/>
          <w:szCs w:val="20"/>
        </w:rPr>
        <w:t>31</w:t>
      </w:r>
      <w:r>
        <w:rPr>
          <w:rFonts w:ascii="黑体" w:hAnsi="黑体" w:cs="黑体" w:eastAsia="黑体" w:hint="default"/>
          <w:spacing w:val="2"/>
          <w:w w:val="95"/>
          <w:sz w:val="20"/>
          <w:szCs w:val="20"/>
        </w:rPr>
        <w:t>日，本公司在本计划下发行在外的股票期权为</w:t>
      </w:r>
      <w:r>
        <w:rPr>
          <w:rFonts w:ascii="Arial" w:hAnsi="Arial" w:cs="Arial" w:eastAsia="Arial" w:hint="default"/>
          <w:spacing w:val="2"/>
          <w:w w:val="95"/>
          <w:sz w:val="20"/>
          <w:szCs w:val="20"/>
        </w:rPr>
        <w:t>1,412,190</w:t>
      </w:r>
      <w:r>
        <w:rPr>
          <w:rFonts w:ascii="黑体" w:hAnsi="黑体" w:cs="黑体" w:eastAsia="黑体" w:hint="default"/>
          <w:spacing w:val="2"/>
          <w:w w:val="95"/>
          <w:sz w:val="20"/>
          <w:szCs w:val="20"/>
        </w:rPr>
        <w:t>份，因</w:t>
      </w:r>
      <w:r>
        <w:rPr>
          <w:rFonts w:ascii="Arial" w:hAnsi="Arial" w:cs="Arial" w:eastAsia="Arial" w:hint="default"/>
          <w:spacing w:val="2"/>
          <w:w w:val="95"/>
          <w:sz w:val="20"/>
          <w:szCs w:val="20"/>
        </w:rPr>
        <w:t>2019</w:t>
      </w:r>
      <w:r>
        <w:rPr>
          <w:rFonts w:ascii="黑体" w:hAnsi="黑体" w:cs="黑体" w:eastAsia="黑体" w:hint="default"/>
          <w:spacing w:val="2"/>
          <w:w w:val="95"/>
          <w:sz w:val="20"/>
          <w:szCs w:val="20"/>
        </w:rPr>
        <w:t>年公司业</w:t>
      </w:r>
      <w:r>
        <w:rPr>
          <w:rFonts w:ascii="黑体" w:hAnsi="黑体" w:cs="黑体" w:eastAsia="黑体" w:hint="default"/>
          <w:spacing w:val="89"/>
          <w:w w:val="95"/>
          <w:sz w:val="20"/>
          <w:szCs w:val="20"/>
        </w:rPr>
        <w:t> </w:t>
      </w:r>
      <w:r>
        <w:rPr>
          <w:rFonts w:ascii="黑体" w:hAnsi="黑体" w:cs="黑体" w:eastAsia="黑体" w:hint="default"/>
          <w:sz w:val="20"/>
          <w:szCs w:val="20"/>
        </w:rPr>
        <w:t>绩已达到</w:t>
      </w:r>
      <w:r>
        <w:rPr>
          <w:rFonts w:ascii="Arial" w:hAnsi="Arial" w:cs="Arial" w:eastAsia="Arial" w:hint="default"/>
          <w:sz w:val="20"/>
          <w:szCs w:val="20"/>
        </w:rPr>
        <w:t>2019</w:t>
      </w:r>
      <w:r>
        <w:rPr>
          <w:rFonts w:ascii="黑体" w:hAnsi="黑体" w:cs="黑体" w:eastAsia="黑体" w:hint="default"/>
          <w:sz w:val="20"/>
          <w:szCs w:val="20"/>
        </w:rPr>
        <w:t>年股票期权激励计划的行权条件，预计</w:t>
      </w:r>
      <w:r>
        <w:rPr>
          <w:rFonts w:ascii="Arial" w:hAnsi="Arial" w:cs="Arial" w:eastAsia="Arial" w:hint="default"/>
          <w:sz w:val="20"/>
          <w:szCs w:val="20"/>
        </w:rPr>
        <w:t>2020</w:t>
      </w:r>
      <w:r>
        <w:rPr>
          <w:rFonts w:ascii="黑体" w:hAnsi="黑体" w:cs="黑体" w:eastAsia="黑体" w:hint="default"/>
          <w:sz w:val="20"/>
          <w:szCs w:val="20"/>
        </w:rPr>
        <w:t>年可行权期权份数为</w:t>
      </w:r>
      <w:r>
        <w:rPr>
          <w:rFonts w:ascii="Arial" w:hAnsi="Arial" w:cs="Arial" w:eastAsia="Arial" w:hint="default"/>
          <w:sz w:val="20"/>
          <w:szCs w:val="20"/>
        </w:rPr>
        <w:t>542,846</w:t>
      </w:r>
      <w:r>
        <w:rPr>
          <w:rFonts w:ascii="黑体" w:hAnsi="黑体" w:cs="黑体" w:eastAsia="黑体" w:hint="default"/>
          <w:sz w:val="20"/>
          <w:szCs w:val="20"/>
        </w:rPr>
        <w:t>份。</w:t>
      </w:r>
    </w:p>
    <w:p>
      <w:pPr>
        <w:spacing w:line="240" w:lineRule="auto" w:before="8"/>
        <w:rPr>
          <w:rFonts w:ascii="黑体" w:hAnsi="黑体" w:cs="黑体" w:eastAsia="黑体" w:hint="default"/>
          <w:sz w:val="15"/>
          <w:szCs w:val="15"/>
        </w:rPr>
      </w:pPr>
    </w:p>
    <w:p>
      <w:pPr>
        <w:spacing w:before="0"/>
        <w:ind w:left="418" w:right="0" w:firstLine="0"/>
        <w:jc w:val="left"/>
        <w:rPr>
          <w:rFonts w:ascii="黑体" w:hAnsi="黑体" w:cs="黑体" w:eastAsia="黑体" w:hint="default"/>
          <w:sz w:val="20"/>
          <w:szCs w:val="20"/>
        </w:rPr>
      </w:pPr>
      <w:r>
        <w:rPr>
          <w:rFonts w:ascii="黑体" w:hAnsi="黑体" w:cs="黑体" w:eastAsia="黑体" w:hint="default"/>
          <w:b/>
          <w:bCs/>
          <w:sz w:val="20"/>
          <w:szCs w:val="20"/>
        </w:rPr>
        <w:t>股份支付计划二</w:t>
      </w:r>
      <w:r>
        <w:rPr>
          <w:rFonts w:ascii="黑体" w:hAnsi="黑体" w:cs="黑体" w:eastAsia="黑体" w:hint="default"/>
          <w:sz w:val="20"/>
          <w:szCs w:val="20"/>
        </w:rPr>
      </w:r>
    </w:p>
    <w:p>
      <w:pPr>
        <w:spacing w:line="240" w:lineRule="auto" w:before="7"/>
        <w:rPr>
          <w:rFonts w:ascii="黑体" w:hAnsi="黑体" w:cs="黑体" w:eastAsia="黑体" w:hint="default"/>
          <w:b/>
          <w:bCs/>
          <w:sz w:val="18"/>
          <w:szCs w:val="18"/>
        </w:rPr>
      </w:pPr>
    </w:p>
    <w:p>
      <w:pPr>
        <w:tabs>
          <w:tab w:pos="637" w:val="left" w:leader="none"/>
        </w:tabs>
        <w:spacing w:before="0"/>
        <w:ind w:left="47" w:right="0" w:firstLine="0"/>
        <w:jc w:val="center"/>
        <w:rPr>
          <w:rFonts w:ascii="宋体" w:hAnsi="宋体" w:cs="宋体" w:eastAsia="宋体" w:hint="default"/>
          <w:sz w:val="20"/>
          <w:szCs w:val="20"/>
        </w:rPr>
      </w:pPr>
      <w:r>
        <w:rPr>
          <w:rFonts w:ascii="Cambria" w:hAnsi="Cambria" w:cs="Cambria" w:eastAsia="Cambria" w:hint="default"/>
          <w:b/>
          <w:bCs/>
          <w:spacing w:val="-1"/>
          <w:sz w:val="20"/>
          <w:szCs w:val="20"/>
        </w:rPr>
        <w:t>1.</w:t>
        <w:tab/>
      </w:r>
      <w:r>
        <w:rPr>
          <w:rFonts w:ascii="宋体" w:hAnsi="宋体" w:cs="宋体" w:eastAsia="宋体" w:hint="default"/>
          <w:b/>
          <w:bCs/>
          <w:spacing w:val="2"/>
          <w:sz w:val="20"/>
          <w:szCs w:val="20"/>
        </w:rPr>
        <w:t>概况</w:t>
      </w:r>
      <w:r>
        <w:rPr>
          <w:rFonts w:ascii="宋体" w:hAnsi="宋体" w:cs="宋体" w:eastAsia="宋体" w:hint="default"/>
          <w:sz w:val="20"/>
          <w:szCs w:val="20"/>
        </w:rPr>
      </w:r>
    </w:p>
    <w:p>
      <w:pPr>
        <w:spacing w:line="240" w:lineRule="auto" w:before="13"/>
        <w:rPr>
          <w:rFonts w:ascii="宋体" w:hAnsi="宋体" w:cs="宋体" w:eastAsia="宋体" w:hint="default"/>
          <w:b/>
          <w:bCs/>
          <w:sz w:val="24"/>
          <w:szCs w:val="24"/>
        </w:rPr>
      </w:pPr>
    </w:p>
    <w:tbl>
      <w:tblPr>
        <w:tblW w:w="0" w:type="auto"/>
        <w:jc w:val="left"/>
        <w:tblInd w:w="102" w:type="dxa"/>
        <w:tblLayout w:type="fixed"/>
        <w:tblCellMar>
          <w:top w:w="0" w:type="dxa"/>
          <w:left w:w="0" w:type="dxa"/>
          <w:bottom w:w="0" w:type="dxa"/>
          <w:right w:w="0" w:type="dxa"/>
        </w:tblCellMar>
        <w:tblLook w:val="01E0"/>
      </w:tblPr>
      <w:tblGrid>
        <w:gridCol w:w="3979"/>
        <w:gridCol w:w="2945"/>
        <w:gridCol w:w="1704"/>
      </w:tblGrid>
      <w:tr>
        <w:trPr>
          <w:trHeight w:val="366" w:hRule="exact"/>
        </w:trPr>
        <w:tc>
          <w:tcPr>
            <w:tcW w:w="3979" w:type="dxa"/>
            <w:tcBorders>
              <w:top w:val="nil" w:sz="6" w:space="0" w:color="auto"/>
              <w:left w:val="nil" w:sz="6" w:space="0" w:color="auto"/>
              <w:bottom w:val="nil" w:sz="6" w:space="0" w:color="auto"/>
              <w:right w:val="nil" w:sz="6" w:space="0" w:color="auto"/>
            </w:tcBorders>
          </w:tcPr>
          <w:p>
            <w:pPr/>
          </w:p>
        </w:tc>
        <w:tc>
          <w:tcPr>
            <w:tcW w:w="2945" w:type="dxa"/>
            <w:tcBorders>
              <w:top w:val="nil" w:sz="6" w:space="0" w:color="auto"/>
              <w:left w:val="nil" w:sz="6" w:space="0" w:color="auto"/>
              <w:bottom w:val="nil" w:sz="6" w:space="0" w:color="auto"/>
              <w:right w:val="nil" w:sz="6" w:space="0" w:color="auto"/>
            </w:tcBorders>
          </w:tcPr>
          <w:p>
            <w:pPr>
              <w:pStyle w:val="TableParagraph"/>
              <w:spacing w:line="214" w:lineRule="exact"/>
              <w:ind w:right="601"/>
              <w:jc w:val="right"/>
              <w:rPr>
                <w:rFonts w:ascii="黑体" w:hAnsi="黑体" w:cs="黑体" w:eastAsia="黑体" w:hint="default"/>
                <w:sz w:val="20"/>
                <w:szCs w:val="20"/>
              </w:rPr>
            </w:pP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704" w:type="dxa"/>
            <w:tcBorders>
              <w:top w:val="nil" w:sz="6" w:space="0" w:color="auto"/>
              <w:left w:val="nil" w:sz="6" w:space="0" w:color="auto"/>
              <w:bottom w:val="nil" w:sz="6" w:space="0" w:color="auto"/>
              <w:right w:val="nil" w:sz="6" w:space="0" w:color="auto"/>
            </w:tcBorders>
          </w:tcPr>
          <w:p>
            <w:pPr>
              <w:pStyle w:val="TableParagraph"/>
              <w:spacing w:line="214" w:lineRule="exact"/>
              <w:ind w:right="198"/>
              <w:jc w:val="right"/>
              <w:rPr>
                <w:rFonts w:ascii="黑体" w:hAnsi="黑体" w:cs="黑体" w:eastAsia="黑体" w:hint="default"/>
                <w:sz w:val="20"/>
                <w:szCs w:val="20"/>
              </w:rPr>
            </w:pPr>
            <w:r>
              <w:rPr>
                <w:rFonts w:ascii="Arial" w:hAnsi="Arial" w:cs="Arial" w:eastAsia="Arial" w:hint="default"/>
                <w:spacing w:val="-1"/>
                <w:w w:val="95"/>
                <w:sz w:val="20"/>
                <w:szCs w:val="20"/>
              </w:rPr>
              <w:t>2018</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391"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200" w:right="0"/>
              <w:jc w:val="left"/>
              <w:rPr>
                <w:rFonts w:ascii="Arial" w:hAnsi="Arial" w:cs="Arial" w:eastAsia="Arial" w:hint="default"/>
                <w:sz w:val="20"/>
                <w:szCs w:val="20"/>
              </w:rPr>
            </w:pPr>
            <w:r>
              <w:rPr>
                <w:rFonts w:ascii="黑体" w:hAnsi="黑体" w:cs="黑体" w:eastAsia="黑体" w:hint="default"/>
                <w:sz w:val="20"/>
                <w:szCs w:val="20"/>
              </w:rPr>
              <w:t>解锁的权益工具总额</w:t>
            </w:r>
            <w:r>
              <w:rPr>
                <w:rFonts w:ascii="Arial" w:hAnsi="Arial" w:cs="Arial" w:eastAsia="Arial" w:hint="default"/>
                <w:sz w:val="20"/>
                <w:szCs w:val="20"/>
              </w:rPr>
              <w:t>(</w:t>
            </w:r>
            <w:r>
              <w:rPr>
                <w:rFonts w:ascii="黑体" w:hAnsi="黑体" w:cs="黑体" w:eastAsia="黑体" w:hint="default"/>
                <w:sz w:val="20"/>
                <w:szCs w:val="20"/>
              </w:rPr>
              <w:t>股数</w:t>
            </w:r>
            <w:r>
              <w:rPr>
                <w:rFonts w:ascii="Arial" w:hAnsi="Arial" w:cs="Arial" w:eastAsia="Arial" w:hint="default"/>
                <w:sz w:val="20"/>
                <w:szCs w:val="20"/>
              </w:rPr>
              <w:t>)</w:t>
            </w:r>
          </w:p>
        </w:tc>
        <w:tc>
          <w:tcPr>
            <w:tcW w:w="294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611"/>
              <w:jc w:val="right"/>
              <w:rPr>
                <w:rFonts w:ascii="Arial" w:hAnsi="Arial" w:cs="Arial" w:eastAsia="Arial" w:hint="default"/>
                <w:sz w:val="20"/>
                <w:szCs w:val="20"/>
              </w:rPr>
            </w:pPr>
            <w:r>
              <w:rPr>
                <w:rFonts w:ascii="Arial"/>
                <w:w w:val="95"/>
                <w:sz w:val="20"/>
              </w:rPr>
              <w:t>1,632,300</w:t>
            </w:r>
            <w:r>
              <w:rPr>
                <w:rFonts w:ascii="Arial"/>
                <w:sz w:val="20"/>
              </w:rPr>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210"/>
              <w:jc w:val="right"/>
              <w:rPr>
                <w:rFonts w:ascii="Arial" w:hAnsi="Arial" w:cs="Arial" w:eastAsia="Arial" w:hint="default"/>
                <w:sz w:val="20"/>
                <w:szCs w:val="20"/>
              </w:rPr>
            </w:pPr>
            <w:r>
              <w:rPr>
                <w:rFonts w:ascii="Arial"/>
                <w:w w:val="95"/>
                <w:sz w:val="20"/>
              </w:rPr>
              <w:t>6,314,800</w:t>
            </w:r>
            <w:r>
              <w:rPr>
                <w:rFonts w:ascii="Arial"/>
                <w:sz w:val="20"/>
              </w:rPr>
            </w:r>
          </w:p>
        </w:tc>
      </w:tr>
      <w:tr>
        <w:trPr>
          <w:trHeight w:val="234"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Arial" w:hAnsi="Arial" w:cs="Arial" w:eastAsia="Arial" w:hint="default"/>
                <w:sz w:val="20"/>
                <w:szCs w:val="20"/>
              </w:rPr>
            </w:pPr>
            <w:r>
              <w:rPr>
                <w:rFonts w:ascii="黑体" w:hAnsi="黑体" w:cs="黑体" w:eastAsia="黑体" w:hint="default"/>
                <w:sz w:val="20"/>
                <w:szCs w:val="20"/>
              </w:rPr>
              <w:t>失效的权益工具总额</w:t>
            </w:r>
            <w:r>
              <w:rPr>
                <w:rFonts w:ascii="Arial" w:hAnsi="Arial" w:cs="Arial" w:eastAsia="Arial" w:hint="default"/>
                <w:sz w:val="20"/>
                <w:szCs w:val="20"/>
              </w:rPr>
              <w:t>(</w:t>
            </w:r>
            <w:r>
              <w:rPr>
                <w:rFonts w:ascii="黑体" w:hAnsi="黑体" w:cs="黑体" w:eastAsia="黑体" w:hint="default"/>
                <w:sz w:val="20"/>
                <w:szCs w:val="20"/>
              </w:rPr>
              <w:t>股数</w:t>
            </w:r>
            <w:r>
              <w:rPr>
                <w:rFonts w:ascii="Arial" w:hAnsi="Arial" w:cs="Arial" w:eastAsia="Arial" w:hint="default"/>
                <w:sz w:val="20"/>
                <w:szCs w:val="20"/>
              </w:rPr>
              <w:t>)</w:t>
            </w:r>
          </w:p>
        </w:tc>
        <w:tc>
          <w:tcPr>
            <w:tcW w:w="2945" w:type="dxa"/>
            <w:tcBorders>
              <w:top w:val="nil" w:sz="6" w:space="0" w:color="auto"/>
              <w:left w:val="nil" w:sz="6" w:space="0" w:color="auto"/>
              <w:bottom w:val="nil" w:sz="6" w:space="0" w:color="auto"/>
              <w:right w:val="nil" w:sz="6" w:space="0" w:color="auto"/>
            </w:tcBorders>
          </w:tcPr>
          <w:p>
            <w:pPr>
              <w:pStyle w:val="TableParagraph"/>
              <w:spacing w:line="222" w:lineRule="exact"/>
              <w:ind w:right="611"/>
              <w:jc w:val="right"/>
              <w:rPr>
                <w:rFonts w:ascii="Arial" w:hAnsi="Arial" w:cs="Arial" w:eastAsia="Arial" w:hint="default"/>
                <w:sz w:val="20"/>
                <w:szCs w:val="20"/>
              </w:rPr>
            </w:pPr>
            <w:r>
              <w:rPr>
                <w:rFonts w:ascii="Arial"/>
                <w:spacing w:val="-1"/>
                <w:sz w:val="20"/>
              </w:rPr>
              <w:t>300,000</w:t>
            </w:r>
          </w:p>
        </w:tc>
        <w:tc>
          <w:tcPr>
            <w:tcW w:w="1704" w:type="dxa"/>
            <w:tcBorders>
              <w:top w:val="nil" w:sz="6" w:space="0" w:color="auto"/>
              <w:left w:val="nil" w:sz="6" w:space="0" w:color="auto"/>
              <w:bottom w:val="nil" w:sz="6" w:space="0" w:color="auto"/>
              <w:right w:val="nil" w:sz="6" w:space="0" w:color="auto"/>
            </w:tcBorders>
          </w:tcPr>
          <w:p>
            <w:pPr>
              <w:pStyle w:val="TableParagraph"/>
              <w:spacing w:line="222" w:lineRule="exact"/>
              <w:ind w:right="210"/>
              <w:jc w:val="right"/>
              <w:rPr>
                <w:rFonts w:ascii="Arial" w:hAnsi="Arial" w:cs="Arial" w:eastAsia="Arial" w:hint="default"/>
                <w:sz w:val="20"/>
                <w:szCs w:val="20"/>
              </w:rPr>
            </w:pPr>
            <w:r>
              <w:rPr>
                <w:rFonts w:ascii="Arial"/>
                <w:spacing w:val="-1"/>
                <w:sz w:val="20"/>
              </w:rPr>
              <w:t>612,500</w:t>
            </w:r>
          </w:p>
        </w:tc>
      </w:tr>
    </w:tbl>
    <w:p>
      <w:pPr>
        <w:spacing w:after="0" w:line="222" w:lineRule="exact"/>
        <w:jc w:val="right"/>
        <w:rPr>
          <w:rFonts w:ascii="Arial" w:hAnsi="Arial" w:cs="Arial" w:eastAsia="Arial" w:hint="default"/>
          <w:sz w:val="20"/>
          <w:szCs w:val="20"/>
        </w:rPr>
        <w:sectPr>
          <w:headerReference w:type="default" r:id="rId93"/>
          <w:footerReference w:type="default" r:id="rId94"/>
          <w:pgSz w:w="11910" w:h="16850"/>
          <w:pgMar w:header="745" w:footer="0" w:top="980" w:bottom="280" w:left="1380" w:right="1380"/>
        </w:sect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6"/>
          <w:szCs w:val="16"/>
        </w:rPr>
      </w:pPr>
    </w:p>
    <w:tbl>
      <w:tblPr>
        <w:tblW w:w="0" w:type="auto"/>
        <w:jc w:val="left"/>
        <w:tblInd w:w="102" w:type="dxa"/>
        <w:tblLayout w:type="fixed"/>
        <w:tblCellMar>
          <w:top w:w="0" w:type="dxa"/>
          <w:left w:w="0" w:type="dxa"/>
          <w:bottom w:w="0" w:type="dxa"/>
          <w:right w:w="0" w:type="dxa"/>
        </w:tblCellMar>
        <w:tblLook w:val="01E0"/>
      </w:tblPr>
      <w:tblGrid>
        <w:gridCol w:w="3979"/>
        <w:gridCol w:w="3353"/>
        <w:gridCol w:w="1287"/>
      </w:tblGrid>
      <w:tr>
        <w:trPr>
          <w:trHeight w:val="214" w:hRule="exact"/>
        </w:trPr>
        <w:tc>
          <w:tcPr>
            <w:tcW w:w="3979" w:type="dxa"/>
            <w:tcBorders>
              <w:top w:val="nil" w:sz="6" w:space="0" w:color="auto"/>
              <w:left w:val="nil" w:sz="6" w:space="0" w:color="auto"/>
              <w:bottom w:val="nil" w:sz="6" w:space="0" w:color="auto"/>
              <w:right w:val="nil" w:sz="6" w:space="0" w:color="auto"/>
            </w:tcBorders>
          </w:tcPr>
          <w:p>
            <w:pPr>
              <w:pStyle w:val="TableParagraph"/>
              <w:spacing w:line="218" w:lineRule="exact"/>
              <w:ind w:left="200" w:right="0"/>
              <w:jc w:val="left"/>
              <w:rPr>
                <w:rFonts w:ascii="Arial" w:hAnsi="Arial" w:cs="Arial" w:eastAsia="Arial" w:hint="default"/>
                <w:sz w:val="20"/>
                <w:szCs w:val="20"/>
              </w:rPr>
            </w:pPr>
            <w:r>
              <w:rPr>
                <w:rFonts w:ascii="黑体" w:hAnsi="黑体" w:cs="黑体" w:eastAsia="黑体" w:hint="default"/>
                <w:sz w:val="20"/>
                <w:szCs w:val="20"/>
              </w:rPr>
              <w:t>取消的权益工具总额</w:t>
            </w:r>
            <w:r>
              <w:rPr>
                <w:rFonts w:ascii="Arial" w:hAnsi="Arial" w:cs="Arial" w:eastAsia="Arial" w:hint="default"/>
                <w:sz w:val="20"/>
                <w:szCs w:val="20"/>
              </w:rPr>
              <w:t>(</w:t>
            </w:r>
            <w:r>
              <w:rPr>
                <w:rFonts w:ascii="黑体" w:hAnsi="黑体" w:cs="黑体" w:eastAsia="黑体" w:hint="default"/>
                <w:sz w:val="20"/>
                <w:szCs w:val="20"/>
              </w:rPr>
              <w:t>股数</w:t>
            </w:r>
            <w:r>
              <w:rPr>
                <w:rFonts w:ascii="Arial" w:hAnsi="Arial" w:cs="Arial" w:eastAsia="Arial" w:hint="default"/>
                <w:sz w:val="20"/>
                <w:szCs w:val="20"/>
              </w:rPr>
              <w:t>)</w:t>
            </w:r>
          </w:p>
        </w:tc>
        <w:tc>
          <w:tcPr>
            <w:tcW w:w="3353" w:type="dxa"/>
            <w:tcBorders>
              <w:top w:val="nil" w:sz="6" w:space="0" w:color="auto"/>
              <w:left w:val="nil" w:sz="6" w:space="0" w:color="auto"/>
              <w:bottom w:val="nil" w:sz="6" w:space="0" w:color="auto"/>
              <w:right w:val="nil" w:sz="6" w:space="0" w:color="auto"/>
            </w:tcBorders>
          </w:tcPr>
          <w:p>
            <w:pPr>
              <w:pStyle w:val="TableParagraph"/>
              <w:spacing w:line="204" w:lineRule="exact"/>
              <w:ind w:left="1444" w:right="0"/>
              <w:jc w:val="left"/>
              <w:rPr>
                <w:rFonts w:ascii="Arial" w:hAnsi="Arial" w:cs="Arial" w:eastAsia="Arial" w:hint="default"/>
                <w:sz w:val="20"/>
                <w:szCs w:val="20"/>
              </w:rPr>
            </w:pPr>
            <w:r>
              <w:rPr>
                <w:rFonts w:ascii="Arial"/>
                <w:sz w:val="20"/>
              </w:rPr>
              <w:t>1,041,400</w:t>
            </w:r>
          </w:p>
        </w:tc>
        <w:tc>
          <w:tcPr>
            <w:tcW w:w="1287" w:type="dxa"/>
            <w:tcBorders>
              <w:top w:val="nil" w:sz="6" w:space="0" w:color="auto"/>
              <w:left w:val="nil" w:sz="6" w:space="0" w:color="auto"/>
              <w:bottom w:val="nil" w:sz="6" w:space="0" w:color="auto"/>
              <w:right w:val="nil" w:sz="6" w:space="0" w:color="auto"/>
            </w:tcBorders>
          </w:tcPr>
          <w:p>
            <w:pPr>
              <w:pStyle w:val="TableParagraph"/>
              <w:spacing w:line="204" w:lineRule="exact"/>
              <w:ind w:right="198"/>
              <w:jc w:val="right"/>
              <w:rPr>
                <w:rFonts w:ascii="Arial" w:hAnsi="Arial" w:cs="Arial" w:eastAsia="Arial" w:hint="default"/>
                <w:sz w:val="20"/>
                <w:szCs w:val="20"/>
              </w:rPr>
            </w:pPr>
            <w:r>
              <w:rPr>
                <w:rFonts w:ascii="Arial"/>
                <w:w w:val="99"/>
                <w:sz w:val="20"/>
              </w:rPr>
              <w:t>-</w:t>
            </w:r>
            <w:r>
              <w:rPr>
                <w:rFonts w:ascii="Arial"/>
                <w:sz w:val="20"/>
              </w:rPr>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8"/>
          <w:szCs w:val="18"/>
        </w:rPr>
      </w:pPr>
    </w:p>
    <w:tbl>
      <w:tblPr>
        <w:tblW w:w="0" w:type="auto"/>
        <w:jc w:val="left"/>
        <w:tblInd w:w="102" w:type="dxa"/>
        <w:tblLayout w:type="fixed"/>
        <w:tblCellMar>
          <w:top w:w="0" w:type="dxa"/>
          <w:left w:w="0" w:type="dxa"/>
          <w:bottom w:w="0" w:type="dxa"/>
          <w:right w:w="0" w:type="dxa"/>
        </w:tblCellMar>
        <w:tblLook w:val="01E0"/>
      </w:tblPr>
      <w:tblGrid>
        <w:gridCol w:w="4218"/>
        <w:gridCol w:w="2660"/>
        <w:gridCol w:w="1756"/>
      </w:tblGrid>
      <w:tr>
        <w:trPr>
          <w:trHeight w:val="353" w:hRule="exact"/>
        </w:trPr>
        <w:tc>
          <w:tcPr>
            <w:tcW w:w="4218" w:type="dxa"/>
            <w:tcBorders>
              <w:top w:val="nil" w:sz="6" w:space="0" w:color="auto"/>
              <w:left w:val="nil" w:sz="6" w:space="0" w:color="auto"/>
              <w:bottom w:val="nil" w:sz="6" w:space="0" w:color="auto"/>
              <w:right w:val="nil" w:sz="6" w:space="0" w:color="auto"/>
            </w:tcBorders>
          </w:tcPr>
          <w:p>
            <w:pPr/>
          </w:p>
        </w:tc>
        <w:tc>
          <w:tcPr>
            <w:tcW w:w="2660" w:type="dxa"/>
            <w:tcBorders>
              <w:top w:val="nil" w:sz="6" w:space="0" w:color="auto"/>
              <w:left w:val="nil" w:sz="6" w:space="0" w:color="auto"/>
              <w:bottom w:val="nil" w:sz="6" w:space="0" w:color="auto"/>
              <w:right w:val="nil" w:sz="6" w:space="0" w:color="auto"/>
            </w:tcBorders>
          </w:tcPr>
          <w:p>
            <w:pPr>
              <w:pStyle w:val="TableParagraph"/>
              <w:spacing w:line="214" w:lineRule="exact"/>
              <w:ind w:right="540"/>
              <w:jc w:val="right"/>
              <w:rPr>
                <w:rFonts w:ascii="黑体" w:hAnsi="黑体" w:cs="黑体" w:eastAsia="黑体" w:hint="default"/>
                <w:sz w:val="20"/>
                <w:szCs w:val="20"/>
              </w:rPr>
            </w:pPr>
            <w:r>
              <w:rPr>
                <w:rFonts w:ascii="Arial" w:hAnsi="Arial" w:cs="Arial" w:eastAsia="Arial" w:hint="default"/>
                <w:sz w:val="20"/>
                <w:szCs w:val="20"/>
              </w:rPr>
              <w:t>2019</w:t>
            </w:r>
            <w:r>
              <w:rPr>
                <w:rFonts w:ascii="Arial" w:hAnsi="Arial" w:cs="Arial" w:eastAsia="Arial" w:hint="default"/>
                <w:spacing w:val="-12"/>
                <w:sz w:val="20"/>
                <w:szCs w:val="20"/>
              </w:rPr>
              <w:t> </w:t>
            </w:r>
            <w:r>
              <w:rPr>
                <w:rFonts w:ascii="黑体" w:hAnsi="黑体" w:cs="黑体" w:eastAsia="黑体" w:hint="default"/>
                <w:sz w:val="20"/>
                <w:szCs w:val="20"/>
              </w:rPr>
              <w:t>年</w:t>
            </w:r>
          </w:p>
        </w:tc>
        <w:tc>
          <w:tcPr>
            <w:tcW w:w="1756" w:type="dxa"/>
            <w:tcBorders>
              <w:top w:val="nil" w:sz="6" w:space="0" w:color="auto"/>
              <w:left w:val="nil" w:sz="6" w:space="0" w:color="auto"/>
              <w:bottom w:val="nil" w:sz="6" w:space="0" w:color="auto"/>
              <w:right w:val="nil" w:sz="6" w:space="0" w:color="auto"/>
            </w:tcBorders>
          </w:tcPr>
          <w:p>
            <w:pPr>
              <w:pStyle w:val="TableParagraph"/>
              <w:spacing w:line="214" w:lineRule="exact"/>
              <w:ind w:right="198"/>
              <w:jc w:val="right"/>
              <w:rPr>
                <w:rFonts w:ascii="黑体" w:hAnsi="黑体" w:cs="黑体" w:eastAsia="黑体" w:hint="default"/>
                <w:sz w:val="20"/>
                <w:szCs w:val="20"/>
              </w:rPr>
            </w:pPr>
            <w:r>
              <w:rPr>
                <w:rFonts w:ascii="Arial" w:hAnsi="Arial" w:cs="Arial" w:eastAsia="Arial" w:hint="default"/>
                <w:sz w:val="20"/>
                <w:szCs w:val="20"/>
              </w:rPr>
              <w:t>2018</w:t>
            </w:r>
            <w:r>
              <w:rPr>
                <w:rFonts w:ascii="Arial" w:hAnsi="Arial" w:cs="Arial" w:eastAsia="Arial" w:hint="default"/>
                <w:spacing w:val="-12"/>
                <w:sz w:val="20"/>
                <w:szCs w:val="20"/>
              </w:rPr>
              <w:t> </w:t>
            </w:r>
            <w:r>
              <w:rPr>
                <w:rFonts w:ascii="黑体" w:hAnsi="黑体" w:cs="黑体" w:eastAsia="黑体" w:hint="default"/>
                <w:sz w:val="20"/>
                <w:szCs w:val="20"/>
              </w:rPr>
              <w:t>年</w:t>
            </w:r>
          </w:p>
        </w:tc>
      </w:tr>
      <w:tr>
        <w:trPr>
          <w:trHeight w:val="350" w:hRule="exact"/>
        </w:trPr>
        <w:tc>
          <w:tcPr>
            <w:tcW w:w="4218" w:type="dxa"/>
            <w:tcBorders>
              <w:top w:val="nil" w:sz="6" w:space="0" w:color="auto"/>
              <w:left w:val="nil" w:sz="6" w:space="0" w:color="auto"/>
              <w:bottom w:val="nil" w:sz="6" w:space="0" w:color="auto"/>
              <w:right w:val="nil" w:sz="6" w:space="0" w:color="auto"/>
            </w:tcBorders>
          </w:tcPr>
          <w:p>
            <w:pPr>
              <w:pStyle w:val="TableParagraph"/>
              <w:spacing w:line="240" w:lineRule="auto" w:before="88"/>
              <w:ind w:left="200" w:right="0"/>
              <w:jc w:val="left"/>
              <w:rPr>
                <w:rFonts w:ascii="黑体" w:hAnsi="黑体" w:cs="黑体" w:eastAsia="黑体" w:hint="default"/>
                <w:sz w:val="20"/>
                <w:szCs w:val="20"/>
              </w:rPr>
            </w:pPr>
            <w:r>
              <w:rPr>
                <w:rFonts w:ascii="黑体" w:hAnsi="黑体" w:cs="黑体" w:eastAsia="黑体" w:hint="default"/>
                <w:sz w:val="20"/>
                <w:szCs w:val="20"/>
              </w:rPr>
              <w:t>以股份支付换取的职工服务总额</w:t>
            </w:r>
          </w:p>
        </w:tc>
        <w:tc>
          <w:tcPr>
            <w:tcW w:w="266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552"/>
              <w:jc w:val="right"/>
              <w:rPr>
                <w:rFonts w:ascii="Arial" w:hAnsi="Arial" w:cs="Arial" w:eastAsia="Arial" w:hint="default"/>
                <w:sz w:val="20"/>
                <w:szCs w:val="20"/>
              </w:rPr>
            </w:pPr>
            <w:r>
              <w:rPr>
                <w:rFonts w:ascii="Arial"/>
                <w:w w:val="99"/>
                <w:sz w:val="20"/>
              </w:rPr>
            </w:r>
            <w:r>
              <w:rPr>
                <w:rFonts w:ascii="Arial"/>
                <w:w w:val="95"/>
                <w:sz w:val="20"/>
                <w:u w:val="thick" w:color="000000"/>
              </w:rPr>
              <w:t>5,649,013</w:t>
            </w:r>
            <w:r>
              <w:rPr>
                <w:rFonts w:ascii="Arial"/>
                <w:w w:val="95"/>
                <w:sz w:val="20"/>
              </w:rPr>
            </w:r>
            <w:r>
              <w:rPr>
                <w:rFonts w:ascii="Arial"/>
                <w:sz w:val="20"/>
              </w:rPr>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13"/>
              <w:jc w:val="right"/>
              <w:rPr>
                <w:rFonts w:ascii="Arial" w:hAnsi="Arial" w:cs="Arial" w:eastAsia="Arial" w:hint="default"/>
                <w:sz w:val="20"/>
                <w:szCs w:val="20"/>
              </w:rPr>
            </w:pPr>
            <w:r>
              <w:rPr>
                <w:rFonts w:ascii="Arial"/>
                <w:w w:val="99"/>
                <w:sz w:val="20"/>
              </w:rPr>
            </w:r>
            <w:r>
              <w:rPr>
                <w:rFonts w:ascii="Arial"/>
                <w:w w:val="95"/>
                <w:sz w:val="20"/>
                <w:u w:val="thick" w:color="000000"/>
              </w:rPr>
              <w:t>31,798,181</w:t>
            </w:r>
            <w:r>
              <w:rPr>
                <w:rFonts w:ascii="Arial"/>
                <w:w w:val="95"/>
                <w:sz w:val="20"/>
              </w:rPr>
            </w:r>
            <w:r>
              <w:rPr>
                <w:rFonts w:ascii="Arial"/>
                <w:sz w:val="20"/>
              </w:rPr>
            </w:r>
          </w:p>
        </w:tc>
      </w:tr>
    </w:tbl>
    <w:p>
      <w:pPr>
        <w:spacing w:line="240" w:lineRule="auto" w:before="9"/>
        <w:rPr>
          <w:rFonts w:ascii="宋体" w:hAnsi="宋体" w:cs="宋体" w:eastAsia="宋体" w:hint="default"/>
          <w:b/>
          <w:bCs/>
          <w:sz w:val="12"/>
          <w:szCs w:val="12"/>
        </w:rPr>
      </w:pPr>
    </w:p>
    <w:p>
      <w:pPr>
        <w:spacing w:before="37"/>
        <w:ind w:left="418" w:right="200" w:firstLine="0"/>
        <w:jc w:val="left"/>
        <w:rPr>
          <w:rFonts w:ascii="黑体" w:hAnsi="黑体" w:cs="黑体" w:eastAsia="黑体" w:hint="default"/>
          <w:sz w:val="20"/>
          <w:szCs w:val="20"/>
        </w:rPr>
      </w:pPr>
      <w:r>
        <w:rPr>
          <w:rFonts w:ascii="黑体" w:hAnsi="黑体" w:cs="黑体" w:eastAsia="黑体" w:hint="default"/>
          <w:sz w:val="20"/>
          <w:szCs w:val="20"/>
        </w:rPr>
        <w:t>其中，以权益结算的股份支付如下：</w:t>
      </w:r>
    </w:p>
    <w:p>
      <w:pPr>
        <w:spacing w:line="240" w:lineRule="auto" w:before="9"/>
        <w:rPr>
          <w:rFonts w:ascii="黑体" w:hAnsi="黑体" w:cs="黑体" w:eastAsia="黑体" w:hint="default"/>
          <w:sz w:val="23"/>
          <w:szCs w:val="23"/>
        </w:rPr>
      </w:pPr>
    </w:p>
    <w:tbl>
      <w:tblPr>
        <w:tblW w:w="0" w:type="auto"/>
        <w:jc w:val="left"/>
        <w:tblInd w:w="114" w:type="dxa"/>
        <w:tblLayout w:type="fixed"/>
        <w:tblCellMar>
          <w:top w:w="0" w:type="dxa"/>
          <w:left w:w="0" w:type="dxa"/>
          <w:bottom w:w="0" w:type="dxa"/>
          <w:right w:w="0" w:type="dxa"/>
        </w:tblCellMar>
        <w:tblLook w:val="01E0"/>
      </w:tblPr>
      <w:tblGrid>
        <w:gridCol w:w="4795"/>
        <w:gridCol w:w="2008"/>
        <w:gridCol w:w="1819"/>
      </w:tblGrid>
      <w:tr>
        <w:trPr>
          <w:trHeight w:val="356" w:hRule="exact"/>
        </w:trPr>
        <w:tc>
          <w:tcPr>
            <w:tcW w:w="4795" w:type="dxa"/>
            <w:tcBorders>
              <w:top w:val="nil" w:sz="6" w:space="0" w:color="auto"/>
              <w:left w:val="nil" w:sz="6" w:space="0" w:color="auto"/>
              <w:bottom w:val="nil" w:sz="6" w:space="0" w:color="auto"/>
              <w:right w:val="nil" w:sz="6" w:space="0" w:color="auto"/>
            </w:tcBorders>
          </w:tcPr>
          <w:p>
            <w:pPr/>
          </w:p>
        </w:tc>
        <w:tc>
          <w:tcPr>
            <w:tcW w:w="2008" w:type="dxa"/>
            <w:tcBorders>
              <w:top w:val="nil" w:sz="6" w:space="0" w:color="auto"/>
              <w:left w:val="nil" w:sz="6" w:space="0" w:color="auto"/>
              <w:bottom w:val="nil" w:sz="6" w:space="0" w:color="auto"/>
              <w:right w:val="nil" w:sz="6" w:space="0" w:color="auto"/>
            </w:tcBorders>
          </w:tcPr>
          <w:p>
            <w:pPr>
              <w:pStyle w:val="TableParagraph"/>
              <w:spacing w:line="214" w:lineRule="exact"/>
              <w:ind w:right="491"/>
              <w:jc w:val="right"/>
              <w:rPr>
                <w:rFonts w:ascii="黑体" w:hAnsi="黑体" w:cs="黑体" w:eastAsia="黑体" w:hint="default"/>
                <w:sz w:val="20"/>
                <w:szCs w:val="20"/>
              </w:rPr>
            </w:pPr>
            <w:r>
              <w:rPr>
                <w:rFonts w:ascii="Arial" w:hAnsi="Arial" w:cs="Arial" w:eastAsia="Arial" w:hint="default"/>
                <w:sz w:val="20"/>
                <w:szCs w:val="20"/>
              </w:rPr>
              <w:t>2019</w:t>
            </w:r>
            <w:r>
              <w:rPr>
                <w:rFonts w:ascii="Arial" w:hAnsi="Arial" w:cs="Arial" w:eastAsia="Arial" w:hint="default"/>
                <w:spacing w:val="-12"/>
                <w:sz w:val="20"/>
                <w:szCs w:val="20"/>
              </w:rPr>
              <w:t> </w:t>
            </w:r>
            <w:r>
              <w:rPr>
                <w:rFonts w:ascii="黑体" w:hAnsi="黑体" w:cs="黑体" w:eastAsia="黑体" w:hint="default"/>
                <w:sz w:val="20"/>
                <w:szCs w:val="20"/>
              </w:rPr>
              <w:t>年</w:t>
            </w:r>
          </w:p>
        </w:tc>
        <w:tc>
          <w:tcPr>
            <w:tcW w:w="1819" w:type="dxa"/>
            <w:tcBorders>
              <w:top w:val="nil" w:sz="6" w:space="0" w:color="auto"/>
              <w:left w:val="nil" w:sz="6" w:space="0" w:color="auto"/>
              <w:bottom w:val="nil" w:sz="6" w:space="0" w:color="auto"/>
              <w:right w:val="nil" w:sz="6" w:space="0" w:color="auto"/>
            </w:tcBorders>
          </w:tcPr>
          <w:p>
            <w:pPr>
              <w:pStyle w:val="TableParagraph"/>
              <w:spacing w:line="214" w:lineRule="exact"/>
              <w:ind w:right="198"/>
              <w:jc w:val="right"/>
              <w:rPr>
                <w:rFonts w:ascii="黑体" w:hAnsi="黑体" w:cs="黑体" w:eastAsia="黑体" w:hint="default"/>
                <w:sz w:val="20"/>
                <w:szCs w:val="20"/>
              </w:rPr>
            </w:pPr>
            <w:r>
              <w:rPr>
                <w:rFonts w:ascii="Arial" w:hAnsi="Arial" w:cs="Arial" w:eastAsia="Arial" w:hint="default"/>
                <w:sz w:val="20"/>
                <w:szCs w:val="20"/>
              </w:rPr>
              <w:t>2018</w:t>
            </w:r>
            <w:r>
              <w:rPr>
                <w:rFonts w:ascii="Arial" w:hAnsi="Arial" w:cs="Arial" w:eastAsia="Arial" w:hint="default"/>
                <w:spacing w:val="-12"/>
                <w:sz w:val="20"/>
                <w:szCs w:val="20"/>
              </w:rPr>
              <w:t> </w:t>
            </w:r>
            <w:r>
              <w:rPr>
                <w:rFonts w:ascii="黑体" w:hAnsi="黑体" w:cs="黑体" w:eastAsia="黑体" w:hint="default"/>
                <w:sz w:val="20"/>
                <w:szCs w:val="20"/>
              </w:rPr>
              <w:t>年</w:t>
            </w:r>
          </w:p>
        </w:tc>
      </w:tr>
      <w:tr>
        <w:trPr>
          <w:trHeight w:val="378" w:hRule="exact"/>
        </w:trPr>
        <w:tc>
          <w:tcPr>
            <w:tcW w:w="4795"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0" w:right="0"/>
              <w:jc w:val="left"/>
              <w:rPr>
                <w:rFonts w:ascii="黑体" w:hAnsi="黑体" w:cs="黑体" w:eastAsia="黑体" w:hint="default"/>
                <w:sz w:val="20"/>
                <w:szCs w:val="20"/>
              </w:rPr>
            </w:pPr>
            <w:r>
              <w:rPr>
                <w:rFonts w:ascii="黑体" w:hAnsi="黑体" w:cs="黑体" w:eastAsia="黑体" w:hint="default"/>
                <w:sz w:val="20"/>
                <w:szCs w:val="20"/>
              </w:rPr>
              <w:t>以权益结算的股份支付计入资本公积的累积金额</w:t>
            </w:r>
          </w:p>
        </w:tc>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501"/>
              <w:jc w:val="right"/>
              <w:rPr>
                <w:rFonts w:ascii="Arial" w:hAnsi="Arial" w:cs="Arial" w:eastAsia="Arial" w:hint="default"/>
                <w:sz w:val="20"/>
                <w:szCs w:val="20"/>
              </w:rPr>
            </w:pPr>
            <w:r>
              <w:rPr>
                <w:rFonts w:ascii="Arial"/>
                <w:spacing w:val="-1"/>
                <w:sz w:val="20"/>
              </w:rPr>
              <w:t>359,432,328</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215"/>
              <w:jc w:val="right"/>
              <w:rPr>
                <w:rFonts w:ascii="Arial" w:hAnsi="Arial" w:cs="Arial" w:eastAsia="Arial" w:hint="default"/>
                <w:sz w:val="20"/>
                <w:szCs w:val="20"/>
              </w:rPr>
            </w:pPr>
            <w:r>
              <w:rPr>
                <w:rFonts w:ascii="Arial"/>
                <w:spacing w:val="-1"/>
                <w:sz w:val="20"/>
              </w:rPr>
              <w:t>353,783,315</w:t>
            </w:r>
          </w:p>
        </w:tc>
      </w:tr>
      <w:tr>
        <w:trPr>
          <w:trHeight w:val="230" w:hRule="exact"/>
        </w:trPr>
        <w:tc>
          <w:tcPr>
            <w:tcW w:w="4795" w:type="dxa"/>
            <w:tcBorders>
              <w:top w:val="nil" w:sz="6" w:space="0" w:color="auto"/>
              <w:left w:val="nil" w:sz="6" w:space="0" w:color="auto"/>
              <w:bottom w:val="nil" w:sz="6" w:space="0" w:color="auto"/>
              <w:right w:val="nil" w:sz="6" w:space="0" w:color="auto"/>
            </w:tcBorders>
          </w:tcPr>
          <w:p>
            <w:pPr>
              <w:pStyle w:val="TableParagraph"/>
              <w:spacing w:line="221" w:lineRule="exact"/>
              <w:ind w:left="202" w:right="0"/>
              <w:jc w:val="left"/>
              <w:rPr>
                <w:rFonts w:ascii="黑体" w:hAnsi="黑体" w:cs="黑体" w:eastAsia="黑体" w:hint="default"/>
                <w:sz w:val="20"/>
                <w:szCs w:val="20"/>
              </w:rPr>
            </w:pPr>
            <w:r>
              <w:rPr>
                <w:rFonts w:ascii="黑体" w:hAnsi="黑体" w:cs="黑体" w:eastAsia="黑体" w:hint="default"/>
                <w:sz w:val="20"/>
                <w:szCs w:val="20"/>
              </w:rPr>
              <w:t>以权益结算的股份支付确认的费用总额</w:t>
            </w:r>
          </w:p>
        </w:tc>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03"/>
              <w:jc w:val="right"/>
              <w:rPr>
                <w:rFonts w:ascii="Arial" w:hAnsi="Arial" w:cs="Arial" w:eastAsia="Arial" w:hint="default"/>
                <w:sz w:val="20"/>
                <w:szCs w:val="20"/>
              </w:rPr>
            </w:pPr>
            <w:r>
              <w:rPr>
                <w:rFonts w:ascii="Arial"/>
                <w:w w:val="95"/>
                <w:sz w:val="20"/>
              </w:rPr>
              <w:t>5,649,013</w:t>
            </w:r>
            <w:r>
              <w:rPr>
                <w:rFonts w:ascii="Arial"/>
                <w:sz w:val="20"/>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5"/>
              <w:jc w:val="right"/>
              <w:rPr>
                <w:rFonts w:ascii="Arial" w:hAnsi="Arial" w:cs="Arial" w:eastAsia="Arial" w:hint="default"/>
                <w:sz w:val="20"/>
                <w:szCs w:val="20"/>
              </w:rPr>
            </w:pPr>
            <w:r>
              <w:rPr>
                <w:rFonts w:ascii="Arial"/>
                <w:w w:val="95"/>
                <w:sz w:val="20"/>
              </w:rPr>
              <w:t>29,275,937</w:t>
            </w:r>
            <w:r>
              <w:rPr>
                <w:rFonts w:ascii="Arial"/>
                <w:sz w:val="20"/>
              </w:rPr>
            </w:r>
          </w:p>
        </w:tc>
      </w:tr>
    </w:tbl>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14"/>
          <w:szCs w:val="14"/>
        </w:rPr>
      </w:pPr>
    </w:p>
    <w:p>
      <w:pPr>
        <w:tabs>
          <w:tab w:pos="859" w:val="left" w:leader="none"/>
        </w:tabs>
        <w:spacing w:before="0"/>
        <w:ind w:left="300" w:right="0" w:firstLine="0"/>
        <w:jc w:val="center"/>
        <w:rPr>
          <w:rFonts w:ascii="宋体" w:hAnsi="宋体" w:cs="宋体" w:eastAsia="宋体" w:hint="default"/>
          <w:sz w:val="20"/>
          <w:szCs w:val="20"/>
        </w:rPr>
      </w:pPr>
      <w:r>
        <w:rPr>
          <w:rFonts w:ascii="Cambria" w:hAnsi="Cambria" w:cs="Cambria" w:eastAsia="Cambria" w:hint="default"/>
          <w:b/>
          <w:bCs/>
          <w:spacing w:val="-1"/>
          <w:sz w:val="20"/>
          <w:szCs w:val="20"/>
        </w:rPr>
        <w:t>2.</w:t>
        <w:tab/>
      </w:r>
      <w:r>
        <w:rPr>
          <w:rFonts w:ascii="宋体" w:hAnsi="宋体" w:cs="宋体" w:eastAsia="宋体" w:hint="default"/>
          <w:b/>
          <w:bCs/>
          <w:spacing w:val="1"/>
          <w:sz w:val="20"/>
          <w:szCs w:val="20"/>
        </w:rPr>
        <w:t>股份支付计划</w:t>
      </w:r>
      <w:r>
        <w:rPr>
          <w:rFonts w:ascii="宋体" w:hAnsi="宋体" w:cs="宋体" w:eastAsia="宋体" w:hint="default"/>
          <w:spacing w:val="1"/>
          <w:sz w:val="20"/>
          <w:szCs w:val="20"/>
        </w:rPr>
      </w:r>
    </w:p>
    <w:p>
      <w:pPr>
        <w:spacing w:line="240" w:lineRule="auto" w:before="3"/>
        <w:rPr>
          <w:rFonts w:ascii="宋体" w:hAnsi="宋体" w:cs="宋体" w:eastAsia="宋体" w:hint="default"/>
          <w:b/>
          <w:bCs/>
          <w:sz w:val="20"/>
          <w:szCs w:val="20"/>
        </w:rPr>
      </w:pPr>
    </w:p>
    <w:p>
      <w:pPr>
        <w:spacing w:line="235" w:lineRule="auto" w:before="0"/>
        <w:ind w:left="418" w:right="112" w:firstLine="0"/>
        <w:jc w:val="both"/>
        <w:rPr>
          <w:rFonts w:ascii="黑体" w:hAnsi="黑体" w:cs="黑体" w:eastAsia="黑体" w:hint="default"/>
          <w:sz w:val="20"/>
          <w:szCs w:val="20"/>
        </w:rPr>
      </w:pPr>
      <w:r>
        <w:rPr>
          <w:rFonts w:ascii="黑体" w:hAnsi="黑体" w:cs="黑体" w:eastAsia="黑体" w:hint="default"/>
          <w:spacing w:val="-2"/>
          <w:w w:val="99"/>
          <w:sz w:val="20"/>
          <w:szCs w:val="20"/>
        </w:rPr>
        <w:t>本公司之子公司畅捷通建立了员工信托受益权计划，旨在激励及奖励对畅捷通成功营运有贡献的</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w w:val="95"/>
          <w:sz w:val="20"/>
          <w:szCs w:val="20"/>
        </w:rPr>
        <w:t>合资格员工。本计划的激励对象为对实现畅捷通战略目标至关重要的畅捷通员工，包括若干董事</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z w:val="20"/>
          <w:szCs w:val="20"/>
        </w:rPr>
        <w:t>及监事、中高层管理人员、专家和核心骨干。本计划自</w:t>
      </w:r>
      <w:r>
        <w:rPr>
          <w:rFonts w:ascii="黑体" w:hAnsi="黑体" w:cs="黑体" w:eastAsia="黑体" w:hint="default"/>
          <w:spacing w:val="-59"/>
          <w:sz w:val="20"/>
          <w:szCs w:val="20"/>
        </w:rPr>
        <w:t> </w:t>
      </w:r>
      <w:r>
        <w:rPr>
          <w:rFonts w:ascii="Arial" w:hAnsi="Arial" w:cs="Arial" w:eastAsia="Arial" w:hint="default"/>
          <w:sz w:val="20"/>
          <w:szCs w:val="20"/>
        </w:rPr>
        <w:t>2015</w:t>
      </w:r>
      <w:r>
        <w:rPr>
          <w:rFonts w:ascii="Arial" w:hAnsi="Arial" w:cs="Arial" w:eastAsia="Arial" w:hint="default"/>
          <w:spacing w:val="-17"/>
          <w:sz w:val="20"/>
          <w:szCs w:val="20"/>
        </w:rPr>
        <w:t> </w:t>
      </w:r>
      <w:r>
        <w:rPr>
          <w:rFonts w:ascii="黑体" w:hAnsi="黑体" w:cs="黑体" w:eastAsia="黑体" w:hint="default"/>
          <w:sz w:val="20"/>
          <w:szCs w:val="20"/>
        </w:rPr>
        <w:t>年</w:t>
      </w:r>
      <w:r>
        <w:rPr>
          <w:rFonts w:ascii="黑体" w:hAnsi="黑体" w:cs="黑体" w:eastAsia="黑体" w:hint="default"/>
          <w:spacing w:val="-60"/>
          <w:sz w:val="20"/>
          <w:szCs w:val="20"/>
        </w:rPr>
        <w:t> </w:t>
      </w:r>
      <w:r>
        <w:rPr>
          <w:rFonts w:ascii="Arial" w:hAnsi="Arial" w:cs="Arial" w:eastAsia="Arial" w:hint="default"/>
          <w:sz w:val="20"/>
          <w:szCs w:val="20"/>
        </w:rPr>
        <w:t>6</w:t>
      </w:r>
      <w:r>
        <w:rPr>
          <w:rFonts w:ascii="Arial" w:hAnsi="Arial" w:cs="Arial" w:eastAsia="Arial" w:hint="default"/>
          <w:spacing w:val="-17"/>
          <w:sz w:val="20"/>
          <w:szCs w:val="20"/>
        </w:rPr>
        <w:t> </w:t>
      </w:r>
      <w:r>
        <w:rPr>
          <w:rFonts w:ascii="黑体" w:hAnsi="黑体" w:cs="黑体" w:eastAsia="黑体" w:hint="default"/>
          <w:sz w:val="20"/>
          <w:szCs w:val="20"/>
        </w:rPr>
        <w:t>月</w:t>
      </w:r>
      <w:r>
        <w:rPr>
          <w:rFonts w:ascii="黑体" w:hAnsi="黑体" w:cs="黑体" w:eastAsia="黑体" w:hint="default"/>
          <w:spacing w:val="-60"/>
          <w:sz w:val="20"/>
          <w:szCs w:val="20"/>
        </w:rPr>
        <w:t> </w:t>
      </w:r>
      <w:r>
        <w:rPr>
          <w:rFonts w:ascii="Arial" w:hAnsi="Arial" w:cs="Arial" w:eastAsia="Arial" w:hint="default"/>
          <w:sz w:val="20"/>
          <w:szCs w:val="20"/>
        </w:rPr>
        <w:t>8</w:t>
      </w:r>
      <w:r>
        <w:rPr>
          <w:rFonts w:ascii="Arial" w:hAnsi="Arial" w:cs="Arial" w:eastAsia="Arial" w:hint="default"/>
          <w:spacing w:val="-17"/>
          <w:sz w:val="20"/>
          <w:szCs w:val="20"/>
        </w:rPr>
        <w:t> </w:t>
      </w:r>
      <w:r>
        <w:rPr>
          <w:rFonts w:ascii="黑体" w:hAnsi="黑体" w:cs="黑体" w:eastAsia="黑体" w:hint="default"/>
          <w:sz w:val="20"/>
          <w:szCs w:val="20"/>
        </w:rPr>
        <w:t>日生效，而除非有其他原</w:t>
      </w:r>
      <w:r>
        <w:rPr>
          <w:rFonts w:ascii="黑体" w:hAnsi="黑体" w:cs="黑体" w:eastAsia="黑体" w:hint="default"/>
          <w:w w:val="99"/>
          <w:sz w:val="20"/>
          <w:szCs w:val="20"/>
        </w:rPr>
        <w:t> </w:t>
      </w:r>
      <w:r>
        <w:rPr>
          <w:rFonts w:ascii="黑体" w:hAnsi="黑体" w:cs="黑体" w:eastAsia="黑体" w:hint="default"/>
          <w:sz w:val="20"/>
          <w:szCs w:val="20"/>
        </w:rPr>
        <w:t>因导致取消或修改，否则将在该日期起六年内有效。</w:t>
      </w:r>
    </w:p>
    <w:p>
      <w:pPr>
        <w:spacing w:line="240" w:lineRule="auto" w:before="6"/>
        <w:rPr>
          <w:rFonts w:ascii="黑体" w:hAnsi="黑体" w:cs="黑体" w:eastAsia="黑体" w:hint="default"/>
          <w:sz w:val="18"/>
          <w:szCs w:val="18"/>
        </w:rPr>
      </w:pPr>
    </w:p>
    <w:p>
      <w:pPr>
        <w:spacing w:line="260" w:lineRule="exact" w:before="0"/>
        <w:ind w:left="418" w:right="112" w:firstLine="0"/>
        <w:jc w:val="both"/>
        <w:rPr>
          <w:rFonts w:ascii="黑体" w:hAnsi="黑体" w:cs="黑体" w:eastAsia="黑体" w:hint="default"/>
          <w:sz w:val="20"/>
          <w:szCs w:val="20"/>
        </w:rPr>
      </w:pPr>
      <w:r>
        <w:rPr>
          <w:rFonts w:ascii="黑体" w:hAnsi="黑体" w:cs="黑体" w:eastAsia="黑体" w:hint="default"/>
          <w:spacing w:val="2"/>
          <w:sz w:val="20"/>
          <w:szCs w:val="20"/>
        </w:rPr>
        <w:t>畅捷通委托及透过畅捷通美国委托三家合资格且相互独立的代理机构作为本计划的信托机构设</w:t>
      </w:r>
      <w:r>
        <w:rPr>
          <w:rFonts w:ascii="黑体" w:hAnsi="黑体" w:cs="黑体" w:eastAsia="黑体" w:hint="default"/>
          <w:spacing w:val="-96"/>
          <w:sz w:val="20"/>
          <w:szCs w:val="20"/>
        </w:rPr>
        <w:t> </w:t>
      </w:r>
      <w:r>
        <w:rPr>
          <w:rFonts w:ascii="黑体" w:hAnsi="黑体" w:cs="黑体" w:eastAsia="黑体" w:hint="default"/>
          <w:spacing w:val="-96"/>
          <w:sz w:val="20"/>
          <w:szCs w:val="20"/>
        </w:rPr>
      </w:r>
      <w:r>
        <w:rPr>
          <w:rFonts w:ascii="黑体" w:hAnsi="黑体" w:cs="黑体" w:eastAsia="黑体" w:hint="default"/>
          <w:spacing w:val="-2"/>
          <w:w w:val="95"/>
          <w:sz w:val="20"/>
          <w:szCs w:val="20"/>
        </w:rPr>
        <w:t>立三项信托，一家信托是为畅捷通关连人士的激励对象设立仅持有内资股的关连信托，其余两家</w:t>
      </w:r>
      <w:r>
        <w:rPr>
          <w:rFonts w:ascii="黑体" w:hAnsi="黑体" w:cs="黑体" w:eastAsia="黑体" w:hint="default"/>
          <w:spacing w:val="30"/>
          <w:w w:val="95"/>
          <w:sz w:val="20"/>
          <w:szCs w:val="20"/>
        </w:rPr>
        <w:t> </w:t>
      </w:r>
      <w:r>
        <w:rPr>
          <w:rFonts w:ascii="黑体" w:hAnsi="黑体" w:cs="黑体" w:eastAsia="黑体" w:hint="default"/>
          <w:spacing w:val="30"/>
          <w:w w:val="95"/>
          <w:sz w:val="20"/>
          <w:szCs w:val="20"/>
        </w:rPr>
      </w:r>
      <w:r>
        <w:rPr>
          <w:rFonts w:ascii="黑体" w:hAnsi="黑体" w:cs="黑体" w:eastAsia="黑体" w:hint="default"/>
          <w:sz w:val="20"/>
          <w:szCs w:val="20"/>
        </w:rPr>
        <w:t>信托是为畅捷通非关连人士的激励对象设立持有内资股及／或</w:t>
      </w:r>
      <w:r>
        <w:rPr>
          <w:rFonts w:ascii="黑体" w:hAnsi="黑体" w:cs="黑体" w:eastAsia="黑体" w:hint="default"/>
          <w:spacing w:val="-50"/>
          <w:sz w:val="20"/>
          <w:szCs w:val="20"/>
        </w:rPr>
        <w:t> </w:t>
      </w:r>
      <w:r>
        <w:rPr>
          <w:rFonts w:ascii="Arial" w:hAnsi="Arial" w:cs="Arial" w:eastAsia="Arial" w:hint="default"/>
          <w:sz w:val="20"/>
          <w:szCs w:val="20"/>
        </w:rPr>
        <w:t>H</w:t>
      </w:r>
      <w:r>
        <w:rPr>
          <w:rFonts w:ascii="Arial" w:hAnsi="Arial" w:cs="Arial" w:eastAsia="Arial" w:hint="default"/>
          <w:spacing w:val="-8"/>
          <w:sz w:val="20"/>
          <w:szCs w:val="20"/>
        </w:rPr>
        <w:t> </w:t>
      </w:r>
      <w:r>
        <w:rPr>
          <w:rFonts w:ascii="黑体" w:hAnsi="黑体" w:cs="黑体" w:eastAsia="黑体" w:hint="default"/>
          <w:sz w:val="20"/>
          <w:szCs w:val="20"/>
        </w:rPr>
        <w:t>股的非关连信托</w:t>
      </w:r>
      <w:r>
        <w:rPr>
          <w:rFonts w:ascii="Arial" w:hAnsi="Arial" w:cs="Arial" w:eastAsia="Arial" w:hint="default"/>
          <w:sz w:val="20"/>
          <w:szCs w:val="20"/>
        </w:rPr>
        <w:t>(</w:t>
      </w:r>
      <w:r>
        <w:rPr>
          <w:rFonts w:ascii="黑体" w:hAnsi="黑体" w:cs="黑体" w:eastAsia="黑体" w:hint="default"/>
          <w:sz w:val="20"/>
          <w:szCs w:val="20"/>
        </w:rPr>
        <w:t>其中一家信托</w:t>
      </w:r>
      <w:r>
        <w:rPr>
          <w:rFonts w:ascii="黑体" w:hAnsi="黑体" w:cs="黑体" w:eastAsia="黑体" w:hint="default"/>
          <w:w w:val="99"/>
          <w:sz w:val="20"/>
          <w:szCs w:val="20"/>
        </w:rPr>
        <w:t> </w:t>
      </w:r>
      <w:r>
        <w:rPr>
          <w:rFonts w:ascii="黑体" w:hAnsi="黑体" w:cs="黑体" w:eastAsia="黑体" w:hint="default"/>
          <w:sz w:val="20"/>
          <w:szCs w:val="20"/>
        </w:rPr>
        <w:t>为境内激励对象设立，另一家为境外激励对象设立</w:t>
      </w:r>
      <w:r>
        <w:rPr>
          <w:rFonts w:ascii="Arial" w:hAnsi="Arial" w:cs="Arial" w:eastAsia="Arial" w:hint="default"/>
          <w:sz w:val="20"/>
          <w:szCs w:val="20"/>
        </w:rPr>
        <w:t>)</w:t>
      </w:r>
      <w:r>
        <w:rPr>
          <w:rFonts w:ascii="黑体" w:hAnsi="黑体" w:cs="黑体" w:eastAsia="黑体" w:hint="default"/>
          <w:sz w:val="20"/>
          <w:szCs w:val="20"/>
        </w:rPr>
        <w:t>。</w:t>
      </w:r>
    </w:p>
    <w:p>
      <w:pPr>
        <w:spacing w:line="240" w:lineRule="auto" w:before="11"/>
        <w:rPr>
          <w:rFonts w:ascii="黑体" w:hAnsi="黑体" w:cs="黑体" w:eastAsia="黑体" w:hint="default"/>
          <w:sz w:val="16"/>
          <w:szCs w:val="16"/>
        </w:rPr>
      </w:pPr>
    </w:p>
    <w:p>
      <w:pPr>
        <w:spacing w:line="260" w:lineRule="exact" w:before="0"/>
        <w:ind w:left="418" w:right="123" w:firstLine="0"/>
        <w:jc w:val="both"/>
        <w:rPr>
          <w:rFonts w:ascii="黑体" w:hAnsi="黑体" w:cs="黑体" w:eastAsia="黑体" w:hint="default"/>
          <w:sz w:val="20"/>
          <w:szCs w:val="20"/>
        </w:rPr>
      </w:pPr>
      <w:r>
        <w:rPr>
          <w:rFonts w:ascii="黑体" w:hAnsi="黑体" w:cs="黑体" w:eastAsia="黑体" w:hint="default"/>
          <w:spacing w:val="2"/>
          <w:sz w:val="20"/>
          <w:szCs w:val="20"/>
        </w:rPr>
        <w:t>畅捷通及透过畅捷通美国向信托机构支付以设立关连信托及非关连信托的激励计划资金来自于</w:t>
      </w:r>
      <w:r>
        <w:rPr>
          <w:rFonts w:ascii="黑体" w:hAnsi="黑体" w:cs="黑体" w:eastAsia="黑体" w:hint="default"/>
          <w:spacing w:val="-96"/>
          <w:sz w:val="20"/>
          <w:szCs w:val="20"/>
        </w:rPr>
        <w:t> </w:t>
      </w:r>
      <w:r>
        <w:rPr>
          <w:rFonts w:ascii="黑体" w:hAnsi="黑体" w:cs="黑体" w:eastAsia="黑体" w:hint="default"/>
          <w:spacing w:val="-96"/>
          <w:sz w:val="20"/>
          <w:szCs w:val="20"/>
        </w:rPr>
      </w:r>
      <w:r>
        <w:rPr>
          <w:rFonts w:ascii="黑体" w:hAnsi="黑体" w:cs="黑体" w:eastAsia="黑体" w:hint="default"/>
          <w:sz w:val="20"/>
          <w:szCs w:val="20"/>
        </w:rPr>
        <w:t>畅捷通的自有资金及可用于此等用途的首次公开发行募集资金。</w:t>
      </w:r>
    </w:p>
    <w:p>
      <w:pPr>
        <w:spacing w:line="240" w:lineRule="auto" w:before="11"/>
        <w:rPr>
          <w:rFonts w:ascii="黑体" w:hAnsi="黑体" w:cs="黑体" w:eastAsia="黑体" w:hint="default"/>
          <w:sz w:val="14"/>
          <w:szCs w:val="14"/>
        </w:rPr>
      </w:pPr>
    </w:p>
    <w:p>
      <w:pPr>
        <w:spacing w:line="268" w:lineRule="exact" w:before="0"/>
        <w:ind w:left="418" w:right="0" w:firstLine="0"/>
        <w:jc w:val="both"/>
        <w:rPr>
          <w:rFonts w:ascii="黑体" w:hAnsi="黑体" w:cs="黑体" w:eastAsia="黑体" w:hint="default"/>
          <w:sz w:val="20"/>
          <w:szCs w:val="20"/>
        </w:rPr>
      </w:pPr>
      <w:r>
        <w:rPr>
          <w:rFonts w:ascii="黑体" w:hAnsi="黑体" w:cs="黑体" w:eastAsia="黑体" w:hint="default"/>
          <w:sz w:val="20"/>
          <w:szCs w:val="20"/>
        </w:rPr>
        <w:t>信托机构根据本计划拟购入的目标股票总数为本计划于 </w:t>
      </w:r>
      <w:r>
        <w:rPr>
          <w:rFonts w:ascii="Arial" w:hAnsi="Arial" w:cs="Arial" w:eastAsia="Arial" w:hint="default"/>
          <w:sz w:val="20"/>
          <w:szCs w:val="20"/>
        </w:rPr>
        <w:t>2014</w:t>
      </w:r>
      <w:r>
        <w:rPr>
          <w:rFonts w:ascii="Arial" w:hAnsi="Arial" w:cs="Arial" w:eastAsia="Arial" w:hint="default"/>
          <w:spacing w:val="40"/>
          <w:sz w:val="20"/>
          <w:szCs w:val="20"/>
        </w:rPr>
        <w:t> </w:t>
      </w:r>
      <w:r>
        <w:rPr>
          <w:rFonts w:ascii="黑体" w:hAnsi="黑体" w:cs="黑体" w:eastAsia="黑体" w:hint="default"/>
          <w:sz w:val="20"/>
          <w:szCs w:val="20"/>
        </w:rPr>
        <w:t>年度股东周年大会获批准之日畅</w:t>
      </w:r>
    </w:p>
    <w:p>
      <w:pPr>
        <w:spacing w:line="260" w:lineRule="exact" w:before="17"/>
        <w:ind w:left="418" w:right="175" w:firstLine="0"/>
        <w:jc w:val="both"/>
        <w:rPr>
          <w:rFonts w:ascii="黑体" w:hAnsi="黑体" w:cs="黑体" w:eastAsia="黑体" w:hint="default"/>
          <w:sz w:val="20"/>
          <w:szCs w:val="20"/>
        </w:rPr>
      </w:pPr>
      <w:r>
        <w:rPr>
          <w:rFonts w:ascii="黑体" w:hAnsi="黑体" w:cs="黑体" w:eastAsia="黑体" w:hint="default"/>
          <w:sz w:val="20"/>
          <w:szCs w:val="20"/>
        </w:rPr>
        <w:t>捷通已发行股本总额的</w:t>
      </w:r>
      <w:r>
        <w:rPr>
          <w:rFonts w:ascii="黑体" w:hAnsi="黑体" w:cs="黑体" w:eastAsia="黑体" w:hint="default"/>
          <w:spacing w:val="-35"/>
          <w:sz w:val="20"/>
          <w:szCs w:val="20"/>
        </w:rPr>
        <w:t> </w:t>
      </w:r>
      <w:r>
        <w:rPr>
          <w:rFonts w:ascii="Arial" w:hAnsi="Arial" w:cs="Arial" w:eastAsia="Arial" w:hint="default"/>
          <w:sz w:val="20"/>
          <w:szCs w:val="20"/>
        </w:rPr>
        <w:t>10%</w:t>
      </w:r>
      <w:r>
        <w:rPr>
          <w:rFonts w:ascii="黑体" w:hAnsi="黑体" w:cs="黑体" w:eastAsia="黑体" w:hint="default"/>
          <w:sz w:val="20"/>
          <w:szCs w:val="20"/>
        </w:rPr>
        <w:t>，即</w:t>
      </w:r>
      <w:r>
        <w:rPr>
          <w:rFonts w:ascii="黑体" w:hAnsi="黑体" w:cs="黑体" w:eastAsia="黑体" w:hint="default"/>
          <w:spacing w:val="-36"/>
          <w:sz w:val="20"/>
          <w:szCs w:val="20"/>
        </w:rPr>
        <w:t> </w:t>
      </w:r>
      <w:r>
        <w:rPr>
          <w:rFonts w:ascii="Arial" w:hAnsi="Arial" w:cs="Arial" w:eastAsia="Arial" w:hint="default"/>
          <w:sz w:val="20"/>
          <w:szCs w:val="20"/>
        </w:rPr>
        <w:t>217,181,666</w:t>
      </w:r>
      <w:r>
        <w:rPr>
          <w:rFonts w:ascii="Arial" w:hAnsi="Arial" w:cs="Arial" w:eastAsia="Arial" w:hint="default"/>
          <w:spacing w:val="6"/>
          <w:sz w:val="20"/>
          <w:szCs w:val="20"/>
        </w:rPr>
        <w:t> </w:t>
      </w:r>
      <w:r>
        <w:rPr>
          <w:rFonts w:ascii="黑体" w:hAnsi="黑体" w:cs="黑体" w:eastAsia="黑体" w:hint="default"/>
          <w:sz w:val="20"/>
          <w:szCs w:val="20"/>
        </w:rPr>
        <w:t>股股份中的</w:t>
      </w:r>
      <w:r>
        <w:rPr>
          <w:rFonts w:ascii="黑体" w:hAnsi="黑体" w:cs="黑体" w:eastAsia="黑体" w:hint="default"/>
          <w:spacing w:val="-35"/>
          <w:sz w:val="20"/>
          <w:szCs w:val="20"/>
        </w:rPr>
        <w:t> </w:t>
      </w:r>
      <w:r>
        <w:rPr>
          <w:rFonts w:ascii="Arial" w:hAnsi="Arial" w:cs="Arial" w:eastAsia="Arial" w:hint="default"/>
          <w:sz w:val="20"/>
          <w:szCs w:val="20"/>
        </w:rPr>
        <w:t>21,718,166</w:t>
      </w:r>
      <w:r>
        <w:rPr>
          <w:rFonts w:ascii="Arial" w:hAnsi="Arial" w:cs="Arial" w:eastAsia="Arial" w:hint="default"/>
          <w:spacing w:val="6"/>
          <w:sz w:val="20"/>
          <w:szCs w:val="20"/>
        </w:rPr>
        <w:t> </w:t>
      </w:r>
      <w:r>
        <w:rPr>
          <w:rFonts w:ascii="黑体" w:hAnsi="黑体" w:cs="黑体" w:eastAsia="黑体" w:hint="default"/>
          <w:sz w:val="20"/>
          <w:szCs w:val="20"/>
        </w:rPr>
        <w:t>股股份。附生效条件的</w:t>
      </w:r>
      <w:r>
        <w:rPr>
          <w:rFonts w:ascii="黑体" w:hAnsi="黑体" w:cs="黑体" w:eastAsia="黑体" w:hint="default"/>
          <w:w w:val="99"/>
          <w:sz w:val="20"/>
          <w:szCs w:val="20"/>
        </w:rPr>
        <w:t> </w:t>
      </w:r>
      <w:r>
        <w:rPr>
          <w:rFonts w:ascii="黑体" w:hAnsi="黑体" w:cs="黑体" w:eastAsia="黑体" w:hint="default"/>
          <w:sz w:val="20"/>
          <w:szCs w:val="20"/>
        </w:rPr>
        <w:t>信托受益权份额将通过首次授予、后续授予及再次授予给激励对象。首次授予及后续授予需于</w:t>
      </w:r>
      <w:r>
        <w:rPr>
          <w:rFonts w:ascii="黑体" w:hAnsi="黑体" w:cs="黑体" w:eastAsia="黑体" w:hint="default"/>
          <w:spacing w:val="-64"/>
          <w:sz w:val="20"/>
          <w:szCs w:val="20"/>
        </w:rPr>
        <w:t> </w:t>
      </w:r>
      <w:r>
        <w:rPr>
          <w:rFonts w:ascii="黑体" w:hAnsi="黑体" w:cs="黑体" w:eastAsia="黑体" w:hint="default"/>
          <w:spacing w:val="-64"/>
          <w:sz w:val="20"/>
          <w:szCs w:val="20"/>
        </w:rPr>
      </w:r>
      <w:r>
        <w:rPr>
          <w:rFonts w:ascii="Arial" w:hAnsi="Arial" w:cs="Arial" w:eastAsia="Arial" w:hint="default"/>
          <w:sz w:val="20"/>
          <w:szCs w:val="20"/>
        </w:rPr>
        <w:t>2016</w:t>
      </w:r>
      <w:r>
        <w:rPr>
          <w:rFonts w:ascii="Arial" w:hAnsi="Arial" w:cs="Arial" w:eastAsia="Arial" w:hint="default"/>
          <w:spacing w:val="-9"/>
          <w:sz w:val="20"/>
          <w:szCs w:val="20"/>
        </w:rPr>
        <w:t> </w:t>
      </w:r>
      <w:r>
        <w:rPr>
          <w:rFonts w:ascii="黑体" w:hAnsi="黑体" w:cs="黑体" w:eastAsia="黑体" w:hint="default"/>
          <w:sz w:val="20"/>
          <w:szCs w:val="20"/>
        </w:rPr>
        <w:t>年</w:t>
      </w:r>
      <w:r>
        <w:rPr>
          <w:rFonts w:ascii="黑体" w:hAnsi="黑体" w:cs="黑体" w:eastAsia="黑体" w:hint="default"/>
          <w:spacing w:val="-51"/>
          <w:sz w:val="20"/>
          <w:szCs w:val="20"/>
        </w:rPr>
        <w:t> </w:t>
      </w:r>
      <w:r>
        <w:rPr>
          <w:rFonts w:ascii="Arial" w:hAnsi="Arial" w:cs="Arial" w:eastAsia="Arial" w:hint="default"/>
          <w:sz w:val="20"/>
          <w:szCs w:val="20"/>
        </w:rPr>
        <w:t>12</w:t>
      </w:r>
      <w:r>
        <w:rPr>
          <w:rFonts w:ascii="Arial" w:hAnsi="Arial" w:cs="Arial" w:eastAsia="Arial" w:hint="default"/>
          <w:spacing w:val="-9"/>
          <w:sz w:val="20"/>
          <w:szCs w:val="20"/>
        </w:rPr>
        <w:t> </w:t>
      </w:r>
      <w:r>
        <w:rPr>
          <w:rFonts w:ascii="黑体" w:hAnsi="黑体" w:cs="黑体" w:eastAsia="黑体" w:hint="default"/>
          <w:sz w:val="20"/>
          <w:szCs w:val="20"/>
        </w:rPr>
        <w:t>月</w:t>
      </w:r>
      <w:r>
        <w:rPr>
          <w:rFonts w:ascii="黑体" w:hAnsi="黑体" w:cs="黑体" w:eastAsia="黑体" w:hint="default"/>
          <w:spacing w:val="-51"/>
          <w:sz w:val="20"/>
          <w:szCs w:val="20"/>
        </w:rPr>
        <w:t> </w:t>
      </w:r>
      <w:r>
        <w:rPr>
          <w:rFonts w:ascii="Arial" w:hAnsi="Arial" w:cs="Arial" w:eastAsia="Arial" w:hint="default"/>
          <w:sz w:val="20"/>
          <w:szCs w:val="20"/>
        </w:rPr>
        <w:t>31</w:t>
      </w:r>
      <w:r>
        <w:rPr>
          <w:rFonts w:ascii="Arial" w:hAnsi="Arial" w:cs="Arial" w:eastAsia="Arial" w:hint="default"/>
          <w:spacing w:val="-9"/>
          <w:sz w:val="20"/>
          <w:szCs w:val="20"/>
        </w:rPr>
        <w:t> </w:t>
      </w:r>
      <w:r>
        <w:rPr>
          <w:rFonts w:ascii="黑体" w:hAnsi="黑体" w:cs="黑体" w:eastAsia="黑体" w:hint="default"/>
          <w:sz w:val="20"/>
          <w:szCs w:val="20"/>
        </w:rPr>
        <w:t>日前完成，再次授予需于本计划于股东周年大会获批准之日起两年内完成。</w:t>
      </w:r>
    </w:p>
    <w:p>
      <w:pPr>
        <w:spacing w:after="0" w:line="260" w:lineRule="exact"/>
        <w:jc w:val="both"/>
        <w:rPr>
          <w:rFonts w:ascii="黑体" w:hAnsi="黑体" w:cs="黑体" w:eastAsia="黑体" w:hint="default"/>
          <w:sz w:val="20"/>
          <w:szCs w:val="20"/>
        </w:rPr>
        <w:sectPr>
          <w:footerReference w:type="default" r:id="rId95"/>
          <w:pgSz w:w="11910" w:h="16850"/>
          <w:pgMar w:footer="921" w:header="745" w:top="980" w:bottom="1120" w:left="1380" w:right="1680"/>
          <w:pgNumType w:start="173"/>
        </w:sectPr>
      </w:pPr>
    </w:p>
    <w:p>
      <w:pPr>
        <w:spacing w:line="240" w:lineRule="auto" w:before="2"/>
        <w:rPr>
          <w:rFonts w:ascii="黑体" w:hAnsi="黑体" w:cs="黑体" w:eastAsia="黑体" w:hint="default"/>
          <w:sz w:val="29"/>
          <w:szCs w:val="29"/>
        </w:rPr>
      </w:pPr>
    </w:p>
    <w:p>
      <w:pPr>
        <w:spacing w:line="237" w:lineRule="auto" w:before="40"/>
        <w:ind w:left="318" w:right="335" w:firstLine="0"/>
        <w:jc w:val="both"/>
        <w:rPr>
          <w:rFonts w:ascii="黑体" w:hAnsi="黑体" w:cs="黑体" w:eastAsia="黑体" w:hint="default"/>
          <w:sz w:val="20"/>
          <w:szCs w:val="20"/>
        </w:rPr>
      </w:pPr>
      <w:r>
        <w:rPr>
          <w:rFonts w:ascii="黑体" w:hAnsi="黑体" w:cs="黑体" w:eastAsia="黑体" w:hint="default"/>
          <w:sz w:val="20"/>
          <w:szCs w:val="20"/>
        </w:rPr>
        <w:t>信托机构从内资股股东或于公开市场购买的目标股票，以信托形式代相关激励对象持有，直至</w:t>
      </w:r>
      <w:r>
        <w:rPr>
          <w:rFonts w:ascii="黑体" w:hAnsi="黑体" w:cs="黑体" w:eastAsia="黑体" w:hint="default"/>
          <w:spacing w:val="-64"/>
          <w:sz w:val="20"/>
          <w:szCs w:val="20"/>
        </w:rPr>
        <w:t> </w:t>
      </w:r>
      <w:r>
        <w:rPr>
          <w:rFonts w:ascii="黑体" w:hAnsi="黑体" w:cs="黑体" w:eastAsia="黑体" w:hint="default"/>
          <w:spacing w:val="-64"/>
          <w:sz w:val="20"/>
          <w:szCs w:val="20"/>
        </w:rPr>
      </w:r>
      <w:r>
        <w:rPr>
          <w:rFonts w:ascii="黑体" w:hAnsi="黑体" w:cs="黑体" w:eastAsia="黑体" w:hint="default"/>
          <w:sz w:val="20"/>
          <w:szCs w:val="20"/>
        </w:rPr>
        <w:t>该等股份根据该计划的条文归属于相关激励对象为止。已授予并由信托机构持有直至解锁的畅</w:t>
      </w:r>
      <w:r>
        <w:rPr>
          <w:rFonts w:ascii="黑体" w:hAnsi="黑体" w:cs="黑体" w:eastAsia="黑体" w:hint="default"/>
          <w:spacing w:val="-64"/>
          <w:sz w:val="20"/>
          <w:szCs w:val="20"/>
        </w:rPr>
        <w:t> </w:t>
      </w:r>
      <w:r>
        <w:rPr>
          <w:rFonts w:ascii="黑体" w:hAnsi="黑体" w:cs="黑体" w:eastAsia="黑体" w:hint="default"/>
          <w:spacing w:val="-64"/>
          <w:sz w:val="20"/>
          <w:szCs w:val="20"/>
        </w:rPr>
      </w:r>
      <w:r>
        <w:rPr>
          <w:rFonts w:ascii="黑体" w:hAnsi="黑体" w:cs="黑体" w:eastAsia="黑体" w:hint="default"/>
          <w:sz w:val="20"/>
          <w:szCs w:val="20"/>
        </w:rPr>
        <w:t>捷通股份称为库存股份，而各库存股份应指畅捷通一股普通股。</w:t>
      </w:r>
    </w:p>
    <w:p>
      <w:pPr>
        <w:spacing w:line="240" w:lineRule="auto" w:before="9"/>
        <w:rPr>
          <w:rFonts w:ascii="黑体" w:hAnsi="黑体" w:cs="黑体" w:eastAsia="黑体" w:hint="default"/>
          <w:sz w:val="18"/>
          <w:szCs w:val="18"/>
        </w:rPr>
      </w:pPr>
    </w:p>
    <w:p>
      <w:pPr>
        <w:spacing w:line="260" w:lineRule="exact" w:before="0"/>
        <w:ind w:left="318" w:right="335" w:firstLine="0"/>
        <w:jc w:val="both"/>
        <w:rPr>
          <w:rFonts w:ascii="黑体" w:hAnsi="黑体" w:cs="黑体" w:eastAsia="黑体" w:hint="default"/>
          <w:sz w:val="20"/>
          <w:szCs w:val="20"/>
        </w:rPr>
      </w:pPr>
      <w:r>
        <w:rPr>
          <w:rFonts w:ascii="黑体" w:hAnsi="黑体" w:cs="黑体" w:eastAsia="黑体" w:hint="default"/>
          <w:spacing w:val="-4"/>
          <w:sz w:val="20"/>
          <w:szCs w:val="20"/>
        </w:rPr>
        <w:t>在该计划有效期内，若畅捷通发生资本公积转增股份、派送股票红利、股票拆细、缩股等事项，</w:t>
      </w:r>
      <w:r>
        <w:rPr>
          <w:rFonts w:ascii="黑体" w:hAnsi="黑体" w:cs="黑体" w:eastAsia="黑体" w:hint="default"/>
          <w:spacing w:val="-94"/>
          <w:sz w:val="20"/>
          <w:szCs w:val="20"/>
        </w:rPr>
        <w:t> </w:t>
      </w:r>
      <w:r>
        <w:rPr>
          <w:rFonts w:ascii="黑体" w:hAnsi="黑体" w:cs="黑体" w:eastAsia="黑体" w:hint="default"/>
          <w:spacing w:val="-94"/>
          <w:sz w:val="20"/>
          <w:szCs w:val="20"/>
        </w:rPr>
      </w:r>
      <w:r>
        <w:rPr>
          <w:rFonts w:ascii="黑体" w:hAnsi="黑体" w:cs="黑体" w:eastAsia="黑体" w:hint="default"/>
          <w:sz w:val="20"/>
          <w:szCs w:val="20"/>
        </w:rPr>
        <w:t>应按照该计划规则的调整机制对涉及的目标股票总数进行相应的调整。若进行供股，则由股东</w:t>
      </w:r>
      <w:r>
        <w:rPr>
          <w:rFonts w:ascii="黑体" w:hAnsi="黑体" w:cs="黑体" w:eastAsia="黑体" w:hint="default"/>
          <w:spacing w:val="-64"/>
          <w:sz w:val="20"/>
          <w:szCs w:val="20"/>
        </w:rPr>
        <w:t> </w:t>
      </w:r>
      <w:r>
        <w:rPr>
          <w:rFonts w:ascii="黑体" w:hAnsi="黑体" w:cs="黑体" w:eastAsia="黑体" w:hint="default"/>
          <w:spacing w:val="-64"/>
          <w:sz w:val="20"/>
          <w:szCs w:val="20"/>
        </w:rPr>
      </w:r>
      <w:r>
        <w:rPr>
          <w:rFonts w:ascii="黑体" w:hAnsi="黑体" w:cs="黑体" w:eastAsia="黑体" w:hint="default"/>
          <w:sz w:val="20"/>
          <w:szCs w:val="20"/>
        </w:rPr>
        <w:t>大会授权董事会审议决定畅捷通是否采取任何行动将目标股票总数调整为经扩大后畅捷通股本</w:t>
      </w:r>
      <w:r>
        <w:rPr>
          <w:rFonts w:ascii="黑体" w:hAnsi="黑体" w:cs="黑体" w:eastAsia="黑体" w:hint="default"/>
          <w:spacing w:val="-66"/>
          <w:sz w:val="20"/>
          <w:szCs w:val="20"/>
        </w:rPr>
        <w:t> </w:t>
      </w:r>
      <w:r>
        <w:rPr>
          <w:rFonts w:ascii="黑体" w:hAnsi="黑体" w:cs="黑体" w:eastAsia="黑体" w:hint="default"/>
          <w:spacing w:val="-66"/>
          <w:sz w:val="20"/>
          <w:szCs w:val="20"/>
        </w:rPr>
      </w:r>
      <w:r>
        <w:rPr>
          <w:rFonts w:ascii="黑体" w:hAnsi="黑体" w:cs="黑体" w:eastAsia="黑体" w:hint="default"/>
          <w:sz w:val="20"/>
          <w:szCs w:val="20"/>
        </w:rPr>
        <w:t>总额的</w:t>
      </w:r>
      <w:r>
        <w:rPr>
          <w:rFonts w:ascii="黑体" w:hAnsi="黑体" w:cs="黑体" w:eastAsia="黑体" w:hint="default"/>
          <w:spacing w:val="-58"/>
          <w:sz w:val="20"/>
          <w:szCs w:val="20"/>
        </w:rPr>
        <w:t> </w:t>
      </w:r>
      <w:r>
        <w:rPr>
          <w:rFonts w:ascii="Arial" w:hAnsi="Arial" w:cs="Arial" w:eastAsia="Arial" w:hint="default"/>
          <w:sz w:val="20"/>
          <w:szCs w:val="20"/>
        </w:rPr>
        <w:t>10%</w:t>
      </w:r>
      <w:r>
        <w:rPr>
          <w:rFonts w:ascii="黑体" w:hAnsi="黑体" w:cs="黑体" w:eastAsia="黑体" w:hint="default"/>
          <w:sz w:val="20"/>
          <w:szCs w:val="20"/>
        </w:rPr>
        <w:t>，以使该计划下目标股票总数占畅捷通股本总额的比例保持不变。</w:t>
      </w:r>
    </w:p>
    <w:p>
      <w:pPr>
        <w:spacing w:line="240" w:lineRule="auto" w:before="11"/>
        <w:rPr>
          <w:rFonts w:ascii="黑体" w:hAnsi="黑体" w:cs="黑体" w:eastAsia="黑体" w:hint="default"/>
          <w:sz w:val="16"/>
          <w:szCs w:val="16"/>
        </w:rPr>
      </w:pPr>
    </w:p>
    <w:p>
      <w:pPr>
        <w:spacing w:line="260" w:lineRule="exact" w:before="0"/>
        <w:ind w:left="318" w:right="335" w:firstLine="0"/>
        <w:jc w:val="both"/>
        <w:rPr>
          <w:rFonts w:ascii="黑体" w:hAnsi="黑体" w:cs="黑体" w:eastAsia="黑体" w:hint="default"/>
          <w:sz w:val="20"/>
          <w:szCs w:val="20"/>
        </w:rPr>
      </w:pPr>
      <w:r>
        <w:rPr>
          <w:rFonts w:ascii="黑体" w:hAnsi="黑体" w:cs="黑体" w:eastAsia="黑体" w:hint="default"/>
          <w:sz w:val="20"/>
          <w:szCs w:val="20"/>
        </w:rPr>
        <w:t>每次授予均设三个解锁日，依次为该次授予日后的第一个、第二个和第三个周年届满之日。如</w:t>
      </w:r>
      <w:r>
        <w:rPr>
          <w:rFonts w:ascii="黑体" w:hAnsi="黑体" w:cs="黑体" w:eastAsia="黑体" w:hint="default"/>
          <w:spacing w:val="-64"/>
          <w:sz w:val="20"/>
          <w:szCs w:val="20"/>
        </w:rPr>
        <w:t> </w:t>
      </w:r>
      <w:r>
        <w:rPr>
          <w:rFonts w:ascii="黑体" w:hAnsi="黑体" w:cs="黑体" w:eastAsia="黑体" w:hint="default"/>
          <w:spacing w:val="-64"/>
          <w:sz w:val="20"/>
          <w:szCs w:val="20"/>
        </w:rPr>
      </w:r>
      <w:r>
        <w:rPr>
          <w:rFonts w:ascii="黑体" w:hAnsi="黑体" w:cs="黑体" w:eastAsia="黑体" w:hint="default"/>
          <w:sz w:val="20"/>
          <w:szCs w:val="20"/>
        </w:rPr>
        <w:t>解锁条件达成及于前述解锁日届满时，激励对象个人获授信托受益权份额的</w:t>
      </w:r>
      <w:r>
        <w:rPr>
          <w:rFonts w:ascii="黑体" w:hAnsi="黑体" w:cs="黑体" w:eastAsia="黑体" w:hint="default"/>
          <w:spacing w:val="-62"/>
          <w:sz w:val="20"/>
          <w:szCs w:val="20"/>
        </w:rPr>
        <w:t> </w:t>
      </w:r>
      <w:r>
        <w:rPr>
          <w:rFonts w:ascii="Arial" w:hAnsi="Arial" w:cs="Arial" w:eastAsia="Arial" w:hint="default"/>
          <w:spacing w:val="-4"/>
          <w:sz w:val="20"/>
          <w:szCs w:val="20"/>
        </w:rPr>
        <w:t>30%</w:t>
      </w:r>
      <w:r>
        <w:rPr>
          <w:rFonts w:ascii="黑体" w:hAnsi="黑体" w:cs="黑体" w:eastAsia="黑体" w:hint="default"/>
          <w:spacing w:val="-4"/>
          <w:sz w:val="20"/>
          <w:szCs w:val="20"/>
        </w:rPr>
        <w:t>、</w:t>
      </w:r>
      <w:r>
        <w:rPr>
          <w:rFonts w:ascii="Arial" w:hAnsi="Arial" w:cs="Arial" w:eastAsia="Arial" w:hint="default"/>
          <w:spacing w:val="-4"/>
          <w:sz w:val="20"/>
          <w:szCs w:val="20"/>
        </w:rPr>
        <w:t>30%</w:t>
      </w:r>
      <w:r>
        <w:rPr>
          <w:rFonts w:ascii="黑体" w:hAnsi="黑体" w:cs="黑体" w:eastAsia="黑体" w:hint="default"/>
          <w:spacing w:val="-4"/>
          <w:sz w:val="20"/>
          <w:szCs w:val="20"/>
        </w:rPr>
        <w:t>和</w:t>
      </w:r>
      <w:r>
        <w:rPr>
          <w:rFonts w:ascii="黑体" w:hAnsi="黑体" w:cs="黑体" w:eastAsia="黑体" w:hint="default"/>
          <w:spacing w:val="-64"/>
          <w:sz w:val="20"/>
          <w:szCs w:val="20"/>
        </w:rPr>
        <w:t> </w:t>
      </w:r>
      <w:r>
        <w:rPr>
          <w:rFonts w:ascii="Arial" w:hAnsi="Arial" w:cs="Arial" w:eastAsia="Arial" w:hint="default"/>
          <w:sz w:val="20"/>
          <w:szCs w:val="20"/>
        </w:rPr>
        <w:t>40%</w:t>
      </w:r>
      <w:r>
        <w:rPr>
          <w:rFonts w:ascii="Arial" w:hAnsi="Arial" w:cs="Arial" w:eastAsia="Arial" w:hint="default"/>
          <w:spacing w:val="-1"/>
          <w:w w:val="99"/>
          <w:sz w:val="20"/>
          <w:szCs w:val="20"/>
        </w:rPr>
        <w:t> </w:t>
      </w:r>
      <w:r>
        <w:rPr>
          <w:rFonts w:ascii="黑体" w:hAnsi="黑体" w:cs="黑体" w:eastAsia="黑体" w:hint="default"/>
          <w:sz w:val="20"/>
          <w:szCs w:val="20"/>
        </w:rPr>
        <w:t>须分别予以解锁。授予日至上述各个解锁日的期间为锁定期，期间不得处置信托受益权份额。</w:t>
      </w:r>
    </w:p>
    <w:p>
      <w:pPr>
        <w:spacing w:line="240" w:lineRule="auto" w:before="11"/>
        <w:rPr>
          <w:rFonts w:ascii="黑体" w:hAnsi="黑体" w:cs="黑体" w:eastAsia="黑体" w:hint="default"/>
          <w:sz w:val="16"/>
          <w:szCs w:val="16"/>
        </w:rPr>
      </w:pPr>
    </w:p>
    <w:p>
      <w:pPr>
        <w:spacing w:line="260" w:lineRule="exact" w:before="0"/>
        <w:ind w:left="318" w:right="337" w:firstLine="0"/>
        <w:jc w:val="both"/>
        <w:rPr>
          <w:rFonts w:ascii="黑体" w:hAnsi="黑体" w:cs="黑体" w:eastAsia="黑体" w:hint="default"/>
          <w:sz w:val="20"/>
          <w:szCs w:val="20"/>
        </w:rPr>
      </w:pPr>
      <w:r>
        <w:rPr>
          <w:rFonts w:ascii="黑体" w:hAnsi="黑体" w:cs="黑体" w:eastAsia="黑体" w:hint="default"/>
          <w:sz w:val="20"/>
          <w:szCs w:val="20"/>
        </w:rPr>
        <w:t>于</w:t>
      </w:r>
      <w:r>
        <w:rPr>
          <w:rFonts w:ascii="黑体" w:hAnsi="黑体" w:cs="黑体" w:eastAsia="黑体" w:hint="default"/>
          <w:spacing w:val="-50"/>
          <w:sz w:val="20"/>
          <w:szCs w:val="20"/>
        </w:rPr>
        <w:t> </w:t>
      </w:r>
      <w:r>
        <w:rPr>
          <w:rFonts w:ascii="Arial" w:hAnsi="Arial" w:cs="Arial" w:eastAsia="Arial" w:hint="default"/>
          <w:sz w:val="20"/>
          <w:szCs w:val="20"/>
        </w:rPr>
        <w:t>2016</w:t>
      </w:r>
      <w:r>
        <w:rPr>
          <w:rFonts w:ascii="Arial" w:hAnsi="Arial" w:cs="Arial" w:eastAsia="Arial" w:hint="default"/>
          <w:spacing w:val="-8"/>
          <w:sz w:val="20"/>
          <w:szCs w:val="20"/>
        </w:rPr>
        <w:t> </w:t>
      </w:r>
      <w:r>
        <w:rPr>
          <w:rFonts w:ascii="黑体" w:hAnsi="黑体" w:cs="黑体" w:eastAsia="黑体" w:hint="default"/>
          <w:sz w:val="20"/>
          <w:szCs w:val="20"/>
        </w:rPr>
        <w:t>年</w:t>
      </w:r>
      <w:r>
        <w:rPr>
          <w:rFonts w:ascii="黑体" w:hAnsi="黑体" w:cs="黑体" w:eastAsia="黑体" w:hint="default"/>
          <w:spacing w:val="-50"/>
          <w:sz w:val="20"/>
          <w:szCs w:val="20"/>
        </w:rPr>
        <w:t> </w:t>
      </w:r>
      <w:r>
        <w:rPr>
          <w:rFonts w:ascii="Arial" w:hAnsi="Arial" w:cs="Arial" w:eastAsia="Arial" w:hint="default"/>
          <w:sz w:val="20"/>
          <w:szCs w:val="20"/>
        </w:rPr>
        <w:t>5</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47"/>
          <w:sz w:val="20"/>
          <w:szCs w:val="20"/>
        </w:rPr>
        <w:t> </w:t>
      </w:r>
      <w:r>
        <w:rPr>
          <w:rFonts w:ascii="Arial" w:hAnsi="Arial" w:cs="Arial" w:eastAsia="Arial" w:hint="default"/>
          <w:sz w:val="20"/>
          <w:szCs w:val="20"/>
        </w:rPr>
        <w:t>18</w:t>
      </w:r>
      <w:r>
        <w:rPr>
          <w:rFonts w:ascii="Arial" w:hAnsi="Arial" w:cs="Arial" w:eastAsia="Arial" w:hint="default"/>
          <w:spacing w:val="-8"/>
          <w:sz w:val="20"/>
          <w:szCs w:val="20"/>
        </w:rPr>
        <w:t> </w:t>
      </w:r>
      <w:r>
        <w:rPr>
          <w:rFonts w:ascii="黑体" w:hAnsi="黑体" w:cs="黑体" w:eastAsia="黑体" w:hint="default"/>
          <w:sz w:val="20"/>
          <w:szCs w:val="20"/>
        </w:rPr>
        <w:t>日，为更充分的发挥计划的长期激励作用，经</w:t>
      </w:r>
      <w:r>
        <w:rPr>
          <w:rFonts w:ascii="黑体" w:hAnsi="黑体" w:cs="黑体" w:eastAsia="黑体" w:hint="default"/>
          <w:spacing w:val="-47"/>
          <w:sz w:val="20"/>
          <w:szCs w:val="20"/>
        </w:rPr>
        <w:t> </w:t>
      </w:r>
      <w:r>
        <w:rPr>
          <w:rFonts w:ascii="Arial" w:hAnsi="Arial" w:cs="Arial" w:eastAsia="Arial" w:hint="default"/>
          <w:sz w:val="20"/>
          <w:szCs w:val="20"/>
        </w:rPr>
        <w:t>2015</w:t>
      </w:r>
      <w:r>
        <w:rPr>
          <w:rFonts w:ascii="Arial" w:hAnsi="Arial" w:cs="Arial" w:eastAsia="Arial" w:hint="default"/>
          <w:spacing w:val="-8"/>
          <w:sz w:val="20"/>
          <w:szCs w:val="20"/>
        </w:rPr>
        <w:t> </w:t>
      </w:r>
      <w:r>
        <w:rPr>
          <w:rFonts w:ascii="黑体" w:hAnsi="黑体" w:cs="黑体" w:eastAsia="黑体" w:hint="default"/>
          <w:sz w:val="20"/>
          <w:szCs w:val="20"/>
        </w:rPr>
        <w:t>年年度股东大会批准，</w:t>
      </w:r>
      <w:r>
        <w:rPr>
          <w:rFonts w:ascii="黑体" w:hAnsi="黑体" w:cs="黑体" w:eastAsia="黑体" w:hint="default"/>
          <w:w w:val="99"/>
          <w:sz w:val="20"/>
          <w:szCs w:val="20"/>
        </w:rPr>
        <w:t> </w:t>
      </w:r>
      <w:r>
        <w:rPr>
          <w:rFonts w:ascii="黑体" w:hAnsi="黑体" w:cs="黑体" w:eastAsia="黑体" w:hint="default"/>
          <w:sz w:val="20"/>
          <w:szCs w:val="20"/>
        </w:rPr>
        <w:t>公司对计划的行权有效期及计划有效期进行了修改</w:t>
      </w:r>
      <w:r>
        <w:rPr>
          <w:rFonts w:ascii="Arial" w:hAnsi="Arial" w:cs="Arial" w:eastAsia="Arial" w:hint="default"/>
          <w:sz w:val="20"/>
          <w:szCs w:val="20"/>
        </w:rPr>
        <w:t>(</w:t>
      </w:r>
      <w:r>
        <w:rPr>
          <w:rFonts w:ascii="黑体" w:hAnsi="黑体" w:cs="黑体" w:eastAsia="黑体" w:hint="default"/>
          <w:sz w:val="20"/>
          <w:szCs w:val="20"/>
        </w:rPr>
        <w:t>“修订”</w:t>
      </w:r>
      <w:r>
        <w:rPr>
          <w:rFonts w:ascii="Arial" w:hAnsi="Arial" w:cs="Arial" w:eastAsia="Arial" w:hint="default"/>
          <w:sz w:val="20"/>
          <w:szCs w:val="20"/>
        </w:rPr>
        <w:t>)</w:t>
      </w:r>
      <w:r>
        <w:rPr>
          <w:rFonts w:ascii="黑体" w:hAnsi="黑体" w:cs="黑体" w:eastAsia="黑体" w:hint="default"/>
          <w:sz w:val="20"/>
          <w:szCs w:val="20"/>
        </w:rPr>
        <w:t>。</w:t>
      </w:r>
    </w:p>
    <w:p>
      <w:pPr>
        <w:spacing w:line="240" w:lineRule="auto" w:before="11"/>
        <w:rPr>
          <w:rFonts w:ascii="黑体" w:hAnsi="黑体" w:cs="黑体" w:eastAsia="黑体" w:hint="default"/>
          <w:sz w:val="14"/>
          <w:szCs w:val="14"/>
        </w:rPr>
      </w:pPr>
    </w:p>
    <w:p>
      <w:pPr>
        <w:spacing w:line="268" w:lineRule="exact" w:before="0"/>
        <w:ind w:left="318" w:right="0" w:firstLine="0"/>
        <w:jc w:val="both"/>
        <w:rPr>
          <w:rFonts w:ascii="黑体" w:hAnsi="黑体" w:cs="黑体" w:eastAsia="黑体" w:hint="default"/>
          <w:sz w:val="20"/>
          <w:szCs w:val="20"/>
        </w:rPr>
      </w:pPr>
      <w:r>
        <w:rPr>
          <w:rFonts w:ascii="黑体" w:hAnsi="黑体" w:cs="黑体" w:eastAsia="黑体" w:hint="default"/>
          <w:spacing w:val="2"/>
          <w:w w:val="99"/>
          <w:sz w:val="20"/>
          <w:szCs w:val="20"/>
        </w:rPr>
        <w:t>将</w:t>
      </w:r>
      <w:r>
        <w:rPr>
          <w:rFonts w:ascii="黑体" w:hAnsi="黑体" w:cs="黑体" w:eastAsia="黑体" w:hint="default"/>
          <w:w w:val="99"/>
          <w:sz w:val="20"/>
          <w:szCs w:val="20"/>
        </w:rPr>
        <w:t>激励</w:t>
      </w:r>
      <w:r>
        <w:rPr>
          <w:rFonts w:ascii="黑体" w:hAnsi="黑体" w:cs="黑体" w:eastAsia="黑体" w:hint="default"/>
          <w:spacing w:val="2"/>
          <w:w w:val="99"/>
          <w:sz w:val="20"/>
          <w:szCs w:val="20"/>
        </w:rPr>
        <w:t>对</w:t>
      </w:r>
      <w:r>
        <w:rPr>
          <w:rFonts w:ascii="黑体" w:hAnsi="黑体" w:cs="黑体" w:eastAsia="黑体" w:hint="default"/>
          <w:w w:val="99"/>
          <w:sz w:val="20"/>
          <w:szCs w:val="20"/>
        </w:rPr>
        <w:t>象</w:t>
      </w:r>
      <w:r>
        <w:rPr>
          <w:rFonts w:ascii="Arial" w:hAnsi="Arial" w:cs="Arial" w:eastAsia="Arial" w:hint="default"/>
          <w:w w:val="99"/>
          <w:sz w:val="20"/>
          <w:szCs w:val="20"/>
        </w:rPr>
        <w:t>(</w:t>
      </w:r>
      <w:r>
        <w:rPr>
          <w:rFonts w:ascii="黑体" w:hAnsi="黑体" w:cs="黑体" w:eastAsia="黑体" w:hint="default"/>
          <w:w w:val="99"/>
          <w:sz w:val="20"/>
          <w:szCs w:val="20"/>
        </w:rPr>
        <w:t>除董</w:t>
      </w:r>
      <w:r>
        <w:rPr>
          <w:rFonts w:ascii="黑体" w:hAnsi="黑体" w:cs="黑体" w:eastAsia="黑体" w:hint="default"/>
          <w:spacing w:val="2"/>
          <w:w w:val="99"/>
          <w:sz w:val="20"/>
          <w:szCs w:val="20"/>
        </w:rPr>
        <w:t>事</w:t>
      </w:r>
      <w:r>
        <w:rPr>
          <w:rFonts w:ascii="黑体" w:hAnsi="黑体" w:cs="黑体" w:eastAsia="黑体" w:hint="default"/>
          <w:spacing w:val="-96"/>
          <w:w w:val="99"/>
          <w:sz w:val="20"/>
          <w:szCs w:val="20"/>
        </w:rPr>
        <w:t>、</w:t>
      </w:r>
      <w:r>
        <w:rPr>
          <w:rFonts w:ascii="黑体" w:hAnsi="黑体" w:cs="黑体" w:eastAsia="黑体" w:hint="default"/>
          <w:w w:val="99"/>
          <w:sz w:val="20"/>
          <w:szCs w:val="20"/>
        </w:rPr>
        <w:t>监</w:t>
      </w:r>
      <w:r>
        <w:rPr>
          <w:rFonts w:ascii="黑体" w:hAnsi="黑体" w:cs="黑体" w:eastAsia="黑体" w:hint="default"/>
          <w:spacing w:val="2"/>
          <w:w w:val="99"/>
          <w:sz w:val="20"/>
          <w:szCs w:val="20"/>
        </w:rPr>
        <w:t>事</w:t>
      </w:r>
      <w:r>
        <w:rPr>
          <w:rFonts w:ascii="黑体" w:hAnsi="黑体" w:cs="黑体" w:eastAsia="黑体" w:hint="default"/>
          <w:w w:val="99"/>
          <w:sz w:val="20"/>
          <w:szCs w:val="20"/>
        </w:rPr>
        <w:t>及</w:t>
      </w:r>
      <w:r>
        <w:rPr>
          <w:rFonts w:ascii="黑体" w:hAnsi="黑体" w:cs="黑体" w:eastAsia="黑体" w:hint="default"/>
          <w:spacing w:val="2"/>
          <w:w w:val="99"/>
          <w:sz w:val="20"/>
          <w:szCs w:val="20"/>
        </w:rPr>
        <w:t>畅</w:t>
      </w:r>
      <w:r>
        <w:rPr>
          <w:rFonts w:ascii="黑体" w:hAnsi="黑体" w:cs="黑体" w:eastAsia="黑体" w:hint="default"/>
          <w:w w:val="99"/>
          <w:sz w:val="20"/>
          <w:szCs w:val="20"/>
        </w:rPr>
        <w:t>捷通</w:t>
      </w:r>
      <w:r>
        <w:rPr>
          <w:rFonts w:ascii="黑体" w:hAnsi="黑体" w:cs="黑体" w:eastAsia="黑体" w:hint="default"/>
          <w:spacing w:val="2"/>
          <w:w w:val="99"/>
          <w:sz w:val="20"/>
          <w:szCs w:val="20"/>
        </w:rPr>
        <w:t>高</w:t>
      </w:r>
      <w:r>
        <w:rPr>
          <w:rFonts w:ascii="黑体" w:hAnsi="黑体" w:cs="黑体" w:eastAsia="黑体" w:hint="default"/>
          <w:w w:val="99"/>
          <w:sz w:val="20"/>
          <w:szCs w:val="20"/>
        </w:rPr>
        <w:t>级管</w:t>
      </w:r>
      <w:r>
        <w:rPr>
          <w:rFonts w:ascii="黑体" w:hAnsi="黑体" w:cs="黑体" w:eastAsia="黑体" w:hint="default"/>
          <w:spacing w:val="2"/>
          <w:w w:val="99"/>
          <w:sz w:val="20"/>
          <w:szCs w:val="20"/>
        </w:rPr>
        <w:t>理</w:t>
      </w:r>
      <w:r>
        <w:rPr>
          <w:rFonts w:ascii="黑体" w:hAnsi="黑体" w:cs="黑体" w:eastAsia="黑体" w:hint="default"/>
          <w:w w:val="99"/>
          <w:sz w:val="20"/>
          <w:szCs w:val="20"/>
        </w:rPr>
        <w:t>人员</w:t>
      </w:r>
      <w:r>
        <w:rPr>
          <w:rFonts w:ascii="黑体" w:hAnsi="黑体" w:cs="黑体" w:eastAsia="黑体" w:hint="default"/>
          <w:spacing w:val="4"/>
          <w:w w:val="99"/>
          <w:sz w:val="20"/>
          <w:szCs w:val="20"/>
        </w:rPr>
        <w:t>外</w:t>
      </w:r>
      <w:r>
        <w:rPr>
          <w:rFonts w:ascii="Arial" w:hAnsi="Arial" w:cs="Arial" w:eastAsia="Arial" w:hint="default"/>
          <w:spacing w:val="-2"/>
          <w:w w:val="99"/>
          <w:sz w:val="20"/>
          <w:szCs w:val="20"/>
        </w:rPr>
        <w:t>)</w:t>
      </w:r>
      <w:r>
        <w:rPr>
          <w:rFonts w:ascii="黑体" w:hAnsi="黑体" w:cs="黑体" w:eastAsia="黑体" w:hint="default"/>
          <w:w w:val="99"/>
          <w:sz w:val="20"/>
          <w:szCs w:val="20"/>
        </w:rPr>
        <w:t>的</w:t>
      </w:r>
      <w:r>
        <w:rPr>
          <w:rFonts w:ascii="黑体" w:hAnsi="黑体" w:cs="黑体" w:eastAsia="黑体" w:hint="default"/>
          <w:spacing w:val="2"/>
          <w:w w:val="99"/>
          <w:sz w:val="20"/>
          <w:szCs w:val="20"/>
        </w:rPr>
        <w:t>行</w:t>
      </w:r>
      <w:r>
        <w:rPr>
          <w:rFonts w:ascii="黑体" w:hAnsi="黑体" w:cs="黑体" w:eastAsia="黑体" w:hint="default"/>
          <w:w w:val="99"/>
          <w:sz w:val="20"/>
          <w:szCs w:val="20"/>
        </w:rPr>
        <w:t>权有</w:t>
      </w:r>
      <w:r>
        <w:rPr>
          <w:rFonts w:ascii="黑体" w:hAnsi="黑体" w:cs="黑体" w:eastAsia="黑体" w:hint="default"/>
          <w:spacing w:val="2"/>
          <w:w w:val="99"/>
          <w:sz w:val="20"/>
          <w:szCs w:val="20"/>
        </w:rPr>
        <w:t>效</w:t>
      </w:r>
      <w:r>
        <w:rPr>
          <w:rFonts w:ascii="黑体" w:hAnsi="黑体" w:cs="黑体" w:eastAsia="黑体" w:hint="default"/>
          <w:w w:val="99"/>
          <w:sz w:val="20"/>
          <w:szCs w:val="20"/>
        </w:rPr>
        <w:t>期从</w:t>
      </w:r>
      <w:r>
        <w:rPr>
          <w:rFonts w:ascii="黑体" w:hAnsi="黑体" w:cs="黑体" w:eastAsia="黑体" w:hint="default"/>
          <w:spacing w:val="2"/>
          <w:w w:val="99"/>
          <w:sz w:val="20"/>
          <w:szCs w:val="20"/>
        </w:rPr>
        <w:t>解</w:t>
      </w:r>
      <w:r>
        <w:rPr>
          <w:rFonts w:ascii="黑体" w:hAnsi="黑体" w:cs="黑体" w:eastAsia="黑体" w:hint="default"/>
          <w:w w:val="99"/>
          <w:sz w:val="20"/>
          <w:szCs w:val="20"/>
        </w:rPr>
        <w:t>锁日</w:t>
      </w:r>
      <w:r>
        <w:rPr>
          <w:rFonts w:ascii="黑体" w:hAnsi="黑体" w:cs="黑体" w:eastAsia="黑体" w:hint="default"/>
          <w:spacing w:val="2"/>
          <w:w w:val="99"/>
          <w:sz w:val="20"/>
          <w:szCs w:val="20"/>
        </w:rPr>
        <w:t>后</w:t>
      </w:r>
      <w:r>
        <w:rPr>
          <w:rFonts w:ascii="黑体" w:hAnsi="黑体" w:cs="黑体" w:eastAsia="黑体" w:hint="default"/>
          <w:w w:val="99"/>
          <w:sz w:val="20"/>
          <w:szCs w:val="20"/>
        </w:rPr>
        <w:t>的</w:t>
      </w:r>
      <w:r>
        <w:rPr>
          <w:rFonts w:ascii="黑体" w:hAnsi="黑体" w:cs="黑体" w:eastAsia="黑体" w:hint="default"/>
          <w:spacing w:val="-46"/>
          <w:sz w:val="20"/>
          <w:szCs w:val="20"/>
        </w:rPr>
        <w:t> </w:t>
      </w:r>
      <w:r>
        <w:rPr>
          <w:rFonts w:ascii="Arial" w:hAnsi="Arial" w:cs="Arial" w:eastAsia="Arial" w:hint="default"/>
          <w:w w:val="99"/>
          <w:sz w:val="20"/>
          <w:szCs w:val="20"/>
        </w:rPr>
        <w:t>1</w:t>
      </w:r>
      <w:r>
        <w:rPr>
          <w:rFonts w:ascii="Arial" w:hAnsi="Arial" w:cs="Arial" w:eastAsia="Arial" w:hint="default"/>
          <w:spacing w:val="-8"/>
          <w:sz w:val="20"/>
          <w:szCs w:val="20"/>
        </w:rPr>
        <w:t> </w:t>
      </w:r>
      <w:r>
        <w:rPr>
          <w:rFonts w:ascii="黑体" w:hAnsi="黑体" w:cs="黑体" w:eastAsia="黑体" w:hint="default"/>
          <w:spacing w:val="2"/>
          <w:w w:val="99"/>
          <w:sz w:val="20"/>
          <w:szCs w:val="20"/>
        </w:rPr>
        <w:t>年</w:t>
      </w:r>
      <w:r>
        <w:rPr>
          <w:rFonts w:ascii="黑体" w:hAnsi="黑体" w:cs="黑体" w:eastAsia="黑体" w:hint="default"/>
          <w:w w:val="99"/>
          <w:sz w:val="20"/>
          <w:szCs w:val="20"/>
        </w:rPr>
        <w:t>内延</w:t>
      </w:r>
      <w:r>
        <w:rPr>
          <w:rFonts w:ascii="黑体" w:hAnsi="黑体" w:cs="黑体" w:eastAsia="黑体" w:hint="default"/>
          <w:spacing w:val="2"/>
          <w:w w:val="99"/>
          <w:sz w:val="20"/>
          <w:szCs w:val="20"/>
        </w:rPr>
        <w:t>长</w:t>
      </w:r>
      <w:r>
        <w:rPr>
          <w:rFonts w:ascii="黑体" w:hAnsi="黑体" w:cs="黑体" w:eastAsia="黑体" w:hint="default"/>
          <w:w w:val="99"/>
          <w:sz w:val="20"/>
          <w:szCs w:val="20"/>
        </w:rPr>
        <w:t>至解</w:t>
      </w:r>
      <w:r>
        <w:rPr>
          <w:rFonts w:ascii="黑体" w:hAnsi="黑体" w:cs="黑体" w:eastAsia="黑体" w:hint="default"/>
          <w:sz w:val="20"/>
          <w:szCs w:val="20"/>
        </w:rPr>
      </w:r>
    </w:p>
    <w:p>
      <w:pPr>
        <w:spacing w:line="268" w:lineRule="exact" w:before="0"/>
        <w:ind w:left="318" w:right="0" w:firstLine="0"/>
        <w:jc w:val="both"/>
        <w:rPr>
          <w:rFonts w:ascii="黑体" w:hAnsi="黑体" w:cs="黑体" w:eastAsia="黑体" w:hint="default"/>
          <w:sz w:val="20"/>
          <w:szCs w:val="20"/>
        </w:rPr>
      </w:pPr>
      <w:r>
        <w:rPr>
          <w:rFonts w:ascii="黑体" w:hAnsi="黑体" w:cs="黑体" w:eastAsia="黑体" w:hint="default"/>
          <w:sz w:val="20"/>
          <w:szCs w:val="20"/>
        </w:rPr>
        <w:t>锁日后的</w:t>
      </w:r>
      <w:r>
        <w:rPr>
          <w:rFonts w:ascii="黑体" w:hAnsi="黑体" w:cs="黑体" w:eastAsia="黑体" w:hint="default"/>
          <w:spacing w:val="-52"/>
          <w:sz w:val="20"/>
          <w:szCs w:val="20"/>
        </w:rPr>
        <w:t> </w:t>
      </w:r>
      <w:r>
        <w:rPr>
          <w:rFonts w:ascii="Arial" w:hAnsi="Arial" w:cs="Arial" w:eastAsia="Arial" w:hint="default"/>
          <w:sz w:val="20"/>
          <w:szCs w:val="20"/>
        </w:rPr>
        <w:t>3</w:t>
      </w:r>
      <w:r>
        <w:rPr>
          <w:rFonts w:ascii="Arial" w:hAnsi="Arial" w:cs="Arial" w:eastAsia="Arial" w:hint="default"/>
          <w:spacing w:val="-10"/>
          <w:sz w:val="20"/>
          <w:szCs w:val="20"/>
        </w:rPr>
        <w:t> </w:t>
      </w:r>
      <w:r>
        <w:rPr>
          <w:rFonts w:ascii="黑体" w:hAnsi="黑体" w:cs="黑体" w:eastAsia="黑体" w:hint="default"/>
          <w:sz w:val="20"/>
          <w:szCs w:val="20"/>
        </w:rPr>
        <w:t>年内。董事、监事及畅捷通高级管理人员的激励对象的行权有效期维持不变。</w:t>
      </w:r>
    </w:p>
    <w:p>
      <w:pPr>
        <w:spacing w:line="240" w:lineRule="auto" w:before="5"/>
        <w:rPr>
          <w:rFonts w:ascii="黑体" w:hAnsi="黑体" w:cs="黑体" w:eastAsia="黑体" w:hint="default"/>
          <w:sz w:val="15"/>
          <w:szCs w:val="15"/>
        </w:rPr>
      </w:pPr>
    </w:p>
    <w:p>
      <w:pPr>
        <w:spacing w:line="424" w:lineRule="auto" w:before="0"/>
        <w:ind w:left="318" w:right="268" w:firstLine="0"/>
        <w:jc w:val="both"/>
        <w:rPr>
          <w:rFonts w:ascii="黑体" w:hAnsi="黑体" w:cs="黑体" w:eastAsia="黑体" w:hint="default"/>
          <w:sz w:val="20"/>
          <w:szCs w:val="20"/>
        </w:rPr>
      </w:pPr>
      <w:r>
        <w:rPr>
          <w:rFonts w:ascii="黑体" w:hAnsi="黑体" w:cs="黑体" w:eastAsia="黑体" w:hint="default"/>
          <w:w w:val="99"/>
          <w:sz w:val="20"/>
          <w:szCs w:val="20"/>
        </w:rPr>
        <w:t>该计划的有效期由自</w:t>
      </w:r>
      <w:r>
        <w:rPr>
          <w:rFonts w:ascii="黑体" w:hAnsi="黑体" w:cs="黑体" w:eastAsia="黑体" w:hint="default"/>
          <w:spacing w:val="-48"/>
          <w:w w:val="99"/>
          <w:sz w:val="20"/>
          <w:szCs w:val="20"/>
        </w:rPr>
        <w:t> </w:t>
      </w:r>
      <w:r>
        <w:rPr>
          <w:rFonts w:ascii="Arial" w:hAnsi="Arial" w:cs="Arial" w:eastAsia="Arial" w:hint="default"/>
          <w:spacing w:val="-1"/>
          <w:w w:val="99"/>
          <w:sz w:val="20"/>
          <w:szCs w:val="20"/>
        </w:rPr>
        <w:t>2014</w:t>
      </w:r>
      <w:r>
        <w:rPr>
          <w:rFonts w:ascii="Arial" w:hAnsi="Arial" w:cs="Arial" w:eastAsia="Arial" w:hint="default"/>
          <w:spacing w:val="-3"/>
          <w:w w:val="99"/>
          <w:sz w:val="20"/>
          <w:szCs w:val="20"/>
        </w:rPr>
        <w:t> </w:t>
      </w:r>
      <w:r>
        <w:rPr>
          <w:rFonts w:ascii="黑体" w:hAnsi="黑体" w:cs="黑体" w:eastAsia="黑体" w:hint="default"/>
          <w:spacing w:val="-8"/>
          <w:w w:val="99"/>
          <w:sz w:val="20"/>
          <w:szCs w:val="20"/>
        </w:rPr>
        <w:t>年股东周年大会批准之日，即</w:t>
      </w:r>
      <w:r>
        <w:rPr>
          <w:rFonts w:ascii="黑体" w:hAnsi="黑体" w:cs="黑体" w:eastAsia="黑体" w:hint="default"/>
          <w:spacing w:val="-47"/>
          <w:w w:val="99"/>
          <w:sz w:val="20"/>
          <w:szCs w:val="20"/>
        </w:rPr>
        <w:t> </w:t>
      </w:r>
      <w:r>
        <w:rPr>
          <w:rFonts w:ascii="Arial" w:hAnsi="Arial" w:cs="Arial" w:eastAsia="Arial" w:hint="default"/>
          <w:spacing w:val="-1"/>
          <w:w w:val="99"/>
          <w:sz w:val="20"/>
          <w:szCs w:val="20"/>
        </w:rPr>
        <w:t>2015</w:t>
      </w:r>
      <w:r>
        <w:rPr>
          <w:rFonts w:ascii="Arial" w:hAnsi="Arial" w:cs="Arial" w:eastAsia="Arial" w:hint="default"/>
          <w:spacing w:val="-6"/>
          <w:w w:val="99"/>
          <w:sz w:val="20"/>
          <w:szCs w:val="20"/>
        </w:rPr>
        <w:t> </w:t>
      </w:r>
      <w:r>
        <w:rPr>
          <w:rFonts w:ascii="黑体" w:hAnsi="黑体" w:cs="黑体" w:eastAsia="黑体" w:hint="default"/>
          <w:w w:val="99"/>
          <w:sz w:val="20"/>
          <w:szCs w:val="20"/>
        </w:rPr>
        <w:t>年</w:t>
      </w:r>
      <w:r>
        <w:rPr>
          <w:rFonts w:ascii="黑体" w:hAnsi="黑体" w:cs="黑体" w:eastAsia="黑体" w:hint="default"/>
          <w:spacing w:val="-48"/>
          <w:w w:val="99"/>
          <w:sz w:val="20"/>
          <w:szCs w:val="20"/>
        </w:rPr>
        <w:t> </w:t>
      </w:r>
      <w:r>
        <w:rPr>
          <w:rFonts w:ascii="Arial" w:hAnsi="Arial" w:cs="Arial" w:eastAsia="Arial" w:hint="default"/>
          <w:w w:val="99"/>
          <w:sz w:val="20"/>
          <w:szCs w:val="20"/>
        </w:rPr>
        <w:t>6</w:t>
      </w:r>
      <w:r>
        <w:rPr>
          <w:rFonts w:ascii="Arial" w:hAnsi="Arial" w:cs="Arial" w:eastAsia="Arial" w:hint="default"/>
          <w:spacing w:val="-6"/>
          <w:w w:val="99"/>
          <w:sz w:val="20"/>
          <w:szCs w:val="20"/>
        </w:rPr>
        <w:t> </w:t>
      </w:r>
      <w:r>
        <w:rPr>
          <w:rFonts w:ascii="黑体" w:hAnsi="黑体" w:cs="黑体" w:eastAsia="黑体" w:hint="default"/>
          <w:w w:val="99"/>
          <w:sz w:val="20"/>
          <w:szCs w:val="20"/>
        </w:rPr>
        <w:t>月</w:t>
      </w:r>
      <w:r>
        <w:rPr>
          <w:rFonts w:ascii="黑体" w:hAnsi="黑体" w:cs="黑体" w:eastAsia="黑体" w:hint="default"/>
          <w:spacing w:val="-48"/>
          <w:w w:val="99"/>
          <w:sz w:val="20"/>
          <w:szCs w:val="20"/>
        </w:rPr>
        <w:t> </w:t>
      </w:r>
      <w:r>
        <w:rPr>
          <w:rFonts w:ascii="Arial" w:hAnsi="Arial" w:cs="Arial" w:eastAsia="Arial" w:hint="default"/>
          <w:w w:val="99"/>
          <w:sz w:val="20"/>
          <w:szCs w:val="20"/>
        </w:rPr>
        <w:t>8</w:t>
      </w:r>
      <w:r>
        <w:rPr>
          <w:rFonts w:ascii="Arial" w:hAnsi="Arial" w:cs="Arial" w:eastAsia="Arial" w:hint="default"/>
          <w:spacing w:val="-6"/>
          <w:w w:val="99"/>
          <w:sz w:val="20"/>
          <w:szCs w:val="20"/>
        </w:rPr>
        <w:t> </w:t>
      </w:r>
      <w:r>
        <w:rPr>
          <w:rFonts w:ascii="黑体" w:hAnsi="黑体" w:cs="黑体" w:eastAsia="黑体" w:hint="default"/>
          <w:spacing w:val="-33"/>
          <w:w w:val="99"/>
          <w:sz w:val="20"/>
          <w:szCs w:val="20"/>
        </w:rPr>
        <w:t>日，起</w:t>
      </w:r>
      <w:r>
        <w:rPr>
          <w:rFonts w:ascii="黑体" w:hAnsi="黑体" w:cs="黑体" w:eastAsia="黑体" w:hint="default"/>
          <w:spacing w:val="-48"/>
          <w:w w:val="99"/>
          <w:sz w:val="20"/>
          <w:szCs w:val="20"/>
        </w:rPr>
        <w:t> </w:t>
      </w:r>
      <w:r>
        <w:rPr>
          <w:rFonts w:ascii="Arial" w:hAnsi="Arial" w:cs="Arial" w:eastAsia="Arial" w:hint="default"/>
          <w:w w:val="99"/>
          <w:sz w:val="20"/>
          <w:szCs w:val="20"/>
        </w:rPr>
        <w:t>6</w:t>
      </w:r>
      <w:r>
        <w:rPr>
          <w:rFonts w:ascii="Arial" w:hAnsi="Arial" w:cs="Arial" w:eastAsia="Arial" w:hint="default"/>
          <w:spacing w:val="-10"/>
          <w:w w:val="99"/>
          <w:sz w:val="20"/>
          <w:szCs w:val="20"/>
        </w:rPr>
        <w:t> </w:t>
      </w:r>
      <w:r>
        <w:rPr>
          <w:rFonts w:ascii="黑体" w:hAnsi="黑体" w:cs="黑体" w:eastAsia="黑体" w:hint="default"/>
          <w:w w:val="99"/>
          <w:sz w:val="20"/>
          <w:szCs w:val="20"/>
        </w:rPr>
        <w:t>年延长至</w:t>
      </w:r>
      <w:r>
        <w:rPr>
          <w:rFonts w:ascii="黑体" w:hAnsi="黑体" w:cs="黑体" w:eastAsia="黑体" w:hint="default"/>
          <w:spacing w:val="-47"/>
          <w:w w:val="99"/>
          <w:sz w:val="20"/>
          <w:szCs w:val="20"/>
        </w:rPr>
        <w:t> </w:t>
      </w:r>
      <w:r>
        <w:rPr>
          <w:rFonts w:ascii="Arial" w:hAnsi="Arial" w:cs="Arial" w:eastAsia="Arial" w:hint="default"/>
          <w:w w:val="99"/>
          <w:sz w:val="20"/>
          <w:szCs w:val="20"/>
        </w:rPr>
        <w:t>8</w:t>
      </w:r>
      <w:r>
        <w:rPr>
          <w:rFonts w:ascii="Arial" w:hAnsi="Arial" w:cs="Arial" w:eastAsia="Arial" w:hint="default"/>
          <w:spacing w:val="-6"/>
          <w:w w:val="99"/>
          <w:sz w:val="20"/>
          <w:szCs w:val="20"/>
        </w:rPr>
        <w:t> </w:t>
      </w:r>
      <w:r>
        <w:rPr>
          <w:rFonts w:ascii="黑体" w:hAnsi="黑体" w:cs="黑体" w:eastAsia="黑体" w:hint="default"/>
          <w:spacing w:val="2"/>
          <w:w w:val="99"/>
          <w:sz w:val="20"/>
          <w:szCs w:val="20"/>
        </w:rPr>
        <w:t>年。 </w:t>
      </w:r>
      <w:r>
        <w:rPr>
          <w:rFonts w:ascii="黑体" w:hAnsi="黑体" w:cs="黑体" w:eastAsia="黑体" w:hint="default"/>
          <w:sz w:val="20"/>
          <w:szCs w:val="20"/>
        </w:rPr>
        <w:t>激励对象享有目标股票的分红收益。</w:t>
      </w:r>
    </w:p>
    <w:p>
      <w:pPr>
        <w:spacing w:line="240" w:lineRule="auto" w:before="7"/>
        <w:rPr>
          <w:rFonts w:ascii="黑体" w:hAnsi="黑体" w:cs="黑体" w:eastAsia="黑体" w:hint="default"/>
          <w:sz w:val="22"/>
          <w:szCs w:val="22"/>
        </w:rPr>
      </w:pPr>
    </w:p>
    <w:p>
      <w:pPr>
        <w:spacing w:before="0"/>
        <w:ind w:left="318" w:right="0" w:firstLine="0"/>
        <w:jc w:val="both"/>
        <w:rPr>
          <w:rFonts w:ascii="黑体" w:hAnsi="黑体" w:cs="黑体" w:eastAsia="黑体" w:hint="default"/>
          <w:sz w:val="20"/>
          <w:szCs w:val="20"/>
        </w:rPr>
      </w:pPr>
      <w:r>
        <w:rPr>
          <w:rFonts w:ascii="黑体" w:hAnsi="黑体" w:cs="黑体" w:eastAsia="黑体" w:hint="default"/>
          <w:sz w:val="20"/>
          <w:szCs w:val="20"/>
        </w:rPr>
        <w:t>该计划项下目标股票的详情及变动</w:t>
      </w:r>
    </w:p>
    <w:p>
      <w:pPr>
        <w:spacing w:line="240" w:lineRule="auto" w:before="9"/>
        <w:rPr>
          <w:rFonts w:ascii="黑体" w:hAnsi="黑体" w:cs="黑体" w:eastAsia="黑体" w:hint="default"/>
          <w:sz w:val="16"/>
          <w:szCs w:val="16"/>
        </w:rPr>
      </w:pPr>
    </w:p>
    <w:p>
      <w:pPr>
        <w:spacing w:before="0"/>
        <w:ind w:left="318" w:right="0" w:firstLine="0"/>
        <w:jc w:val="both"/>
        <w:rPr>
          <w:rFonts w:ascii="黑体" w:hAnsi="黑体" w:cs="黑体" w:eastAsia="黑体" w:hint="default"/>
          <w:sz w:val="20"/>
          <w:szCs w:val="20"/>
        </w:rPr>
      </w:pPr>
      <w:r>
        <w:rPr>
          <w:rFonts w:ascii="Arial" w:hAnsi="Arial" w:cs="Arial" w:eastAsia="Arial" w:hint="default"/>
          <w:sz w:val="20"/>
          <w:szCs w:val="20"/>
        </w:rPr>
        <w:t>2019</w:t>
      </w:r>
      <w:r>
        <w:rPr>
          <w:rFonts w:ascii="Arial" w:hAnsi="Arial" w:cs="Arial" w:eastAsia="Arial" w:hint="default"/>
          <w:spacing w:val="-12"/>
          <w:sz w:val="20"/>
          <w:szCs w:val="20"/>
        </w:rPr>
        <w:t> </w:t>
      </w:r>
      <w:r>
        <w:rPr>
          <w:rFonts w:ascii="黑体" w:hAnsi="黑体" w:cs="黑体" w:eastAsia="黑体" w:hint="default"/>
          <w:sz w:val="20"/>
          <w:szCs w:val="20"/>
        </w:rPr>
        <w:t>年</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27"/>
          <w:szCs w:val="27"/>
        </w:rPr>
      </w:pPr>
    </w:p>
    <w:p>
      <w:pPr>
        <w:tabs>
          <w:tab w:pos="6544" w:val="left" w:leader="none"/>
        </w:tabs>
        <w:spacing w:before="77"/>
        <w:ind w:left="5315" w:right="0" w:firstLine="0"/>
        <w:jc w:val="left"/>
        <w:rPr>
          <w:rFonts w:ascii="Arial" w:hAnsi="Arial" w:cs="Arial" w:eastAsia="Arial" w:hint="default"/>
          <w:sz w:val="18"/>
          <w:szCs w:val="18"/>
        </w:rPr>
      </w:pPr>
      <w:r>
        <w:rPr/>
        <w:pict>
          <v:shape style="position:absolute;margin-left:79.903999pt;margin-top:-70.547478pt;width:431.3pt;height:194.15pt;mso-position-horizontal-relative:page;mso-position-vertical-relative:paragraph;z-index:14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76"/>
                    <w:gridCol w:w="458"/>
                    <w:gridCol w:w="942"/>
                    <w:gridCol w:w="985"/>
                    <w:gridCol w:w="937"/>
                    <w:gridCol w:w="60"/>
                    <w:gridCol w:w="1150"/>
                    <w:gridCol w:w="92"/>
                    <w:gridCol w:w="1073"/>
                    <w:gridCol w:w="180"/>
                    <w:gridCol w:w="872"/>
                  </w:tblGrid>
                  <w:tr>
                    <w:trPr>
                      <w:trHeight w:val="464"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77"/>
                          <w:ind w:left="200" w:right="0"/>
                          <w:jc w:val="left"/>
                          <w:rPr>
                            <w:rFonts w:ascii="黑体" w:hAnsi="黑体" w:cs="黑体" w:eastAsia="黑体" w:hint="default"/>
                            <w:sz w:val="20"/>
                            <w:szCs w:val="20"/>
                          </w:rPr>
                        </w:pPr>
                        <w:r>
                          <w:rPr>
                            <w:rFonts w:ascii="黑体" w:hAnsi="黑体" w:cs="黑体" w:eastAsia="黑体" w:hint="default"/>
                            <w:sz w:val="20"/>
                            <w:szCs w:val="20"/>
                          </w:rPr>
                          <w:t>授予日期</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77"/>
                          <w:ind w:left="44" w:right="0"/>
                          <w:jc w:val="center"/>
                          <w:rPr>
                            <w:rFonts w:ascii="黑体" w:hAnsi="黑体" w:cs="黑体" w:eastAsia="黑体" w:hint="default"/>
                            <w:sz w:val="20"/>
                            <w:szCs w:val="20"/>
                          </w:rPr>
                        </w:pPr>
                        <w:r>
                          <w:rPr>
                            <w:rFonts w:ascii="黑体" w:hAnsi="黑体" w:cs="黑体" w:eastAsia="黑体" w:hint="default"/>
                            <w:sz w:val="20"/>
                            <w:szCs w:val="20"/>
                          </w:rPr>
                          <w:t>附注</w:t>
                        </w:r>
                      </w:p>
                    </w:tc>
                    <w:tc>
                      <w:tcPr>
                        <w:tcW w:w="942" w:type="dxa"/>
                        <w:tcBorders>
                          <w:top w:val="nil" w:sz="6" w:space="0" w:color="auto"/>
                          <w:left w:val="nil" w:sz="6" w:space="0" w:color="auto"/>
                          <w:bottom w:val="nil" w:sz="6" w:space="0" w:color="auto"/>
                          <w:right w:val="nil" w:sz="6" w:space="0" w:color="auto"/>
                        </w:tcBorders>
                      </w:tcPr>
                      <w:p>
                        <w:pPr>
                          <w:pStyle w:val="TableParagraph"/>
                          <w:spacing w:line="188" w:lineRule="exact"/>
                          <w:ind w:left="5" w:right="0" w:firstLine="398"/>
                          <w:jc w:val="left"/>
                          <w:rPr>
                            <w:rFonts w:ascii="黑体" w:hAnsi="黑体" w:cs="黑体" w:eastAsia="黑体" w:hint="default"/>
                            <w:sz w:val="20"/>
                            <w:szCs w:val="20"/>
                          </w:rPr>
                        </w:pPr>
                        <w:r>
                          <w:rPr>
                            <w:rFonts w:ascii="黑体" w:hAnsi="黑体" w:cs="黑体" w:eastAsia="黑体" w:hint="default"/>
                            <w:sz w:val="20"/>
                            <w:szCs w:val="20"/>
                          </w:rPr>
                          <w:t>每股</w:t>
                        </w:r>
                      </w:p>
                      <w:p>
                        <w:pPr>
                          <w:pStyle w:val="TableParagraph"/>
                          <w:spacing w:line="251" w:lineRule="exact"/>
                          <w:ind w:left="5" w:right="0"/>
                          <w:jc w:val="left"/>
                          <w:rPr>
                            <w:rFonts w:ascii="黑体" w:hAnsi="黑体" w:cs="黑体" w:eastAsia="黑体" w:hint="default"/>
                            <w:sz w:val="20"/>
                            <w:szCs w:val="20"/>
                          </w:rPr>
                        </w:pPr>
                        <w:r>
                          <w:rPr>
                            <w:rFonts w:ascii="黑体" w:hAnsi="黑体" w:cs="黑体" w:eastAsia="黑体" w:hint="default"/>
                            <w:sz w:val="20"/>
                            <w:szCs w:val="20"/>
                          </w:rPr>
                          <w:t>公允价值</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77"/>
                          <w:ind w:right="76"/>
                          <w:jc w:val="right"/>
                          <w:rPr>
                            <w:rFonts w:ascii="黑体" w:hAnsi="黑体" w:cs="黑体" w:eastAsia="黑体" w:hint="default"/>
                            <w:sz w:val="20"/>
                            <w:szCs w:val="20"/>
                          </w:rPr>
                        </w:pPr>
                        <w:r>
                          <w:rPr>
                            <w:rFonts w:ascii="Arial" w:hAnsi="Arial" w:cs="Arial" w:eastAsia="Arial" w:hint="default"/>
                            <w:sz w:val="20"/>
                            <w:szCs w:val="20"/>
                          </w:rPr>
                          <w:t>2019</w:t>
                        </w:r>
                        <w:r>
                          <w:rPr>
                            <w:rFonts w:ascii="Arial" w:hAnsi="Arial" w:cs="Arial" w:eastAsia="Arial" w:hint="default"/>
                            <w:spacing w:val="-12"/>
                            <w:sz w:val="20"/>
                            <w:szCs w:val="20"/>
                          </w:rPr>
                          <w:t> </w:t>
                        </w:r>
                        <w:r>
                          <w:rPr>
                            <w:rFonts w:ascii="黑体" w:hAnsi="黑体" w:cs="黑体" w:eastAsia="黑体" w:hint="default"/>
                            <w:sz w:val="20"/>
                            <w:szCs w:val="20"/>
                          </w:rPr>
                          <w:t>年</w:t>
                        </w:r>
                      </w:p>
                    </w:tc>
                    <w:tc>
                      <w:tcPr>
                        <w:tcW w:w="937" w:type="dxa"/>
                        <w:tcBorders>
                          <w:top w:val="nil" w:sz="6" w:space="0" w:color="auto"/>
                          <w:left w:val="nil" w:sz="6" w:space="0" w:color="auto"/>
                          <w:bottom w:val="nil" w:sz="6" w:space="0" w:color="auto"/>
                          <w:right w:val="nil" w:sz="6" w:space="0" w:color="auto"/>
                        </w:tcBorders>
                      </w:tcPr>
                      <w:p>
                        <w:pPr>
                          <w:pStyle w:val="TableParagraph"/>
                          <w:spacing w:line="240" w:lineRule="auto" w:before="177"/>
                          <w:ind w:left="137" w:right="0"/>
                          <w:jc w:val="left"/>
                          <w:rPr>
                            <w:rFonts w:ascii="黑体" w:hAnsi="黑体" w:cs="黑体" w:eastAsia="黑体" w:hint="default"/>
                            <w:sz w:val="20"/>
                            <w:szCs w:val="20"/>
                          </w:rPr>
                        </w:pPr>
                        <w:r>
                          <w:rPr>
                            <w:rFonts w:ascii="黑体" w:hAnsi="黑体" w:cs="黑体" w:eastAsia="黑体" w:hint="default"/>
                            <w:w w:val="95"/>
                            <w:sz w:val="20"/>
                            <w:szCs w:val="20"/>
                          </w:rPr>
                          <w:t>本年失效</w:t>
                        </w:r>
                        <w:r>
                          <w:rPr>
                            <w:rFonts w:ascii="黑体" w:hAnsi="黑体" w:cs="黑体" w:eastAsia="黑体" w:hint="default"/>
                            <w:sz w:val="20"/>
                            <w:szCs w:val="20"/>
                          </w:rPr>
                        </w:r>
                      </w:p>
                    </w:tc>
                    <w:tc>
                      <w:tcPr>
                        <w:tcW w:w="60"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77"/>
                          <w:ind w:right="3"/>
                          <w:jc w:val="right"/>
                          <w:rPr>
                            <w:rFonts w:ascii="黑体" w:hAnsi="黑体" w:cs="黑体" w:eastAsia="黑体" w:hint="default"/>
                            <w:sz w:val="20"/>
                            <w:szCs w:val="20"/>
                          </w:rPr>
                        </w:pPr>
                        <w:r>
                          <w:rPr>
                            <w:rFonts w:ascii="黑体" w:hAnsi="黑体" w:cs="黑体" w:eastAsia="黑体" w:hint="default"/>
                            <w:w w:val="95"/>
                            <w:sz w:val="20"/>
                            <w:szCs w:val="20"/>
                          </w:rPr>
                          <w:t>本年取消</w:t>
                        </w:r>
                        <w:r>
                          <w:rPr>
                            <w:rFonts w:ascii="黑体" w:hAnsi="黑体" w:cs="黑体" w:eastAsia="黑体" w:hint="default"/>
                            <w:sz w:val="20"/>
                            <w:szCs w:val="20"/>
                          </w:rPr>
                        </w:r>
                      </w:p>
                    </w:tc>
                    <w:tc>
                      <w:tcPr>
                        <w:tcW w:w="9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177"/>
                          <w:ind w:right="-1"/>
                          <w:jc w:val="right"/>
                          <w:rPr>
                            <w:rFonts w:ascii="黑体" w:hAnsi="黑体" w:cs="黑体" w:eastAsia="黑体" w:hint="default"/>
                            <w:sz w:val="20"/>
                            <w:szCs w:val="20"/>
                          </w:rPr>
                        </w:pPr>
                        <w:r>
                          <w:rPr>
                            <w:rFonts w:ascii="黑体" w:hAnsi="黑体" w:cs="黑体" w:eastAsia="黑体" w:hint="default"/>
                            <w:w w:val="95"/>
                            <w:sz w:val="20"/>
                            <w:szCs w:val="20"/>
                          </w:rPr>
                          <w:t>本年解锁</w:t>
                        </w:r>
                        <w:r>
                          <w:rPr>
                            <w:rFonts w:ascii="黑体" w:hAnsi="黑体" w:cs="黑体" w:eastAsia="黑体" w:hint="default"/>
                            <w:sz w:val="20"/>
                            <w:szCs w:val="20"/>
                          </w:rPr>
                        </w:r>
                      </w:p>
                    </w:tc>
                    <w:tc>
                      <w:tcPr>
                        <w:tcW w:w="180"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177"/>
                          <w:ind w:left="-26" w:right="204"/>
                          <w:jc w:val="right"/>
                          <w:rPr>
                            <w:rFonts w:ascii="黑体" w:hAnsi="黑体" w:cs="黑体" w:eastAsia="黑体" w:hint="default"/>
                            <w:sz w:val="20"/>
                            <w:szCs w:val="20"/>
                          </w:rPr>
                        </w:pPr>
                        <w:r>
                          <w:rPr>
                            <w:rFonts w:ascii="Arial" w:hAnsi="Arial" w:cs="Arial" w:eastAsia="Arial" w:hint="default"/>
                            <w:sz w:val="20"/>
                            <w:szCs w:val="20"/>
                          </w:rPr>
                          <w:t>2019</w:t>
                        </w:r>
                        <w:r>
                          <w:rPr>
                            <w:rFonts w:ascii="Arial" w:hAnsi="Arial" w:cs="Arial" w:eastAsia="Arial" w:hint="default"/>
                            <w:spacing w:val="-12"/>
                            <w:sz w:val="20"/>
                            <w:szCs w:val="20"/>
                          </w:rPr>
                          <w:t> </w:t>
                        </w:r>
                        <w:r>
                          <w:rPr>
                            <w:rFonts w:ascii="黑体" w:hAnsi="黑体" w:cs="黑体" w:eastAsia="黑体" w:hint="default"/>
                            <w:sz w:val="20"/>
                            <w:szCs w:val="20"/>
                          </w:rPr>
                          <w:t>年</w:t>
                        </w:r>
                      </w:p>
                    </w:tc>
                  </w:tr>
                  <w:tr>
                    <w:trPr>
                      <w:trHeight w:val="635" w:hRule="exact"/>
                    </w:trPr>
                    <w:tc>
                      <w:tcPr>
                        <w:tcW w:w="1876"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right="136"/>
                          <w:jc w:val="right"/>
                          <w:rPr>
                            <w:rFonts w:ascii="黑体" w:hAnsi="黑体" w:cs="黑体" w:eastAsia="黑体" w:hint="default"/>
                            <w:sz w:val="20"/>
                            <w:szCs w:val="20"/>
                          </w:rPr>
                        </w:pPr>
                        <w:r>
                          <w:rPr>
                            <w:rFonts w:ascii="黑体" w:hAnsi="黑体" w:cs="黑体" w:eastAsia="黑体" w:hint="default"/>
                            <w:w w:val="95"/>
                            <w:sz w:val="20"/>
                            <w:szCs w:val="20"/>
                          </w:rPr>
                          <w:t>人民币元</w:t>
                        </w:r>
                        <w:r>
                          <w:rPr>
                            <w:rFonts w:ascii="黑体" w:hAnsi="黑体" w:cs="黑体" w:eastAsia="黑体" w:hint="default"/>
                            <w:sz w:val="20"/>
                            <w:szCs w:val="20"/>
                          </w:rPr>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4"/>
                            <w:szCs w:val="14"/>
                          </w:rPr>
                        </w:pPr>
                      </w:p>
                      <w:p>
                        <w:pPr>
                          <w:pStyle w:val="TableParagraph"/>
                          <w:spacing w:line="240" w:lineRule="auto"/>
                          <w:ind w:right="45"/>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月</w:t>
                        </w:r>
                        <w:r>
                          <w:rPr>
                            <w:rFonts w:ascii="黑体" w:hAnsi="黑体" w:cs="黑体" w:eastAsia="黑体" w:hint="default"/>
                            <w:spacing w:val="-49"/>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日</w:t>
                        </w:r>
                      </w:p>
                    </w:tc>
                    <w:tc>
                      <w:tcPr>
                        <w:tcW w:w="937" w:type="dxa"/>
                        <w:tcBorders>
                          <w:top w:val="nil" w:sz="6" w:space="0" w:color="auto"/>
                          <w:left w:val="nil" w:sz="6" w:space="0" w:color="auto"/>
                          <w:bottom w:val="nil" w:sz="6" w:space="0" w:color="auto"/>
                          <w:right w:val="nil" w:sz="6" w:space="0" w:color="auto"/>
                        </w:tcBorders>
                      </w:tcPr>
                      <w:p>
                        <w:pPr/>
                      </w:p>
                    </w:tc>
                    <w:tc>
                      <w:tcPr>
                        <w:tcW w:w="60"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
                    </w:tc>
                    <w:tc>
                      <w:tcPr>
                        <w:tcW w:w="9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
                    </w:tc>
                    <w:tc>
                      <w:tcPr>
                        <w:tcW w:w="1052" w:type="dxa"/>
                        <w:gridSpan w:val="2"/>
                        <w:tcBorders>
                          <w:top w:val="nil" w:sz="6" w:space="0" w:color="auto"/>
                          <w:left w:val="nil" w:sz="6" w:space="0" w:color="auto"/>
                          <w:bottom w:val="nil" w:sz="6" w:space="0" w:color="auto"/>
                          <w:right w:val="nil" w:sz="6" w:space="0" w:color="auto"/>
                        </w:tcBorders>
                      </w:tcPr>
                      <w:p>
                        <w:pPr>
                          <w:pStyle w:val="TableParagraph"/>
                          <w:spacing w:line="211" w:lineRule="exact"/>
                          <w:ind w:left="106" w:right="0"/>
                          <w:jc w:val="left"/>
                          <w:rPr>
                            <w:rFonts w:ascii="Arial" w:hAnsi="Arial" w:cs="Arial" w:eastAsia="Arial" w:hint="default"/>
                            <w:sz w:val="20"/>
                            <w:szCs w:val="20"/>
                          </w:rPr>
                        </w:pPr>
                        <w:r>
                          <w:rPr>
                            <w:rFonts w:ascii="Arial" w:hAnsi="Arial" w:cs="Arial" w:eastAsia="Arial" w:hint="default"/>
                            <w:sz w:val="20"/>
                            <w:szCs w:val="20"/>
                          </w:rPr>
                          <w:t>12 </w:t>
                        </w:r>
                        <w:r>
                          <w:rPr>
                            <w:rFonts w:ascii="黑体" w:hAnsi="黑体" w:cs="黑体" w:eastAsia="黑体" w:hint="default"/>
                            <w:sz w:val="20"/>
                            <w:szCs w:val="20"/>
                          </w:rPr>
                          <w:t>月</w:t>
                        </w:r>
                        <w:r>
                          <w:rPr>
                            <w:rFonts w:ascii="黑体" w:hAnsi="黑体" w:cs="黑体" w:eastAsia="黑体" w:hint="default"/>
                            <w:spacing w:val="-60"/>
                            <w:sz w:val="20"/>
                            <w:szCs w:val="20"/>
                          </w:rPr>
                          <w:t> </w:t>
                        </w:r>
                        <w:r>
                          <w:rPr>
                            <w:rFonts w:ascii="Arial" w:hAnsi="Arial" w:cs="Arial" w:eastAsia="Arial" w:hint="default"/>
                            <w:sz w:val="20"/>
                            <w:szCs w:val="20"/>
                          </w:rPr>
                          <w:t>31</w:t>
                        </w:r>
                      </w:p>
                      <w:p>
                        <w:pPr>
                          <w:pStyle w:val="TableParagraph"/>
                          <w:spacing w:line="244" w:lineRule="exact"/>
                          <w:ind w:left="651" w:right="0"/>
                          <w:jc w:val="left"/>
                          <w:rPr>
                            <w:rFonts w:ascii="黑体" w:hAnsi="黑体" w:cs="黑体" w:eastAsia="黑体" w:hint="default"/>
                            <w:sz w:val="20"/>
                            <w:szCs w:val="20"/>
                          </w:rPr>
                        </w:pPr>
                        <w:r>
                          <w:rPr>
                            <w:rFonts w:ascii="黑体" w:hAnsi="黑体" w:cs="黑体" w:eastAsia="黑体" w:hint="default"/>
                            <w:w w:val="99"/>
                            <w:sz w:val="20"/>
                            <w:szCs w:val="20"/>
                          </w:rPr>
                          <w:t>日</w:t>
                        </w:r>
                        <w:r>
                          <w:rPr>
                            <w:rFonts w:ascii="黑体" w:hAnsi="黑体" w:cs="黑体" w:eastAsia="黑体" w:hint="default"/>
                            <w:sz w:val="20"/>
                            <w:szCs w:val="20"/>
                          </w:rPr>
                        </w:r>
                      </w:p>
                    </w:tc>
                  </w:tr>
                  <w:tr>
                    <w:trPr>
                      <w:trHeight w:val="623"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黑体" w:hAnsi="黑体" w:cs="黑体" w:eastAsia="黑体" w:hint="default"/>
                            <w:sz w:val="24"/>
                            <w:szCs w:val="24"/>
                          </w:rPr>
                        </w:pPr>
                      </w:p>
                      <w:p>
                        <w:pPr>
                          <w:pStyle w:val="TableParagraph"/>
                          <w:spacing w:line="240" w:lineRule="auto"/>
                          <w:ind w:left="200" w:right="0"/>
                          <w:jc w:val="left"/>
                          <w:rPr>
                            <w:rFonts w:ascii="黑体" w:hAnsi="黑体" w:cs="黑体" w:eastAsia="黑体" w:hint="default"/>
                            <w:sz w:val="20"/>
                            <w:szCs w:val="20"/>
                          </w:rPr>
                        </w:pPr>
                        <w:r>
                          <w:rPr>
                            <w:rFonts w:ascii="Arial" w:hAnsi="Arial" w:cs="Arial" w:eastAsia="Arial" w:hint="default"/>
                            <w:sz w:val="20"/>
                            <w:szCs w:val="20"/>
                          </w:rPr>
                          <w:t>2016</w:t>
                        </w:r>
                        <w:r>
                          <w:rPr>
                            <w:rFonts w:ascii="Arial" w:hAnsi="Arial" w:cs="Arial" w:eastAsia="Arial" w:hint="default"/>
                            <w:spacing w:val="-8"/>
                            <w:sz w:val="20"/>
                            <w:szCs w:val="20"/>
                          </w:rPr>
                          <w:t> </w:t>
                        </w:r>
                        <w:r>
                          <w:rPr>
                            <w:rFonts w:ascii="黑体" w:hAnsi="黑体" w:cs="黑体" w:eastAsia="黑体" w:hint="default"/>
                            <w:sz w:val="20"/>
                            <w:szCs w:val="20"/>
                          </w:rPr>
                          <w:t>年</w:t>
                        </w:r>
                        <w:r>
                          <w:rPr>
                            <w:rFonts w:ascii="黑体" w:hAnsi="黑体" w:cs="黑体" w:eastAsia="黑体" w:hint="default"/>
                            <w:spacing w:val="-50"/>
                            <w:sz w:val="20"/>
                            <w:szCs w:val="20"/>
                          </w:rPr>
                          <w:t> </w:t>
                        </w:r>
                        <w:r>
                          <w:rPr>
                            <w:rFonts w:ascii="Arial" w:hAnsi="Arial" w:cs="Arial" w:eastAsia="Arial" w:hint="default"/>
                            <w:sz w:val="20"/>
                            <w:szCs w:val="20"/>
                          </w:rPr>
                          <w:t>3</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黑体" w:hAnsi="黑体" w:cs="黑体" w:eastAsia="黑体" w:hint="default"/>
                            <w:sz w:val="20"/>
                            <w:szCs w:val="20"/>
                          </w:rPr>
                          <w:t>日</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黑体" w:hAnsi="黑体" w:cs="黑体" w:eastAsia="黑体" w:hint="default"/>
                            <w:sz w:val="28"/>
                            <w:szCs w:val="28"/>
                          </w:rPr>
                        </w:pPr>
                      </w:p>
                      <w:p>
                        <w:pPr>
                          <w:pStyle w:val="TableParagraph"/>
                          <w:spacing w:line="240" w:lineRule="auto"/>
                          <w:ind w:left="37" w:right="0"/>
                          <w:jc w:val="center"/>
                          <w:rPr>
                            <w:rFonts w:ascii="Arial" w:hAnsi="Arial" w:cs="Arial" w:eastAsia="Arial" w:hint="default"/>
                            <w:sz w:val="20"/>
                            <w:szCs w:val="20"/>
                          </w:rPr>
                        </w:pPr>
                        <w:r>
                          <w:rPr>
                            <w:rFonts w:ascii="Arial"/>
                            <w:sz w:val="20"/>
                          </w:rPr>
                          <w:t>(c)</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52"/>
                          <w:ind w:right="134"/>
                          <w:jc w:val="right"/>
                          <w:rPr>
                            <w:rFonts w:ascii="Arial" w:hAnsi="Arial" w:cs="Arial" w:eastAsia="Arial" w:hint="default"/>
                            <w:sz w:val="18"/>
                            <w:szCs w:val="18"/>
                          </w:rPr>
                        </w:pPr>
                        <w:r>
                          <w:rPr>
                            <w:rFonts w:ascii="Arial"/>
                            <w:w w:val="95"/>
                            <w:sz w:val="18"/>
                          </w:rPr>
                          <w:t>9.77</w:t>
                        </w:r>
                        <w:r>
                          <w:rPr>
                            <w:rFonts w:ascii="Arial"/>
                            <w:sz w:val="18"/>
                          </w:rPr>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52"/>
                          <w:ind w:right="44"/>
                          <w:jc w:val="right"/>
                          <w:rPr>
                            <w:rFonts w:ascii="Arial" w:hAnsi="Arial" w:cs="Arial" w:eastAsia="Arial" w:hint="default"/>
                            <w:sz w:val="18"/>
                            <w:szCs w:val="18"/>
                          </w:rPr>
                        </w:pPr>
                        <w:r>
                          <w:rPr>
                            <w:rFonts w:ascii="Arial"/>
                            <w:spacing w:val="-1"/>
                            <w:sz w:val="18"/>
                          </w:rPr>
                          <w:t>424,000</w:t>
                        </w:r>
                      </w:p>
                    </w:tc>
                    <w:tc>
                      <w:tcPr>
                        <w:tcW w:w="937" w:type="dxa"/>
                        <w:tcBorders>
                          <w:top w:val="nil" w:sz="6" w:space="0" w:color="auto"/>
                          <w:left w:val="nil" w:sz="6" w:space="0" w:color="auto"/>
                          <w:bottom w:val="nil" w:sz="6" w:space="0" w:color="auto"/>
                          <w:right w:val="nil" w:sz="6" w:space="0" w:color="auto"/>
                        </w:tcBorders>
                      </w:tcPr>
                      <w:p>
                        <w:pPr>
                          <w:pStyle w:val="TableParagraph"/>
                          <w:tabs>
                            <w:tab w:pos="510" w:val="left" w:leader="none"/>
                          </w:tabs>
                          <w:spacing w:line="240" w:lineRule="auto" w:before="148"/>
                          <w:ind w:right="0"/>
                          <w:jc w:val="right"/>
                          <w:rPr>
                            <w:rFonts w:ascii="Arial" w:hAnsi="Arial" w:cs="Arial" w:eastAsia="Arial" w:hint="default"/>
                            <w:sz w:val="18"/>
                            <w:szCs w:val="18"/>
                          </w:rPr>
                        </w:pPr>
                        <w:r>
                          <w:rPr>
                            <w:rFonts w:ascii="Arial"/>
                            <w:sz w:val="18"/>
                          </w:rPr>
                          <w:t>(</w:t>
                          <w:tab/>
                        </w:r>
                        <w:r>
                          <w:rPr>
                            <w:rFonts w:ascii="Arial"/>
                            <w:spacing w:val="-1"/>
                            <w:sz w:val="18"/>
                          </w:rPr>
                          <w:t>16,0</w:t>
                        </w:r>
                      </w:p>
                      <w:p>
                        <w:pPr>
                          <w:pStyle w:val="TableParagraph"/>
                          <w:spacing w:line="240" w:lineRule="auto" w:before="33"/>
                          <w:ind w:right="-3"/>
                          <w:jc w:val="right"/>
                          <w:rPr>
                            <w:rFonts w:ascii="Arial" w:hAnsi="Arial" w:cs="Arial" w:eastAsia="Arial" w:hint="default"/>
                            <w:sz w:val="18"/>
                            <w:szCs w:val="18"/>
                          </w:rPr>
                        </w:pPr>
                        <w:r>
                          <w:rPr>
                            <w:rFonts w:ascii="Arial"/>
                            <w:w w:val="95"/>
                            <w:sz w:val="18"/>
                          </w:rPr>
                          <w:t>00</w:t>
                        </w:r>
                        <w:r>
                          <w:rPr>
                            <w:rFonts w:ascii="Arial"/>
                            <w:sz w:val="18"/>
                          </w:rPr>
                        </w:r>
                      </w:p>
                    </w:tc>
                    <w:tc>
                      <w:tcPr>
                        <w:tcW w:w="60"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tabs>
                            <w:tab w:pos="510" w:val="left" w:leader="none"/>
                          </w:tabs>
                          <w:spacing w:line="240" w:lineRule="auto" w:before="152"/>
                          <w:ind w:right="3"/>
                          <w:jc w:val="right"/>
                          <w:rPr>
                            <w:rFonts w:ascii="Arial" w:hAnsi="Arial" w:cs="Arial" w:eastAsia="Arial" w:hint="default"/>
                            <w:sz w:val="18"/>
                            <w:szCs w:val="18"/>
                          </w:rPr>
                        </w:pPr>
                        <w:r>
                          <w:rPr>
                            <w:rFonts w:ascii="Arial"/>
                            <w:sz w:val="18"/>
                          </w:rPr>
                          <w:t>(</w:t>
                          <w:tab/>
                        </w:r>
                        <w:r>
                          <w:rPr>
                            <w:rFonts w:ascii="Arial"/>
                            <w:spacing w:val="-1"/>
                            <w:sz w:val="18"/>
                          </w:rPr>
                          <w:t>18,000</w:t>
                        </w:r>
                      </w:p>
                    </w:tc>
                    <w:tc>
                      <w:tcPr>
                        <w:tcW w:w="9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Style w:val="TableParagraph"/>
                          <w:tabs>
                            <w:tab w:pos="510" w:val="left" w:leader="none"/>
                          </w:tabs>
                          <w:spacing w:line="240" w:lineRule="auto" w:before="148"/>
                          <w:ind w:right="-1"/>
                          <w:jc w:val="right"/>
                          <w:rPr>
                            <w:rFonts w:ascii="Arial" w:hAnsi="Arial" w:cs="Arial" w:eastAsia="Arial" w:hint="default"/>
                            <w:sz w:val="18"/>
                            <w:szCs w:val="18"/>
                          </w:rPr>
                        </w:pPr>
                        <w:r>
                          <w:rPr>
                            <w:rFonts w:ascii="Arial"/>
                            <w:sz w:val="18"/>
                          </w:rPr>
                          <w:t>(</w:t>
                          <w:tab/>
                        </w:r>
                        <w:r>
                          <w:rPr>
                            <w:rFonts w:ascii="Arial"/>
                            <w:spacing w:val="-1"/>
                            <w:sz w:val="18"/>
                          </w:rPr>
                          <w:t>390,00</w:t>
                        </w:r>
                      </w:p>
                      <w:p>
                        <w:pPr>
                          <w:pStyle w:val="TableParagraph"/>
                          <w:spacing w:line="240" w:lineRule="auto" w:before="33"/>
                          <w:ind w:right="-1"/>
                          <w:jc w:val="right"/>
                          <w:rPr>
                            <w:rFonts w:ascii="Arial" w:hAnsi="Arial" w:cs="Arial" w:eastAsia="Arial" w:hint="default"/>
                            <w:sz w:val="18"/>
                            <w:szCs w:val="18"/>
                          </w:rPr>
                        </w:pPr>
                        <w:r>
                          <w:rPr>
                            <w:rFonts w:ascii="Arial"/>
                            <w:w w:val="99"/>
                            <w:sz w:val="18"/>
                          </w:rPr>
                          <w:t>0</w:t>
                        </w:r>
                        <w:r>
                          <w:rPr>
                            <w:rFonts w:ascii="Arial"/>
                            <w:sz w:val="18"/>
                          </w:rPr>
                        </w:r>
                      </w:p>
                    </w:tc>
                    <w:tc>
                      <w:tcPr>
                        <w:tcW w:w="1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52"/>
                          <w:ind w:left="-2" w:right="0"/>
                          <w:jc w:val="left"/>
                          <w:rPr>
                            <w:rFonts w:ascii="Arial" w:hAnsi="Arial" w:cs="Arial" w:eastAsia="Arial" w:hint="default"/>
                            <w:sz w:val="18"/>
                            <w:szCs w:val="18"/>
                          </w:rPr>
                        </w:pPr>
                        <w:r>
                          <w:rPr>
                            <w:rFonts w:ascii="Arial"/>
                            <w:w w:val="99"/>
                            <w:sz w:val="18"/>
                          </w:rPr>
                          <w:t>)</w:t>
                        </w:r>
                        <w:r>
                          <w:rPr>
                            <w:rFonts w:ascii="Arial"/>
                            <w:sz w:val="18"/>
                          </w:rPr>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52"/>
                          <w:ind w:right="199"/>
                          <w:jc w:val="right"/>
                          <w:rPr>
                            <w:rFonts w:ascii="Arial" w:hAnsi="Arial" w:cs="Arial" w:eastAsia="Arial" w:hint="default"/>
                            <w:sz w:val="18"/>
                            <w:szCs w:val="18"/>
                          </w:rPr>
                        </w:pPr>
                        <w:r>
                          <w:rPr>
                            <w:rFonts w:ascii="Arial"/>
                            <w:w w:val="99"/>
                            <w:sz w:val="18"/>
                          </w:rPr>
                          <w:t>-</w:t>
                        </w:r>
                        <w:r>
                          <w:rPr>
                            <w:rFonts w:ascii="Arial"/>
                            <w:sz w:val="18"/>
                          </w:rPr>
                        </w:r>
                      </w:p>
                    </w:tc>
                  </w:tr>
                  <w:tr>
                    <w:trPr>
                      <w:trHeight w:val="600"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3"/>
                            <w:szCs w:val="13"/>
                          </w:rPr>
                        </w:pPr>
                      </w:p>
                      <w:p>
                        <w:pPr>
                          <w:pStyle w:val="TableParagraph"/>
                          <w:spacing w:line="240" w:lineRule="auto"/>
                          <w:ind w:left="200" w:right="0"/>
                          <w:jc w:val="left"/>
                          <w:rPr>
                            <w:rFonts w:ascii="黑体" w:hAnsi="黑体" w:cs="黑体" w:eastAsia="黑体" w:hint="default"/>
                            <w:sz w:val="20"/>
                            <w:szCs w:val="20"/>
                          </w:rPr>
                        </w:pPr>
                        <w:r>
                          <w:rPr>
                            <w:rFonts w:ascii="Arial" w:hAnsi="Arial" w:cs="Arial" w:eastAsia="Arial" w:hint="default"/>
                            <w:sz w:val="20"/>
                            <w:szCs w:val="20"/>
                          </w:rPr>
                          <w:t>2016</w:t>
                        </w:r>
                        <w:r>
                          <w:rPr>
                            <w:rFonts w:ascii="Arial" w:hAnsi="Arial" w:cs="Arial" w:eastAsia="Arial" w:hint="default"/>
                            <w:spacing w:val="-8"/>
                            <w:sz w:val="20"/>
                            <w:szCs w:val="20"/>
                          </w:rPr>
                          <w:t> </w:t>
                        </w:r>
                        <w:r>
                          <w:rPr>
                            <w:rFonts w:ascii="黑体" w:hAnsi="黑体" w:cs="黑体" w:eastAsia="黑体" w:hint="default"/>
                            <w:sz w:val="20"/>
                            <w:szCs w:val="20"/>
                          </w:rPr>
                          <w:t>年</w:t>
                        </w:r>
                        <w:r>
                          <w:rPr>
                            <w:rFonts w:ascii="黑体" w:hAnsi="黑体" w:cs="黑体" w:eastAsia="黑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0"/>
                            <w:sz w:val="20"/>
                            <w:szCs w:val="20"/>
                          </w:rPr>
                          <w:t> </w:t>
                        </w:r>
                        <w:r>
                          <w:rPr>
                            <w:rFonts w:ascii="Arial" w:hAnsi="Arial" w:cs="Arial" w:eastAsia="Arial" w:hint="default"/>
                            <w:sz w:val="20"/>
                            <w:szCs w:val="20"/>
                          </w:rPr>
                          <w:t>6</w:t>
                        </w:r>
                        <w:r>
                          <w:rPr>
                            <w:rFonts w:ascii="Arial" w:hAnsi="Arial" w:cs="Arial" w:eastAsia="Arial" w:hint="default"/>
                            <w:spacing w:val="-8"/>
                            <w:sz w:val="20"/>
                            <w:szCs w:val="20"/>
                          </w:rPr>
                          <w:t> </w:t>
                        </w:r>
                        <w:r>
                          <w:rPr>
                            <w:rFonts w:ascii="黑体" w:hAnsi="黑体" w:cs="黑体" w:eastAsia="黑体" w:hint="default"/>
                            <w:sz w:val="20"/>
                            <w:szCs w:val="20"/>
                          </w:rPr>
                          <w:t>日</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7"/>
                            <w:szCs w:val="17"/>
                          </w:rPr>
                        </w:pPr>
                      </w:p>
                      <w:p>
                        <w:pPr>
                          <w:pStyle w:val="TableParagraph"/>
                          <w:spacing w:line="240" w:lineRule="auto"/>
                          <w:ind w:left="33" w:right="0"/>
                          <w:jc w:val="center"/>
                          <w:rPr>
                            <w:rFonts w:ascii="Arial" w:hAnsi="Arial" w:cs="Arial" w:eastAsia="Arial" w:hint="default"/>
                            <w:sz w:val="20"/>
                            <w:szCs w:val="20"/>
                          </w:rPr>
                        </w:pPr>
                        <w:r>
                          <w:rPr>
                            <w:rFonts w:ascii="Arial"/>
                            <w:sz w:val="20"/>
                          </w:rPr>
                          <w:t>(d)</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8"/>
                            <w:szCs w:val="18"/>
                          </w:rPr>
                        </w:pPr>
                      </w:p>
                      <w:p>
                        <w:pPr>
                          <w:pStyle w:val="TableParagraph"/>
                          <w:spacing w:line="240" w:lineRule="auto"/>
                          <w:ind w:right="134"/>
                          <w:jc w:val="right"/>
                          <w:rPr>
                            <w:rFonts w:ascii="Arial" w:hAnsi="Arial" w:cs="Arial" w:eastAsia="Arial" w:hint="default"/>
                            <w:sz w:val="18"/>
                            <w:szCs w:val="18"/>
                          </w:rPr>
                        </w:pPr>
                        <w:r>
                          <w:rPr>
                            <w:rFonts w:ascii="Arial"/>
                            <w:w w:val="95"/>
                            <w:sz w:val="18"/>
                          </w:rPr>
                          <w:t>8.84</w:t>
                        </w:r>
                        <w:r>
                          <w:rPr>
                            <w:rFonts w:ascii="Arial"/>
                            <w:sz w:val="18"/>
                          </w:rPr>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8"/>
                            <w:szCs w:val="18"/>
                          </w:rPr>
                        </w:pPr>
                      </w:p>
                      <w:p>
                        <w:pPr>
                          <w:pStyle w:val="TableParagraph"/>
                          <w:spacing w:line="240" w:lineRule="auto"/>
                          <w:ind w:right="44"/>
                          <w:jc w:val="right"/>
                          <w:rPr>
                            <w:rFonts w:ascii="Arial" w:hAnsi="Arial" w:cs="Arial" w:eastAsia="Arial" w:hint="default"/>
                            <w:sz w:val="18"/>
                            <w:szCs w:val="18"/>
                          </w:rPr>
                        </w:pPr>
                        <w:r>
                          <w:rPr>
                            <w:rFonts w:ascii="Arial"/>
                            <w:spacing w:val="-1"/>
                            <w:sz w:val="18"/>
                          </w:rPr>
                          <w:t>326,000</w:t>
                        </w:r>
                      </w:p>
                    </w:tc>
                    <w:tc>
                      <w:tcPr>
                        <w:tcW w:w="937" w:type="dxa"/>
                        <w:tcBorders>
                          <w:top w:val="nil" w:sz="6" w:space="0" w:color="auto"/>
                          <w:left w:val="nil" w:sz="6" w:space="0" w:color="auto"/>
                          <w:bottom w:val="nil" w:sz="6" w:space="0" w:color="auto"/>
                          <w:right w:val="nil" w:sz="6" w:space="0" w:color="auto"/>
                        </w:tcBorders>
                      </w:tcPr>
                      <w:p>
                        <w:pPr>
                          <w:pStyle w:val="TableParagraph"/>
                          <w:tabs>
                            <w:tab w:pos="510" w:val="left" w:leader="none"/>
                          </w:tabs>
                          <w:spacing w:line="240" w:lineRule="auto" w:before="5"/>
                          <w:ind w:right="0"/>
                          <w:jc w:val="right"/>
                          <w:rPr>
                            <w:rFonts w:ascii="Arial" w:hAnsi="Arial" w:cs="Arial" w:eastAsia="Arial" w:hint="default"/>
                            <w:sz w:val="18"/>
                            <w:szCs w:val="18"/>
                          </w:rPr>
                        </w:pPr>
                        <w:r>
                          <w:rPr>
                            <w:rFonts w:ascii="Arial"/>
                            <w:sz w:val="18"/>
                          </w:rPr>
                          <w:t>(</w:t>
                          <w:tab/>
                        </w:r>
                        <w:r>
                          <w:rPr>
                            <w:rFonts w:ascii="Arial"/>
                            <w:spacing w:val="-1"/>
                            <w:sz w:val="18"/>
                          </w:rPr>
                          <w:t>92,0</w:t>
                        </w:r>
                      </w:p>
                      <w:p>
                        <w:pPr>
                          <w:pStyle w:val="TableParagraph"/>
                          <w:spacing w:line="240" w:lineRule="auto" w:before="33"/>
                          <w:ind w:right="-3"/>
                          <w:jc w:val="right"/>
                          <w:rPr>
                            <w:rFonts w:ascii="Arial" w:hAnsi="Arial" w:cs="Arial" w:eastAsia="Arial" w:hint="default"/>
                            <w:sz w:val="18"/>
                            <w:szCs w:val="18"/>
                          </w:rPr>
                        </w:pPr>
                        <w:r>
                          <w:rPr>
                            <w:rFonts w:ascii="Arial"/>
                            <w:w w:val="95"/>
                            <w:sz w:val="18"/>
                          </w:rPr>
                          <w:t>00</w:t>
                        </w:r>
                        <w:r>
                          <w:rPr>
                            <w:rFonts w:ascii="Arial"/>
                            <w:sz w:val="18"/>
                          </w:rPr>
                        </w:r>
                      </w:p>
                    </w:tc>
                    <w:tc>
                      <w:tcPr>
                        <w:tcW w:w="60"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8"/>
                            <w:szCs w:val="18"/>
                          </w:rPr>
                        </w:pPr>
                      </w:p>
                      <w:p>
                        <w:pPr>
                          <w:pStyle w:val="TableParagraph"/>
                          <w:tabs>
                            <w:tab w:pos="510" w:val="left" w:leader="none"/>
                          </w:tabs>
                          <w:spacing w:line="240" w:lineRule="auto"/>
                          <w:ind w:right="3"/>
                          <w:jc w:val="right"/>
                          <w:rPr>
                            <w:rFonts w:ascii="Arial" w:hAnsi="Arial" w:cs="Arial" w:eastAsia="Arial" w:hint="default"/>
                            <w:sz w:val="18"/>
                            <w:szCs w:val="18"/>
                          </w:rPr>
                        </w:pPr>
                        <w:r>
                          <w:rPr>
                            <w:rFonts w:ascii="Arial"/>
                            <w:sz w:val="18"/>
                          </w:rPr>
                          <w:t>(</w:t>
                          <w:tab/>
                        </w:r>
                        <w:r>
                          <w:rPr>
                            <w:rFonts w:ascii="Arial"/>
                            <w:spacing w:val="-1"/>
                            <w:sz w:val="18"/>
                          </w:rPr>
                          <w:t>66,000</w:t>
                        </w:r>
                      </w:p>
                    </w:tc>
                    <w:tc>
                      <w:tcPr>
                        <w:tcW w:w="9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Style w:val="TableParagraph"/>
                          <w:tabs>
                            <w:tab w:pos="510" w:val="left" w:leader="none"/>
                          </w:tabs>
                          <w:spacing w:line="240" w:lineRule="auto" w:before="5"/>
                          <w:ind w:right="-1"/>
                          <w:jc w:val="right"/>
                          <w:rPr>
                            <w:rFonts w:ascii="Arial" w:hAnsi="Arial" w:cs="Arial" w:eastAsia="Arial" w:hint="default"/>
                            <w:sz w:val="18"/>
                            <w:szCs w:val="18"/>
                          </w:rPr>
                        </w:pPr>
                        <w:r>
                          <w:rPr>
                            <w:rFonts w:ascii="Arial"/>
                            <w:sz w:val="18"/>
                          </w:rPr>
                          <w:t>(</w:t>
                          <w:tab/>
                        </w:r>
                        <w:r>
                          <w:rPr>
                            <w:rFonts w:ascii="Arial"/>
                            <w:spacing w:val="-1"/>
                            <w:sz w:val="18"/>
                          </w:rPr>
                          <w:t>168,00</w:t>
                        </w:r>
                      </w:p>
                      <w:p>
                        <w:pPr>
                          <w:pStyle w:val="TableParagraph"/>
                          <w:spacing w:line="240" w:lineRule="auto" w:before="33"/>
                          <w:ind w:right="-1"/>
                          <w:jc w:val="right"/>
                          <w:rPr>
                            <w:rFonts w:ascii="Arial" w:hAnsi="Arial" w:cs="Arial" w:eastAsia="Arial" w:hint="default"/>
                            <w:sz w:val="18"/>
                            <w:szCs w:val="18"/>
                          </w:rPr>
                        </w:pPr>
                        <w:r>
                          <w:rPr>
                            <w:rFonts w:ascii="Arial"/>
                            <w:w w:val="99"/>
                            <w:sz w:val="18"/>
                          </w:rPr>
                          <w:t>0</w:t>
                        </w:r>
                        <w:r>
                          <w:rPr>
                            <w:rFonts w:ascii="Arial"/>
                            <w:sz w:val="18"/>
                          </w:rPr>
                        </w:r>
                      </w:p>
                    </w:tc>
                    <w:tc>
                      <w:tcPr>
                        <w:tcW w:w="1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8"/>
                            <w:szCs w:val="18"/>
                          </w:rPr>
                        </w:pPr>
                      </w:p>
                      <w:p>
                        <w:pPr>
                          <w:pStyle w:val="TableParagraph"/>
                          <w:spacing w:line="240" w:lineRule="auto"/>
                          <w:ind w:left="-2" w:right="0"/>
                          <w:jc w:val="left"/>
                          <w:rPr>
                            <w:rFonts w:ascii="Arial" w:hAnsi="Arial" w:cs="Arial" w:eastAsia="Arial" w:hint="default"/>
                            <w:sz w:val="18"/>
                            <w:szCs w:val="18"/>
                          </w:rPr>
                        </w:pPr>
                        <w:r>
                          <w:rPr>
                            <w:rFonts w:ascii="Arial"/>
                            <w:w w:val="99"/>
                            <w:sz w:val="18"/>
                          </w:rPr>
                          <w:t>)</w:t>
                        </w:r>
                        <w:r>
                          <w:rPr>
                            <w:rFonts w:ascii="Arial"/>
                            <w:sz w:val="18"/>
                          </w:rPr>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8"/>
                            <w:szCs w:val="18"/>
                          </w:rPr>
                        </w:pPr>
                      </w:p>
                      <w:p>
                        <w:pPr>
                          <w:pStyle w:val="TableParagraph"/>
                          <w:spacing w:line="240" w:lineRule="auto"/>
                          <w:ind w:right="199"/>
                          <w:jc w:val="right"/>
                          <w:rPr>
                            <w:rFonts w:ascii="Arial" w:hAnsi="Arial" w:cs="Arial" w:eastAsia="Arial" w:hint="default"/>
                            <w:sz w:val="18"/>
                            <w:szCs w:val="18"/>
                          </w:rPr>
                        </w:pPr>
                        <w:r>
                          <w:rPr>
                            <w:rFonts w:ascii="Arial"/>
                            <w:w w:val="99"/>
                            <w:sz w:val="18"/>
                          </w:rPr>
                          <w:t>-</w:t>
                        </w:r>
                        <w:r>
                          <w:rPr>
                            <w:rFonts w:ascii="Arial"/>
                            <w:sz w:val="18"/>
                          </w:rPr>
                        </w:r>
                      </w:p>
                    </w:tc>
                  </w:tr>
                  <w:tr>
                    <w:trPr>
                      <w:trHeight w:val="862"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黑体" w:hAnsi="黑体" w:cs="黑体" w:eastAsia="黑体" w:hint="default"/>
                            <w:sz w:val="22"/>
                            <w:szCs w:val="22"/>
                          </w:rPr>
                        </w:pPr>
                      </w:p>
                      <w:p>
                        <w:pPr>
                          <w:pStyle w:val="TableParagraph"/>
                          <w:spacing w:line="240" w:lineRule="auto"/>
                          <w:ind w:left="200" w:right="0"/>
                          <w:jc w:val="left"/>
                          <w:rPr>
                            <w:rFonts w:ascii="黑体" w:hAnsi="黑体" w:cs="黑体" w:eastAsia="黑体" w:hint="default"/>
                            <w:sz w:val="20"/>
                            <w:szCs w:val="20"/>
                          </w:rPr>
                        </w:pPr>
                        <w:r>
                          <w:rPr>
                            <w:rFonts w:ascii="Arial" w:hAnsi="Arial" w:cs="Arial" w:eastAsia="Arial" w:hint="default"/>
                            <w:sz w:val="20"/>
                            <w:szCs w:val="20"/>
                          </w:rPr>
                          <w:t>2017</w:t>
                        </w:r>
                        <w:r>
                          <w:rPr>
                            <w:rFonts w:ascii="Arial" w:hAnsi="Arial" w:cs="Arial" w:eastAsia="Arial" w:hint="default"/>
                            <w:spacing w:val="-8"/>
                            <w:sz w:val="20"/>
                            <w:szCs w:val="20"/>
                          </w:rPr>
                          <w:t> </w:t>
                        </w:r>
                        <w:r>
                          <w:rPr>
                            <w:rFonts w:ascii="黑体" w:hAnsi="黑体" w:cs="黑体" w:eastAsia="黑体" w:hint="default"/>
                            <w:sz w:val="20"/>
                            <w:szCs w:val="20"/>
                          </w:rPr>
                          <w:t>年</w:t>
                        </w:r>
                        <w:r>
                          <w:rPr>
                            <w:rFonts w:ascii="黑体" w:hAnsi="黑体" w:cs="黑体" w:eastAsia="黑体" w:hint="default"/>
                            <w:spacing w:val="-50"/>
                            <w:sz w:val="20"/>
                            <w:szCs w:val="20"/>
                          </w:rPr>
                          <w:t> </w:t>
                        </w:r>
                        <w:r>
                          <w:rPr>
                            <w:rFonts w:ascii="Arial" w:hAnsi="Arial" w:cs="Arial" w:eastAsia="Arial" w:hint="default"/>
                            <w:sz w:val="20"/>
                            <w:szCs w:val="20"/>
                          </w:rPr>
                          <w:t>6</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0"/>
                            <w:sz w:val="20"/>
                            <w:szCs w:val="20"/>
                          </w:rPr>
                          <w:t> </w:t>
                        </w:r>
                        <w:r>
                          <w:rPr>
                            <w:rFonts w:ascii="Arial" w:hAnsi="Arial" w:cs="Arial" w:eastAsia="Arial" w:hint="default"/>
                            <w:sz w:val="20"/>
                            <w:szCs w:val="20"/>
                          </w:rPr>
                          <w:t>5</w:t>
                        </w:r>
                        <w:r>
                          <w:rPr>
                            <w:rFonts w:ascii="Arial" w:hAnsi="Arial" w:cs="Arial" w:eastAsia="Arial" w:hint="default"/>
                            <w:spacing w:val="-8"/>
                            <w:sz w:val="20"/>
                            <w:szCs w:val="20"/>
                          </w:rPr>
                          <w:t> </w:t>
                        </w:r>
                        <w:r>
                          <w:rPr>
                            <w:rFonts w:ascii="黑体" w:hAnsi="黑体" w:cs="黑体" w:eastAsia="黑体" w:hint="default"/>
                            <w:sz w:val="20"/>
                            <w:szCs w:val="20"/>
                          </w:rPr>
                          <w:t>日</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26"/>
                            <w:szCs w:val="26"/>
                          </w:rPr>
                        </w:pPr>
                      </w:p>
                      <w:p>
                        <w:pPr>
                          <w:pStyle w:val="TableParagraph"/>
                          <w:spacing w:line="240" w:lineRule="auto"/>
                          <w:ind w:left="33" w:right="0"/>
                          <w:jc w:val="center"/>
                          <w:rPr>
                            <w:rFonts w:ascii="Arial" w:hAnsi="Arial" w:cs="Arial" w:eastAsia="Arial" w:hint="default"/>
                            <w:sz w:val="20"/>
                            <w:szCs w:val="20"/>
                          </w:rPr>
                        </w:pPr>
                        <w:r>
                          <w:rPr>
                            <w:rFonts w:ascii="Arial"/>
                            <w:sz w:val="20"/>
                          </w:rPr>
                          <w:t>(e)</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9"/>
                          <w:ind w:right="134"/>
                          <w:jc w:val="right"/>
                          <w:rPr>
                            <w:rFonts w:ascii="Arial" w:hAnsi="Arial" w:cs="Arial" w:eastAsia="Arial" w:hint="default"/>
                            <w:sz w:val="18"/>
                            <w:szCs w:val="18"/>
                          </w:rPr>
                        </w:pPr>
                        <w:r>
                          <w:rPr>
                            <w:rFonts w:ascii="Arial"/>
                            <w:w w:val="95"/>
                            <w:sz w:val="18"/>
                          </w:rPr>
                          <w:t>6.98</w:t>
                        </w:r>
                        <w:r>
                          <w:rPr>
                            <w:rFonts w:ascii="Arial"/>
                            <w:sz w:val="18"/>
                          </w:rPr>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9"/>
                          <w:ind w:right="4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9"/>
                            <w:sz w:val="18"/>
                            <w:u w:val="single" w:color="000000"/>
                          </w:rPr>
                          <w:t> </w:t>
                        </w:r>
                        <w:r>
                          <w:rPr>
                            <w:rFonts w:ascii="Arial"/>
                            <w:spacing w:val="-1"/>
                            <w:sz w:val="18"/>
                            <w:u w:val="single" w:color="000000"/>
                          </w:rPr>
                          <w:t>2,709,700</w:t>
                        </w:r>
                        <w:r>
                          <w:rPr>
                            <w:rFonts w:ascii="Arial"/>
                            <w:spacing w:val="-1"/>
                            <w:sz w:val="18"/>
                          </w:rPr>
                        </w:r>
                      </w:p>
                    </w:tc>
                    <w:tc>
                      <w:tcPr>
                        <w:tcW w:w="937" w:type="dxa"/>
                        <w:tcBorders>
                          <w:top w:val="nil" w:sz="6" w:space="0" w:color="auto"/>
                          <w:left w:val="nil" w:sz="6" w:space="0" w:color="auto"/>
                          <w:bottom w:val="nil" w:sz="6" w:space="0" w:color="auto"/>
                          <w:right w:val="nil" w:sz="6" w:space="0" w:color="auto"/>
                        </w:tcBorders>
                      </w:tcPr>
                      <w:p>
                        <w:pPr>
                          <w:pStyle w:val="TableParagraph"/>
                          <w:tabs>
                            <w:tab w:pos="331" w:val="left" w:leader="none"/>
                          </w:tabs>
                          <w:spacing w:line="240" w:lineRule="auto" w:before="125"/>
                          <w:ind w:right="-1"/>
                          <w:jc w:val="right"/>
                          <w:rPr>
                            <w:rFonts w:ascii="Arial" w:hAnsi="Arial" w:cs="Arial" w:eastAsia="Arial" w:hint="default"/>
                            <w:sz w:val="18"/>
                            <w:szCs w:val="18"/>
                          </w:rPr>
                        </w:pPr>
                        <w:r>
                          <w:rPr>
                            <w:rFonts w:ascii="Arial"/>
                            <w:sz w:val="18"/>
                          </w:rPr>
                          <w:t>(</w:t>
                        </w:r>
                        <w:r>
                          <w:rPr>
                            <w:rFonts w:ascii="Arial"/>
                            <w:sz w:val="18"/>
                            <w:u w:val="single" w:color="000000"/>
                          </w:rPr>
                          <w:t> </w:t>
                          <w:tab/>
                        </w:r>
                        <w:r>
                          <w:rPr>
                            <w:rFonts w:ascii="Arial"/>
                            <w:spacing w:val="-1"/>
                            <w:sz w:val="18"/>
                            <w:u w:val="single" w:color="000000"/>
                          </w:rPr>
                          <w:t>192,00</w:t>
                        </w:r>
                        <w:r>
                          <w:rPr>
                            <w:rFonts w:ascii="Arial"/>
                            <w:spacing w:val="-1"/>
                            <w:sz w:val="18"/>
                          </w:rPr>
                        </w:r>
                      </w:p>
                      <w:p>
                        <w:pPr>
                          <w:pStyle w:val="TableParagraph"/>
                          <w:spacing w:line="240" w:lineRule="auto" w:before="33"/>
                          <w:ind w:right="0"/>
                          <w:jc w:val="right"/>
                          <w:rPr>
                            <w:rFonts w:ascii="Arial" w:hAnsi="Arial" w:cs="Arial" w:eastAsia="Arial" w:hint="default"/>
                            <w:sz w:val="18"/>
                            <w:szCs w:val="18"/>
                          </w:rPr>
                        </w:pPr>
                        <w:r>
                          <w:rPr>
                            <w:rFonts w:ascii="Arial"/>
                            <w:w w:val="99"/>
                            <w:sz w:val="18"/>
                          </w:rPr>
                        </w:r>
                        <w:r>
                          <w:rPr>
                            <w:rFonts w:ascii="Arial"/>
                            <w:w w:val="99"/>
                            <w:sz w:val="18"/>
                            <w:u w:val="single" w:color="000000"/>
                          </w:rPr>
                          <w:t>0</w:t>
                        </w:r>
                        <w:r>
                          <w:rPr>
                            <w:rFonts w:ascii="Arial"/>
                            <w:w w:val="99"/>
                            <w:sz w:val="18"/>
                          </w:rPr>
                        </w:r>
                        <w:r>
                          <w:rPr>
                            <w:rFonts w:ascii="Arial"/>
                            <w:sz w:val="18"/>
                          </w:rPr>
                        </w:r>
                      </w:p>
                    </w:tc>
                    <w:tc>
                      <w:tcPr>
                        <w:tcW w:w="60"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tabs>
                            <w:tab w:pos="331" w:val="left" w:leader="none"/>
                          </w:tabs>
                          <w:spacing w:line="240" w:lineRule="auto" w:before="129"/>
                          <w:ind w:right="16"/>
                          <w:jc w:val="right"/>
                          <w:rPr>
                            <w:rFonts w:ascii="Arial" w:hAnsi="Arial" w:cs="Arial" w:eastAsia="Arial" w:hint="default"/>
                            <w:sz w:val="18"/>
                            <w:szCs w:val="18"/>
                          </w:rPr>
                        </w:pPr>
                        <w:r>
                          <w:rPr>
                            <w:rFonts w:ascii="Arial"/>
                            <w:sz w:val="18"/>
                          </w:rPr>
                          <w:t>(</w:t>
                        </w:r>
                        <w:r>
                          <w:rPr>
                            <w:rFonts w:ascii="Arial"/>
                            <w:sz w:val="18"/>
                            <w:u w:val="single" w:color="000000"/>
                          </w:rPr>
                          <w:t> </w:t>
                          <w:tab/>
                        </w:r>
                        <w:r>
                          <w:rPr>
                            <w:rFonts w:ascii="Arial"/>
                            <w:spacing w:val="-1"/>
                            <w:sz w:val="18"/>
                            <w:u w:val="single" w:color="000000"/>
                          </w:rPr>
                          <w:t>957,400</w:t>
                        </w:r>
                        <w:r>
                          <w:rPr>
                            <w:rFonts w:ascii="Arial"/>
                            <w:spacing w:val="-1"/>
                            <w:sz w:val="18"/>
                          </w:rPr>
                        </w:r>
                      </w:p>
                    </w:tc>
                    <w:tc>
                      <w:tcPr>
                        <w:tcW w:w="9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9"/>
                          <w:ind w:right="11"/>
                          <w:jc w:val="right"/>
                          <w:rPr>
                            <w:rFonts w:ascii="Arial" w:hAnsi="Arial" w:cs="Arial" w:eastAsia="Arial" w:hint="default"/>
                            <w:sz w:val="18"/>
                            <w:szCs w:val="18"/>
                          </w:rPr>
                        </w:pPr>
                        <w:r>
                          <w:rPr>
                            <w:rFonts w:ascii="Arial"/>
                            <w:sz w:val="18"/>
                          </w:rPr>
                          <w:t>(  </w:t>
                        </w:r>
                        <w:r>
                          <w:rPr>
                            <w:rFonts w:ascii="Arial"/>
                            <w:spacing w:val="27"/>
                            <w:sz w:val="18"/>
                          </w:rPr>
                          <w:t> </w:t>
                        </w:r>
                        <w:r>
                          <w:rPr>
                            <w:rFonts w:ascii="Arial"/>
                            <w:spacing w:val="27"/>
                            <w:sz w:val="18"/>
                            <w:u w:val="single" w:color="000000"/>
                          </w:rPr>
                          <w:t> </w:t>
                        </w:r>
                        <w:r>
                          <w:rPr>
                            <w:rFonts w:ascii="Arial"/>
                            <w:sz w:val="18"/>
                            <w:u w:val="single" w:color="000000"/>
                          </w:rPr>
                          <w:t>1,074,300</w:t>
                        </w:r>
                        <w:r>
                          <w:rPr>
                            <w:rFonts w:ascii="Arial"/>
                            <w:sz w:val="18"/>
                          </w:rPr>
                        </w:r>
                      </w:p>
                    </w:tc>
                    <w:tc>
                      <w:tcPr>
                        <w:tcW w:w="1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9"/>
                          <w:ind w:left="-2" w:right="0"/>
                          <w:jc w:val="left"/>
                          <w:rPr>
                            <w:rFonts w:ascii="Arial" w:hAnsi="Arial" w:cs="Arial" w:eastAsia="Arial" w:hint="default"/>
                            <w:sz w:val="18"/>
                            <w:szCs w:val="18"/>
                          </w:rPr>
                        </w:pPr>
                        <w:r>
                          <w:rPr>
                            <w:rFonts w:ascii="Arial"/>
                            <w:w w:val="99"/>
                            <w:sz w:val="18"/>
                          </w:rPr>
                          <w:t>)</w:t>
                        </w:r>
                        <w:r>
                          <w:rPr>
                            <w:rFonts w:ascii="Arial"/>
                            <w:sz w:val="18"/>
                          </w:rPr>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1" w:right="0"/>
                          <w:jc w:val="left"/>
                          <w:rPr>
                            <w:rFonts w:ascii="Arial" w:hAnsi="Arial" w:cs="Arial" w:eastAsia="Arial" w:hint="default"/>
                            <w:sz w:val="18"/>
                            <w:szCs w:val="18"/>
                          </w:rPr>
                        </w:pPr>
                        <w:r>
                          <w:rPr>
                            <w:rFonts w:ascii="Arial"/>
                            <w:w w:val="99"/>
                            <w:sz w:val="18"/>
                          </w:rPr>
                        </w:r>
                        <w:r>
                          <w:rPr>
                            <w:rFonts w:ascii="Arial"/>
                            <w:sz w:val="18"/>
                            <w:u w:val="single" w:color="000000"/>
                          </w:rPr>
                          <w:t>486,00</w:t>
                        </w:r>
                        <w:r>
                          <w:rPr>
                            <w:rFonts w:ascii="Arial"/>
                            <w:sz w:val="18"/>
                          </w:rPr>
                        </w:r>
                      </w:p>
                      <w:p>
                        <w:pPr>
                          <w:pStyle w:val="TableParagraph"/>
                          <w:spacing w:line="240" w:lineRule="auto" w:before="33"/>
                          <w:ind w:left="570" w:right="0"/>
                          <w:jc w:val="left"/>
                          <w:rPr>
                            <w:rFonts w:ascii="Arial" w:hAnsi="Arial" w:cs="Arial" w:eastAsia="Arial" w:hint="default"/>
                            <w:sz w:val="18"/>
                            <w:szCs w:val="18"/>
                          </w:rPr>
                        </w:pPr>
                        <w:r>
                          <w:rPr>
                            <w:rFonts w:ascii="Arial"/>
                            <w:w w:val="99"/>
                            <w:sz w:val="18"/>
                          </w:rPr>
                        </w:r>
                        <w:r>
                          <w:rPr>
                            <w:rFonts w:ascii="Arial"/>
                            <w:w w:val="99"/>
                            <w:sz w:val="18"/>
                            <w:u w:val="single" w:color="000000"/>
                          </w:rPr>
                          <w:t>0</w:t>
                        </w:r>
                        <w:r>
                          <w:rPr>
                            <w:rFonts w:ascii="Arial"/>
                            <w:w w:val="99"/>
                            <w:sz w:val="18"/>
                          </w:rPr>
                        </w:r>
                        <w:r>
                          <w:rPr>
                            <w:rFonts w:ascii="Arial"/>
                            <w:sz w:val="18"/>
                          </w:rPr>
                        </w:r>
                      </w:p>
                    </w:tc>
                  </w:tr>
                  <w:tr>
                    <w:trPr>
                      <w:trHeight w:val="698" w:hRule="exact"/>
                    </w:trPr>
                    <w:tc>
                      <w:tcPr>
                        <w:tcW w:w="1876"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942" w:type="dxa"/>
                        <w:tcBorders>
                          <w:top w:val="nil" w:sz="6" w:space="0" w:color="auto"/>
                          <w:left w:val="nil" w:sz="6" w:space="0" w:color="auto"/>
                          <w:bottom w:val="nil" w:sz="6" w:space="0" w:color="auto"/>
                          <w:right w:val="nil" w:sz="6" w:space="0" w:color="auto"/>
                        </w:tcBorders>
                      </w:tcPr>
                      <w:p>
                        <w:pP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right="44"/>
                          <w:jc w:val="right"/>
                          <w:rPr>
                            <w:rFonts w:ascii="Arial" w:hAnsi="Arial" w:cs="Arial" w:eastAsia="Arial" w:hint="default"/>
                            <w:sz w:val="18"/>
                            <w:szCs w:val="18"/>
                          </w:rPr>
                        </w:pPr>
                        <w:r>
                          <w:rPr>
                            <w:rFonts w:ascii="Arial"/>
                            <w:w w:val="100"/>
                            <w:sz w:val="18"/>
                          </w:rPr>
                        </w:r>
                        <w:r>
                          <w:rPr>
                            <w:rFonts w:ascii="Arial"/>
                            <w:w w:val="100"/>
                            <w:sz w:val="18"/>
                            <w:u w:val="thick" w:color="000000"/>
                          </w:rPr>
                          <w:t> </w:t>
                        </w:r>
                        <w:r>
                          <w:rPr>
                            <w:rFonts w:ascii="Arial"/>
                            <w:spacing w:val="-9"/>
                            <w:sz w:val="18"/>
                            <w:u w:val="thick" w:color="000000"/>
                          </w:rPr>
                          <w:t> </w:t>
                        </w:r>
                        <w:r>
                          <w:rPr>
                            <w:rFonts w:ascii="Arial"/>
                            <w:spacing w:val="-1"/>
                            <w:sz w:val="18"/>
                            <w:u w:val="thick" w:color="000000"/>
                          </w:rPr>
                          <w:t>3,459,700</w:t>
                        </w:r>
                        <w:r>
                          <w:rPr>
                            <w:rFonts w:ascii="Arial"/>
                            <w:spacing w:val="-1"/>
                            <w:sz w:val="18"/>
                          </w:rPr>
                        </w:r>
                      </w:p>
                    </w:tc>
                    <w:tc>
                      <w:tcPr>
                        <w:tcW w:w="93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right="-1"/>
                          <w:jc w:val="right"/>
                          <w:rPr>
                            <w:rFonts w:ascii="Arial" w:hAnsi="Arial" w:cs="Arial" w:eastAsia="Arial" w:hint="default"/>
                            <w:sz w:val="18"/>
                            <w:szCs w:val="18"/>
                          </w:rPr>
                        </w:pPr>
                        <w:r>
                          <w:rPr>
                            <w:rFonts w:ascii="Arial"/>
                            <w:sz w:val="18"/>
                          </w:rPr>
                          <w:t>(  </w:t>
                        </w:r>
                        <w:r>
                          <w:rPr>
                            <w:rFonts w:ascii="Arial"/>
                            <w:spacing w:val="27"/>
                            <w:sz w:val="18"/>
                          </w:rPr>
                          <w:t> </w:t>
                        </w:r>
                        <w:r>
                          <w:rPr>
                            <w:rFonts w:ascii="Arial"/>
                            <w:spacing w:val="27"/>
                            <w:sz w:val="18"/>
                            <w:u w:val="thick" w:color="000000"/>
                          </w:rPr>
                          <w:t> </w:t>
                        </w:r>
                        <w:r>
                          <w:rPr>
                            <w:rFonts w:ascii="Arial"/>
                            <w:sz w:val="18"/>
                            <w:u w:val="thick" w:color="000000"/>
                          </w:rPr>
                          <w:t>300,000</w:t>
                        </w:r>
                        <w:r>
                          <w:rPr>
                            <w:rFonts w:ascii="Arial"/>
                            <w:sz w:val="18"/>
                          </w:rPr>
                        </w:r>
                      </w:p>
                      <w:p>
                        <w:pPr>
                          <w:pStyle w:val="TableParagraph"/>
                          <w:spacing w:line="240" w:lineRule="auto" w:before="33"/>
                          <w:ind w:right="0"/>
                          <w:jc w:val="right"/>
                          <w:rPr>
                            <w:rFonts w:ascii="Arial" w:hAnsi="Arial" w:cs="Arial" w:eastAsia="Arial" w:hint="default"/>
                            <w:sz w:val="18"/>
                            <w:szCs w:val="18"/>
                          </w:rPr>
                        </w:pPr>
                        <w:r>
                          <w:rPr>
                            <w:rFonts w:ascii="Arial"/>
                            <w:w w:val="99"/>
                            <w:sz w:val="18"/>
                          </w:rPr>
                          <w:t>)</w:t>
                        </w:r>
                        <w:r>
                          <w:rPr>
                            <w:rFonts w:ascii="Arial"/>
                            <w:sz w:val="18"/>
                          </w:rPr>
                        </w:r>
                      </w:p>
                    </w:tc>
                    <w:tc>
                      <w:tcPr>
                        <w:tcW w:w="60" w:type="dxa"/>
                        <w:tcBorders>
                          <w:top w:val="nil" w:sz="6" w:space="0" w:color="auto"/>
                          <w:left w:val="nil" w:sz="6" w:space="0" w:color="auto"/>
                          <w:bottom w:val="nil" w:sz="6" w:space="0" w:color="auto"/>
                          <w:right w:val="nil" w:sz="6" w:space="0" w:color="auto"/>
                        </w:tcBorders>
                      </w:tcPr>
                      <w:p>
                        <w:pP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right="2"/>
                          <w:jc w:val="right"/>
                          <w:rPr>
                            <w:rFonts w:ascii="Arial" w:hAnsi="Arial" w:cs="Arial" w:eastAsia="Arial" w:hint="default"/>
                            <w:sz w:val="18"/>
                            <w:szCs w:val="18"/>
                          </w:rPr>
                        </w:pPr>
                        <w:r>
                          <w:rPr>
                            <w:rFonts w:ascii="Arial"/>
                            <w:spacing w:val="-1"/>
                            <w:sz w:val="18"/>
                          </w:rPr>
                          <w:t>(</w:t>
                        </w:r>
                        <w:r>
                          <w:rPr>
                            <w:rFonts w:ascii="Arial"/>
                            <w:spacing w:val="-1"/>
                            <w:sz w:val="18"/>
                            <w:u w:val="thick" w:color="000000"/>
                          </w:rPr>
                          <w:t>1,041,400</w:t>
                        </w:r>
                        <w:r>
                          <w:rPr>
                            <w:rFonts w:ascii="Arial"/>
                            <w:spacing w:val="-1"/>
                            <w:sz w:val="18"/>
                          </w:rPr>
                        </w:r>
                      </w:p>
                    </w:tc>
                    <w:tc>
                      <w:tcPr>
                        <w:tcW w:w="9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right="-2"/>
                          <w:jc w:val="right"/>
                          <w:rPr>
                            <w:rFonts w:ascii="Arial" w:hAnsi="Arial" w:cs="Arial" w:eastAsia="Arial" w:hint="default"/>
                            <w:sz w:val="18"/>
                            <w:szCs w:val="18"/>
                          </w:rPr>
                        </w:pPr>
                        <w:r>
                          <w:rPr>
                            <w:rFonts w:ascii="Arial"/>
                            <w:sz w:val="18"/>
                          </w:rPr>
                          <w:t>(  </w:t>
                        </w:r>
                        <w:r>
                          <w:rPr>
                            <w:rFonts w:ascii="Arial"/>
                            <w:spacing w:val="27"/>
                            <w:sz w:val="18"/>
                          </w:rPr>
                          <w:t> </w:t>
                        </w:r>
                        <w:r>
                          <w:rPr>
                            <w:rFonts w:ascii="Arial"/>
                            <w:spacing w:val="27"/>
                            <w:sz w:val="18"/>
                            <w:u w:val="thick" w:color="000000"/>
                          </w:rPr>
                          <w:t> </w:t>
                        </w:r>
                        <w:r>
                          <w:rPr>
                            <w:rFonts w:ascii="Arial"/>
                            <w:sz w:val="18"/>
                            <w:u w:val="thick" w:color="000000"/>
                          </w:rPr>
                          <w:t>1,632,300</w:t>
                        </w:r>
                        <w:r>
                          <w:rPr>
                            <w:rFonts w:ascii="Arial"/>
                            <w:sz w:val="18"/>
                          </w:rPr>
                        </w:r>
                      </w:p>
                    </w:tc>
                    <w:tc>
                      <w:tcPr>
                        <w:tcW w:w="1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0"/>
                          <w:ind w:right="0"/>
                          <w:jc w:val="left"/>
                          <w:rPr>
                            <w:rFonts w:ascii="黑体" w:hAnsi="黑体" w:cs="黑体" w:eastAsia="黑体" w:hint="default"/>
                            <w:sz w:val="20"/>
                            <w:szCs w:val="20"/>
                          </w:rPr>
                        </w:pPr>
                      </w:p>
                      <w:p>
                        <w:pPr>
                          <w:pStyle w:val="TableParagraph"/>
                          <w:spacing w:line="240" w:lineRule="auto"/>
                          <w:ind w:left="-2" w:right="0"/>
                          <w:jc w:val="left"/>
                          <w:rPr>
                            <w:rFonts w:ascii="Arial" w:hAnsi="Arial" w:cs="Arial" w:eastAsia="Arial" w:hint="default"/>
                            <w:sz w:val="18"/>
                            <w:szCs w:val="18"/>
                          </w:rPr>
                        </w:pPr>
                        <w:r>
                          <w:rPr>
                            <w:rFonts w:ascii="Arial"/>
                            <w:w w:val="99"/>
                            <w:sz w:val="18"/>
                          </w:rPr>
                          <w:t>)</w:t>
                        </w:r>
                        <w:r>
                          <w:rPr>
                            <w:rFonts w:ascii="Arial"/>
                            <w:sz w:val="18"/>
                          </w:rPr>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20"/>
                            <w:szCs w:val="20"/>
                          </w:rPr>
                        </w:pPr>
                      </w:p>
                      <w:p>
                        <w:pPr>
                          <w:pStyle w:val="TableParagraph"/>
                          <w:spacing w:line="240" w:lineRule="auto"/>
                          <w:ind w:left="121" w:right="0"/>
                          <w:jc w:val="left"/>
                          <w:rPr>
                            <w:rFonts w:ascii="Arial" w:hAnsi="Arial" w:cs="Arial" w:eastAsia="Arial" w:hint="default"/>
                            <w:sz w:val="18"/>
                            <w:szCs w:val="18"/>
                          </w:rPr>
                        </w:pPr>
                        <w:r>
                          <w:rPr>
                            <w:rFonts w:ascii="Arial"/>
                            <w:w w:val="99"/>
                            <w:sz w:val="18"/>
                          </w:rPr>
                        </w:r>
                        <w:r>
                          <w:rPr>
                            <w:rFonts w:ascii="Arial"/>
                            <w:sz w:val="18"/>
                            <w:u w:val="thick" w:color="000000"/>
                          </w:rPr>
                          <w:t>486,00</w:t>
                        </w:r>
                        <w:r>
                          <w:rPr>
                            <w:rFonts w:ascii="Arial"/>
                            <w:sz w:val="18"/>
                          </w:rPr>
                        </w:r>
                      </w:p>
                      <w:p>
                        <w:pPr>
                          <w:pStyle w:val="TableParagraph"/>
                          <w:spacing w:line="240" w:lineRule="auto" w:before="33"/>
                          <w:ind w:left="570" w:right="0"/>
                          <w:jc w:val="left"/>
                          <w:rPr>
                            <w:rFonts w:ascii="Arial" w:hAnsi="Arial" w:cs="Arial" w:eastAsia="Arial" w:hint="default"/>
                            <w:sz w:val="18"/>
                            <w:szCs w:val="18"/>
                          </w:rPr>
                        </w:pPr>
                        <w:r>
                          <w:rPr>
                            <w:rFonts w:ascii="Arial"/>
                            <w:w w:val="99"/>
                            <w:sz w:val="18"/>
                          </w:rPr>
                        </w:r>
                        <w:r>
                          <w:rPr>
                            <w:rFonts w:ascii="Arial"/>
                            <w:w w:val="99"/>
                            <w:sz w:val="18"/>
                            <w:u w:val="thick" w:color="000000"/>
                          </w:rPr>
                          <w:t>0</w:t>
                        </w:r>
                        <w:r>
                          <w:rPr>
                            <w:rFonts w:ascii="Arial"/>
                            <w:w w:val="99"/>
                            <w:sz w:val="18"/>
                          </w:rPr>
                        </w:r>
                        <w:r>
                          <w:rPr>
                            <w:rFonts w:ascii="Arial"/>
                            <w:sz w:val="18"/>
                          </w:rPr>
                        </w:r>
                      </w:p>
                    </w:tc>
                  </w:tr>
                </w:tbl>
                <w:p>
                  <w:pPr/>
                </w:p>
              </w:txbxContent>
            </v:textbox>
            <w10:wrap type="none"/>
          </v:shape>
        </w:pict>
      </w:r>
      <w:r>
        <w:rPr>
          <w:rFonts w:ascii="Arial"/>
          <w:sz w:val="18"/>
        </w:rPr>
        <w:t>)</w:t>
        <w:tab/>
        <w:t>)</w:t>
      </w:r>
    </w:p>
    <w:p>
      <w:pPr>
        <w:spacing w:line="240" w:lineRule="auto" w:before="1"/>
        <w:rPr>
          <w:rFonts w:ascii="Arial" w:hAnsi="Arial" w:cs="Arial" w:eastAsia="Arial" w:hint="default"/>
          <w:sz w:val="17"/>
          <w:szCs w:val="17"/>
        </w:rPr>
      </w:pPr>
    </w:p>
    <w:p>
      <w:pPr>
        <w:tabs>
          <w:tab w:pos="6544" w:val="left" w:leader="none"/>
        </w:tabs>
        <w:spacing w:before="77"/>
        <w:ind w:left="5315" w:right="0" w:firstLine="0"/>
        <w:jc w:val="left"/>
        <w:rPr>
          <w:rFonts w:ascii="Arial" w:hAnsi="Arial" w:cs="Arial" w:eastAsia="Arial" w:hint="default"/>
          <w:sz w:val="18"/>
          <w:szCs w:val="18"/>
        </w:rPr>
      </w:pPr>
      <w:r>
        <w:rPr>
          <w:rFonts w:ascii="Arial"/>
          <w:sz w:val="18"/>
        </w:rPr>
        <w:t>)</w:t>
        <w:tab/>
        <w:t>)</w:t>
      </w:r>
    </w:p>
    <w:p>
      <w:pPr>
        <w:spacing w:line="240" w:lineRule="auto" w:before="0"/>
        <w:rPr>
          <w:rFonts w:ascii="Arial" w:hAnsi="Arial" w:cs="Arial" w:eastAsia="Arial" w:hint="default"/>
          <w:sz w:val="20"/>
          <w:szCs w:val="20"/>
        </w:rPr>
      </w:pPr>
    </w:p>
    <w:p>
      <w:pPr>
        <w:spacing w:line="240" w:lineRule="auto" w:before="11"/>
        <w:rPr>
          <w:rFonts w:ascii="Arial" w:hAnsi="Arial" w:cs="Arial" w:eastAsia="Arial" w:hint="default"/>
          <w:sz w:val="17"/>
          <w:szCs w:val="17"/>
        </w:rPr>
      </w:pPr>
    </w:p>
    <w:p>
      <w:pPr>
        <w:tabs>
          <w:tab w:pos="6530" w:val="left" w:leader="none"/>
        </w:tabs>
        <w:spacing w:before="77"/>
        <w:ind w:left="5315" w:right="0" w:firstLine="0"/>
        <w:jc w:val="left"/>
        <w:rPr>
          <w:rFonts w:ascii="Arial" w:hAnsi="Arial" w:cs="Arial" w:eastAsia="Arial" w:hint="default"/>
          <w:sz w:val="18"/>
          <w:szCs w:val="18"/>
        </w:rPr>
      </w:pPr>
      <w:r>
        <w:rPr>
          <w:rFonts w:ascii="Arial"/>
          <w:sz w:val="18"/>
        </w:rPr>
        <w:t>)</w:t>
        <w:tab/>
        <w:t>)</w:t>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7"/>
        <w:rPr>
          <w:rFonts w:ascii="Arial" w:hAnsi="Arial" w:cs="Arial" w:eastAsia="Arial" w:hint="default"/>
          <w:sz w:val="22"/>
          <w:szCs w:val="22"/>
        </w:rPr>
      </w:pPr>
    </w:p>
    <w:p>
      <w:pPr>
        <w:spacing w:before="77"/>
        <w:ind w:left="0" w:right="2299" w:firstLine="0"/>
        <w:jc w:val="right"/>
        <w:rPr>
          <w:rFonts w:ascii="Arial" w:hAnsi="Arial" w:cs="Arial" w:eastAsia="Arial" w:hint="default"/>
          <w:sz w:val="18"/>
          <w:szCs w:val="18"/>
        </w:rPr>
      </w:pPr>
      <w:r>
        <w:rPr>
          <w:rFonts w:ascii="Arial"/>
          <w:w w:val="99"/>
          <w:sz w:val="18"/>
        </w:rPr>
        <w:t>)</w:t>
      </w:r>
      <w:r>
        <w:rPr>
          <w:rFonts w:ascii="Arial"/>
          <w:sz w:val="18"/>
        </w:rPr>
      </w:r>
    </w:p>
    <w:p>
      <w:pPr>
        <w:spacing w:line="240" w:lineRule="auto" w:before="0"/>
        <w:rPr>
          <w:rFonts w:ascii="Arial" w:hAnsi="Arial" w:cs="Arial" w:eastAsia="Arial" w:hint="default"/>
          <w:sz w:val="14"/>
          <w:szCs w:val="14"/>
        </w:rPr>
      </w:pPr>
    </w:p>
    <w:p>
      <w:pPr>
        <w:spacing w:before="37"/>
        <w:ind w:left="318" w:right="6353" w:firstLine="0"/>
        <w:jc w:val="left"/>
        <w:rPr>
          <w:rFonts w:ascii="黑体" w:hAnsi="黑体" w:cs="黑体" w:eastAsia="黑体" w:hint="default"/>
          <w:sz w:val="20"/>
          <w:szCs w:val="20"/>
        </w:rPr>
      </w:pPr>
      <w:r>
        <w:rPr>
          <w:rFonts w:ascii="Arial" w:hAnsi="Arial" w:cs="Arial" w:eastAsia="Arial" w:hint="default"/>
          <w:sz w:val="20"/>
          <w:szCs w:val="20"/>
        </w:rPr>
        <w:t>2018</w:t>
      </w:r>
      <w:r>
        <w:rPr>
          <w:rFonts w:ascii="Arial" w:hAnsi="Arial" w:cs="Arial" w:eastAsia="Arial" w:hint="default"/>
          <w:spacing w:val="-12"/>
          <w:sz w:val="20"/>
          <w:szCs w:val="20"/>
        </w:rPr>
        <w:t> </w:t>
      </w:r>
      <w:r>
        <w:rPr>
          <w:rFonts w:ascii="黑体" w:hAnsi="黑体" w:cs="黑体" w:eastAsia="黑体" w:hint="default"/>
          <w:sz w:val="20"/>
          <w:szCs w:val="20"/>
        </w:rPr>
        <w:t>年</w:t>
      </w:r>
    </w:p>
    <w:p>
      <w:pPr>
        <w:spacing w:line="240" w:lineRule="auto" w:before="6"/>
        <w:rPr>
          <w:rFonts w:ascii="黑体" w:hAnsi="黑体" w:cs="黑体" w:eastAsia="黑体" w:hint="default"/>
          <w:sz w:val="19"/>
          <w:szCs w:val="19"/>
        </w:rPr>
      </w:pPr>
    </w:p>
    <w:tbl>
      <w:tblPr>
        <w:tblW w:w="0" w:type="auto"/>
        <w:jc w:val="left"/>
        <w:tblInd w:w="118" w:type="dxa"/>
        <w:tblLayout w:type="fixed"/>
        <w:tblCellMar>
          <w:top w:w="0" w:type="dxa"/>
          <w:left w:w="0" w:type="dxa"/>
          <w:bottom w:w="0" w:type="dxa"/>
          <w:right w:w="0" w:type="dxa"/>
        </w:tblCellMar>
        <w:tblLook w:val="01E0"/>
      </w:tblPr>
      <w:tblGrid>
        <w:gridCol w:w="1876"/>
        <w:gridCol w:w="458"/>
        <w:gridCol w:w="898"/>
        <w:gridCol w:w="1061"/>
        <w:gridCol w:w="967"/>
        <w:gridCol w:w="891"/>
        <w:gridCol w:w="159"/>
        <w:gridCol w:w="1071"/>
        <w:gridCol w:w="221"/>
        <w:gridCol w:w="1074"/>
      </w:tblGrid>
      <w:tr>
        <w:trPr>
          <w:trHeight w:val="487"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77"/>
              <w:ind w:left="200" w:right="0"/>
              <w:jc w:val="left"/>
              <w:rPr>
                <w:rFonts w:ascii="黑体" w:hAnsi="黑体" w:cs="黑体" w:eastAsia="黑体" w:hint="default"/>
                <w:sz w:val="20"/>
                <w:szCs w:val="20"/>
              </w:rPr>
            </w:pPr>
            <w:r>
              <w:rPr>
                <w:rFonts w:ascii="黑体" w:hAnsi="黑体" w:cs="黑体" w:eastAsia="黑体" w:hint="default"/>
                <w:sz w:val="20"/>
                <w:szCs w:val="20"/>
              </w:rPr>
              <w:t>授予日期</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77"/>
              <w:ind w:left="44" w:right="0"/>
              <w:jc w:val="center"/>
              <w:rPr>
                <w:rFonts w:ascii="黑体" w:hAnsi="黑体" w:cs="黑体" w:eastAsia="黑体" w:hint="default"/>
                <w:sz w:val="20"/>
                <w:szCs w:val="20"/>
              </w:rPr>
            </w:pPr>
            <w:r>
              <w:rPr>
                <w:rFonts w:ascii="黑体" w:hAnsi="黑体" w:cs="黑体" w:eastAsia="黑体" w:hint="default"/>
                <w:sz w:val="20"/>
                <w:szCs w:val="20"/>
              </w:rPr>
              <w:t>附注</w:t>
            </w:r>
          </w:p>
        </w:tc>
        <w:tc>
          <w:tcPr>
            <w:tcW w:w="898" w:type="dxa"/>
            <w:tcBorders>
              <w:top w:val="nil" w:sz="6" w:space="0" w:color="auto"/>
              <w:left w:val="nil" w:sz="6" w:space="0" w:color="auto"/>
              <w:bottom w:val="nil" w:sz="6" w:space="0" w:color="auto"/>
              <w:right w:val="nil" w:sz="6" w:space="0" w:color="auto"/>
            </w:tcBorders>
          </w:tcPr>
          <w:p>
            <w:pPr>
              <w:pStyle w:val="TableParagraph"/>
              <w:spacing w:line="188" w:lineRule="exact"/>
              <w:ind w:left="5" w:right="0" w:firstLine="398"/>
              <w:jc w:val="left"/>
              <w:rPr>
                <w:rFonts w:ascii="黑体" w:hAnsi="黑体" w:cs="黑体" w:eastAsia="黑体" w:hint="default"/>
                <w:sz w:val="20"/>
                <w:szCs w:val="20"/>
              </w:rPr>
            </w:pPr>
            <w:r>
              <w:rPr>
                <w:rFonts w:ascii="黑体" w:hAnsi="黑体" w:cs="黑体" w:eastAsia="黑体" w:hint="default"/>
                <w:sz w:val="20"/>
                <w:szCs w:val="20"/>
              </w:rPr>
              <w:t>每股</w:t>
            </w:r>
          </w:p>
          <w:p>
            <w:pPr>
              <w:pStyle w:val="TableParagraph"/>
              <w:spacing w:line="251" w:lineRule="exact"/>
              <w:ind w:left="5" w:right="0"/>
              <w:jc w:val="left"/>
              <w:rPr>
                <w:rFonts w:ascii="黑体" w:hAnsi="黑体" w:cs="黑体" w:eastAsia="黑体" w:hint="default"/>
                <w:sz w:val="20"/>
                <w:szCs w:val="20"/>
              </w:rPr>
            </w:pPr>
            <w:r>
              <w:rPr>
                <w:rFonts w:ascii="黑体" w:hAnsi="黑体" w:cs="黑体" w:eastAsia="黑体" w:hint="default"/>
                <w:sz w:val="20"/>
                <w:szCs w:val="20"/>
              </w:rPr>
              <w:t>公允价值</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77"/>
              <w:ind w:right="108"/>
              <w:jc w:val="right"/>
              <w:rPr>
                <w:rFonts w:ascii="黑体" w:hAnsi="黑体" w:cs="黑体" w:eastAsia="黑体" w:hint="default"/>
                <w:sz w:val="20"/>
                <w:szCs w:val="20"/>
              </w:rPr>
            </w:pPr>
            <w:r>
              <w:rPr>
                <w:rFonts w:ascii="Arial" w:hAnsi="Arial" w:cs="Arial" w:eastAsia="Arial" w:hint="default"/>
                <w:sz w:val="20"/>
                <w:szCs w:val="20"/>
              </w:rPr>
              <w:t>2018</w:t>
            </w:r>
            <w:r>
              <w:rPr>
                <w:rFonts w:ascii="Arial" w:hAnsi="Arial" w:cs="Arial" w:eastAsia="Arial" w:hint="default"/>
                <w:spacing w:val="-12"/>
                <w:sz w:val="20"/>
                <w:szCs w:val="20"/>
              </w:rPr>
              <w:t> </w:t>
            </w:r>
            <w:r>
              <w:rPr>
                <w:rFonts w:ascii="黑体" w:hAnsi="黑体" w:cs="黑体" w:eastAsia="黑体" w:hint="default"/>
                <w:sz w:val="20"/>
                <w:szCs w:val="20"/>
              </w:rPr>
              <w:t>年</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177"/>
              <w:ind w:right="87"/>
              <w:jc w:val="right"/>
              <w:rPr>
                <w:rFonts w:ascii="黑体" w:hAnsi="黑体" w:cs="黑体" w:eastAsia="黑体" w:hint="default"/>
                <w:sz w:val="20"/>
                <w:szCs w:val="20"/>
              </w:rPr>
            </w:pPr>
            <w:r>
              <w:rPr>
                <w:rFonts w:ascii="黑体" w:hAnsi="黑体" w:cs="黑体" w:eastAsia="黑体" w:hint="default"/>
                <w:w w:val="95"/>
                <w:sz w:val="20"/>
                <w:szCs w:val="20"/>
              </w:rPr>
              <w:t>本年授予</w:t>
            </w:r>
            <w:r>
              <w:rPr>
                <w:rFonts w:ascii="黑体" w:hAnsi="黑体" w:cs="黑体" w:eastAsia="黑体" w:hint="default"/>
                <w:sz w:val="20"/>
                <w:szCs w:val="20"/>
              </w:rPr>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77"/>
              <w:ind w:right="0"/>
              <w:jc w:val="right"/>
              <w:rPr>
                <w:rFonts w:ascii="黑体" w:hAnsi="黑体" w:cs="黑体" w:eastAsia="黑体" w:hint="default"/>
                <w:sz w:val="20"/>
                <w:szCs w:val="20"/>
              </w:rPr>
            </w:pPr>
            <w:r>
              <w:rPr>
                <w:rFonts w:ascii="黑体" w:hAnsi="黑体" w:cs="黑体" w:eastAsia="黑体" w:hint="default"/>
                <w:w w:val="95"/>
                <w:sz w:val="20"/>
                <w:szCs w:val="20"/>
              </w:rPr>
              <w:t>本年失效</w:t>
            </w:r>
            <w:r>
              <w:rPr>
                <w:rFonts w:ascii="黑体" w:hAnsi="黑体" w:cs="黑体" w:eastAsia="黑体" w:hint="default"/>
                <w:sz w:val="20"/>
                <w:szCs w:val="20"/>
              </w:rPr>
            </w:r>
          </w:p>
        </w:tc>
        <w:tc>
          <w:tcPr>
            <w:tcW w:w="159"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77"/>
              <w:ind w:right="1"/>
              <w:jc w:val="right"/>
              <w:rPr>
                <w:rFonts w:ascii="黑体" w:hAnsi="黑体" w:cs="黑体" w:eastAsia="黑体" w:hint="default"/>
                <w:sz w:val="20"/>
                <w:szCs w:val="20"/>
              </w:rPr>
            </w:pPr>
            <w:r>
              <w:rPr>
                <w:rFonts w:ascii="黑体" w:hAnsi="黑体" w:cs="黑体" w:eastAsia="黑体" w:hint="default"/>
                <w:w w:val="95"/>
                <w:sz w:val="20"/>
                <w:szCs w:val="20"/>
              </w:rPr>
              <w:t>本年解锁</w:t>
            </w:r>
            <w:r>
              <w:rPr>
                <w:rFonts w:ascii="黑体" w:hAnsi="黑体" w:cs="黑体" w:eastAsia="黑体" w:hint="default"/>
                <w:sz w:val="20"/>
                <w:szCs w:val="20"/>
              </w:rPr>
            </w:r>
          </w:p>
        </w:tc>
        <w:tc>
          <w:tcPr>
            <w:tcW w:w="221" w:type="dxa"/>
            <w:tcBorders>
              <w:top w:val="nil" w:sz="6" w:space="0" w:color="auto"/>
              <w:left w:val="nil" w:sz="6" w:space="0" w:color="auto"/>
              <w:bottom w:val="nil" w:sz="6" w:space="0" w:color="auto"/>
              <w:right w:val="nil" w:sz="6" w:space="0" w:color="auto"/>
            </w:tcBorders>
          </w:tcPr>
          <w:p>
            <w:pP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77"/>
              <w:ind w:right="203"/>
              <w:jc w:val="right"/>
              <w:rPr>
                <w:rFonts w:ascii="黑体" w:hAnsi="黑体" w:cs="黑体" w:eastAsia="黑体" w:hint="default"/>
                <w:sz w:val="20"/>
                <w:szCs w:val="20"/>
              </w:rPr>
            </w:pPr>
            <w:r>
              <w:rPr>
                <w:rFonts w:ascii="Arial" w:hAnsi="Arial" w:cs="Arial" w:eastAsia="Arial" w:hint="default"/>
                <w:sz w:val="20"/>
                <w:szCs w:val="20"/>
              </w:rPr>
              <w:t>2018</w:t>
            </w:r>
            <w:r>
              <w:rPr>
                <w:rFonts w:ascii="Arial" w:hAnsi="Arial" w:cs="Arial" w:eastAsia="Arial" w:hint="default"/>
                <w:spacing w:val="-12"/>
                <w:sz w:val="20"/>
                <w:szCs w:val="20"/>
              </w:rPr>
              <w:t> </w:t>
            </w:r>
            <w:r>
              <w:rPr>
                <w:rFonts w:ascii="黑体" w:hAnsi="黑体" w:cs="黑体" w:eastAsia="黑体" w:hint="default"/>
                <w:sz w:val="20"/>
                <w:szCs w:val="20"/>
              </w:rPr>
              <w:t>年</w:t>
            </w:r>
          </w:p>
        </w:tc>
      </w:tr>
      <w:tr>
        <w:trPr>
          <w:trHeight w:val="426" w:hRule="exact"/>
        </w:trPr>
        <w:tc>
          <w:tcPr>
            <w:tcW w:w="1876"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898" w:type="dxa"/>
            <w:tcBorders>
              <w:top w:val="nil" w:sz="6" w:space="0" w:color="auto"/>
              <w:left w:val="nil" w:sz="6" w:space="0" w:color="auto"/>
              <w:bottom w:val="nil" w:sz="6" w:space="0" w:color="auto"/>
              <w:right w:val="nil" w:sz="6" w:space="0" w:color="auto"/>
            </w:tcBorders>
          </w:tcPr>
          <w:p>
            <w:pPr>
              <w:pStyle w:val="TableParagraph"/>
              <w:spacing w:line="238" w:lineRule="exact"/>
              <w:ind w:right="91"/>
              <w:jc w:val="right"/>
              <w:rPr>
                <w:rFonts w:ascii="黑体" w:hAnsi="黑体" w:cs="黑体" w:eastAsia="黑体" w:hint="default"/>
                <w:sz w:val="20"/>
                <w:szCs w:val="20"/>
              </w:rPr>
            </w:pPr>
            <w:r>
              <w:rPr>
                <w:rFonts w:ascii="黑体" w:hAnsi="黑体" w:cs="黑体" w:eastAsia="黑体" w:hint="default"/>
                <w:w w:val="95"/>
                <w:sz w:val="20"/>
                <w:szCs w:val="20"/>
              </w:rPr>
              <w:t>人民币元</w:t>
            </w:r>
            <w:r>
              <w:rPr>
                <w:rFonts w:ascii="黑体" w:hAnsi="黑体" w:cs="黑体" w:eastAsia="黑体" w:hint="default"/>
                <w:sz w:val="20"/>
                <w:szCs w:val="20"/>
              </w:rPr>
            </w:r>
          </w:p>
        </w:tc>
        <w:tc>
          <w:tcPr>
            <w:tcW w:w="1061" w:type="dxa"/>
            <w:tcBorders>
              <w:top w:val="nil" w:sz="6" w:space="0" w:color="auto"/>
              <w:left w:val="nil" w:sz="6" w:space="0" w:color="auto"/>
              <w:bottom w:val="nil" w:sz="6" w:space="0" w:color="auto"/>
              <w:right w:val="nil" w:sz="6" w:space="0" w:color="auto"/>
            </w:tcBorders>
          </w:tcPr>
          <w:p>
            <w:pPr>
              <w:pStyle w:val="TableParagraph"/>
              <w:spacing w:line="252" w:lineRule="exact"/>
              <w:ind w:right="77"/>
              <w:jc w:val="righ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月</w:t>
            </w:r>
            <w:r>
              <w:rPr>
                <w:rFonts w:ascii="黑体" w:hAnsi="黑体" w:cs="黑体" w:eastAsia="黑体" w:hint="default"/>
                <w:spacing w:val="-49"/>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日</w:t>
            </w:r>
          </w:p>
        </w:tc>
        <w:tc>
          <w:tcPr>
            <w:tcW w:w="967"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
        </w:tc>
        <w:tc>
          <w:tcPr>
            <w:tcW w:w="159"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
        </w:tc>
        <w:tc>
          <w:tcPr>
            <w:tcW w:w="1294" w:type="dxa"/>
            <w:gridSpan w:val="2"/>
            <w:tcBorders>
              <w:top w:val="nil" w:sz="6" w:space="0" w:color="auto"/>
              <w:left w:val="nil" w:sz="6" w:space="0" w:color="auto"/>
              <w:bottom w:val="nil" w:sz="6" w:space="0" w:color="auto"/>
              <w:right w:val="nil" w:sz="6" w:space="0" w:color="auto"/>
            </w:tcBorders>
          </w:tcPr>
          <w:p>
            <w:pPr>
              <w:pStyle w:val="TableParagraph"/>
              <w:spacing w:line="252" w:lineRule="exact"/>
              <w:ind w:left="97" w:right="0"/>
              <w:jc w:val="lef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黑体" w:hAnsi="黑体" w:cs="黑体" w:eastAsia="黑体" w:hint="default"/>
                <w:sz w:val="20"/>
                <w:szCs w:val="20"/>
              </w:rPr>
              <w:t>日</w:t>
            </w:r>
          </w:p>
        </w:tc>
      </w:tr>
      <w:tr>
        <w:trPr>
          <w:trHeight w:val="528"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200" w:right="0"/>
              <w:jc w:val="left"/>
              <w:rPr>
                <w:rFonts w:ascii="黑体" w:hAnsi="黑体" w:cs="黑体" w:eastAsia="黑体" w:hint="default"/>
                <w:sz w:val="20"/>
                <w:szCs w:val="20"/>
              </w:rPr>
            </w:pPr>
            <w:r>
              <w:rPr>
                <w:rFonts w:ascii="Arial" w:hAnsi="Arial" w:cs="Arial" w:eastAsia="Arial" w:hint="default"/>
                <w:sz w:val="20"/>
                <w:szCs w:val="20"/>
              </w:rPr>
              <w:t>2015</w:t>
            </w:r>
            <w:r>
              <w:rPr>
                <w:rFonts w:ascii="Arial" w:hAnsi="Arial" w:cs="Arial" w:eastAsia="Arial" w:hint="default"/>
                <w:spacing w:val="-8"/>
                <w:sz w:val="20"/>
                <w:szCs w:val="20"/>
              </w:rPr>
              <w:t> </w:t>
            </w:r>
            <w:r>
              <w:rPr>
                <w:rFonts w:ascii="黑体" w:hAnsi="黑体" w:cs="黑体" w:eastAsia="黑体" w:hint="default"/>
                <w:sz w:val="20"/>
                <w:szCs w:val="20"/>
              </w:rPr>
              <w:t>年</w:t>
            </w:r>
            <w:r>
              <w:rPr>
                <w:rFonts w:ascii="黑体" w:hAnsi="黑体" w:cs="黑体" w:eastAsia="黑体" w:hint="default"/>
                <w:spacing w:val="-50"/>
                <w:sz w:val="20"/>
                <w:szCs w:val="20"/>
              </w:rPr>
              <w:t> </w:t>
            </w:r>
            <w:r>
              <w:rPr>
                <w:rFonts w:ascii="Arial" w:hAnsi="Arial" w:cs="Arial" w:eastAsia="Arial" w:hint="default"/>
                <w:sz w:val="20"/>
                <w:szCs w:val="20"/>
              </w:rPr>
              <w:t>6</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0"/>
                <w:sz w:val="20"/>
                <w:szCs w:val="20"/>
              </w:rPr>
              <w:t> </w:t>
            </w:r>
            <w:r>
              <w:rPr>
                <w:rFonts w:ascii="Arial" w:hAnsi="Arial" w:cs="Arial" w:eastAsia="Arial" w:hint="default"/>
                <w:sz w:val="20"/>
                <w:szCs w:val="20"/>
              </w:rPr>
              <w:t>16</w:t>
            </w:r>
            <w:r>
              <w:rPr>
                <w:rFonts w:ascii="Arial" w:hAnsi="Arial" w:cs="Arial" w:eastAsia="Arial" w:hint="default"/>
                <w:spacing w:val="-8"/>
                <w:sz w:val="20"/>
                <w:szCs w:val="20"/>
              </w:rPr>
              <w:t> </w:t>
            </w:r>
            <w:r>
              <w:rPr>
                <w:rFonts w:ascii="黑体" w:hAnsi="黑体" w:cs="黑体" w:eastAsia="黑体" w:hint="default"/>
                <w:sz w:val="20"/>
                <w:szCs w:val="20"/>
              </w:rPr>
              <w:t>日</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62"/>
              <w:ind w:left="33" w:right="0"/>
              <w:jc w:val="center"/>
              <w:rPr>
                <w:rFonts w:ascii="Arial" w:hAnsi="Arial" w:cs="Arial" w:eastAsia="Arial" w:hint="default"/>
                <w:sz w:val="20"/>
                <w:szCs w:val="20"/>
              </w:rPr>
            </w:pPr>
            <w:r>
              <w:rPr>
                <w:rFonts w:ascii="Arial"/>
                <w:sz w:val="20"/>
              </w:rPr>
              <w:t>(a)</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94"/>
              <w:jc w:val="right"/>
              <w:rPr>
                <w:rFonts w:ascii="Arial" w:hAnsi="Arial" w:cs="Arial" w:eastAsia="Arial" w:hint="default"/>
                <w:sz w:val="20"/>
                <w:szCs w:val="20"/>
              </w:rPr>
            </w:pPr>
            <w:r>
              <w:rPr>
                <w:rFonts w:ascii="Arial"/>
                <w:w w:val="95"/>
                <w:sz w:val="20"/>
              </w:rPr>
              <w:t>24.60</w:t>
            </w:r>
            <w:r>
              <w:rPr>
                <w:rFonts w:ascii="Arial"/>
                <w:sz w:val="20"/>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79"/>
              <w:jc w:val="right"/>
              <w:rPr>
                <w:rFonts w:ascii="Arial" w:hAnsi="Arial" w:cs="Arial" w:eastAsia="Arial" w:hint="default"/>
                <w:sz w:val="20"/>
                <w:szCs w:val="20"/>
              </w:rPr>
            </w:pPr>
            <w:r>
              <w:rPr>
                <w:rFonts w:ascii="Arial"/>
                <w:w w:val="95"/>
                <w:sz w:val="20"/>
              </w:rPr>
              <w:t>4,648,000</w:t>
            </w:r>
            <w:r>
              <w:rPr>
                <w:rFonts w:ascii="Arial"/>
                <w:sz w:val="20"/>
              </w:rPr>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87"/>
              <w:jc w:val="right"/>
              <w:rPr>
                <w:rFonts w:ascii="Arial" w:hAnsi="Arial" w:cs="Arial" w:eastAsia="Arial" w:hint="default"/>
                <w:sz w:val="20"/>
                <w:szCs w:val="20"/>
              </w:rPr>
            </w:pPr>
            <w:r>
              <w:rPr>
                <w:rFonts w:ascii="Arial"/>
                <w:w w:val="99"/>
                <w:sz w:val="20"/>
              </w:rPr>
              <w:t>-</w:t>
            </w:r>
            <w:r>
              <w:rPr>
                <w:rFonts w:ascii="Arial"/>
                <w:sz w:val="20"/>
              </w:rPr>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0"/>
              <w:jc w:val="right"/>
              <w:rPr>
                <w:rFonts w:ascii="Arial" w:hAnsi="Arial" w:cs="Arial" w:eastAsia="Arial" w:hint="default"/>
                <w:sz w:val="20"/>
                <w:szCs w:val="20"/>
              </w:rPr>
            </w:pPr>
            <w:r>
              <w:rPr>
                <w:rFonts w:ascii="Arial"/>
                <w:spacing w:val="-1"/>
                <w:sz w:val="20"/>
              </w:rPr>
              <w:t>(102,000</w:t>
            </w:r>
          </w:p>
        </w:tc>
        <w:tc>
          <w:tcPr>
            <w:tcW w:w="159" w:type="dxa"/>
            <w:tcBorders>
              <w:top w:val="nil" w:sz="6" w:space="0" w:color="auto"/>
              <w:left w:val="nil" w:sz="6" w:space="0" w:color="auto"/>
              <w:bottom w:val="nil" w:sz="6" w:space="0" w:color="auto"/>
              <w:right w:val="nil" w:sz="6" w:space="0" w:color="auto"/>
            </w:tcBorders>
          </w:tcPr>
          <w:p>
            <w:pPr>
              <w:pStyle w:val="TableParagraph"/>
              <w:spacing w:line="240" w:lineRule="auto" w:before="162"/>
              <w:ind w:left="2" w:right="0"/>
              <w:jc w:val="left"/>
              <w:rPr>
                <w:rFonts w:ascii="Arial" w:hAnsi="Arial" w:cs="Arial" w:eastAsia="Arial" w:hint="default"/>
                <w:sz w:val="20"/>
                <w:szCs w:val="20"/>
              </w:rPr>
            </w:pPr>
            <w:r>
              <w:rPr>
                <w:rFonts w:ascii="Arial"/>
                <w:w w:val="99"/>
                <w:sz w:val="20"/>
              </w:rPr>
              <w:t>)</w:t>
            </w:r>
            <w:r>
              <w:rPr>
                <w:rFonts w:ascii="Arial"/>
                <w:sz w:val="20"/>
              </w:rPr>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1"/>
              <w:jc w:val="right"/>
              <w:rPr>
                <w:rFonts w:ascii="Arial" w:hAnsi="Arial" w:cs="Arial" w:eastAsia="Arial" w:hint="default"/>
                <w:sz w:val="20"/>
                <w:szCs w:val="20"/>
              </w:rPr>
            </w:pPr>
            <w:r>
              <w:rPr>
                <w:rFonts w:ascii="Arial"/>
                <w:spacing w:val="-1"/>
                <w:sz w:val="20"/>
              </w:rPr>
              <w:t>(4,546,000</w:t>
            </w:r>
          </w:p>
        </w:tc>
        <w:tc>
          <w:tcPr>
            <w:tcW w:w="221" w:type="dxa"/>
            <w:tcBorders>
              <w:top w:val="nil" w:sz="6" w:space="0" w:color="auto"/>
              <w:left w:val="nil" w:sz="6" w:space="0" w:color="auto"/>
              <w:bottom w:val="nil" w:sz="6" w:space="0" w:color="auto"/>
              <w:right w:val="nil" w:sz="6" w:space="0" w:color="auto"/>
            </w:tcBorders>
          </w:tcPr>
          <w:p>
            <w:pPr>
              <w:pStyle w:val="TableParagraph"/>
              <w:spacing w:line="240" w:lineRule="auto" w:before="162"/>
              <w:ind w:left="1" w:right="0"/>
              <w:jc w:val="left"/>
              <w:rPr>
                <w:rFonts w:ascii="Arial" w:hAnsi="Arial" w:cs="Arial" w:eastAsia="Arial" w:hint="default"/>
                <w:sz w:val="20"/>
                <w:szCs w:val="20"/>
              </w:rPr>
            </w:pPr>
            <w:r>
              <w:rPr>
                <w:rFonts w:ascii="Arial"/>
                <w:w w:val="99"/>
                <w:sz w:val="20"/>
              </w:rPr>
              <w:t>)</w:t>
            </w:r>
            <w:r>
              <w:rPr>
                <w:rFonts w:ascii="Arial"/>
                <w:sz w:val="20"/>
              </w:rPr>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199"/>
              <w:jc w:val="right"/>
              <w:rPr>
                <w:rFonts w:ascii="Arial" w:hAnsi="Arial" w:cs="Arial" w:eastAsia="Arial" w:hint="default"/>
                <w:sz w:val="20"/>
                <w:szCs w:val="20"/>
              </w:rPr>
            </w:pPr>
            <w:r>
              <w:rPr>
                <w:rFonts w:ascii="Arial"/>
                <w:w w:val="99"/>
                <w:sz w:val="20"/>
              </w:rPr>
              <w:t>-</w:t>
            </w:r>
            <w:r>
              <w:rPr>
                <w:rFonts w:ascii="Arial"/>
                <w:sz w:val="20"/>
              </w:rPr>
            </w:r>
          </w:p>
        </w:tc>
      </w:tr>
      <w:tr>
        <w:trPr>
          <w:trHeight w:val="618"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3"/>
                <w:szCs w:val="23"/>
              </w:rPr>
            </w:pPr>
          </w:p>
          <w:p>
            <w:pPr>
              <w:pStyle w:val="TableParagraph"/>
              <w:spacing w:line="240" w:lineRule="auto"/>
              <w:ind w:left="200" w:right="0"/>
              <w:jc w:val="left"/>
              <w:rPr>
                <w:rFonts w:ascii="黑体" w:hAnsi="黑体" w:cs="黑体" w:eastAsia="黑体" w:hint="default"/>
                <w:sz w:val="20"/>
                <w:szCs w:val="20"/>
              </w:rPr>
            </w:pPr>
            <w:r>
              <w:rPr>
                <w:rFonts w:ascii="Arial" w:hAnsi="Arial" w:cs="Arial" w:eastAsia="Arial" w:hint="default"/>
                <w:sz w:val="20"/>
                <w:szCs w:val="20"/>
              </w:rPr>
              <w:t>2016</w:t>
            </w:r>
            <w:r>
              <w:rPr>
                <w:rFonts w:ascii="Arial" w:hAnsi="Arial" w:cs="Arial" w:eastAsia="Arial" w:hint="default"/>
                <w:spacing w:val="-8"/>
                <w:sz w:val="20"/>
                <w:szCs w:val="20"/>
              </w:rPr>
              <w:t> </w:t>
            </w:r>
            <w:r>
              <w:rPr>
                <w:rFonts w:ascii="黑体" w:hAnsi="黑体" w:cs="黑体" w:eastAsia="黑体" w:hint="default"/>
                <w:sz w:val="20"/>
                <w:szCs w:val="20"/>
              </w:rPr>
              <w:t>年</w:t>
            </w:r>
            <w:r>
              <w:rPr>
                <w:rFonts w:ascii="黑体" w:hAnsi="黑体" w:cs="黑体" w:eastAsia="黑体" w:hint="default"/>
                <w:spacing w:val="-50"/>
                <w:sz w:val="20"/>
                <w:szCs w:val="20"/>
              </w:rPr>
              <w:t> </w:t>
            </w:r>
            <w:r>
              <w:rPr>
                <w:rFonts w:ascii="Arial" w:hAnsi="Arial" w:cs="Arial" w:eastAsia="Arial" w:hint="default"/>
                <w:sz w:val="20"/>
                <w:szCs w:val="20"/>
              </w:rPr>
              <w:t>3</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0"/>
                <w:sz w:val="20"/>
                <w:szCs w:val="20"/>
              </w:rPr>
              <w:t> </w:t>
            </w:r>
            <w:r>
              <w:rPr>
                <w:rFonts w:ascii="Arial" w:hAnsi="Arial" w:cs="Arial" w:eastAsia="Arial" w:hint="default"/>
                <w:sz w:val="20"/>
                <w:szCs w:val="20"/>
              </w:rPr>
              <w:t>31</w:t>
            </w:r>
            <w:r>
              <w:rPr>
                <w:rFonts w:ascii="Arial" w:hAnsi="Arial" w:cs="Arial" w:eastAsia="Arial" w:hint="default"/>
                <w:spacing w:val="-8"/>
                <w:sz w:val="20"/>
                <w:szCs w:val="20"/>
              </w:rPr>
              <w:t> </w:t>
            </w:r>
            <w:r>
              <w:rPr>
                <w:rFonts w:ascii="黑体" w:hAnsi="黑体" w:cs="黑体" w:eastAsia="黑体" w:hint="default"/>
                <w:sz w:val="20"/>
                <w:szCs w:val="20"/>
              </w:rPr>
              <w:t>日</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27"/>
                <w:szCs w:val="27"/>
              </w:rPr>
            </w:pPr>
          </w:p>
          <w:p>
            <w:pPr>
              <w:pStyle w:val="TableParagraph"/>
              <w:spacing w:line="240" w:lineRule="auto"/>
              <w:ind w:left="37" w:right="0"/>
              <w:jc w:val="center"/>
              <w:rPr>
                <w:rFonts w:ascii="Arial" w:hAnsi="Arial" w:cs="Arial" w:eastAsia="Arial" w:hint="default"/>
                <w:sz w:val="20"/>
                <w:szCs w:val="20"/>
              </w:rPr>
            </w:pPr>
            <w:r>
              <w:rPr>
                <w:rFonts w:ascii="Arial"/>
                <w:sz w:val="20"/>
              </w:rPr>
              <w:t>(c)</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27"/>
                <w:szCs w:val="27"/>
              </w:rPr>
            </w:pPr>
          </w:p>
          <w:p>
            <w:pPr>
              <w:pStyle w:val="TableParagraph"/>
              <w:spacing w:line="240" w:lineRule="auto"/>
              <w:ind w:right="94"/>
              <w:jc w:val="right"/>
              <w:rPr>
                <w:rFonts w:ascii="Arial" w:hAnsi="Arial" w:cs="Arial" w:eastAsia="Arial" w:hint="default"/>
                <w:sz w:val="20"/>
                <w:szCs w:val="20"/>
              </w:rPr>
            </w:pPr>
            <w:r>
              <w:rPr>
                <w:rFonts w:ascii="Arial"/>
                <w:spacing w:val="-1"/>
                <w:w w:val="95"/>
                <w:sz w:val="20"/>
              </w:rPr>
              <w:t>9.77</w:t>
            </w:r>
            <w:r>
              <w:rPr>
                <w:rFonts w:ascii="Arial"/>
                <w:sz w:val="20"/>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27"/>
                <w:szCs w:val="27"/>
              </w:rPr>
            </w:pPr>
          </w:p>
          <w:p>
            <w:pPr>
              <w:pStyle w:val="TableParagraph"/>
              <w:spacing w:line="240" w:lineRule="auto"/>
              <w:ind w:right="79"/>
              <w:jc w:val="right"/>
              <w:rPr>
                <w:rFonts w:ascii="Arial" w:hAnsi="Arial" w:cs="Arial" w:eastAsia="Arial" w:hint="default"/>
                <w:sz w:val="20"/>
                <w:szCs w:val="20"/>
              </w:rPr>
            </w:pPr>
            <w:r>
              <w:rPr>
                <w:rFonts w:ascii="Arial"/>
                <w:spacing w:val="-1"/>
                <w:sz w:val="20"/>
              </w:rPr>
              <w:t>857,500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27"/>
                <w:szCs w:val="27"/>
              </w:rPr>
            </w:pPr>
          </w:p>
          <w:p>
            <w:pPr>
              <w:pStyle w:val="TableParagraph"/>
              <w:spacing w:line="240" w:lineRule="auto"/>
              <w:ind w:right="87"/>
              <w:jc w:val="right"/>
              <w:rPr>
                <w:rFonts w:ascii="Arial" w:hAnsi="Arial" w:cs="Arial" w:eastAsia="Arial" w:hint="default"/>
                <w:sz w:val="20"/>
                <w:szCs w:val="20"/>
              </w:rPr>
            </w:pPr>
            <w:r>
              <w:rPr>
                <w:rFonts w:ascii="Arial"/>
                <w:w w:val="99"/>
                <w:sz w:val="20"/>
              </w:rPr>
              <w:t>-</w:t>
            </w:r>
            <w:r>
              <w:rPr>
                <w:rFonts w:ascii="Arial"/>
                <w:sz w:val="20"/>
              </w:rPr>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27"/>
                <w:szCs w:val="27"/>
              </w:rPr>
            </w:pPr>
          </w:p>
          <w:p>
            <w:pPr>
              <w:pStyle w:val="TableParagraph"/>
              <w:spacing w:line="240" w:lineRule="auto"/>
              <w:ind w:right="0"/>
              <w:jc w:val="right"/>
              <w:rPr>
                <w:rFonts w:ascii="Arial" w:hAnsi="Arial" w:cs="Arial" w:eastAsia="Arial" w:hint="default"/>
                <w:sz w:val="20"/>
                <w:szCs w:val="20"/>
              </w:rPr>
            </w:pPr>
            <w:r>
              <w:rPr>
                <w:rFonts w:ascii="Arial"/>
                <w:spacing w:val="-1"/>
                <w:sz w:val="20"/>
              </w:rPr>
              <w:t>(108,000</w:t>
            </w:r>
          </w:p>
        </w:tc>
        <w:tc>
          <w:tcPr>
            <w:tcW w:w="1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27"/>
                <w:szCs w:val="27"/>
              </w:rPr>
            </w:pPr>
          </w:p>
          <w:p>
            <w:pPr>
              <w:pStyle w:val="TableParagraph"/>
              <w:spacing w:line="240" w:lineRule="auto"/>
              <w:ind w:left="2" w:right="0"/>
              <w:jc w:val="left"/>
              <w:rPr>
                <w:rFonts w:ascii="Arial" w:hAnsi="Arial" w:cs="Arial" w:eastAsia="Arial" w:hint="default"/>
                <w:sz w:val="20"/>
                <w:szCs w:val="20"/>
              </w:rPr>
            </w:pPr>
            <w:r>
              <w:rPr>
                <w:rFonts w:ascii="Arial"/>
                <w:w w:val="99"/>
                <w:sz w:val="20"/>
              </w:rPr>
              <w:t>)</w:t>
            </w:r>
            <w:r>
              <w:rPr>
                <w:rFonts w:ascii="Arial"/>
                <w:sz w:val="20"/>
              </w:rPr>
            </w:r>
          </w:p>
        </w:tc>
        <w:tc>
          <w:tcPr>
            <w:tcW w:w="1071" w:type="dxa"/>
            <w:tcBorders>
              <w:top w:val="nil" w:sz="6" w:space="0" w:color="auto"/>
              <w:left w:val="nil" w:sz="6" w:space="0" w:color="auto"/>
              <w:bottom w:val="nil" w:sz="6" w:space="0" w:color="auto"/>
              <w:right w:val="nil" w:sz="6" w:space="0" w:color="auto"/>
            </w:tcBorders>
          </w:tcPr>
          <w:p>
            <w:pPr>
              <w:pStyle w:val="TableParagraph"/>
              <w:tabs>
                <w:tab w:pos="368" w:val="left" w:leader="none"/>
              </w:tabs>
              <w:spacing w:line="240" w:lineRule="auto" w:before="114"/>
              <w:ind w:right="2"/>
              <w:jc w:val="right"/>
              <w:rPr>
                <w:rFonts w:ascii="Arial" w:hAnsi="Arial" w:cs="Arial" w:eastAsia="Arial" w:hint="default"/>
                <w:sz w:val="20"/>
                <w:szCs w:val="20"/>
              </w:rPr>
            </w:pPr>
            <w:r>
              <w:rPr>
                <w:rFonts w:ascii="Arial"/>
                <w:w w:val="95"/>
                <w:sz w:val="20"/>
              </w:rPr>
              <w:t>(</w:t>
              <w:tab/>
            </w:r>
            <w:r>
              <w:rPr>
                <w:rFonts w:ascii="Arial"/>
                <w:spacing w:val="-1"/>
                <w:sz w:val="20"/>
              </w:rPr>
              <w:t>325,50</w:t>
            </w:r>
          </w:p>
          <w:p>
            <w:pPr>
              <w:pStyle w:val="TableParagraph"/>
              <w:spacing w:line="240" w:lineRule="auto" w:before="10"/>
              <w:ind w:right="0"/>
              <w:jc w:val="right"/>
              <w:rPr>
                <w:rFonts w:ascii="Arial" w:hAnsi="Arial" w:cs="Arial" w:eastAsia="Arial" w:hint="default"/>
                <w:sz w:val="20"/>
                <w:szCs w:val="20"/>
              </w:rPr>
            </w:pPr>
            <w:r>
              <w:rPr>
                <w:rFonts w:ascii="Arial"/>
                <w:w w:val="99"/>
                <w:sz w:val="20"/>
              </w:rPr>
              <w:t>0</w:t>
            </w:r>
            <w:r>
              <w:rPr>
                <w:rFonts w:ascii="Arial"/>
                <w:sz w:val="20"/>
              </w:rPr>
            </w:r>
          </w:p>
        </w:tc>
        <w:tc>
          <w:tcPr>
            <w:tcW w:w="22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27"/>
                <w:szCs w:val="27"/>
              </w:rPr>
            </w:pPr>
          </w:p>
          <w:p>
            <w:pPr>
              <w:pStyle w:val="TableParagraph"/>
              <w:spacing w:line="240" w:lineRule="auto"/>
              <w:ind w:left="1" w:right="0"/>
              <w:jc w:val="left"/>
              <w:rPr>
                <w:rFonts w:ascii="Arial" w:hAnsi="Arial" w:cs="Arial" w:eastAsia="Arial" w:hint="default"/>
                <w:sz w:val="20"/>
                <w:szCs w:val="20"/>
              </w:rPr>
            </w:pPr>
            <w:r>
              <w:rPr>
                <w:rFonts w:ascii="Arial"/>
                <w:w w:val="99"/>
                <w:sz w:val="20"/>
              </w:rPr>
              <w:t>)</w:t>
            </w:r>
            <w:r>
              <w:rPr>
                <w:rFonts w:ascii="Arial"/>
                <w:sz w:val="20"/>
              </w:rPr>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黑体" w:hAnsi="黑体" w:cs="黑体" w:eastAsia="黑体" w:hint="default"/>
                <w:sz w:val="27"/>
                <w:szCs w:val="27"/>
              </w:rPr>
            </w:pPr>
          </w:p>
          <w:p>
            <w:pPr>
              <w:pStyle w:val="TableParagraph"/>
              <w:spacing w:line="240" w:lineRule="auto"/>
              <w:ind w:right="199"/>
              <w:jc w:val="right"/>
              <w:rPr>
                <w:rFonts w:ascii="Arial" w:hAnsi="Arial" w:cs="Arial" w:eastAsia="Arial" w:hint="default"/>
                <w:sz w:val="20"/>
                <w:szCs w:val="20"/>
              </w:rPr>
            </w:pPr>
            <w:r>
              <w:rPr>
                <w:rFonts w:ascii="Arial"/>
                <w:w w:val="95"/>
                <w:sz w:val="20"/>
              </w:rPr>
              <w:t>424,000</w:t>
            </w:r>
            <w:r>
              <w:rPr>
                <w:rFonts w:ascii="Arial"/>
                <w:sz w:val="20"/>
              </w:rPr>
            </w:r>
          </w:p>
        </w:tc>
      </w:tr>
      <w:tr>
        <w:trPr>
          <w:trHeight w:val="247"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52" w:lineRule="exact"/>
              <w:ind w:left="200" w:right="0"/>
              <w:jc w:val="left"/>
              <w:rPr>
                <w:rFonts w:ascii="黑体" w:hAnsi="黑体" w:cs="黑体" w:eastAsia="黑体" w:hint="default"/>
                <w:sz w:val="20"/>
                <w:szCs w:val="20"/>
              </w:rPr>
            </w:pPr>
            <w:r>
              <w:rPr>
                <w:rFonts w:ascii="Arial" w:hAnsi="Arial" w:cs="Arial" w:eastAsia="Arial" w:hint="default"/>
                <w:sz w:val="20"/>
                <w:szCs w:val="20"/>
              </w:rPr>
              <w:t>2016</w:t>
            </w:r>
            <w:r>
              <w:rPr>
                <w:rFonts w:ascii="Arial" w:hAnsi="Arial" w:cs="Arial" w:eastAsia="Arial" w:hint="default"/>
                <w:spacing w:val="-8"/>
                <w:sz w:val="20"/>
                <w:szCs w:val="20"/>
              </w:rPr>
              <w:t> </w:t>
            </w:r>
            <w:r>
              <w:rPr>
                <w:rFonts w:ascii="黑体" w:hAnsi="黑体" w:cs="黑体" w:eastAsia="黑体" w:hint="default"/>
                <w:sz w:val="20"/>
                <w:szCs w:val="20"/>
              </w:rPr>
              <w:t>年</w:t>
            </w:r>
            <w:r>
              <w:rPr>
                <w:rFonts w:ascii="黑体" w:hAnsi="黑体" w:cs="黑体" w:eastAsia="黑体" w:hint="default"/>
                <w:spacing w:val="-50"/>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0"/>
                <w:sz w:val="20"/>
                <w:szCs w:val="20"/>
              </w:rPr>
              <w:t> </w:t>
            </w:r>
            <w:r>
              <w:rPr>
                <w:rFonts w:ascii="Arial" w:hAnsi="Arial" w:cs="Arial" w:eastAsia="Arial" w:hint="default"/>
                <w:sz w:val="20"/>
                <w:szCs w:val="20"/>
              </w:rPr>
              <w:t>6</w:t>
            </w:r>
            <w:r>
              <w:rPr>
                <w:rFonts w:ascii="Arial" w:hAnsi="Arial" w:cs="Arial" w:eastAsia="Arial" w:hint="default"/>
                <w:spacing w:val="-8"/>
                <w:sz w:val="20"/>
                <w:szCs w:val="20"/>
              </w:rPr>
              <w:t> </w:t>
            </w:r>
            <w:r>
              <w:rPr>
                <w:rFonts w:ascii="黑体" w:hAnsi="黑体" w:cs="黑体" w:eastAsia="黑体" w:hint="default"/>
                <w:sz w:val="20"/>
                <w:szCs w:val="20"/>
              </w:rPr>
              <w:t>日</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3" w:right="0"/>
              <w:jc w:val="center"/>
              <w:rPr>
                <w:rFonts w:ascii="Arial" w:hAnsi="Arial" w:cs="Arial" w:eastAsia="Arial" w:hint="default"/>
                <w:sz w:val="20"/>
                <w:szCs w:val="20"/>
              </w:rPr>
            </w:pPr>
            <w:r>
              <w:rPr>
                <w:rFonts w:ascii="Arial"/>
                <w:sz w:val="20"/>
              </w:rPr>
              <w:t>(d)</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4"/>
              <w:jc w:val="right"/>
              <w:rPr>
                <w:rFonts w:ascii="Arial" w:hAnsi="Arial" w:cs="Arial" w:eastAsia="Arial" w:hint="default"/>
                <w:sz w:val="20"/>
                <w:szCs w:val="20"/>
              </w:rPr>
            </w:pPr>
            <w:r>
              <w:rPr>
                <w:rFonts w:ascii="Arial"/>
                <w:spacing w:val="-1"/>
                <w:w w:val="95"/>
                <w:sz w:val="20"/>
              </w:rPr>
              <w:t>8.84</w:t>
            </w:r>
            <w:r>
              <w:rPr>
                <w:rFonts w:ascii="Arial"/>
                <w:sz w:val="20"/>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79"/>
              <w:jc w:val="right"/>
              <w:rPr>
                <w:rFonts w:ascii="Arial" w:hAnsi="Arial" w:cs="Arial" w:eastAsia="Arial" w:hint="default"/>
                <w:sz w:val="20"/>
                <w:szCs w:val="20"/>
              </w:rPr>
            </w:pPr>
            <w:r>
              <w:rPr>
                <w:rFonts w:ascii="Arial"/>
                <w:spacing w:val="-1"/>
                <w:sz w:val="20"/>
              </w:rPr>
              <w:t>885,500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87"/>
              <w:jc w:val="right"/>
              <w:rPr>
                <w:rFonts w:ascii="Arial" w:hAnsi="Arial" w:cs="Arial" w:eastAsia="Arial" w:hint="default"/>
                <w:sz w:val="20"/>
                <w:szCs w:val="20"/>
              </w:rPr>
            </w:pPr>
            <w:r>
              <w:rPr>
                <w:rFonts w:ascii="Arial"/>
                <w:w w:val="99"/>
                <w:sz w:val="20"/>
              </w:rPr>
              <w:t>-</w:t>
            </w:r>
            <w:r>
              <w:rPr>
                <w:rFonts w:ascii="Arial"/>
                <w:sz w:val="20"/>
              </w:rPr>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
              <w:jc w:val="right"/>
              <w:rPr>
                <w:rFonts w:ascii="Arial" w:hAnsi="Arial" w:cs="Arial" w:eastAsia="Arial" w:hint="default"/>
                <w:sz w:val="20"/>
                <w:szCs w:val="20"/>
              </w:rPr>
            </w:pPr>
            <w:r>
              <w:rPr>
                <w:rFonts w:ascii="Arial"/>
                <w:spacing w:val="-1"/>
                <w:sz w:val="20"/>
              </w:rPr>
              <w:t>(315,000</w:t>
            </w:r>
          </w:p>
        </w:tc>
        <w:tc>
          <w:tcPr>
            <w:tcW w:w="1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 w:right="0"/>
              <w:jc w:val="left"/>
              <w:rPr>
                <w:rFonts w:ascii="Arial" w:hAnsi="Arial" w:cs="Arial" w:eastAsia="Arial" w:hint="default"/>
                <w:sz w:val="20"/>
                <w:szCs w:val="20"/>
              </w:rPr>
            </w:pPr>
            <w:r>
              <w:rPr>
                <w:rFonts w:ascii="Arial"/>
                <w:w w:val="99"/>
                <w:sz w:val="20"/>
              </w:rPr>
              <w:t>)</w:t>
            </w:r>
            <w:r>
              <w:rPr>
                <w:rFonts w:ascii="Arial"/>
                <w:sz w:val="20"/>
              </w:rPr>
            </w:r>
          </w:p>
        </w:tc>
        <w:tc>
          <w:tcPr>
            <w:tcW w:w="1071" w:type="dxa"/>
            <w:tcBorders>
              <w:top w:val="nil" w:sz="6" w:space="0" w:color="auto"/>
              <w:left w:val="nil" w:sz="6" w:space="0" w:color="auto"/>
              <w:bottom w:val="nil" w:sz="6" w:space="0" w:color="auto"/>
              <w:right w:val="nil" w:sz="6" w:space="0" w:color="auto"/>
            </w:tcBorders>
          </w:tcPr>
          <w:p>
            <w:pPr/>
          </w:p>
        </w:tc>
        <w:tc>
          <w:tcPr>
            <w:tcW w:w="22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 w:right="0"/>
              <w:jc w:val="left"/>
              <w:rPr>
                <w:rFonts w:ascii="Arial" w:hAnsi="Arial" w:cs="Arial" w:eastAsia="Arial" w:hint="default"/>
                <w:sz w:val="20"/>
                <w:szCs w:val="20"/>
              </w:rPr>
            </w:pPr>
            <w:r>
              <w:rPr>
                <w:rFonts w:ascii="Arial"/>
                <w:w w:val="99"/>
                <w:sz w:val="20"/>
              </w:rPr>
              <w:t>)</w:t>
            </w:r>
            <w:r>
              <w:rPr>
                <w:rFonts w:ascii="Arial"/>
                <w:sz w:val="20"/>
              </w:rPr>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99"/>
              <w:jc w:val="right"/>
              <w:rPr>
                <w:rFonts w:ascii="Arial" w:hAnsi="Arial" w:cs="Arial" w:eastAsia="Arial" w:hint="default"/>
                <w:sz w:val="20"/>
                <w:szCs w:val="20"/>
              </w:rPr>
            </w:pPr>
            <w:r>
              <w:rPr>
                <w:rFonts w:ascii="Arial"/>
                <w:w w:val="95"/>
                <w:sz w:val="20"/>
              </w:rPr>
              <w:t>326,000</w:t>
            </w:r>
            <w:r>
              <w:rPr>
                <w:rFonts w:ascii="Arial"/>
                <w:sz w:val="20"/>
              </w:rPr>
            </w:r>
          </w:p>
        </w:tc>
      </w:tr>
    </w:tbl>
    <w:p>
      <w:pPr>
        <w:spacing w:after="0" w:line="240" w:lineRule="auto"/>
        <w:jc w:val="right"/>
        <w:rPr>
          <w:rFonts w:ascii="Arial" w:hAnsi="Arial" w:cs="Arial" w:eastAsia="Arial" w:hint="default"/>
          <w:sz w:val="20"/>
          <w:szCs w:val="20"/>
        </w:rPr>
        <w:sectPr>
          <w:pgSz w:w="11910" w:h="16850"/>
          <w:pgMar w:header="745" w:footer="921" w:top="980" w:bottom="1120" w:left="1480" w:right="1520"/>
        </w:sect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6"/>
          <w:szCs w:val="16"/>
        </w:rPr>
      </w:pPr>
    </w:p>
    <w:tbl>
      <w:tblPr>
        <w:tblW w:w="0" w:type="auto"/>
        <w:jc w:val="left"/>
        <w:tblInd w:w="198" w:type="dxa"/>
        <w:tblLayout w:type="fixed"/>
        <w:tblCellMar>
          <w:top w:w="0" w:type="dxa"/>
          <w:left w:w="0" w:type="dxa"/>
          <w:bottom w:w="0" w:type="dxa"/>
          <w:right w:w="0" w:type="dxa"/>
        </w:tblCellMar>
        <w:tblLook w:val="01E0"/>
      </w:tblPr>
      <w:tblGrid>
        <w:gridCol w:w="2233"/>
        <w:gridCol w:w="1053"/>
        <w:gridCol w:w="1374"/>
        <w:gridCol w:w="607"/>
        <w:gridCol w:w="882"/>
        <w:gridCol w:w="164"/>
        <w:gridCol w:w="1066"/>
        <w:gridCol w:w="138"/>
        <w:gridCol w:w="1157"/>
      </w:tblGrid>
      <w:tr>
        <w:trPr>
          <w:trHeight w:val="460" w:hRule="exact"/>
        </w:trPr>
        <w:tc>
          <w:tcPr>
            <w:tcW w:w="2233"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c>
          <w:tcPr>
            <w:tcW w:w="1374"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882" w:type="dxa"/>
            <w:tcBorders>
              <w:top w:val="nil" w:sz="6" w:space="0" w:color="auto"/>
              <w:left w:val="nil" w:sz="6" w:space="0" w:color="auto"/>
              <w:bottom w:val="nil" w:sz="6" w:space="0" w:color="auto"/>
              <w:right w:val="nil" w:sz="6" w:space="0" w:color="auto"/>
            </w:tcBorders>
          </w:tcPr>
          <w:p>
            <w:pPr/>
          </w:p>
        </w:tc>
        <w:tc>
          <w:tcPr>
            <w:tcW w:w="16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tabs>
                <w:tab w:pos="368" w:val="left" w:leader="none"/>
              </w:tabs>
              <w:spacing w:line="204" w:lineRule="exact"/>
              <w:ind w:right="0"/>
              <w:jc w:val="right"/>
              <w:rPr>
                <w:rFonts w:ascii="Arial" w:hAnsi="Arial" w:cs="Arial" w:eastAsia="Arial" w:hint="default"/>
                <w:sz w:val="20"/>
                <w:szCs w:val="20"/>
              </w:rPr>
            </w:pPr>
            <w:r>
              <w:rPr>
                <w:rFonts w:ascii="Arial"/>
                <w:w w:val="95"/>
                <w:sz w:val="20"/>
              </w:rPr>
              <w:t>(</w:t>
              <w:tab/>
            </w:r>
            <w:r>
              <w:rPr>
                <w:rFonts w:ascii="Arial"/>
                <w:spacing w:val="-1"/>
                <w:sz w:val="20"/>
              </w:rPr>
              <w:t>244,50</w:t>
            </w:r>
          </w:p>
          <w:p>
            <w:pPr>
              <w:pStyle w:val="TableParagraph"/>
              <w:spacing w:line="240" w:lineRule="auto" w:before="10"/>
              <w:ind w:right="-1"/>
              <w:jc w:val="right"/>
              <w:rPr>
                <w:rFonts w:ascii="Arial" w:hAnsi="Arial" w:cs="Arial" w:eastAsia="Arial" w:hint="default"/>
                <w:sz w:val="20"/>
                <w:szCs w:val="20"/>
              </w:rPr>
            </w:pPr>
            <w:r>
              <w:rPr>
                <w:rFonts w:ascii="Arial"/>
                <w:w w:val="99"/>
                <w:sz w:val="20"/>
              </w:rPr>
              <w:t>0</w:t>
            </w:r>
            <w:r>
              <w:rPr>
                <w:rFonts w:ascii="Arial"/>
                <w:sz w:val="20"/>
              </w:rPr>
            </w:r>
          </w:p>
        </w:tc>
        <w:tc>
          <w:tcPr>
            <w:tcW w:w="138"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r>
      <w:tr>
        <w:trPr>
          <w:trHeight w:val="240" w:hRule="exact"/>
        </w:trPr>
        <w:tc>
          <w:tcPr>
            <w:tcW w:w="2233" w:type="dxa"/>
            <w:tcBorders>
              <w:top w:val="nil" w:sz="6" w:space="0" w:color="auto"/>
              <w:left w:val="nil" w:sz="6" w:space="0" w:color="auto"/>
              <w:bottom w:val="nil" w:sz="6" w:space="0" w:color="auto"/>
              <w:right w:val="nil" w:sz="6" w:space="0" w:color="auto"/>
            </w:tcBorders>
          </w:tcPr>
          <w:p>
            <w:pPr>
              <w:pStyle w:val="TableParagraph"/>
              <w:spacing w:line="224" w:lineRule="exact"/>
              <w:ind w:right="-11"/>
              <w:jc w:val="right"/>
              <w:rPr>
                <w:rFonts w:ascii="Arial" w:hAnsi="Arial" w:cs="Arial" w:eastAsia="Arial" w:hint="default"/>
                <w:sz w:val="20"/>
                <w:szCs w:val="20"/>
              </w:rPr>
            </w:pPr>
            <w:r>
              <w:rPr>
                <w:rFonts w:ascii="Arial"/>
                <w:w w:val="95"/>
                <w:sz w:val="20"/>
              </w:rPr>
              <w:t>(e)</w:t>
            </w:r>
            <w:r>
              <w:rPr>
                <w:rFonts w:ascii="Arial"/>
                <w:sz w:val="20"/>
              </w:rPr>
            </w:r>
          </w:p>
        </w:tc>
        <w:tc>
          <w:tcPr>
            <w:tcW w:w="1053" w:type="dxa"/>
            <w:tcBorders>
              <w:top w:val="nil" w:sz="6" w:space="0" w:color="auto"/>
              <w:left w:val="nil" w:sz="6" w:space="0" w:color="auto"/>
              <w:bottom w:val="nil" w:sz="6" w:space="0" w:color="auto"/>
              <w:right w:val="nil" w:sz="6" w:space="0" w:color="auto"/>
            </w:tcBorders>
          </w:tcPr>
          <w:p>
            <w:pPr/>
          </w:p>
        </w:tc>
        <w:tc>
          <w:tcPr>
            <w:tcW w:w="1374"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882" w:type="dxa"/>
            <w:tcBorders>
              <w:top w:val="nil" w:sz="6" w:space="0" w:color="auto"/>
              <w:left w:val="nil" w:sz="6" w:space="0" w:color="auto"/>
              <w:bottom w:val="nil" w:sz="6" w:space="0" w:color="auto"/>
              <w:right w:val="nil" w:sz="6" w:space="0" w:color="auto"/>
            </w:tcBorders>
          </w:tcPr>
          <w:p>
            <w:pPr/>
          </w:p>
        </w:tc>
        <w:tc>
          <w:tcPr>
            <w:tcW w:w="16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138"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r>
      <w:tr>
        <w:trPr>
          <w:trHeight w:val="644" w:hRule="exact"/>
        </w:trPr>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黑体" w:hAnsi="黑体" w:cs="黑体" w:eastAsia="黑体" w:hint="default"/>
                <w:sz w:val="14"/>
                <w:szCs w:val="14"/>
              </w:rPr>
            </w:pPr>
          </w:p>
          <w:p>
            <w:pPr>
              <w:pStyle w:val="TableParagraph"/>
              <w:spacing w:line="240" w:lineRule="auto"/>
              <w:ind w:left="200" w:right="0"/>
              <w:jc w:val="left"/>
              <w:rPr>
                <w:rFonts w:ascii="黑体" w:hAnsi="黑体" w:cs="黑体" w:eastAsia="黑体" w:hint="default"/>
                <w:sz w:val="20"/>
                <w:szCs w:val="20"/>
              </w:rPr>
            </w:pPr>
            <w:r>
              <w:rPr>
                <w:rFonts w:ascii="Arial" w:hAnsi="Arial" w:cs="Arial" w:eastAsia="Arial" w:hint="default"/>
                <w:sz w:val="20"/>
                <w:szCs w:val="20"/>
              </w:rPr>
              <w:t>2017</w:t>
            </w:r>
            <w:r>
              <w:rPr>
                <w:rFonts w:ascii="Arial" w:hAnsi="Arial" w:cs="Arial" w:eastAsia="Arial" w:hint="default"/>
                <w:spacing w:val="-8"/>
                <w:sz w:val="20"/>
                <w:szCs w:val="20"/>
              </w:rPr>
              <w:t> </w:t>
            </w:r>
            <w:r>
              <w:rPr>
                <w:rFonts w:ascii="黑体" w:hAnsi="黑体" w:cs="黑体" w:eastAsia="黑体" w:hint="default"/>
                <w:sz w:val="20"/>
                <w:szCs w:val="20"/>
              </w:rPr>
              <w:t>年</w:t>
            </w:r>
            <w:r>
              <w:rPr>
                <w:rFonts w:ascii="黑体" w:hAnsi="黑体" w:cs="黑体" w:eastAsia="黑体" w:hint="default"/>
                <w:spacing w:val="-50"/>
                <w:sz w:val="20"/>
                <w:szCs w:val="20"/>
              </w:rPr>
              <w:t> </w:t>
            </w:r>
            <w:r>
              <w:rPr>
                <w:rFonts w:ascii="Arial" w:hAnsi="Arial" w:cs="Arial" w:eastAsia="Arial" w:hint="default"/>
                <w:sz w:val="20"/>
                <w:szCs w:val="20"/>
              </w:rPr>
              <w:t>6</w:t>
            </w:r>
            <w:r>
              <w:rPr>
                <w:rFonts w:ascii="Arial" w:hAnsi="Arial" w:cs="Arial" w:eastAsia="Arial" w:hint="default"/>
                <w:spacing w:val="-8"/>
                <w:sz w:val="20"/>
                <w:szCs w:val="20"/>
              </w:rPr>
              <w:t> </w:t>
            </w:r>
            <w:r>
              <w:rPr>
                <w:rFonts w:ascii="黑体" w:hAnsi="黑体" w:cs="黑体" w:eastAsia="黑体" w:hint="default"/>
                <w:sz w:val="20"/>
                <w:szCs w:val="20"/>
              </w:rPr>
              <w:t>月</w:t>
            </w:r>
            <w:r>
              <w:rPr>
                <w:rFonts w:ascii="黑体" w:hAnsi="黑体" w:cs="黑体" w:eastAsia="黑体" w:hint="default"/>
                <w:spacing w:val="-50"/>
                <w:sz w:val="20"/>
                <w:szCs w:val="20"/>
              </w:rPr>
              <w:t> </w:t>
            </w:r>
            <w:r>
              <w:rPr>
                <w:rFonts w:ascii="Arial" w:hAnsi="Arial" w:cs="Arial" w:eastAsia="Arial" w:hint="default"/>
                <w:sz w:val="20"/>
                <w:szCs w:val="20"/>
              </w:rPr>
              <w:t>5</w:t>
            </w:r>
            <w:r>
              <w:rPr>
                <w:rFonts w:ascii="Arial" w:hAnsi="Arial" w:cs="Arial" w:eastAsia="Arial" w:hint="default"/>
                <w:spacing w:val="-8"/>
                <w:sz w:val="20"/>
                <w:szCs w:val="20"/>
              </w:rPr>
              <w:t> </w:t>
            </w:r>
            <w:r>
              <w:rPr>
                <w:rFonts w:ascii="黑体" w:hAnsi="黑体" w:cs="黑体" w:eastAsia="黑体" w:hint="default"/>
                <w:sz w:val="20"/>
                <w:szCs w:val="20"/>
              </w:rPr>
              <w:t>日</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7"/>
                <w:szCs w:val="17"/>
              </w:rPr>
            </w:pPr>
          </w:p>
          <w:p>
            <w:pPr>
              <w:pStyle w:val="TableParagraph"/>
              <w:spacing w:line="240" w:lineRule="auto"/>
              <w:ind w:left="516" w:right="0"/>
              <w:jc w:val="left"/>
              <w:rPr>
                <w:rFonts w:ascii="Arial" w:hAnsi="Arial" w:cs="Arial" w:eastAsia="Arial" w:hint="default"/>
                <w:sz w:val="20"/>
                <w:szCs w:val="20"/>
              </w:rPr>
            </w:pPr>
            <w:r>
              <w:rPr>
                <w:rFonts w:ascii="Arial"/>
                <w:sz w:val="20"/>
              </w:rPr>
              <w:t>6.98</w:t>
            </w:r>
          </w:p>
        </w:tc>
        <w:tc>
          <w:tcPr>
            <w:tcW w:w="1374" w:type="dxa"/>
            <w:tcBorders>
              <w:top w:val="nil" w:sz="6" w:space="0" w:color="auto"/>
              <w:left w:val="nil" w:sz="6" w:space="0" w:color="auto"/>
              <w:bottom w:val="nil" w:sz="6" w:space="0" w:color="auto"/>
              <w:right w:val="nil" w:sz="6" w:space="0" w:color="auto"/>
            </w:tcBorders>
          </w:tcPr>
          <w:p>
            <w:pPr>
              <w:pStyle w:val="TableParagraph"/>
              <w:spacing w:line="224" w:lineRule="exact"/>
              <w:ind w:left="-52" w:right="0"/>
              <w:jc w:val="left"/>
              <w:rPr>
                <w:rFonts w:ascii="Arial" w:hAnsi="Arial" w:cs="Arial" w:eastAsia="Arial" w:hint="default"/>
                <w:sz w:val="20"/>
                <w:szCs w:val="20"/>
              </w:rPr>
            </w:pPr>
            <w:r>
              <w:rPr>
                <w:rFonts w:ascii="Arial"/>
                <w:w w:val="99"/>
                <w:sz w:val="20"/>
              </w:rPr>
            </w:r>
            <w:r>
              <w:rPr>
                <w:rFonts w:ascii="Arial"/>
                <w:w w:val="99"/>
                <w:sz w:val="20"/>
                <w:u w:val="single" w:color="000000"/>
              </w:rPr>
              <w:t> </w:t>
            </w:r>
            <w:r>
              <w:rPr>
                <w:rFonts w:ascii="Arial"/>
                <w:sz w:val="20"/>
                <w:u w:val="single" w:color="000000"/>
              </w:rPr>
              <w:t>  </w:t>
            </w:r>
            <w:r>
              <w:rPr>
                <w:rFonts w:ascii="Arial"/>
                <w:spacing w:val="-21"/>
                <w:sz w:val="20"/>
                <w:u w:val="single" w:color="000000"/>
              </w:rPr>
              <w:t> </w:t>
            </w:r>
            <w:r>
              <w:rPr>
                <w:rFonts w:ascii="Arial"/>
                <w:sz w:val="20"/>
                <w:u w:val="single" w:color="000000"/>
              </w:rPr>
              <w:t>3,996,00</w:t>
            </w:r>
            <w:r>
              <w:rPr>
                <w:rFonts w:ascii="Arial"/>
                <w:sz w:val="20"/>
              </w:rPr>
            </w:r>
          </w:p>
          <w:p>
            <w:pPr>
              <w:pStyle w:val="TableParagraph"/>
              <w:tabs>
                <w:tab w:pos="1820" w:val="left" w:leader="none"/>
              </w:tabs>
              <w:spacing w:line="240" w:lineRule="auto" w:before="10"/>
              <w:ind w:left="817" w:right="-447"/>
              <w:jc w:val="left"/>
              <w:rPr>
                <w:rFonts w:ascii="Arial" w:hAnsi="Arial" w:cs="Arial" w:eastAsia="Arial" w:hint="default"/>
                <w:sz w:val="20"/>
                <w:szCs w:val="20"/>
              </w:rPr>
            </w:pPr>
            <w:r>
              <w:rPr>
                <w:rFonts w:ascii="Arial"/>
                <w:w w:val="99"/>
                <w:sz w:val="20"/>
              </w:rPr>
            </w:r>
            <w:r>
              <w:rPr>
                <w:rFonts w:ascii="Arial"/>
                <w:sz w:val="20"/>
                <w:u w:val="single" w:color="000000"/>
              </w:rPr>
              <w:t>0</w:t>
            </w:r>
            <w:r>
              <w:rPr>
                <w:rFonts w:ascii="Arial"/>
                <w:sz w:val="20"/>
              </w:rPr>
              <w:t> </w:t>
            </w:r>
            <w:r>
              <w:rPr>
                <w:rFonts w:ascii="Arial"/>
                <w:spacing w:val="-21"/>
                <w:sz w:val="20"/>
              </w:rPr>
              <w:t> </w:t>
            </w:r>
            <w:r>
              <w:rPr>
                <w:rFonts w:ascii="Arial"/>
                <w:spacing w:val="-21"/>
                <w:w w:val="99"/>
                <w:sz w:val="20"/>
              </w:rPr>
            </w:r>
            <w:r>
              <w:rPr>
                <w:rFonts w:ascii="Arial"/>
                <w:w w:val="99"/>
                <w:sz w:val="20"/>
                <w:u w:val="single" w:color="000000"/>
              </w:rPr>
              <w:t> </w:t>
            </w:r>
            <w:r>
              <w:rPr>
                <w:rFonts w:ascii="Arial"/>
                <w:sz w:val="20"/>
                <w:u w:val="single" w:color="000000"/>
              </w:rPr>
              <w:tab/>
            </w:r>
            <w:r>
              <w:rPr>
                <w:rFonts w:ascii="Arial"/>
                <w:sz w:val="20"/>
              </w:rPr>
            </w: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7"/>
                <w:szCs w:val="17"/>
              </w:rPr>
            </w:pPr>
          </w:p>
          <w:p>
            <w:pPr>
              <w:pStyle w:val="TableParagraph"/>
              <w:spacing w:line="240" w:lineRule="auto"/>
              <w:ind w:right="92"/>
              <w:jc w:val="right"/>
              <w:rPr>
                <w:rFonts w:ascii="Arial" w:hAnsi="Arial" w:cs="Arial" w:eastAsia="Arial" w:hint="default"/>
                <w:sz w:val="20"/>
                <w:szCs w:val="20"/>
              </w:rPr>
            </w:pPr>
            <w:r>
              <w:rPr>
                <w:rFonts w:ascii="Arial"/>
                <w:w w:val="99"/>
                <w:sz w:val="20"/>
              </w:rPr>
            </w:r>
            <w:r>
              <w:rPr>
                <w:rFonts w:ascii="Arial"/>
                <w:w w:val="99"/>
                <w:sz w:val="20"/>
                <w:u w:val="single" w:color="000000"/>
              </w:rPr>
              <w:t>-</w:t>
            </w:r>
            <w:r>
              <w:rPr>
                <w:rFonts w:ascii="Arial"/>
                <w:w w:val="99"/>
                <w:sz w:val="20"/>
              </w:rPr>
            </w:r>
            <w:r>
              <w:rPr>
                <w:rFonts w:ascii="Arial"/>
                <w:sz w:val="20"/>
              </w:rPr>
            </w:r>
          </w:p>
        </w:tc>
        <w:tc>
          <w:tcPr>
            <w:tcW w:w="882" w:type="dxa"/>
            <w:tcBorders>
              <w:top w:val="nil" w:sz="6" w:space="0" w:color="auto"/>
              <w:left w:val="nil" w:sz="6" w:space="0" w:color="auto"/>
              <w:bottom w:val="nil" w:sz="6" w:space="0" w:color="auto"/>
              <w:right w:val="nil" w:sz="6" w:space="0" w:color="auto"/>
            </w:tcBorders>
          </w:tcPr>
          <w:p>
            <w:pPr>
              <w:pStyle w:val="TableParagraph"/>
              <w:spacing w:line="224" w:lineRule="exact"/>
              <w:ind w:right="1"/>
              <w:jc w:val="right"/>
              <w:rPr>
                <w:rFonts w:ascii="Arial" w:hAnsi="Arial" w:cs="Arial" w:eastAsia="Arial" w:hint="default"/>
                <w:sz w:val="20"/>
                <w:szCs w:val="20"/>
              </w:rPr>
            </w:pPr>
            <w:r>
              <w:rPr>
                <w:rFonts w:ascii="Arial"/>
                <w:sz w:val="20"/>
              </w:rPr>
              <w:t>(  </w:t>
            </w:r>
            <w:r>
              <w:rPr>
                <w:rFonts w:ascii="Arial"/>
                <w:spacing w:val="47"/>
                <w:sz w:val="20"/>
              </w:rPr>
              <w:t> </w:t>
            </w:r>
            <w:r>
              <w:rPr>
                <w:rFonts w:ascii="Arial"/>
                <w:spacing w:val="47"/>
                <w:sz w:val="20"/>
                <w:u w:val="single" w:color="000000"/>
              </w:rPr>
              <w:t> </w:t>
            </w:r>
            <w:r>
              <w:rPr>
                <w:rFonts w:ascii="Arial"/>
                <w:sz w:val="20"/>
                <w:u w:val="single" w:color="000000"/>
              </w:rPr>
              <w:t>87,5</w:t>
            </w:r>
            <w:r>
              <w:rPr>
                <w:rFonts w:ascii="Arial"/>
                <w:sz w:val="20"/>
              </w:rPr>
            </w:r>
          </w:p>
          <w:p>
            <w:pPr>
              <w:pStyle w:val="TableParagraph"/>
              <w:spacing w:line="240" w:lineRule="auto" w:before="10"/>
              <w:ind w:right="1"/>
              <w:jc w:val="right"/>
              <w:rPr>
                <w:rFonts w:ascii="Arial" w:hAnsi="Arial" w:cs="Arial" w:eastAsia="Arial" w:hint="default"/>
                <w:sz w:val="20"/>
                <w:szCs w:val="20"/>
              </w:rPr>
            </w:pPr>
            <w:r>
              <w:rPr>
                <w:rFonts w:ascii="Arial"/>
                <w:w w:val="99"/>
                <w:sz w:val="20"/>
              </w:rPr>
            </w:r>
            <w:r>
              <w:rPr>
                <w:rFonts w:ascii="Arial"/>
                <w:spacing w:val="-1"/>
                <w:w w:val="95"/>
                <w:sz w:val="20"/>
                <w:u w:val="single" w:color="000000"/>
              </w:rPr>
              <w:t>00</w:t>
            </w:r>
            <w:r>
              <w:rPr>
                <w:rFonts w:ascii="Arial"/>
                <w:spacing w:val="-1"/>
                <w:w w:val="95"/>
                <w:sz w:val="20"/>
              </w:rPr>
            </w:r>
            <w:r>
              <w:rPr>
                <w:rFonts w:ascii="Arial"/>
                <w:sz w:val="20"/>
              </w:rPr>
            </w:r>
          </w:p>
        </w:tc>
        <w:tc>
          <w:tcPr>
            <w:tcW w:w="16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7"/>
                <w:szCs w:val="17"/>
              </w:rPr>
            </w:pPr>
          </w:p>
          <w:p>
            <w:pPr>
              <w:pStyle w:val="TableParagraph"/>
              <w:spacing w:line="240" w:lineRule="auto"/>
              <w:ind w:left="1" w:right="0"/>
              <w:jc w:val="left"/>
              <w:rPr>
                <w:rFonts w:ascii="Arial" w:hAnsi="Arial" w:cs="Arial" w:eastAsia="Arial" w:hint="default"/>
                <w:sz w:val="20"/>
                <w:szCs w:val="20"/>
              </w:rPr>
            </w:pPr>
            <w:r>
              <w:rPr>
                <w:rFonts w:ascii="Arial"/>
                <w:w w:val="99"/>
                <w:sz w:val="20"/>
              </w:rPr>
              <w:t>)</w:t>
            </w:r>
            <w:r>
              <w:rPr>
                <w:rFonts w:ascii="Arial"/>
                <w:sz w:val="20"/>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7"/>
                <w:szCs w:val="17"/>
              </w:rPr>
            </w:pPr>
          </w:p>
          <w:p>
            <w:pPr>
              <w:pStyle w:val="TableParagraph"/>
              <w:spacing w:line="240" w:lineRule="auto"/>
              <w:ind w:right="14"/>
              <w:jc w:val="right"/>
              <w:rPr>
                <w:rFonts w:ascii="Arial" w:hAnsi="Arial" w:cs="Arial" w:eastAsia="Arial" w:hint="default"/>
                <w:sz w:val="20"/>
                <w:szCs w:val="20"/>
              </w:rPr>
            </w:pPr>
            <w:r>
              <w:rPr>
                <w:rFonts w:ascii="Arial"/>
                <w:spacing w:val="-1"/>
                <w:sz w:val="20"/>
              </w:rPr>
              <w:t>(</w:t>
            </w:r>
            <w:r>
              <w:rPr>
                <w:rFonts w:ascii="Arial"/>
                <w:spacing w:val="-1"/>
                <w:sz w:val="20"/>
                <w:u w:val="single" w:color="000000"/>
              </w:rPr>
              <w:t>1,198,800</w:t>
            </w:r>
            <w:r>
              <w:rPr>
                <w:rFonts w:ascii="Arial"/>
                <w:spacing w:val="-1"/>
                <w:sz w:val="20"/>
              </w:rPr>
            </w:r>
          </w:p>
        </w:tc>
        <w:tc>
          <w:tcPr>
            <w:tcW w:w="13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7"/>
                <w:szCs w:val="17"/>
              </w:rPr>
            </w:pPr>
          </w:p>
          <w:p>
            <w:pPr>
              <w:pStyle w:val="TableParagraph"/>
              <w:spacing w:line="240" w:lineRule="auto"/>
              <w:ind w:left="2" w:right="0"/>
              <w:jc w:val="left"/>
              <w:rPr>
                <w:rFonts w:ascii="Arial" w:hAnsi="Arial" w:cs="Arial" w:eastAsia="Arial" w:hint="default"/>
                <w:sz w:val="20"/>
                <w:szCs w:val="20"/>
              </w:rPr>
            </w:pPr>
            <w:r>
              <w:rPr>
                <w:rFonts w:ascii="Arial"/>
                <w:w w:val="99"/>
                <w:sz w:val="20"/>
              </w:rPr>
              <w:t>)</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7"/>
                <w:szCs w:val="17"/>
              </w:rPr>
            </w:pPr>
          </w:p>
          <w:p>
            <w:pPr>
              <w:pStyle w:val="TableParagraph"/>
              <w:spacing w:line="240" w:lineRule="auto"/>
              <w:ind w:left="69" w:right="0"/>
              <w:jc w:val="left"/>
              <w:rPr>
                <w:rFonts w:ascii="Arial" w:hAnsi="Arial" w:cs="Arial" w:eastAsia="Arial" w:hint="default"/>
                <w:sz w:val="20"/>
                <w:szCs w:val="20"/>
              </w:rPr>
            </w:pPr>
            <w:r>
              <w:rPr>
                <w:rFonts w:ascii="Arial"/>
                <w:w w:val="99"/>
                <w:sz w:val="20"/>
              </w:rPr>
            </w:r>
            <w:r>
              <w:rPr>
                <w:rFonts w:ascii="Arial"/>
                <w:sz w:val="20"/>
                <w:u w:val="single" w:color="000000"/>
              </w:rPr>
              <w:t>2,709,700</w:t>
            </w:r>
            <w:r>
              <w:rPr>
                <w:rFonts w:ascii="Arial"/>
                <w:sz w:val="20"/>
              </w:rPr>
            </w:r>
          </w:p>
        </w:tc>
      </w:tr>
      <w:tr>
        <w:trPr>
          <w:trHeight w:val="384" w:hRule="exact"/>
        </w:trPr>
        <w:tc>
          <w:tcPr>
            <w:tcW w:w="2233" w:type="dxa"/>
            <w:tcBorders>
              <w:top w:val="nil" w:sz="6" w:space="0" w:color="auto"/>
              <w:left w:val="nil" w:sz="6" w:space="0" w:color="auto"/>
              <w:bottom w:val="nil" w:sz="6" w:space="0" w:color="auto"/>
              <w:right w:val="nil" w:sz="6" w:space="0" w:color="auto"/>
            </w:tcBorders>
          </w:tcPr>
          <w:p>
            <w:pPr/>
          </w:p>
        </w:tc>
        <w:tc>
          <w:tcPr>
            <w:tcW w:w="2427" w:type="dxa"/>
            <w:gridSpan w:val="2"/>
            <w:tcBorders>
              <w:top w:val="nil" w:sz="6" w:space="0" w:color="auto"/>
              <w:left w:val="nil" w:sz="6" w:space="0" w:color="auto"/>
              <w:bottom w:val="nil" w:sz="6" w:space="0" w:color="auto"/>
              <w:right w:val="nil" w:sz="6" w:space="0" w:color="auto"/>
            </w:tcBorders>
          </w:tcPr>
          <w:p>
            <w:pPr>
              <w:pStyle w:val="TableParagraph"/>
              <w:tabs>
                <w:tab w:pos="2873" w:val="left" w:leader="none"/>
              </w:tabs>
              <w:spacing w:line="240" w:lineRule="auto" w:before="158"/>
              <w:ind w:left="979" w:right="-447"/>
              <w:jc w:val="left"/>
              <w:rPr>
                <w:rFonts w:ascii="Arial" w:hAnsi="Arial" w:cs="Arial" w:eastAsia="Arial" w:hint="default"/>
                <w:sz w:val="20"/>
                <w:szCs w:val="20"/>
              </w:rPr>
            </w:pPr>
            <w:r>
              <w:rPr>
                <w:rFonts w:ascii="Arial"/>
                <w:w w:val="99"/>
                <w:sz w:val="20"/>
              </w:rPr>
            </w:r>
            <w:r>
              <w:rPr>
                <w:rFonts w:ascii="Arial"/>
                <w:sz w:val="20"/>
                <w:u w:val="thick" w:color="000000"/>
              </w:rPr>
              <w:t>10,387,000</w:t>
            </w:r>
            <w:r>
              <w:rPr>
                <w:rFonts w:ascii="Arial"/>
                <w:sz w:val="20"/>
              </w:rPr>
              <w:t> </w:t>
            </w:r>
            <w:r>
              <w:rPr>
                <w:rFonts w:ascii="Arial"/>
                <w:spacing w:val="-18"/>
                <w:sz w:val="20"/>
              </w:rPr>
              <w:t> </w:t>
            </w:r>
            <w:r>
              <w:rPr>
                <w:rFonts w:ascii="Arial"/>
                <w:spacing w:val="-18"/>
                <w:w w:val="99"/>
                <w:sz w:val="20"/>
              </w:rPr>
            </w:r>
            <w:r>
              <w:rPr>
                <w:rFonts w:ascii="Arial"/>
                <w:w w:val="99"/>
                <w:sz w:val="20"/>
                <w:u w:val="thick" w:color="000000"/>
              </w:rPr>
              <w:t> </w:t>
            </w:r>
            <w:r>
              <w:rPr>
                <w:rFonts w:ascii="Arial"/>
                <w:sz w:val="20"/>
                <w:u w:val="thick" w:color="000000"/>
              </w:rPr>
              <w:tab/>
            </w:r>
            <w:r>
              <w:rPr>
                <w:rFonts w:ascii="Arial"/>
                <w:sz w:val="20"/>
              </w:rPr>
            </w: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before="158"/>
              <w:ind w:right="92"/>
              <w:jc w:val="right"/>
              <w:rPr>
                <w:rFonts w:ascii="Arial" w:hAnsi="Arial" w:cs="Arial" w:eastAsia="Arial" w:hint="default"/>
                <w:sz w:val="20"/>
                <w:szCs w:val="20"/>
              </w:rPr>
            </w:pPr>
            <w:r>
              <w:rPr>
                <w:rFonts w:ascii="Arial"/>
                <w:w w:val="99"/>
                <w:sz w:val="20"/>
              </w:rPr>
            </w:r>
            <w:r>
              <w:rPr>
                <w:rFonts w:ascii="Arial"/>
                <w:w w:val="99"/>
                <w:sz w:val="20"/>
                <w:u w:val="thick" w:color="000000"/>
              </w:rPr>
              <w:t>-</w:t>
            </w:r>
            <w:r>
              <w:rPr>
                <w:rFonts w:ascii="Arial"/>
                <w:w w:val="99"/>
                <w:sz w:val="20"/>
              </w:rPr>
            </w:r>
            <w:r>
              <w:rPr>
                <w:rFonts w:ascii="Arial"/>
                <w:sz w:val="20"/>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58"/>
              <w:ind w:left="94" w:right="0"/>
              <w:jc w:val="left"/>
              <w:rPr>
                <w:rFonts w:ascii="Arial" w:hAnsi="Arial" w:cs="Arial" w:eastAsia="Arial" w:hint="default"/>
                <w:sz w:val="20"/>
                <w:szCs w:val="20"/>
              </w:rPr>
            </w:pPr>
            <w:r>
              <w:rPr>
                <w:rFonts w:ascii="Arial"/>
                <w:w w:val="95"/>
                <w:sz w:val="20"/>
              </w:rPr>
              <w:t>(</w:t>
            </w:r>
            <w:r>
              <w:rPr>
                <w:rFonts w:ascii="Arial"/>
                <w:w w:val="95"/>
                <w:sz w:val="20"/>
                <w:u w:val="thick" w:color="000000"/>
              </w:rPr>
              <w:t>612,500</w:t>
            </w:r>
            <w:r>
              <w:rPr>
                <w:rFonts w:ascii="Arial"/>
                <w:w w:val="95"/>
                <w:sz w:val="20"/>
              </w:rPr>
            </w:r>
            <w:r>
              <w:rPr>
                <w:rFonts w:ascii="Arial"/>
                <w:sz w:val="20"/>
              </w:rPr>
            </w:r>
          </w:p>
        </w:tc>
        <w:tc>
          <w:tcPr>
            <w:tcW w:w="164" w:type="dxa"/>
            <w:tcBorders>
              <w:top w:val="nil" w:sz="6" w:space="0" w:color="auto"/>
              <w:left w:val="nil" w:sz="6" w:space="0" w:color="auto"/>
              <w:bottom w:val="nil" w:sz="6" w:space="0" w:color="auto"/>
              <w:right w:val="nil" w:sz="6" w:space="0" w:color="auto"/>
            </w:tcBorders>
          </w:tcPr>
          <w:p>
            <w:pPr>
              <w:pStyle w:val="TableParagraph"/>
              <w:spacing w:line="240" w:lineRule="auto" w:before="158"/>
              <w:ind w:left="1" w:right="0"/>
              <w:jc w:val="left"/>
              <w:rPr>
                <w:rFonts w:ascii="Arial" w:hAnsi="Arial" w:cs="Arial" w:eastAsia="Arial" w:hint="default"/>
                <w:sz w:val="20"/>
                <w:szCs w:val="20"/>
              </w:rPr>
            </w:pPr>
            <w:r>
              <w:rPr>
                <w:rFonts w:ascii="Arial"/>
                <w:w w:val="99"/>
                <w:sz w:val="20"/>
              </w:rPr>
              <w:t>)</w:t>
            </w:r>
            <w:r>
              <w:rPr>
                <w:rFonts w:ascii="Arial"/>
                <w:sz w:val="20"/>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58"/>
              <w:ind w:right="0"/>
              <w:jc w:val="right"/>
              <w:rPr>
                <w:rFonts w:ascii="Arial" w:hAnsi="Arial" w:cs="Arial" w:eastAsia="Arial" w:hint="default"/>
                <w:sz w:val="20"/>
                <w:szCs w:val="20"/>
              </w:rPr>
            </w:pPr>
            <w:r>
              <w:rPr>
                <w:rFonts w:ascii="Arial"/>
                <w:w w:val="95"/>
                <w:sz w:val="20"/>
              </w:rPr>
              <w:t>(</w:t>
            </w:r>
            <w:r>
              <w:rPr>
                <w:rFonts w:ascii="Arial"/>
                <w:w w:val="95"/>
                <w:sz w:val="20"/>
                <w:u w:val="thick" w:color="000000"/>
              </w:rPr>
              <w:t>6,314,800</w:t>
            </w:r>
            <w:r>
              <w:rPr>
                <w:rFonts w:ascii="Arial"/>
                <w:w w:val="95"/>
                <w:sz w:val="20"/>
              </w:rPr>
            </w:r>
            <w:r>
              <w:rPr>
                <w:rFonts w:ascii="Arial"/>
                <w:sz w:val="20"/>
              </w:rPr>
            </w:r>
          </w:p>
        </w:tc>
        <w:tc>
          <w:tcPr>
            <w:tcW w:w="138" w:type="dxa"/>
            <w:tcBorders>
              <w:top w:val="nil" w:sz="6" w:space="0" w:color="auto"/>
              <w:left w:val="nil" w:sz="6" w:space="0" w:color="auto"/>
              <w:bottom w:val="nil" w:sz="6" w:space="0" w:color="auto"/>
              <w:right w:val="nil" w:sz="6" w:space="0" w:color="auto"/>
            </w:tcBorders>
          </w:tcPr>
          <w:p>
            <w:pPr>
              <w:pStyle w:val="TableParagraph"/>
              <w:spacing w:line="240" w:lineRule="auto" w:before="158"/>
              <w:ind w:left="2" w:right="0"/>
              <w:jc w:val="left"/>
              <w:rPr>
                <w:rFonts w:ascii="Arial" w:hAnsi="Arial" w:cs="Arial" w:eastAsia="Arial" w:hint="default"/>
                <w:sz w:val="20"/>
                <w:szCs w:val="20"/>
              </w:rPr>
            </w:pPr>
            <w:r>
              <w:rPr>
                <w:rFonts w:ascii="Arial"/>
                <w:w w:val="99"/>
                <w:sz w:val="20"/>
              </w:rPr>
              <w:t>)</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58"/>
              <w:ind w:left="69" w:right="0"/>
              <w:jc w:val="left"/>
              <w:rPr>
                <w:rFonts w:ascii="Arial" w:hAnsi="Arial" w:cs="Arial" w:eastAsia="Arial" w:hint="default"/>
                <w:sz w:val="20"/>
                <w:szCs w:val="20"/>
              </w:rPr>
            </w:pPr>
            <w:r>
              <w:rPr>
                <w:rFonts w:ascii="Arial"/>
                <w:w w:val="99"/>
                <w:sz w:val="20"/>
              </w:rPr>
            </w:r>
            <w:r>
              <w:rPr>
                <w:rFonts w:ascii="Arial"/>
                <w:sz w:val="20"/>
                <w:u w:val="thick" w:color="000000"/>
              </w:rPr>
              <w:t>3,459,700</w:t>
            </w:r>
            <w:r>
              <w:rPr>
                <w:rFonts w:ascii="Arial"/>
                <w:sz w:val="20"/>
              </w:rPr>
            </w:r>
          </w:p>
        </w:tc>
      </w:tr>
    </w:tbl>
    <w:p>
      <w:pPr>
        <w:spacing w:line="240" w:lineRule="auto" w:before="10"/>
        <w:rPr>
          <w:rFonts w:ascii="黑体" w:hAnsi="黑体" w:cs="黑体" w:eastAsia="黑体" w:hint="default"/>
          <w:sz w:val="29"/>
          <w:szCs w:val="29"/>
        </w:rPr>
      </w:pPr>
    </w:p>
    <w:p>
      <w:pPr>
        <w:spacing w:before="37"/>
        <w:ind w:left="398" w:right="0" w:firstLine="0"/>
        <w:jc w:val="both"/>
        <w:rPr>
          <w:rFonts w:ascii="黑体" w:hAnsi="黑体" w:cs="黑体" w:eastAsia="黑体" w:hint="default"/>
          <w:sz w:val="20"/>
          <w:szCs w:val="20"/>
        </w:rPr>
      </w:pPr>
      <w:r>
        <w:rPr>
          <w:rFonts w:ascii="黑体" w:hAnsi="黑体" w:cs="黑体" w:eastAsia="黑体" w:hint="default"/>
          <w:sz w:val="20"/>
          <w:szCs w:val="20"/>
        </w:rPr>
        <w:t>附注：</w:t>
      </w:r>
    </w:p>
    <w:p>
      <w:pPr>
        <w:spacing w:line="240" w:lineRule="auto" w:before="4"/>
        <w:rPr>
          <w:rFonts w:ascii="黑体" w:hAnsi="黑体" w:cs="黑体" w:eastAsia="黑体" w:hint="default"/>
          <w:sz w:val="18"/>
          <w:szCs w:val="18"/>
        </w:rPr>
      </w:pPr>
    </w:p>
    <w:p>
      <w:pPr>
        <w:spacing w:line="260" w:lineRule="exact" w:before="0"/>
        <w:ind w:left="398" w:right="270" w:firstLine="0"/>
        <w:jc w:val="both"/>
        <w:rPr>
          <w:rFonts w:ascii="黑体" w:hAnsi="黑体" w:cs="黑体" w:eastAsia="黑体" w:hint="default"/>
          <w:sz w:val="20"/>
          <w:szCs w:val="20"/>
        </w:rPr>
      </w:pPr>
      <w:r>
        <w:rPr>
          <w:rFonts w:ascii="Arial" w:hAnsi="Arial" w:cs="Arial" w:eastAsia="Arial" w:hint="default"/>
          <w:sz w:val="20"/>
          <w:szCs w:val="20"/>
        </w:rPr>
        <w:t>a.</w:t>
      </w:r>
      <w:r>
        <w:rPr>
          <w:rFonts w:ascii="Arial" w:hAnsi="Arial" w:cs="Arial" w:eastAsia="Arial" w:hint="default"/>
          <w:spacing w:val="28"/>
          <w:sz w:val="20"/>
          <w:szCs w:val="20"/>
        </w:rPr>
        <w:t> </w:t>
      </w:r>
      <w:r>
        <w:rPr>
          <w:rFonts w:ascii="黑体" w:hAnsi="黑体" w:cs="黑体" w:eastAsia="黑体" w:hint="default"/>
          <w:sz w:val="20"/>
          <w:szCs w:val="20"/>
        </w:rPr>
        <w:t>于</w:t>
      </w:r>
      <w:r>
        <w:rPr>
          <w:rFonts w:ascii="Arial" w:hAnsi="Arial" w:cs="Arial" w:eastAsia="Arial" w:hint="default"/>
          <w:sz w:val="20"/>
          <w:szCs w:val="20"/>
        </w:rPr>
        <w:t>2015</w:t>
      </w:r>
      <w:r>
        <w:rPr>
          <w:rFonts w:ascii="黑体" w:hAnsi="黑体" w:cs="黑体" w:eastAsia="黑体" w:hint="default"/>
          <w:sz w:val="20"/>
          <w:szCs w:val="20"/>
        </w:rPr>
        <w:t>年</w:t>
      </w:r>
      <w:r>
        <w:rPr>
          <w:rFonts w:ascii="Arial" w:hAnsi="Arial" w:cs="Arial" w:eastAsia="Arial" w:hint="default"/>
          <w:sz w:val="20"/>
          <w:szCs w:val="20"/>
        </w:rPr>
        <w:t>6</w:t>
      </w:r>
      <w:r>
        <w:rPr>
          <w:rFonts w:ascii="黑体" w:hAnsi="黑体" w:cs="黑体" w:eastAsia="黑体" w:hint="default"/>
          <w:sz w:val="20"/>
          <w:szCs w:val="20"/>
        </w:rPr>
        <w:t>月</w:t>
      </w:r>
      <w:r>
        <w:rPr>
          <w:rFonts w:ascii="Arial" w:hAnsi="Arial" w:cs="Arial" w:eastAsia="Arial" w:hint="default"/>
          <w:sz w:val="20"/>
          <w:szCs w:val="20"/>
        </w:rPr>
        <w:t>16</w:t>
      </w:r>
      <w:r>
        <w:rPr>
          <w:rFonts w:ascii="黑体" w:hAnsi="黑体" w:cs="黑体" w:eastAsia="黑体" w:hint="default"/>
          <w:sz w:val="20"/>
          <w:szCs w:val="20"/>
        </w:rPr>
        <w:t>日，畅捷通董事会批准依据该计划无偿向</w:t>
      </w:r>
      <w:r>
        <w:rPr>
          <w:rFonts w:ascii="Arial" w:hAnsi="Arial" w:cs="Arial" w:eastAsia="Arial" w:hint="default"/>
          <w:sz w:val="20"/>
          <w:szCs w:val="20"/>
        </w:rPr>
        <w:t>182</w:t>
      </w:r>
      <w:r>
        <w:rPr>
          <w:rFonts w:ascii="黑体" w:hAnsi="黑体" w:cs="黑体" w:eastAsia="黑体" w:hint="default"/>
          <w:sz w:val="20"/>
          <w:szCs w:val="20"/>
        </w:rPr>
        <w:t>名激励对象</w:t>
      </w:r>
      <w:r>
        <w:rPr>
          <w:rFonts w:ascii="Arial" w:hAnsi="Arial" w:cs="Arial" w:eastAsia="Arial" w:hint="default"/>
          <w:sz w:val="20"/>
          <w:szCs w:val="20"/>
        </w:rPr>
        <w:t>(</w:t>
      </w:r>
      <w:r>
        <w:rPr>
          <w:rFonts w:ascii="黑体" w:hAnsi="黑体" w:cs="黑体" w:eastAsia="黑体" w:hint="default"/>
          <w:sz w:val="20"/>
          <w:szCs w:val="20"/>
        </w:rPr>
        <w:t>包括一名董事、两</w:t>
      </w:r>
      <w:r>
        <w:rPr>
          <w:rFonts w:ascii="黑体" w:hAnsi="黑体" w:cs="黑体" w:eastAsia="黑体" w:hint="default"/>
          <w:spacing w:val="-90"/>
          <w:sz w:val="20"/>
          <w:szCs w:val="20"/>
        </w:rPr>
        <w:t> </w:t>
      </w:r>
      <w:r>
        <w:rPr>
          <w:rFonts w:ascii="黑体" w:hAnsi="黑体" w:cs="黑体" w:eastAsia="黑体" w:hint="default"/>
          <w:spacing w:val="-90"/>
          <w:sz w:val="20"/>
          <w:szCs w:val="20"/>
        </w:rPr>
      </w:r>
      <w:r>
        <w:rPr>
          <w:rFonts w:ascii="黑体" w:hAnsi="黑体" w:cs="黑体" w:eastAsia="黑体" w:hint="default"/>
          <w:sz w:val="20"/>
          <w:szCs w:val="20"/>
        </w:rPr>
        <w:t>名监事、畅捷通的中高层管理人员、专家及核心骨干</w:t>
      </w:r>
      <w:r>
        <w:rPr>
          <w:rFonts w:ascii="Arial" w:hAnsi="Arial" w:cs="Arial" w:eastAsia="Arial" w:hint="default"/>
          <w:sz w:val="20"/>
          <w:szCs w:val="20"/>
        </w:rPr>
        <w:t>)</w:t>
      </w:r>
      <w:r>
        <w:rPr>
          <w:rFonts w:ascii="黑体" w:hAnsi="黑体" w:cs="黑体" w:eastAsia="黑体" w:hint="default"/>
          <w:sz w:val="20"/>
          <w:szCs w:val="20"/>
        </w:rPr>
        <w:t>首次授予附生效条件的信托受益权份额。</w:t>
      </w:r>
      <w:r>
        <w:rPr>
          <w:rFonts w:ascii="黑体" w:hAnsi="黑体" w:cs="黑体" w:eastAsia="黑体" w:hint="default"/>
          <w:spacing w:val="-64"/>
          <w:sz w:val="20"/>
          <w:szCs w:val="20"/>
        </w:rPr>
        <w:t> </w:t>
      </w:r>
      <w:r>
        <w:rPr>
          <w:rFonts w:ascii="黑体" w:hAnsi="黑体" w:cs="黑体" w:eastAsia="黑体" w:hint="default"/>
          <w:spacing w:val="-64"/>
          <w:sz w:val="20"/>
          <w:szCs w:val="20"/>
        </w:rPr>
      </w:r>
      <w:r>
        <w:rPr>
          <w:rFonts w:ascii="黑体" w:hAnsi="黑体" w:cs="黑体" w:eastAsia="黑体" w:hint="default"/>
          <w:sz w:val="20"/>
          <w:szCs w:val="20"/>
        </w:rPr>
        <w:t>首次授予项下目标股票总数为</w:t>
      </w:r>
      <w:r>
        <w:rPr>
          <w:rFonts w:ascii="Arial" w:hAnsi="Arial" w:cs="Arial" w:eastAsia="Arial" w:hint="default"/>
          <w:sz w:val="20"/>
          <w:szCs w:val="20"/>
        </w:rPr>
        <w:t>17,370,000</w:t>
      </w:r>
      <w:r>
        <w:rPr>
          <w:rFonts w:ascii="黑体" w:hAnsi="黑体" w:cs="黑体" w:eastAsia="黑体" w:hint="default"/>
          <w:sz w:val="20"/>
          <w:szCs w:val="20"/>
        </w:rPr>
        <w:t>股，占</w:t>
      </w:r>
      <w:r>
        <w:rPr>
          <w:rFonts w:ascii="Arial" w:hAnsi="Arial" w:cs="Arial" w:eastAsia="Arial" w:hint="default"/>
          <w:sz w:val="20"/>
          <w:szCs w:val="20"/>
        </w:rPr>
        <w:t>2015</w:t>
      </w:r>
      <w:r>
        <w:rPr>
          <w:rFonts w:ascii="黑体" w:hAnsi="黑体" w:cs="黑体" w:eastAsia="黑体" w:hint="default"/>
          <w:sz w:val="20"/>
          <w:szCs w:val="20"/>
        </w:rPr>
        <w:t>年</w:t>
      </w:r>
      <w:r>
        <w:rPr>
          <w:rFonts w:ascii="Arial" w:hAnsi="Arial" w:cs="Arial" w:eastAsia="Arial" w:hint="default"/>
          <w:sz w:val="20"/>
          <w:szCs w:val="20"/>
        </w:rPr>
        <w:t>6</w:t>
      </w:r>
      <w:r>
        <w:rPr>
          <w:rFonts w:ascii="黑体" w:hAnsi="黑体" w:cs="黑体" w:eastAsia="黑体" w:hint="default"/>
          <w:sz w:val="20"/>
          <w:szCs w:val="20"/>
        </w:rPr>
        <w:t>月</w:t>
      </w:r>
      <w:r>
        <w:rPr>
          <w:rFonts w:ascii="Arial" w:hAnsi="Arial" w:cs="Arial" w:eastAsia="Arial" w:hint="default"/>
          <w:sz w:val="20"/>
          <w:szCs w:val="20"/>
        </w:rPr>
        <w:t>16</w:t>
      </w:r>
      <w:r>
        <w:rPr>
          <w:rFonts w:ascii="黑体" w:hAnsi="黑体" w:cs="黑体" w:eastAsia="黑体" w:hint="default"/>
          <w:sz w:val="20"/>
          <w:szCs w:val="20"/>
        </w:rPr>
        <w:t>日畅捷通已发行股本总额约</w:t>
      </w:r>
      <w:r>
        <w:rPr>
          <w:rFonts w:ascii="Arial" w:hAnsi="Arial" w:cs="Arial" w:eastAsia="Arial" w:hint="default"/>
          <w:sz w:val="20"/>
          <w:szCs w:val="20"/>
        </w:rPr>
        <w:t>8%</w:t>
      </w:r>
      <w:r>
        <w:rPr>
          <w:rFonts w:ascii="黑体" w:hAnsi="黑体" w:cs="黑体" w:eastAsia="黑体" w:hint="default"/>
          <w:sz w:val="20"/>
          <w:szCs w:val="20"/>
        </w:rPr>
        <w:t>。</w:t>
      </w:r>
    </w:p>
    <w:p>
      <w:pPr>
        <w:spacing w:line="240" w:lineRule="auto" w:before="8"/>
        <w:rPr>
          <w:rFonts w:ascii="黑体" w:hAnsi="黑体" w:cs="黑体" w:eastAsia="黑体" w:hint="default"/>
          <w:sz w:val="17"/>
          <w:szCs w:val="17"/>
        </w:rPr>
      </w:pPr>
    </w:p>
    <w:p>
      <w:pPr>
        <w:spacing w:line="260" w:lineRule="exact" w:before="0"/>
        <w:ind w:left="398" w:right="270" w:firstLine="0"/>
        <w:jc w:val="both"/>
        <w:rPr>
          <w:rFonts w:ascii="黑体" w:hAnsi="黑体" w:cs="黑体" w:eastAsia="黑体" w:hint="default"/>
          <w:sz w:val="20"/>
          <w:szCs w:val="20"/>
        </w:rPr>
      </w:pPr>
      <w:r>
        <w:rPr>
          <w:rFonts w:ascii="Arial" w:hAnsi="Arial" w:cs="Arial" w:eastAsia="Arial" w:hint="default"/>
          <w:sz w:val="20"/>
          <w:szCs w:val="20"/>
        </w:rPr>
        <w:t>b.</w:t>
      </w:r>
      <w:r>
        <w:rPr>
          <w:rFonts w:ascii="Arial" w:hAnsi="Arial" w:cs="Arial" w:eastAsia="Arial" w:hint="default"/>
          <w:spacing w:val="17"/>
          <w:sz w:val="20"/>
          <w:szCs w:val="20"/>
        </w:rPr>
        <w:t> </w:t>
      </w:r>
      <w:r>
        <w:rPr>
          <w:rFonts w:ascii="黑体" w:hAnsi="黑体" w:cs="黑体" w:eastAsia="黑体" w:hint="default"/>
          <w:sz w:val="20"/>
          <w:szCs w:val="20"/>
        </w:rPr>
        <w:t>于</w:t>
      </w:r>
      <w:r>
        <w:rPr>
          <w:rFonts w:ascii="Arial" w:hAnsi="Arial" w:cs="Arial" w:eastAsia="Arial" w:hint="default"/>
          <w:sz w:val="20"/>
          <w:szCs w:val="20"/>
        </w:rPr>
        <w:t>2015</w:t>
      </w:r>
      <w:r>
        <w:rPr>
          <w:rFonts w:ascii="黑体" w:hAnsi="黑体" w:cs="黑体" w:eastAsia="黑体" w:hint="default"/>
          <w:sz w:val="20"/>
          <w:szCs w:val="20"/>
        </w:rPr>
        <w:t>年</w:t>
      </w:r>
      <w:r>
        <w:rPr>
          <w:rFonts w:ascii="Arial" w:hAnsi="Arial" w:cs="Arial" w:eastAsia="Arial" w:hint="default"/>
          <w:sz w:val="20"/>
          <w:szCs w:val="20"/>
        </w:rPr>
        <w:t>9</w:t>
      </w:r>
      <w:r>
        <w:rPr>
          <w:rFonts w:ascii="黑体" w:hAnsi="黑体" w:cs="黑体" w:eastAsia="黑体" w:hint="default"/>
          <w:sz w:val="20"/>
          <w:szCs w:val="20"/>
        </w:rPr>
        <w:t>月</w:t>
      </w:r>
      <w:r>
        <w:rPr>
          <w:rFonts w:ascii="Arial" w:hAnsi="Arial" w:cs="Arial" w:eastAsia="Arial" w:hint="default"/>
          <w:sz w:val="20"/>
          <w:szCs w:val="20"/>
        </w:rPr>
        <w:t>2</w:t>
      </w:r>
      <w:r>
        <w:rPr>
          <w:rFonts w:ascii="黑体" w:hAnsi="黑体" w:cs="黑体" w:eastAsia="黑体" w:hint="default"/>
          <w:sz w:val="20"/>
          <w:szCs w:val="20"/>
        </w:rPr>
        <w:t>日，畅捷通董事会还授权畅捷通总裁会无偿向畅捷通美国若干激励对象授予附</w:t>
      </w:r>
      <w:r>
        <w:rPr>
          <w:rFonts w:ascii="黑体" w:hAnsi="黑体" w:cs="黑体" w:eastAsia="黑体" w:hint="default"/>
          <w:w w:val="99"/>
          <w:sz w:val="20"/>
          <w:szCs w:val="20"/>
        </w:rPr>
        <w:t> </w:t>
      </w:r>
      <w:r>
        <w:rPr>
          <w:rFonts w:ascii="黑体" w:hAnsi="黑体" w:cs="黑体" w:eastAsia="黑体" w:hint="default"/>
          <w:w w:val="95"/>
          <w:sz w:val="20"/>
          <w:szCs w:val="20"/>
        </w:rPr>
        <w:t>生效条件的信托受益权份额。该等授予项下的目标股票数量为</w:t>
      </w:r>
      <w:r>
        <w:rPr>
          <w:rFonts w:ascii="Arial" w:hAnsi="Arial" w:cs="Arial" w:eastAsia="Arial" w:hint="default"/>
          <w:w w:val="95"/>
          <w:sz w:val="20"/>
          <w:szCs w:val="20"/>
        </w:rPr>
        <w:t>120,000</w:t>
      </w:r>
      <w:r>
        <w:rPr>
          <w:rFonts w:ascii="黑体" w:hAnsi="黑体" w:cs="黑体" w:eastAsia="黑体" w:hint="default"/>
          <w:w w:val="95"/>
          <w:sz w:val="20"/>
          <w:szCs w:val="20"/>
        </w:rPr>
        <w:t>股。报告期内，畅捷通美</w:t>
      </w:r>
      <w:r>
        <w:rPr>
          <w:rFonts w:ascii="黑体" w:hAnsi="黑体" w:cs="黑体" w:eastAsia="黑体" w:hint="default"/>
          <w:spacing w:val="21"/>
          <w:w w:val="95"/>
          <w:sz w:val="20"/>
          <w:szCs w:val="20"/>
        </w:rPr>
        <w:t> </w:t>
      </w:r>
      <w:r>
        <w:rPr>
          <w:rFonts w:ascii="黑体" w:hAnsi="黑体" w:cs="黑体" w:eastAsia="黑体" w:hint="default"/>
          <w:spacing w:val="21"/>
          <w:w w:val="95"/>
          <w:sz w:val="20"/>
          <w:szCs w:val="20"/>
        </w:rPr>
      </w:r>
      <w:r>
        <w:rPr>
          <w:rFonts w:ascii="黑体" w:hAnsi="黑体" w:cs="黑体" w:eastAsia="黑体" w:hint="default"/>
          <w:sz w:val="20"/>
          <w:szCs w:val="20"/>
        </w:rPr>
        <w:t>国获授信托受益权的激励对象不涉及畅捷通董事、监事或其各自的配偶或十八岁以下子女。</w:t>
      </w:r>
    </w:p>
    <w:p>
      <w:pPr>
        <w:spacing w:line="240" w:lineRule="auto" w:before="7"/>
        <w:rPr>
          <w:rFonts w:ascii="黑体" w:hAnsi="黑体" w:cs="黑体" w:eastAsia="黑体" w:hint="default"/>
          <w:sz w:val="17"/>
          <w:szCs w:val="17"/>
        </w:rPr>
      </w:pPr>
    </w:p>
    <w:p>
      <w:pPr>
        <w:spacing w:line="260" w:lineRule="exact" w:before="0"/>
        <w:ind w:left="398" w:right="272" w:firstLine="0"/>
        <w:jc w:val="both"/>
        <w:rPr>
          <w:rFonts w:ascii="黑体" w:hAnsi="黑体" w:cs="黑体" w:eastAsia="黑体" w:hint="default"/>
          <w:sz w:val="20"/>
          <w:szCs w:val="20"/>
        </w:rPr>
      </w:pPr>
      <w:r>
        <w:rPr>
          <w:rFonts w:ascii="Arial" w:hAnsi="Arial" w:cs="Arial" w:eastAsia="Arial" w:hint="default"/>
          <w:sz w:val="20"/>
          <w:szCs w:val="20"/>
        </w:rPr>
        <w:t>c.</w:t>
      </w:r>
      <w:r>
        <w:rPr>
          <w:rFonts w:ascii="Arial" w:hAnsi="Arial" w:cs="Arial" w:eastAsia="Arial" w:hint="default"/>
          <w:spacing w:val="26"/>
          <w:sz w:val="20"/>
          <w:szCs w:val="20"/>
        </w:rPr>
        <w:t> </w:t>
      </w:r>
      <w:r>
        <w:rPr>
          <w:rFonts w:ascii="黑体" w:hAnsi="黑体" w:cs="黑体" w:eastAsia="黑体" w:hint="default"/>
          <w:sz w:val="20"/>
          <w:szCs w:val="20"/>
        </w:rPr>
        <w:t>于</w:t>
      </w:r>
      <w:r>
        <w:rPr>
          <w:rFonts w:ascii="Arial" w:hAnsi="Arial" w:cs="Arial" w:eastAsia="Arial" w:hint="default"/>
          <w:sz w:val="20"/>
          <w:szCs w:val="20"/>
        </w:rPr>
        <w:t>2016</w:t>
      </w:r>
      <w:r>
        <w:rPr>
          <w:rFonts w:ascii="黑体" w:hAnsi="黑体" w:cs="黑体" w:eastAsia="黑体" w:hint="default"/>
          <w:sz w:val="20"/>
          <w:szCs w:val="20"/>
        </w:rPr>
        <w:t>年</w:t>
      </w:r>
      <w:r>
        <w:rPr>
          <w:rFonts w:ascii="Arial" w:hAnsi="Arial" w:cs="Arial" w:eastAsia="Arial" w:hint="default"/>
          <w:sz w:val="20"/>
          <w:szCs w:val="20"/>
        </w:rPr>
        <w:t>3</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日，畅捷通董事会批准依据该计划无偿向</w:t>
      </w:r>
      <w:r>
        <w:rPr>
          <w:rFonts w:ascii="Arial" w:hAnsi="Arial" w:cs="Arial" w:eastAsia="Arial" w:hint="default"/>
          <w:sz w:val="20"/>
          <w:szCs w:val="20"/>
        </w:rPr>
        <w:t>36</w:t>
      </w:r>
      <w:r>
        <w:rPr>
          <w:rFonts w:ascii="黑体" w:hAnsi="黑体" w:cs="黑体" w:eastAsia="黑体" w:hint="default"/>
          <w:sz w:val="20"/>
          <w:szCs w:val="20"/>
        </w:rPr>
        <w:t>名激励对象</w:t>
      </w:r>
      <w:r>
        <w:rPr>
          <w:rFonts w:ascii="Arial" w:hAnsi="Arial" w:cs="Arial" w:eastAsia="Arial" w:hint="default"/>
          <w:sz w:val="20"/>
          <w:szCs w:val="20"/>
        </w:rPr>
        <w:t>(</w:t>
      </w:r>
      <w:r>
        <w:rPr>
          <w:rFonts w:ascii="黑体" w:hAnsi="黑体" w:cs="黑体" w:eastAsia="黑体" w:hint="default"/>
          <w:sz w:val="20"/>
          <w:szCs w:val="20"/>
        </w:rPr>
        <w:t>包括畅捷通的中高层</w:t>
      </w:r>
      <w:r>
        <w:rPr>
          <w:rFonts w:ascii="黑体" w:hAnsi="黑体" w:cs="黑体" w:eastAsia="黑体" w:hint="default"/>
          <w:w w:val="99"/>
          <w:sz w:val="20"/>
          <w:szCs w:val="20"/>
        </w:rPr>
        <w:t> </w:t>
      </w:r>
      <w:r>
        <w:rPr>
          <w:rFonts w:ascii="黑体" w:hAnsi="黑体" w:cs="黑体" w:eastAsia="黑体" w:hint="default"/>
          <w:sz w:val="20"/>
          <w:szCs w:val="20"/>
        </w:rPr>
        <w:t>管理人员、专家及核心骨干</w:t>
      </w:r>
      <w:r>
        <w:rPr>
          <w:rFonts w:ascii="Arial" w:hAnsi="Arial" w:cs="Arial" w:eastAsia="Arial" w:hint="default"/>
          <w:sz w:val="20"/>
          <w:szCs w:val="20"/>
        </w:rPr>
        <w:t>)</w:t>
      </w:r>
      <w:r>
        <w:rPr>
          <w:rFonts w:ascii="黑体" w:hAnsi="黑体" w:cs="黑体" w:eastAsia="黑体" w:hint="default"/>
          <w:sz w:val="20"/>
          <w:szCs w:val="20"/>
        </w:rPr>
        <w:t>第二次授予附生效条件的信托受益权份额。第二次授予项下目标股</w:t>
      </w:r>
      <w:r>
        <w:rPr>
          <w:rFonts w:ascii="黑体" w:hAnsi="黑体" w:cs="黑体" w:eastAsia="黑体" w:hint="default"/>
          <w:spacing w:val="-66"/>
          <w:sz w:val="20"/>
          <w:szCs w:val="20"/>
        </w:rPr>
        <w:t> </w:t>
      </w:r>
      <w:r>
        <w:rPr>
          <w:rFonts w:ascii="黑体" w:hAnsi="黑体" w:cs="黑体" w:eastAsia="黑体" w:hint="default"/>
          <w:spacing w:val="-66"/>
          <w:sz w:val="20"/>
          <w:szCs w:val="20"/>
        </w:rPr>
      </w:r>
      <w:r>
        <w:rPr>
          <w:rFonts w:ascii="黑体" w:hAnsi="黑体" w:cs="黑体" w:eastAsia="黑体" w:hint="default"/>
          <w:sz w:val="20"/>
          <w:szCs w:val="20"/>
        </w:rPr>
        <w:t>票总数为</w:t>
      </w:r>
      <w:r>
        <w:rPr>
          <w:rFonts w:ascii="Arial" w:hAnsi="Arial" w:cs="Arial" w:eastAsia="Arial" w:hint="default"/>
          <w:sz w:val="20"/>
          <w:szCs w:val="20"/>
        </w:rPr>
        <w:t>1,515,000</w:t>
      </w:r>
      <w:r>
        <w:rPr>
          <w:rFonts w:ascii="黑体" w:hAnsi="黑体" w:cs="黑体" w:eastAsia="黑体" w:hint="default"/>
          <w:sz w:val="20"/>
          <w:szCs w:val="20"/>
        </w:rPr>
        <w:t>股，占</w:t>
      </w:r>
      <w:r>
        <w:rPr>
          <w:rFonts w:ascii="Arial" w:hAnsi="Arial" w:cs="Arial" w:eastAsia="Arial" w:hint="default"/>
          <w:sz w:val="20"/>
          <w:szCs w:val="20"/>
        </w:rPr>
        <w:t>2016</w:t>
      </w:r>
      <w:r>
        <w:rPr>
          <w:rFonts w:ascii="黑体" w:hAnsi="黑体" w:cs="黑体" w:eastAsia="黑体" w:hint="default"/>
          <w:sz w:val="20"/>
          <w:szCs w:val="20"/>
        </w:rPr>
        <w:t>年</w:t>
      </w:r>
      <w:r>
        <w:rPr>
          <w:rFonts w:ascii="Arial" w:hAnsi="Arial" w:cs="Arial" w:eastAsia="Arial" w:hint="default"/>
          <w:sz w:val="20"/>
          <w:szCs w:val="20"/>
        </w:rPr>
        <w:t>3</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日畅捷通已发行股本总额约</w:t>
      </w:r>
      <w:r>
        <w:rPr>
          <w:rFonts w:ascii="Arial" w:hAnsi="Arial" w:cs="Arial" w:eastAsia="Arial" w:hint="default"/>
          <w:sz w:val="20"/>
          <w:szCs w:val="20"/>
        </w:rPr>
        <w:t>0.7%</w:t>
      </w:r>
      <w:r>
        <w:rPr>
          <w:rFonts w:ascii="黑体" w:hAnsi="黑体" w:cs="黑体" w:eastAsia="黑体" w:hint="default"/>
          <w:sz w:val="20"/>
          <w:szCs w:val="20"/>
        </w:rPr>
        <w:t>。</w:t>
      </w:r>
    </w:p>
    <w:p>
      <w:pPr>
        <w:spacing w:line="240" w:lineRule="auto" w:before="7"/>
        <w:rPr>
          <w:rFonts w:ascii="黑体" w:hAnsi="黑体" w:cs="黑体" w:eastAsia="黑体" w:hint="default"/>
          <w:sz w:val="17"/>
          <w:szCs w:val="17"/>
        </w:rPr>
      </w:pPr>
    </w:p>
    <w:p>
      <w:pPr>
        <w:spacing w:line="260" w:lineRule="exact" w:before="0"/>
        <w:ind w:left="398" w:right="272" w:firstLine="0"/>
        <w:jc w:val="both"/>
        <w:rPr>
          <w:rFonts w:ascii="黑体" w:hAnsi="黑体" w:cs="黑体" w:eastAsia="黑体" w:hint="default"/>
          <w:sz w:val="20"/>
          <w:szCs w:val="20"/>
        </w:rPr>
      </w:pPr>
      <w:r>
        <w:rPr>
          <w:rFonts w:ascii="Arial" w:hAnsi="Arial" w:cs="Arial" w:eastAsia="Arial" w:hint="default"/>
          <w:sz w:val="20"/>
          <w:szCs w:val="20"/>
        </w:rPr>
        <w:t>d.</w:t>
      </w:r>
      <w:r>
        <w:rPr>
          <w:rFonts w:ascii="Arial" w:hAnsi="Arial" w:cs="Arial" w:eastAsia="Arial" w:hint="default"/>
          <w:spacing w:val="16"/>
          <w:sz w:val="20"/>
          <w:szCs w:val="20"/>
        </w:rPr>
        <w:t> </w:t>
      </w:r>
      <w:r>
        <w:rPr>
          <w:rFonts w:ascii="黑体" w:hAnsi="黑体" w:cs="黑体" w:eastAsia="黑体" w:hint="default"/>
          <w:sz w:val="20"/>
          <w:szCs w:val="20"/>
        </w:rPr>
        <w:t>于</w:t>
      </w:r>
      <w:r>
        <w:rPr>
          <w:rFonts w:ascii="Arial" w:hAnsi="Arial" w:cs="Arial" w:eastAsia="Arial" w:hint="default"/>
          <w:sz w:val="20"/>
          <w:szCs w:val="20"/>
        </w:rPr>
        <w:t>2016</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6</w:t>
      </w:r>
      <w:r>
        <w:rPr>
          <w:rFonts w:ascii="黑体" w:hAnsi="黑体" w:cs="黑体" w:eastAsia="黑体" w:hint="default"/>
          <w:sz w:val="20"/>
          <w:szCs w:val="20"/>
        </w:rPr>
        <w:t>日，畅捷通董事会批准依据该计划无偿向</w:t>
      </w:r>
      <w:r>
        <w:rPr>
          <w:rFonts w:ascii="Arial" w:hAnsi="Arial" w:cs="Arial" w:eastAsia="Arial" w:hint="default"/>
          <w:sz w:val="20"/>
          <w:szCs w:val="20"/>
        </w:rPr>
        <w:t>30</w:t>
      </w:r>
      <w:r>
        <w:rPr>
          <w:rFonts w:ascii="黑体" w:hAnsi="黑体" w:cs="黑体" w:eastAsia="黑体" w:hint="default"/>
          <w:sz w:val="20"/>
          <w:szCs w:val="20"/>
        </w:rPr>
        <w:t>名激励对象</w:t>
      </w:r>
      <w:r>
        <w:rPr>
          <w:rFonts w:ascii="Arial" w:hAnsi="Arial" w:cs="Arial" w:eastAsia="Arial" w:hint="default"/>
          <w:sz w:val="20"/>
          <w:szCs w:val="20"/>
        </w:rPr>
        <w:t>(</w:t>
      </w:r>
      <w:r>
        <w:rPr>
          <w:rFonts w:ascii="黑体" w:hAnsi="黑体" w:cs="黑体" w:eastAsia="黑体" w:hint="default"/>
          <w:sz w:val="20"/>
          <w:szCs w:val="20"/>
        </w:rPr>
        <w:t>包括畅捷通的中高层</w:t>
      </w:r>
      <w:r>
        <w:rPr>
          <w:rFonts w:ascii="黑体" w:hAnsi="黑体" w:cs="黑体" w:eastAsia="黑体" w:hint="default"/>
          <w:w w:val="99"/>
          <w:sz w:val="20"/>
          <w:szCs w:val="20"/>
        </w:rPr>
        <w:t> </w:t>
      </w:r>
      <w:r>
        <w:rPr>
          <w:rFonts w:ascii="黑体" w:hAnsi="黑体" w:cs="黑体" w:eastAsia="黑体" w:hint="default"/>
          <w:sz w:val="20"/>
          <w:szCs w:val="20"/>
        </w:rPr>
        <w:t>管理人员、专家及核心骨干</w:t>
      </w:r>
      <w:r>
        <w:rPr>
          <w:rFonts w:ascii="Arial" w:hAnsi="Arial" w:cs="Arial" w:eastAsia="Arial" w:hint="default"/>
          <w:sz w:val="20"/>
          <w:szCs w:val="20"/>
        </w:rPr>
        <w:t>)</w:t>
      </w:r>
      <w:r>
        <w:rPr>
          <w:rFonts w:ascii="黑体" w:hAnsi="黑体" w:cs="黑体" w:eastAsia="黑体" w:hint="default"/>
          <w:sz w:val="20"/>
          <w:szCs w:val="20"/>
        </w:rPr>
        <w:t>第三次授予附生效条件的信托受益权份额。第三次授予项下目标股</w:t>
      </w:r>
      <w:r>
        <w:rPr>
          <w:rFonts w:ascii="黑体" w:hAnsi="黑体" w:cs="黑体" w:eastAsia="黑体" w:hint="default"/>
          <w:spacing w:val="-66"/>
          <w:sz w:val="20"/>
          <w:szCs w:val="20"/>
        </w:rPr>
        <w:t> </w:t>
      </w:r>
      <w:r>
        <w:rPr>
          <w:rFonts w:ascii="黑体" w:hAnsi="黑体" w:cs="黑体" w:eastAsia="黑体" w:hint="default"/>
          <w:spacing w:val="-66"/>
          <w:sz w:val="20"/>
          <w:szCs w:val="20"/>
        </w:rPr>
      </w:r>
      <w:r>
        <w:rPr>
          <w:rFonts w:ascii="黑体" w:hAnsi="黑体" w:cs="黑体" w:eastAsia="黑体" w:hint="default"/>
          <w:sz w:val="20"/>
          <w:szCs w:val="20"/>
        </w:rPr>
        <w:t>票总数为</w:t>
      </w:r>
      <w:r>
        <w:rPr>
          <w:rFonts w:ascii="Arial" w:hAnsi="Arial" w:cs="Arial" w:eastAsia="Arial" w:hint="default"/>
          <w:sz w:val="20"/>
          <w:szCs w:val="20"/>
        </w:rPr>
        <w:t>2,690,000</w:t>
      </w:r>
      <w:r>
        <w:rPr>
          <w:rFonts w:ascii="黑体" w:hAnsi="黑体" w:cs="黑体" w:eastAsia="黑体" w:hint="default"/>
          <w:sz w:val="20"/>
          <w:szCs w:val="20"/>
        </w:rPr>
        <w:t>股，占</w:t>
      </w:r>
      <w:r>
        <w:rPr>
          <w:rFonts w:ascii="Arial" w:hAnsi="Arial" w:cs="Arial" w:eastAsia="Arial" w:hint="default"/>
          <w:sz w:val="20"/>
          <w:szCs w:val="20"/>
        </w:rPr>
        <w:t>2016</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6</w:t>
      </w:r>
      <w:r>
        <w:rPr>
          <w:rFonts w:ascii="黑体" w:hAnsi="黑体" w:cs="黑体" w:eastAsia="黑体" w:hint="default"/>
          <w:sz w:val="20"/>
          <w:szCs w:val="20"/>
        </w:rPr>
        <w:t>日畅捷通已发行股本总额约</w:t>
      </w:r>
      <w:r>
        <w:rPr>
          <w:rFonts w:ascii="Arial" w:hAnsi="Arial" w:cs="Arial" w:eastAsia="Arial" w:hint="default"/>
          <w:sz w:val="20"/>
          <w:szCs w:val="20"/>
        </w:rPr>
        <w:t>1.24%</w:t>
      </w:r>
      <w:r>
        <w:rPr>
          <w:rFonts w:ascii="黑体" w:hAnsi="黑体" w:cs="黑体" w:eastAsia="黑体" w:hint="default"/>
          <w:sz w:val="20"/>
          <w:szCs w:val="20"/>
        </w:rPr>
        <w:t>。</w:t>
      </w:r>
    </w:p>
    <w:p>
      <w:pPr>
        <w:spacing w:line="240" w:lineRule="auto" w:before="8"/>
        <w:rPr>
          <w:rFonts w:ascii="黑体" w:hAnsi="黑体" w:cs="黑体" w:eastAsia="黑体" w:hint="default"/>
          <w:sz w:val="17"/>
          <w:szCs w:val="17"/>
        </w:rPr>
      </w:pPr>
    </w:p>
    <w:p>
      <w:pPr>
        <w:spacing w:line="260" w:lineRule="exact" w:before="0"/>
        <w:ind w:left="398" w:right="267" w:firstLine="0"/>
        <w:jc w:val="both"/>
        <w:rPr>
          <w:rFonts w:ascii="黑体" w:hAnsi="黑体" w:cs="黑体" w:eastAsia="黑体" w:hint="default"/>
          <w:sz w:val="20"/>
          <w:szCs w:val="20"/>
        </w:rPr>
      </w:pPr>
      <w:r>
        <w:rPr>
          <w:rFonts w:ascii="Arial" w:hAnsi="Arial" w:cs="Arial" w:eastAsia="Arial" w:hint="default"/>
          <w:sz w:val="20"/>
          <w:szCs w:val="20"/>
        </w:rPr>
        <w:t>e.</w:t>
      </w:r>
      <w:r>
        <w:rPr>
          <w:rFonts w:ascii="Arial" w:hAnsi="Arial" w:cs="Arial" w:eastAsia="Arial" w:hint="default"/>
          <w:spacing w:val="32"/>
          <w:sz w:val="20"/>
          <w:szCs w:val="20"/>
        </w:rPr>
        <w:t> </w:t>
      </w:r>
      <w:r>
        <w:rPr>
          <w:rFonts w:ascii="黑体" w:hAnsi="黑体" w:cs="黑体" w:eastAsia="黑体" w:hint="default"/>
          <w:spacing w:val="2"/>
          <w:sz w:val="20"/>
          <w:szCs w:val="20"/>
        </w:rPr>
        <w:t>于</w:t>
      </w:r>
      <w:r>
        <w:rPr>
          <w:rFonts w:ascii="Arial" w:hAnsi="Arial" w:cs="Arial" w:eastAsia="Arial" w:hint="default"/>
          <w:spacing w:val="2"/>
          <w:sz w:val="20"/>
          <w:szCs w:val="20"/>
        </w:rPr>
        <w:t>2017</w:t>
      </w:r>
      <w:r>
        <w:rPr>
          <w:rFonts w:ascii="黑体" w:hAnsi="黑体" w:cs="黑体" w:eastAsia="黑体" w:hint="default"/>
          <w:spacing w:val="2"/>
          <w:sz w:val="20"/>
          <w:szCs w:val="20"/>
        </w:rPr>
        <w:t>年</w:t>
      </w:r>
      <w:r>
        <w:rPr>
          <w:rFonts w:ascii="Arial" w:hAnsi="Arial" w:cs="Arial" w:eastAsia="Arial" w:hint="default"/>
          <w:spacing w:val="2"/>
          <w:sz w:val="20"/>
          <w:szCs w:val="20"/>
        </w:rPr>
        <w:t>6</w:t>
      </w:r>
      <w:r>
        <w:rPr>
          <w:rFonts w:ascii="黑体" w:hAnsi="黑体" w:cs="黑体" w:eastAsia="黑体" w:hint="default"/>
          <w:spacing w:val="2"/>
          <w:sz w:val="20"/>
          <w:szCs w:val="20"/>
        </w:rPr>
        <w:t>月</w:t>
      </w:r>
      <w:r>
        <w:rPr>
          <w:rFonts w:ascii="Arial" w:hAnsi="Arial" w:cs="Arial" w:eastAsia="Arial" w:hint="default"/>
          <w:spacing w:val="2"/>
          <w:sz w:val="20"/>
          <w:szCs w:val="20"/>
        </w:rPr>
        <w:t>5</w:t>
      </w:r>
      <w:r>
        <w:rPr>
          <w:rFonts w:ascii="黑体" w:hAnsi="黑体" w:cs="黑体" w:eastAsia="黑体" w:hint="default"/>
          <w:spacing w:val="2"/>
          <w:sz w:val="20"/>
          <w:szCs w:val="20"/>
        </w:rPr>
        <w:t>日，畅捷通董事会批准依据该计划无偿向</w:t>
      </w:r>
      <w:r>
        <w:rPr>
          <w:rFonts w:ascii="Arial" w:hAnsi="Arial" w:cs="Arial" w:eastAsia="Arial" w:hint="default"/>
          <w:spacing w:val="2"/>
          <w:sz w:val="20"/>
          <w:szCs w:val="20"/>
        </w:rPr>
        <w:t>48</w:t>
      </w:r>
      <w:r>
        <w:rPr>
          <w:rFonts w:ascii="黑体" w:hAnsi="黑体" w:cs="黑体" w:eastAsia="黑体" w:hint="default"/>
          <w:spacing w:val="2"/>
          <w:sz w:val="20"/>
          <w:szCs w:val="20"/>
        </w:rPr>
        <w:t>名激励对象</w:t>
      </w:r>
      <w:r>
        <w:rPr>
          <w:rFonts w:ascii="Arial" w:hAnsi="Arial" w:cs="Arial" w:eastAsia="Arial" w:hint="default"/>
          <w:spacing w:val="2"/>
          <w:sz w:val="20"/>
          <w:szCs w:val="20"/>
        </w:rPr>
        <w:t>(</w:t>
      </w:r>
      <w:r>
        <w:rPr>
          <w:rFonts w:ascii="黑体" w:hAnsi="黑体" w:cs="黑体" w:eastAsia="黑体" w:hint="default"/>
          <w:spacing w:val="2"/>
          <w:sz w:val="20"/>
          <w:szCs w:val="20"/>
        </w:rPr>
        <w:t>包括畅捷通的一名董</w:t>
      </w:r>
      <w:r>
        <w:rPr>
          <w:rFonts w:ascii="黑体" w:hAnsi="黑体" w:cs="黑体" w:eastAsia="黑体" w:hint="default"/>
          <w:w w:val="99"/>
          <w:sz w:val="20"/>
          <w:szCs w:val="20"/>
        </w:rPr>
        <w:t> </w:t>
      </w:r>
      <w:r>
        <w:rPr>
          <w:rFonts w:ascii="黑体" w:hAnsi="黑体" w:cs="黑体" w:eastAsia="黑体" w:hint="default"/>
          <w:sz w:val="20"/>
          <w:szCs w:val="20"/>
        </w:rPr>
        <w:t>事、两名监事、畅捷通的中高层管理人员、专家及核心骨干</w:t>
      </w:r>
      <w:r>
        <w:rPr>
          <w:rFonts w:ascii="Arial" w:hAnsi="Arial" w:cs="Arial" w:eastAsia="Arial" w:hint="default"/>
          <w:sz w:val="20"/>
          <w:szCs w:val="20"/>
        </w:rPr>
        <w:t>)</w:t>
      </w:r>
      <w:r>
        <w:rPr>
          <w:rFonts w:ascii="黑体" w:hAnsi="黑体" w:cs="黑体" w:eastAsia="黑体" w:hint="default"/>
          <w:sz w:val="20"/>
          <w:szCs w:val="20"/>
        </w:rPr>
        <w:t>再次授予附生效条件的信托受益权</w:t>
      </w:r>
      <w:r>
        <w:rPr>
          <w:rFonts w:ascii="黑体" w:hAnsi="黑体" w:cs="黑体" w:eastAsia="黑体" w:hint="default"/>
          <w:spacing w:val="-63"/>
          <w:sz w:val="20"/>
          <w:szCs w:val="20"/>
        </w:rPr>
        <w:t> </w:t>
      </w:r>
      <w:r>
        <w:rPr>
          <w:rFonts w:ascii="黑体" w:hAnsi="黑体" w:cs="黑体" w:eastAsia="黑体" w:hint="default"/>
          <w:spacing w:val="-63"/>
          <w:sz w:val="20"/>
          <w:szCs w:val="20"/>
        </w:rPr>
      </w:r>
      <w:r>
        <w:rPr>
          <w:rFonts w:ascii="黑体" w:hAnsi="黑体" w:cs="黑体" w:eastAsia="黑体" w:hint="default"/>
          <w:spacing w:val="3"/>
          <w:sz w:val="20"/>
          <w:szCs w:val="20"/>
        </w:rPr>
        <w:t>份额。再次授予项下目标股票总数为</w:t>
      </w:r>
      <w:r>
        <w:rPr>
          <w:rFonts w:ascii="Arial" w:hAnsi="Arial" w:cs="Arial" w:eastAsia="Arial" w:hint="default"/>
          <w:spacing w:val="3"/>
          <w:sz w:val="20"/>
          <w:szCs w:val="20"/>
        </w:rPr>
        <w:t>4,071,000</w:t>
      </w:r>
      <w:r>
        <w:rPr>
          <w:rFonts w:ascii="黑体" w:hAnsi="黑体" w:cs="黑体" w:eastAsia="黑体" w:hint="default"/>
          <w:spacing w:val="3"/>
          <w:sz w:val="20"/>
          <w:szCs w:val="20"/>
        </w:rPr>
        <w:t>股，占</w:t>
      </w:r>
      <w:r>
        <w:rPr>
          <w:rFonts w:ascii="Arial" w:hAnsi="Arial" w:cs="Arial" w:eastAsia="Arial" w:hint="default"/>
          <w:spacing w:val="3"/>
          <w:sz w:val="20"/>
          <w:szCs w:val="20"/>
        </w:rPr>
        <w:t>2017</w:t>
      </w:r>
      <w:r>
        <w:rPr>
          <w:rFonts w:ascii="黑体" w:hAnsi="黑体" w:cs="黑体" w:eastAsia="黑体" w:hint="default"/>
          <w:spacing w:val="3"/>
          <w:sz w:val="20"/>
          <w:szCs w:val="20"/>
        </w:rPr>
        <w:t>年</w:t>
      </w:r>
      <w:r>
        <w:rPr>
          <w:rFonts w:ascii="Arial" w:hAnsi="Arial" w:cs="Arial" w:eastAsia="Arial" w:hint="default"/>
          <w:spacing w:val="3"/>
          <w:sz w:val="20"/>
          <w:szCs w:val="20"/>
        </w:rPr>
        <w:t>6</w:t>
      </w:r>
      <w:r>
        <w:rPr>
          <w:rFonts w:ascii="黑体" w:hAnsi="黑体" w:cs="黑体" w:eastAsia="黑体" w:hint="default"/>
          <w:spacing w:val="3"/>
          <w:sz w:val="20"/>
          <w:szCs w:val="20"/>
        </w:rPr>
        <w:t>月</w:t>
      </w:r>
      <w:r>
        <w:rPr>
          <w:rFonts w:ascii="Arial" w:hAnsi="Arial" w:cs="Arial" w:eastAsia="Arial" w:hint="default"/>
          <w:spacing w:val="3"/>
          <w:sz w:val="20"/>
          <w:szCs w:val="20"/>
        </w:rPr>
        <w:t>5</w:t>
      </w:r>
      <w:r>
        <w:rPr>
          <w:rFonts w:ascii="黑体" w:hAnsi="黑体" w:cs="黑体" w:eastAsia="黑体" w:hint="default"/>
          <w:spacing w:val="3"/>
          <w:sz w:val="20"/>
          <w:szCs w:val="20"/>
        </w:rPr>
        <w:t>日畅捷通已发行股本总额约</w:t>
      </w:r>
      <w:r>
        <w:rPr>
          <w:rFonts w:ascii="黑体" w:hAnsi="黑体" w:cs="黑体" w:eastAsia="黑体" w:hint="default"/>
          <w:spacing w:val="4"/>
          <w:w w:val="99"/>
          <w:sz w:val="20"/>
          <w:szCs w:val="20"/>
        </w:rPr>
        <w:t> </w:t>
      </w:r>
      <w:r>
        <w:rPr>
          <w:rFonts w:ascii="Arial" w:hAnsi="Arial" w:cs="Arial" w:eastAsia="Arial" w:hint="default"/>
          <w:sz w:val="20"/>
          <w:szCs w:val="20"/>
        </w:rPr>
        <w:t>1.87%</w:t>
      </w:r>
      <w:r>
        <w:rPr>
          <w:rFonts w:ascii="黑体" w:hAnsi="黑体" w:cs="黑体" w:eastAsia="黑体" w:hint="default"/>
          <w:sz w:val="20"/>
          <w:szCs w:val="20"/>
        </w:rPr>
        <w:t>。</w:t>
      </w:r>
    </w:p>
    <w:p>
      <w:pPr>
        <w:spacing w:line="240" w:lineRule="auto" w:before="11"/>
        <w:rPr>
          <w:rFonts w:ascii="黑体" w:hAnsi="黑体" w:cs="黑体" w:eastAsia="黑体" w:hint="default"/>
          <w:sz w:val="14"/>
          <w:szCs w:val="14"/>
        </w:rPr>
      </w:pPr>
    </w:p>
    <w:p>
      <w:pPr>
        <w:spacing w:before="0"/>
        <w:ind w:left="398" w:right="0" w:firstLine="0"/>
        <w:jc w:val="both"/>
        <w:rPr>
          <w:rFonts w:ascii="黑体" w:hAnsi="黑体" w:cs="黑体" w:eastAsia="黑体" w:hint="default"/>
          <w:sz w:val="20"/>
          <w:szCs w:val="20"/>
        </w:rPr>
      </w:pPr>
      <w:r>
        <w:rPr>
          <w:rFonts w:ascii="黑体" w:hAnsi="黑体" w:cs="黑体" w:eastAsia="黑体" w:hint="default"/>
          <w:sz w:val="20"/>
          <w:szCs w:val="20"/>
        </w:rPr>
        <w:t>该次修订对已授信托受益权份额的公允价值估计并无增量的影响，所采用的计量方法载述如下。</w:t>
      </w:r>
    </w:p>
    <w:p>
      <w:pPr>
        <w:spacing w:line="240" w:lineRule="auto" w:before="5"/>
        <w:rPr>
          <w:rFonts w:ascii="黑体" w:hAnsi="黑体" w:cs="黑体" w:eastAsia="黑体" w:hint="default"/>
          <w:sz w:val="19"/>
          <w:szCs w:val="19"/>
        </w:rPr>
      </w:pPr>
    </w:p>
    <w:p>
      <w:pPr>
        <w:spacing w:line="260" w:lineRule="exact" w:before="0"/>
        <w:ind w:left="398" w:right="269" w:firstLine="0"/>
        <w:jc w:val="both"/>
        <w:rPr>
          <w:rFonts w:ascii="黑体" w:hAnsi="黑体" w:cs="黑体" w:eastAsia="黑体" w:hint="default"/>
          <w:sz w:val="20"/>
          <w:szCs w:val="20"/>
        </w:rPr>
      </w:pPr>
      <w:r>
        <w:rPr>
          <w:rFonts w:ascii="黑体" w:hAnsi="黑体" w:cs="黑体" w:eastAsia="黑体" w:hint="default"/>
          <w:sz w:val="20"/>
          <w:szCs w:val="20"/>
        </w:rPr>
        <w:t>于首次授予</w:t>
      </w:r>
      <w:r>
        <w:rPr>
          <w:rFonts w:ascii="Arial" w:hAnsi="Arial" w:cs="Arial" w:eastAsia="Arial" w:hint="default"/>
          <w:sz w:val="20"/>
          <w:szCs w:val="20"/>
        </w:rPr>
        <w:t>/</w:t>
      </w:r>
      <w:r>
        <w:rPr>
          <w:rFonts w:ascii="黑体" w:hAnsi="黑体" w:cs="黑体" w:eastAsia="黑体" w:hint="default"/>
          <w:sz w:val="20"/>
          <w:szCs w:val="20"/>
        </w:rPr>
        <w:t>修订日授予</w:t>
      </w:r>
      <w:r>
        <w:rPr>
          <w:rFonts w:ascii="Arial" w:hAnsi="Arial" w:cs="Arial" w:eastAsia="Arial" w:hint="default"/>
          <w:sz w:val="20"/>
          <w:szCs w:val="20"/>
        </w:rPr>
        <w:t>/</w:t>
      </w:r>
      <w:r>
        <w:rPr>
          <w:rFonts w:ascii="黑体" w:hAnsi="黑体" w:cs="黑体" w:eastAsia="黑体" w:hint="default"/>
          <w:sz w:val="20"/>
          <w:szCs w:val="20"/>
        </w:rPr>
        <w:t>修订的信托受益权份额的公允价值以布莱克－斯科尔斯期权定价模型及</w:t>
      </w:r>
      <w:r>
        <w:rPr>
          <w:rFonts w:ascii="黑体" w:hAnsi="黑体" w:cs="黑体" w:eastAsia="黑体" w:hint="default"/>
          <w:w w:val="99"/>
          <w:sz w:val="20"/>
          <w:szCs w:val="20"/>
        </w:rPr>
        <w:t> </w:t>
      </w:r>
      <w:r>
        <w:rPr>
          <w:rFonts w:ascii="黑体" w:hAnsi="黑体" w:cs="黑体" w:eastAsia="黑体" w:hint="default"/>
          <w:sz w:val="20"/>
          <w:szCs w:val="20"/>
        </w:rPr>
        <w:t>蒙特卡罗模型，结合授予</w:t>
      </w:r>
      <w:r>
        <w:rPr>
          <w:rFonts w:ascii="Arial" w:hAnsi="Arial" w:cs="Arial" w:eastAsia="Arial" w:hint="default"/>
          <w:sz w:val="20"/>
          <w:szCs w:val="20"/>
        </w:rPr>
        <w:t>/</w:t>
      </w:r>
      <w:r>
        <w:rPr>
          <w:rFonts w:ascii="黑体" w:hAnsi="黑体" w:cs="黑体" w:eastAsia="黑体" w:hint="default"/>
          <w:sz w:val="20"/>
          <w:szCs w:val="20"/>
        </w:rPr>
        <w:t>修订信托受益权份额的条款和条件，做出估计。于首次授予日授予的</w:t>
      </w:r>
      <w:r>
        <w:rPr>
          <w:rFonts w:ascii="黑体" w:hAnsi="黑体" w:cs="黑体" w:eastAsia="黑体" w:hint="default"/>
          <w:spacing w:val="-57"/>
          <w:sz w:val="20"/>
          <w:szCs w:val="20"/>
        </w:rPr>
        <w:t> </w:t>
      </w:r>
      <w:r>
        <w:rPr>
          <w:rFonts w:ascii="黑体" w:hAnsi="黑体" w:cs="黑体" w:eastAsia="黑体" w:hint="default"/>
          <w:spacing w:val="-57"/>
          <w:sz w:val="20"/>
          <w:szCs w:val="20"/>
        </w:rPr>
      </w:r>
      <w:r>
        <w:rPr>
          <w:rFonts w:ascii="黑体" w:hAnsi="黑体" w:cs="黑体" w:eastAsia="黑体" w:hint="default"/>
          <w:sz w:val="20"/>
          <w:szCs w:val="20"/>
        </w:rPr>
        <w:t>信托受益权份额的公允价值为人民币</w:t>
      </w:r>
      <w:r>
        <w:rPr>
          <w:rFonts w:ascii="Arial" w:hAnsi="Arial" w:cs="Arial" w:eastAsia="Arial" w:hint="default"/>
          <w:sz w:val="20"/>
          <w:szCs w:val="20"/>
        </w:rPr>
        <w:t>427,285,062</w:t>
      </w:r>
      <w:r>
        <w:rPr>
          <w:rFonts w:ascii="黑体" w:hAnsi="黑体" w:cs="黑体" w:eastAsia="黑体" w:hint="default"/>
          <w:sz w:val="20"/>
          <w:szCs w:val="20"/>
        </w:rPr>
        <w:t>元。下表列示了所用模型的输入变量：</w:t>
      </w:r>
    </w:p>
    <w:p>
      <w:pPr>
        <w:spacing w:line="240" w:lineRule="auto" w:before="9"/>
        <w:rPr>
          <w:rFonts w:ascii="黑体" w:hAnsi="黑体" w:cs="黑体" w:eastAsia="黑体" w:hint="default"/>
          <w:sz w:val="27"/>
          <w:szCs w:val="27"/>
        </w:rPr>
      </w:pPr>
    </w:p>
    <w:tbl>
      <w:tblPr>
        <w:tblW w:w="0" w:type="auto"/>
        <w:jc w:val="left"/>
        <w:tblInd w:w="104" w:type="dxa"/>
        <w:tblLayout w:type="fixed"/>
        <w:tblCellMar>
          <w:top w:w="0" w:type="dxa"/>
          <w:left w:w="0" w:type="dxa"/>
          <w:bottom w:w="0" w:type="dxa"/>
          <w:right w:w="0" w:type="dxa"/>
        </w:tblCellMar>
        <w:tblLook w:val="01E0"/>
      </w:tblPr>
      <w:tblGrid>
        <w:gridCol w:w="5027"/>
        <w:gridCol w:w="3660"/>
      </w:tblGrid>
      <w:tr>
        <w:trPr>
          <w:trHeight w:val="292" w:hRule="exact"/>
        </w:trPr>
        <w:tc>
          <w:tcPr>
            <w:tcW w:w="5027" w:type="dxa"/>
            <w:tcBorders>
              <w:top w:val="nil" w:sz="6" w:space="0" w:color="auto"/>
              <w:left w:val="nil" w:sz="6" w:space="0" w:color="auto"/>
              <w:bottom w:val="nil" w:sz="6" w:space="0" w:color="auto"/>
              <w:right w:val="nil" w:sz="6" w:space="0" w:color="auto"/>
            </w:tcBorders>
          </w:tcPr>
          <w:p>
            <w:pPr>
              <w:pStyle w:val="TableParagraph"/>
              <w:spacing w:line="214" w:lineRule="exact"/>
              <w:ind w:left="200" w:right="0"/>
              <w:jc w:val="left"/>
              <w:rPr>
                <w:rFonts w:ascii="Arial" w:hAnsi="Arial" w:cs="Arial" w:eastAsia="Arial" w:hint="default"/>
                <w:sz w:val="20"/>
                <w:szCs w:val="20"/>
              </w:rPr>
            </w:pPr>
            <w:r>
              <w:rPr>
                <w:rFonts w:ascii="黑体" w:hAnsi="黑体" w:cs="黑体" w:eastAsia="黑体" w:hint="default"/>
                <w:sz w:val="20"/>
                <w:szCs w:val="20"/>
              </w:rPr>
              <w:t>预期分红收益率</w:t>
            </w:r>
            <w:r>
              <w:rPr>
                <w:rFonts w:ascii="Arial" w:hAnsi="Arial" w:cs="Arial" w:eastAsia="Arial" w:hint="default"/>
                <w:sz w:val="20"/>
                <w:szCs w:val="20"/>
              </w:rPr>
              <w:t>(%)</w:t>
            </w:r>
          </w:p>
        </w:tc>
        <w:tc>
          <w:tcPr>
            <w:tcW w:w="3660" w:type="dxa"/>
            <w:tcBorders>
              <w:top w:val="nil" w:sz="6" w:space="0" w:color="auto"/>
              <w:left w:val="nil" w:sz="6" w:space="0" w:color="auto"/>
              <w:bottom w:val="nil" w:sz="6" w:space="0" w:color="auto"/>
              <w:right w:val="nil" w:sz="6" w:space="0" w:color="auto"/>
            </w:tcBorders>
          </w:tcPr>
          <w:p>
            <w:pPr>
              <w:pStyle w:val="TableParagraph"/>
              <w:spacing w:line="228" w:lineRule="exact"/>
              <w:ind w:right="201"/>
              <w:jc w:val="right"/>
              <w:rPr>
                <w:rFonts w:ascii="Arial" w:hAnsi="Arial" w:cs="Arial" w:eastAsia="Arial" w:hint="default"/>
                <w:sz w:val="20"/>
                <w:szCs w:val="20"/>
              </w:rPr>
            </w:pPr>
            <w:r>
              <w:rPr>
                <w:rFonts w:ascii="Arial"/>
                <w:spacing w:val="-1"/>
                <w:w w:val="95"/>
                <w:sz w:val="20"/>
              </w:rPr>
              <w:t>0.00%</w:t>
            </w:r>
            <w:r>
              <w:rPr>
                <w:rFonts w:ascii="Arial"/>
                <w:sz w:val="20"/>
              </w:rPr>
            </w:r>
          </w:p>
        </w:tc>
      </w:tr>
      <w:tr>
        <w:trPr>
          <w:trHeight w:val="361" w:hRule="exact"/>
        </w:trPr>
        <w:tc>
          <w:tcPr>
            <w:tcW w:w="502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0" w:right="0"/>
              <w:jc w:val="left"/>
              <w:rPr>
                <w:rFonts w:ascii="Arial" w:hAnsi="Arial" w:cs="Arial" w:eastAsia="Arial" w:hint="default"/>
                <w:sz w:val="20"/>
                <w:szCs w:val="20"/>
              </w:rPr>
            </w:pPr>
            <w:r>
              <w:rPr>
                <w:rFonts w:ascii="黑体" w:hAnsi="黑体" w:cs="黑体" w:eastAsia="黑体" w:hint="default"/>
                <w:sz w:val="20"/>
                <w:szCs w:val="20"/>
              </w:rPr>
              <w:t>预期股价波动率</w:t>
            </w:r>
            <w:r>
              <w:rPr>
                <w:rFonts w:ascii="Arial" w:hAnsi="Arial" w:cs="Arial" w:eastAsia="Arial" w:hint="default"/>
                <w:sz w:val="20"/>
                <w:szCs w:val="20"/>
              </w:rPr>
              <w:t>(%)</w:t>
            </w:r>
          </w:p>
        </w:tc>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01"/>
              <w:jc w:val="right"/>
              <w:rPr>
                <w:rFonts w:ascii="Arial" w:hAnsi="Arial" w:cs="Arial" w:eastAsia="Arial" w:hint="default"/>
                <w:sz w:val="20"/>
                <w:szCs w:val="20"/>
              </w:rPr>
            </w:pPr>
            <w:r>
              <w:rPr>
                <w:rFonts w:ascii="Arial"/>
                <w:w w:val="95"/>
                <w:sz w:val="20"/>
              </w:rPr>
              <w:t>51.50%-63.20%</w:t>
            </w:r>
            <w:r>
              <w:rPr>
                <w:rFonts w:ascii="Arial"/>
                <w:sz w:val="20"/>
              </w:rPr>
            </w:r>
          </w:p>
        </w:tc>
      </w:tr>
      <w:tr>
        <w:trPr>
          <w:trHeight w:val="360" w:hRule="exact"/>
        </w:trPr>
        <w:tc>
          <w:tcPr>
            <w:tcW w:w="502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0" w:right="0"/>
              <w:jc w:val="left"/>
              <w:rPr>
                <w:rFonts w:ascii="Arial" w:hAnsi="Arial" w:cs="Arial" w:eastAsia="Arial" w:hint="default"/>
                <w:sz w:val="20"/>
                <w:szCs w:val="20"/>
              </w:rPr>
            </w:pPr>
            <w:r>
              <w:rPr>
                <w:rFonts w:ascii="黑体" w:hAnsi="黑体" w:cs="黑体" w:eastAsia="黑体" w:hint="default"/>
                <w:sz w:val="20"/>
                <w:szCs w:val="20"/>
              </w:rPr>
              <w:t>无风险利率</w:t>
            </w:r>
            <w:r>
              <w:rPr>
                <w:rFonts w:ascii="Arial" w:hAnsi="Arial" w:cs="Arial" w:eastAsia="Arial" w:hint="default"/>
                <w:sz w:val="20"/>
                <w:szCs w:val="20"/>
              </w:rPr>
              <w:t>(%)</w:t>
            </w:r>
          </w:p>
        </w:tc>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01"/>
              <w:jc w:val="right"/>
              <w:rPr>
                <w:rFonts w:ascii="Arial" w:hAnsi="Arial" w:cs="Arial" w:eastAsia="Arial" w:hint="default"/>
                <w:sz w:val="20"/>
                <w:szCs w:val="20"/>
              </w:rPr>
            </w:pPr>
            <w:r>
              <w:rPr>
                <w:rFonts w:ascii="Arial"/>
                <w:w w:val="95"/>
                <w:sz w:val="20"/>
              </w:rPr>
              <w:t>0.157%-1.815%</w:t>
            </w:r>
            <w:r>
              <w:rPr>
                <w:rFonts w:ascii="Arial"/>
                <w:sz w:val="20"/>
              </w:rPr>
            </w:r>
          </w:p>
        </w:tc>
      </w:tr>
      <w:tr>
        <w:trPr>
          <w:trHeight w:val="360" w:hRule="exact"/>
        </w:trPr>
        <w:tc>
          <w:tcPr>
            <w:tcW w:w="502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0" w:right="0"/>
              <w:jc w:val="left"/>
              <w:rPr>
                <w:rFonts w:ascii="Arial" w:hAnsi="Arial" w:cs="Arial" w:eastAsia="Arial" w:hint="default"/>
                <w:sz w:val="20"/>
                <w:szCs w:val="20"/>
              </w:rPr>
            </w:pPr>
            <w:r>
              <w:rPr>
                <w:rFonts w:ascii="黑体" w:hAnsi="黑体" w:cs="黑体" w:eastAsia="黑体" w:hint="default"/>
                <w:sz w:val="20"/>
                <w:szCs w:val="20"/>
              </w:rPr>
              <w:t>股票预期期限</w:t>
            </w:r>
            <w:r>
              <w:rPr>
                <w:rFonts w:ascii="Arial" w:hAnsi="Arial" w:cs="Arial" w:eastAsia="Arial" w:hint="default"/>
                <w:sz w:val="20"/>
                <w:szCs w:val="20"/>
              </w:rPr>
              <w:t>(</w:t>
            </w:r>
            <w:r>
              <w:rPr>
                <w:rFonts w:ascii="黑体" w:hAnsi="黑体" w:cs="黑体" w:eastAsia="黑体" w:hint="default"/>
                <w:sz w:val="20"/>
                <w:szCs w:val="20"/>
              </w:rPr>
              <w:t>年</w:t>
            </w:r>
            <w:r>
              <w:rPr>
                <w:rFonts w:ascii="Arial" w:hAnsi="Arial" w:cs="Arial" w:eastAsia="Arial" w:hint="default"/>
                <w:sz w:val="20"/>
                <w:szCs w:val="20"/>
              </w:rPr>
              <w:t>)</w:t>
            </w:r>
          </w:p>
        </w:tc>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00"/>
              <w:jc w:val="right"/>
              <w:rPr>
                <w:rFonts w:ascii="Arial" w:hAnsi="Arial" w:cs="Arial" w:eastAsia="Arial" w:hint="default"/>
                <w:sz w:val="20"/>
                <w:szCs w:val="20"/>
              </w:rPr>
            </w:pPr>
            <w:r>
              <w:rPr>
                <w:rFonts w:ascii="Arial"/>
                <w:spacing w:val="-1"/>
                <w:w w:val="95"/>
                <w:sz w:val="20"/>
              </w:rPr>
              <w:t>1-10</w:t>
            </w:r>
            <w:r>
              <w:rPr>
                <w:rFonts w:ascii="Arial"/>
                <w:sz w:val="20"/>
              </w:rPr>
            </w:r>
          </w:p>
        </w:tc>
      </w:tr>
      <w:tr>
        <w:trPr>
          <w:trHeight w:val="292" w:hRule="exact"/>
        </w:trPr>
        <w:tc>
          <w:tcPr>
            <w:tcW w:w="502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0" w:right="0"/>
              <w:jc w:val="left"/>
              <w:rPr>
                <w:rFonts w:ascii="Arial" w:hAnsi="Arial" w:cs="Arial" w:eastAsia="Arial" w:hint="default"/>
                <w:sz w:val="20"/>
                <w:szCs w:val="20"/>
              </w:rPr>
            </w:pPr>
            <w:r>
              <w:rPr>
                <w:rFonts w:ascii="黑体" w:hAnsi="黑体" w:cs="黑体" w:eastAsia="黑体" w:hint="default"/>
                <w:sz w:val="20"/>
                <w:szCs w:val="20"/>
              </w:rPr>
              <w:t>加权平均股票价格</w:t>
            </w:r>
            <w:r>
              <w:rPr>
                <w:rFonts w:ascii="Arial" w:hAnsi="Arial" w:cs="Arial" w:eastAsia="Arial" w:hint="default"/>
                <w:sz w:val="20"/>
                <w:szCs w:val="20"/>
              </w:rPr>
              <w:t>(</w:t>
            </w:r>
            <w:r>
              <w:rPr>
                <w:rFonts w:ascii="黑体" w:hAnsi="黑体" w:cs="黑体" w:eastAsia="黑体" w:hint="default"/>
                <w:sz w:val="20"/>
                <w:szCs w:val="20"/>
              </w:rPr>
              <w:t>人民币元</w:t>
            </w:r>
            <w:r>
              <w:rPr>
                <w:rFonts w:ascii="Arial" w:hAnsi="Arial" w:cs="Arial" w:eastAsia="Arial" w:hint="default"/>
                <w:sz w:val="20"/>
                <w:szCs w:val="20"/>
              </w:rPr>
              <w:t>/</w:t>
            </w:r>
            <w:r>
              <w:rPr>
                <w:rFonts w:ascii="黑体" w:hAnsi="黑体" w:cs="黑体" w:eastAsia="黑体" w:hint="default"/>
                <w:sz w:val="20"/>
                <w:szCs w:val="20"/>
              </w:rPr>
              <w:t>股</w:t>
            </w:r>
            <w:r>
              <w:rPr>
                <w:rFonts w:ascii="Arial" w:hAnsi="Arial" w:cs="Arial" w:eastAsia="Arial" w:hint="default"/>
                <w:sz w:val="20"/>
                <w:szCs w:val="20"/>
              </w:rPr>
              <w:t>)</w:t>
            </w:r>
          </w:p>
        </w:tc>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98"/>
              <w:jc w:val="right"/>
              <w:rPr>
                <w:rFonts w:ascii="Arial" w:hAnsi="Arial" w:cs="Arial" w:eastAsia="Arial" w:hint="default"/>
                <w:sz w:val="20"/>
                <w:szCs w:val="20"/>
              </w:rPr>
            </w:pPr>
            <w:r>
              <w:rPr>
                <w:rFonts w:ascii="Arial"/>
                <w:w w:val="95"/>
                <w:sz w:val="20"/>
              </w:rPr>
              <w:t>24.60</w:t>
            </w:r>
            <w:r>
              <w:rPr>
                <w:rFonts w:ascii="Arial"/>
                <w:sz w:val="20"/>
              </w:rPr>
            </w:r>
          </w:p>
        </w:tc>
      </w:tr>
    </w:tbl>
    <w:p>
      <w:pPr>
        <w:spacing w:line="240" w:lineRule="auto" w:before="10"/>
        <w:rPr>
          <w:rFonts w:ascii="黑体" w:hAnsi="黑体" w:cs="黑体" w:eastAsia="黑体" w:hint="default"/>
          <w:sz w:val="11"/>
          <w:szCs w:val="11"/>
        </w:rPr>
      </w:pPr>
    </w:p>
    <w:p>
      <w:pPr>
        <w:spacing w:line="225" w:lineRule="auto" w:before="51"/>
        <w:ind w:left="398" w:right="269" w:firstLine="0"/>
        <w:jc w:val="both"/>
        <w:rPr>
          <w:rFonts w:ascii="黑体" w:hAnsi="黑体" w:cs="黑体" w:eastAsia="黑体" w:hint="default"/>
          <w:sz w:val="20"/>
          <w:szCs w:val="20"/>
        </w:rPr>
      </w:pPr>
      <w:r>
        <w:rPr>
          <w:rFonts w:ascii="黑体" w:hAnsi="黑体" w:cs="黑体" w:eastAsia="黑体" w:hint="default"/>
          <w:sz w:val="20"/>
          <w:szCs w:val="20"/>
        </w:rPr>
        <w:t>除上述首次授予外，向畅捷通美国若干激励对象授予</w:t>
      </w:r>
      <w:r>
        <w:rPr>
          <w:rFonts w:ascii="Arial" w:hAnsi="Arial" w:cs="Arial" w:eastAsia="Arial" w:hint="default"/>
          <w:sz w:val="20"/>
          <w:szCs w:val="20"/>
        </w:rPr>
        <w:t>/</w:t>
      </w:r>
      <w:r>
        <w:rPr>
          <w:rFonts w:ascii="黑体" w:hAnsi="黑体" w:cs="黑体" w:eastAsia="黑体" w:hint="default"/>
          <w:sz w:val="20"/>
          <w:szCs w:val="20"/>
        </w:rPr>
        <w:t>修订的信托受益权份额的公允价值基于畅</w:t>
      </w:r>
      <w:r>
        <w:rPr>
          <w:rFonts w:ascii="黑体" w:hAnsi="黑体" w:cs="黑体" w:eastAsia="黑体" w:hint="default"/>
          <w:spacing w:val="-56"/>
          <w:sz w:val="20"/>
          <w:szCs w:val="20"/>
        </w:rPr>
        <w:t> </w:t>
      </w:r>
      <w:r>
        <w:rPr>
          <w:rFonts w:ascii="黑体" w:hAnsi="黑体" w:cs="黑体" w:eastAsia="黑体" w:hint="default"/>
          <w:spacing w:val="-56"/>
          <w:sz w:val="20"/>
          <w:szCs w:val="20"/>
        </w:rPr>
      </w:r>
      <w:r>
        <w:rPr>
          <w:rFonts w:ascii="黑体" w:hAnsi="黑体" w:cs="黑体" w:eastAsia="黑体" w:hint="default"/>
          <w:spacing w:val="6"/>
          <w:sz w:val="20"/>
          <w:szCs w:val="20"/>
        </w:rPr>
        <w:t>捷通股份于授予</w:t>
      </w:r>
      <w:r>
        <w:rPr>
          <w:rFonts w:ascii="Arial" w:hAnsi="Arial" w:cs="Arial" w:eastAsia="Arial" w:hint="default"/>
          <w:spacing w:val="6"/>
          <w:sz w:val="20"/>
          <w:szCs w:val="20"/>
        </w:rPr>
        <w:t>/</w:t>
      </w:r>
      <w:r>
        <w:rPr>
          <w:rFonts w:ascii="黑体" w:hAnsi="黑体" w:cs="黑体" w:eastAsia="黑体" w:hint="default"/>
          <w:spacing w:val="6"/>
          <w:sz w:val="20"/>
          <w:szCs w:val="20"/>
        </w:rPr>
        <w:t>修订日之市值计算，该等授予项下已授信托受益权份额的公允价值为人民币</w:t>
      </w:r>
      <w:r>
        <w:rPr>
          <w:rFonts w:ascii="黑体" w:hAnsi="黑体" w:cs="黑体" w:eastAsia="黑体" w:hint="default"/>
          <w:spacing w:val="-93"/>
          <w:sz w:val="20"/>
          <w:szCs w:val="20"/>
        </w:rPr>
        <w:t> </w:t>
      </w:r>
      <w:r>
        <w:rPr>
          <w:rFonts w:ascii="Arial" w:hAnsi="Arial" w:cs="Arial" w:eastAsia="Arial" w:hint="default"/>
          <w:sz w:val="20"/>
          <w:szCs w:val="20"/>
        </w:rPr>
        <w:t>1,251,036</w:t>
      </w:r>
      <w:r>
        <w:rPr>
          <w:rFonts w:ascii="Arial" w:hAnsi="Arial" w:cs="Arial" w:eastAsia="Arial" w:hint="default"/>
          <w:spacing w:val="-8"/>
          <w:sz w:val="20"/>
          <w:szCs w:val="20"/>
        </w:rPr>
        <w:t> </w:t>
      </w:r>
      <w:r>
        <w:rPr>
          <w:rFonts w:ascii="黑体" w:hAnsi="黑体" w:cs="黑体" w:eastAsia="黑体" w:hint="default"/>
          <w:sz w:val="20"/>
          <w:szCs w:val="20"/>
        </w:rPr>
        <w:t>元。</w:t>
      </w:r>
    </w:p>
    <w:p>
      <w:pPr>
        <w:spacing w:line="240" w:lineRule="auto" w:before="6"/>
        <w:rPr>
          <w:rFonts w:ascii="黑体" w:hAnsi="黑体" w:cs="黑体" w:eastAsia="黑体" w:hint="default"/>
          <w:sz w:val="18"/>
          <w:szCs w:val="18"/>
        </w:rPr>
      </w:pPr>
    </w:p>
    <w:p>
      <w:pPr>
        <w:spacing w:line="260" w:lineRule="exact" w:before="0"/>
        <w:ind w:left="398" w:right="274" w:firstLine="0"/>
        <w:jc w:val="both"/>
        <w:rPr>
          <w:rFonts w:ascii="黑体" w:hAnsi="黑体" w:cs="黑体" w:eastAsia="黑体" w:hint="default"/>
          <w:sz w:val="20"/>
          <w:szCs w:val="20"/>
        </w:rPr>
      </w:pPr>
      <w:r>
        <w:rPr>
          <w:rFonts w:ascii="黑体" w:hAnsi="黑体" w:cs="黑体" w:eastAsia="黑体" w:hint="default"/>
          <w:sz w:val="20"/>
          <w:szCs w:val="20"/>
        </w:rPr>
        <w:t>于第二次授予日授予</w:t>
      </w:r>
      <w:r>
        <w:rPr>
          <w:rFonts w:ascii="Arial" w:hAnsi="Arial" w:cs="Arial" w:eastAsia="Arial" w:hint="default"/>
          <w:sz w:val="20"/>
          <w:szCs w:val="20"/>
        </w:rPr>
        <w:t>/</w:t>
      </w:r>
      <w:r>
        <w:rPr>
          <w:rFonts w:ascii="黑体" w:hAnsi="黑体" w:cs="黑体" w:eastAsia="黑体" w:hint="default"/>
          <w:sz w:val="20"/>
          <w:szCs w:val="20"/>
        </w:rPr>
        <w:t>修订的信托受益权份额的公允价值基于畅捷通股份于授予</w:t>
      </w:r>
      <w:r>
        <w:rPr>
          <w:rFonts w:ascii="Arial" w:hAnsi="Arial" w:cs="Arial" w:eastAsia="Arial" w:hint="default"/>
          <w:sz w:val="20"/>
          <w:szCs w:val="20"/>
        </w:rPr>
        <w:t>/</w:t>
      </w:r>
      <w:r>
        <w:rPr>
          <w:rFonts w:ascii="黑体" w:hAnsi="黑体" w:cs="黑体" w:eastAsia="黑体" w:hint="default"/>
          <w:sz w:val="20"/>
          <w:szCs w:val="20"/>
        </w:rPr>
        <w:t>修订日期之市值</w:t>
      </w:r>
      <w:r>
        <w:rPr>
          <w:rFonts w:ascii="黑体" w:hAnsi="黑体" w:cs="黑体" w:eastAsia="黑体" w:hint="default"/>
          <w:w w:val="99"/>
          <w:sz w:val="20"/>
          <w:szCs w:val="20"/>
        </w:rPr>
        <w:t> </w:t>
      </w:r>
      <w:r>
        <w:rPr>
          <w:rFonts w:ascii="黑体" w:hAnsi="黑体" w:cs="黑体" w:eastAsia="黑体" w:hint="default"/>
          <w:sz w:val="20"/>
          <w:szCs w:val="20"/>
        </w:rPr>
        <w:t>计算，该等授予项下已授信托受益权份额的公允价值为人民币</w:t>
      </w:r>
      <w:r>
        <w:rPr>
          <w:rFonts w:ascii="黑体" w:hAnsi="黑体" w:cs="黑体" w:eastAsia="黑体" w:hint="default"/>
          <w:spacing w:val="-52"/>
          <w:sz w:val="20"/>
          <w:szCs w:val="20"/>
        </w:rPr>
        <w:t> </w:t>
      </w:r>
      <w:r>
        <w:rPr>
          <w:rFonts w:ascii="Arial" w:hAnsi="Arial" w:cs="Arial" w:eastAsia="Arial" w:hint="default"/>
          <w:sz w:val="20"/>
          <w:szCs w:val="20"/>
        </w:rPr>
        <w:t>14,795,908</w:t>
      </w:r>
      <w:r>
        <w:rPr>
          <w:rFonts w:ascii="Arial" w:hAnsi="Arial" w:cs="Arial" w:eastAsia="Arial" w:hint="default"/>
          <w:spacing w:val="-12"/>
          <w:sz w:val="20"/>
          <w:szCs w:val="20"/>
        </w:rPr>
        <w:t> </w:t>
      </w:r>
      <w:r>
        <w:rPr>
          <w:rFonts w:ascii="黑体" w:hAnsi="黑体" w:cs="黑体" w:eastAsia="黑体" w:hint="default"/>
          <w:sz w:val="20"/>
          <w:szCs w:val="20"/>
        </w:rPr>
        <w:t>元。</w:t>
      </w:r>
    </w:p>
    <w:p>
      <w:pPr>
        <w:spacing w:line="240" w:lineRule="auto" w:before="6"/>
        <w:rPr>
          <w:rFonts w:ascii="黑体" w:hAnsi="黑体" w:cs="黑体" w:eastAsia="黑体" w:hint="default"/>
          <w:sz w:val="15"/>
          <w:szCs w:val="15"/>
        </w:rPr>
      </w:pPr>
    </w:p>
    <w:p>
      <w:pPr>
        <w:spacing w:before="0"/>
        <w:ind w:left="398" w:right="275" w:firstLine="0"/>
        <w:jc w:val="both"/>
        <w:rPr>
          <w:rFonts w:ascii="黑体" w:hAnsi="黑体" w:cs="黑体" w:eastAsia="黑体" w:hint="default"/>
          <w:sz w:val="20"/>
          <w:szCs w:val="20"/>
        </w:rPr>
      </w:pPr>
      <w:r>
        <w:rPr>
          <w:rFonts w:ascii="黑体" w:hAnsi="黑体" w:cs="黑体" w:eastAsia="黑体" w:hint="default"/>
          <w:spacing w:val="-2"/>
          <w:w w:val="99"/>
          <w:sz w:val="20"/>
          <w:szCs w:val="20"/>
        </w:rPr>
        <w:t>于第三次授予日授予的信托受益权份额的公允价值基于畅捷通股份于授予日期之市值计算，该等</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z w:val="20"/>
          <w:szCs w:val="20"/>
        </w:rPr>
        <w:t>授予项下已授信托受益权份额的公允价值为人民币</w:t>
      </w:r>
      <w:r>
        <w:rPr>
          <w:rFonts w:ascii="黑体" w:hAnsi="黑体" w:cs="黑体" w:eastAsia="黑体" w:hint="default"/>
          <w:spacing w:val="-52"/>
          <w:sz w:val="20"/>
          <w:szCs w:val="20"/>
        </w:rPr>
        <w:t> </w:t>
      </w:r>
      <w:r>
        <w:rPr>
          <w:rFonts w:ascii="Arial" w:hAnsi="Arial" w:cs="Arial" w:eastAsia="Arial" w:hint="default"/>
          <w:sz w:val="20"/>
          <w:szCs w:val="20"/>
        </w:rPr>
        <w:t>23,786,325</w:t>
      </w:r>
      <w:r>
        <w:rPr>
          <w:rFonts w:ascii="Arial" w:hAnsi="Arial" w:cs="Arial" w:eastAsia="Arial" w:hint="default"/>
          <w:spacing w:val="-11"/>
          <w:sz w:val="20"/>
          <w:szCs w:val="20"/>
        </w:rPr>
        <w:t> </w:t>
      </w:r>
      <w:r>
        <w:rPr>
          <w:rFonts w:ascii="黑体" w:hAnsi="黑体" w:cs="黑体" w:eastAsia="黑体" w:hint="default"/>
          <w:sz w:val="20"/>
          <w:szCs w:val="20"/>
        </w:rPr>
        <w:t>元。</w:t>
      </w:r>
    </w:p>
    <w:p>
      <w:pPr>
        <w:spacing w:after="0"/>
        <w:jc w:val="both"/>
        <w:rPr>
          <w:rFonts w:ascii="黑体" w:hAnsi="黑体" w:cs="黑体" w:eastAsia="黑体" w:hint="default"/>
          <w:sz w:val="20"/>
          <w:szCs w:val="20"/>
        </w:rPr>
        <w:sectPr>
          <w:pgSz w:w="11910" w:h="16850"/>
          <w:pgMar w:header="745" w:footer="921" w:top="980" w:bottom="1120" w:left="1400" w:right="152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26"/>
          <w:szCs w:val="26"/>
        </w:rPr>
      </w:pPr>
    </w:p>
    <w:p>
      <w:pPr>
        <w:spacing w:line="260" w:lineRule="exact" w:before="63"/>
        <w:ind w:left="398" w:right="515" w:firstLine="0"/>
        <w:jc w:val="both"/>
        <w:rPr>
          <w:rFonts w:ascii="黑体" w:hAnsi="黑体" w:cs="黑体" w:eastAsia="黑体" w:hint="default"/>
          <w:sz w:val="20"/>
          <w:szCs w:val="20"/>
        </w:rPr>
      </w:pPr>
      <w:r>
        <w:rPr>
          <w:rFonts w:ascii="黑体" w:hAnsi="黑体" w:cs="黑体" w:eastAsia="黑体" w:hint="default"/>
          <w:spacing w:val="-2"/>
          <w:w w:val="99"/>
          <w:sz w:val="20"/>
          <w:szCs w:val="20"/>
        </w:rPr>
        <w:t>于再次授予日授出的信托受益权份额的公允价值以布莱克－斯科尔斯期权定价模型，结合授予信</w:t>
      </w:r>
      <w:r>
        <w:rPr>
          <w:rFonts w:ascii="黑体" w:hAnsi="黑体" w:cs="黑体" w:eastAsia="黑体" w:hint="default"/>
          <w:spacing w:val="-75"/>
          <w:w w:val="99"/>
          <w:sz w:val="20"/>
          <w:szCs w:val="20"/>
        </w:rPr>
        <w:t> </w:t>
      </w:r>
      <w:r>
        <w:rPr>
          <w:rFonts w:ascii="黑体" w:hAnsi="黑体" w:cs="黑体" w:eastAsia="黑体" w:hint="default"/>
          <w:spacing w:val="-75"/>
          <w:w w:val="99"/>
          <w:sz w:val="20"/>
          <w:szCs w:val="20"/>
        </w:rPr>
      </w:r>
      <w:r>
        <w:rPr>
          <w:rFonts w:ascii="黑体" w:hAnsi="黑体" w:cs="黑体" w:eastAsia="黑体" w:hint="default"/>
          <w:spacing w:val="-2"/>
          <w:w w:val="95"/>
          <w:sz w:val="20"/>
          <w:szCs w:val="20"/>
        </w:rPr>
        <w:t>托受益权份额的条款和条件，作出估计。于再次授予日授出的信托受益权份额的公允价值为人民</w:t>
      </w:r>
      <w:r>
        <w:rPr>
          <w:rFonts w:ascii="黑体" w:hAnsi="黑体" w:cs="黑体" w:eastAsia="黑体" w:hint="default"/>
          <w:w w:val="95"/>
          <w:sz w:val="20"/>
          <w:szCs w:val="20"/>
        </w:rPr>
        <w:t>   </w:t>
      </w:r>
      <w:r>
        <w:rPr>
          <w:rFonts w:ascii="黑体" w:hAnsi="黑体" w:cs="黑体" w:eastAsia="黑体" w:hint="default"/>
          <w:spacing w:val="31"/>
          <w:w w:val="95"/>
          <w:sz w:val="20"/>
          <w:szCs w:val="20"/>
        </w:rPr>
        <w:t> </w:t>
      </w:r>
      <w:r>
        <w:rPr>
          <w:rFonts w:ascii="黑体" w:hAnsi="黑体" w:cs="黑体" w:eastAsia="黑体" w:hint="default"/>
          <w:spacing w:val="31"/>
          <w:w w:val="95"/>
          <w:sz w:val="20"/>
          <w:szCs w:val="20"/>
        </w:rPr>
      </w:r>
      <w:r>
        <w:rPr>
          <w:rFonts w:ascii="黑体" w:hAnsi="黑体" w:cs="黑体" w:eastAsia="黑体" w:hint="default"/>
          <w:sz w:val="20"/>
          <w:szCs w:val="20"/>
        </w:rPr>
        <w:t>币</w:t>
      </w:r>
      <w:r>
        <w:rPr>
          <w:rFonts w:ascii="黑体" w:hAnsi="黑体" w:cs="黑体" w:eastAsia="黑体" w:hint="default"/>
          <w:spacing w:val="-52"/>
          <w:sz w:val="20"/>
          <w:szCs w:val="20"/>
        </w:rPr>
        <w:t> </w:t>
      </w:r>
      <w:r>
        <w:rPr>
          <w:rFonts w:ascii="Arial" w:hAnsi="Arial" w:cs="Arial" w:eastAsia="Arial" w:hint="default"/>
          <w:sz w:val="20"/>
          <w:szCs w:val="20"/>
        </w:rPr>
        <w:t>28,415,361</w:t>
      </w:r>
      <w:r>
        <w:rPr>
          <w:rFonts w:ascii="Arial" w:hAnsi="Arial" w:cs="Arial" w:eastAsia="Arial" w:hint="default"/>
          <w:spacing w:val="-10"/>
          <w:sz w:val="20"/>
          <w:szCs w:val="20"/>
        </w:rPr>
        <w:t> </w:t>
      </w:r>
      <w:r>
        <w:rPr>
          <w:rFonts w:ascii="黑体" w:hAnsi="黑体" w:cs="黑体" w:eastAsia="黑体" w:hint="default"/>
          <w:sz w:val="20"/>
          <w:szCs w:val="20"/>
        </w:rPr>
        <w:t>元。下表列示了所用模型的输入变量：</w:t>
      </w:r>
    </w:p>
    <w:p>
      <w:pPr>
        <w:spacing w:line="240" w:lineRule="auto" w:before="3"/>
        <w:rPr>
          <w:rFonts w:ascii="黑体" w:hAnsi="黑体" w:cs="黑体" w:eastAsia="黑体" w:hint="default"/>
          <w:sz w:val="22"/>
          <w:szCs w:val="22"/>
        </w:rPr>
      </w:pPr>
    </w:p>
    <w:tbl>
      <w:tblPr>
        <w:tblW w:w="0" w:type="auto"/>
        <w:jc w:val="left"/>
        <w:tblInd w:w="104" w:type="dxa"/>
        <w:tblLayout w:type="fixed"/>
        <w:tblCellMar>
          <w:top w:w="0" w:type="dxa"/>
          <w:left w:w="0" w:type="dxa"/>
          <w:bottom w:w="0" w:type="dxa"/>
          <w:right w:w="0" w:type="dxa"/>
        </w:tblCellMar>
        <w:tblLook w:val="01E0"/>
      </w:tblPr>
      <w:tblGrid>
        <w:gridCol w:w="5114"/>
        <w:gridCol w:w="3637"/>
      </w:tblGrid>
      <w:tr>
        <w:trPr>
          <w:trHeight w:val="252" w:hRule="exact"/>
        </w:trPr>
        <w:tc>
          <w:tcPr>
            <w:tcW w:w="5114" w:type="dxa"/>
            <w:tcBorders>
              <w:top w:val="nil" w:sz="6" w:space="0" w:color="auto"/>
              <w:left w:val="nil" w:sz="6" w:space="0" w:color="auto"/>
              <w:bottom w:val="nil" w:sz="6" w:space="0" w:color="auto"/>
              <w:right w:val="nil" w:sz="6" w:space="0" w:color="auto"/>
            </w:tcBorders>
          </w:tcPr>
          <w:p>
            <w:pPr>
              <w:pStyle w:val="TableParagraph"/>
              <w:spacing w:line="214" w:lineRule="exact"/>
              <w:ind w:left="200" w:right="0"/>
              <w:jc w:val="left"/>
              <w:rPr>
                <w:rFonts w:ascii="Arial" w:hAnsi="Arial" w:cs="Arial" w:eastAsia="Arial" w:hint="default"/>
                <w:sz w:val="20"/>
                <w:szCs w:val="20"/>
              </w:rPr>
            </w:pPr>
            <w:r>
              <w:rPr>
                <w:rFonts w:ascii="黑体" w:hAnsi="黑体" w:cs="黑体" w:eastAsia="黑体" w:hint="default"/>
                <w:sz w:val="20"/>
                <w:szCs w:val="20"/>
              </w:rPr>
              <w:t>预期分红收益率</w:t>
            </w:r>
            <w:r>
              <w:rPr>
                <w:rFonts w:ascii="Arial" w:hAnsi="Arial" w:cs="Arial" w:eastAsia="Arial" w:hint="default"/>
                <w:sz w:val="20"/>
                <w:szCs w:val="20"/>
              </w:rPr>
              <w:t>(%)</w:t>
            </w:r>
          </w:p>
        </w:tc>
        <w:tc>
          <w:tcPr>
            <w:tcW w:w="3637" w:type="dxa"/>
            <w:tcBorders>
              <w:top w:val="nil" w:sz="6" w:space="0" w:color="auto"/>
              <w:left w:val="nil" w:sz="6" w:space="0" w:color="auto"/>
              <w:bottom w:val="nil" w:sz="6" w:space="0" w:color="auto"/>
              <w:right w:val="nil" w:sz="6" w:space="0" w:color="auto"/>
            </w:tcBorders>
          </w:tcPr>
          <w:p>
            <w:pPr>
              <w:pStyle w:val="TableParagraph"/>
              <w:spacing w:line="226" w:lineRule="exact"/>
              <w:ind w:right="201"/>
              <w:jc w:val="right"/>
              <w:rPr>
                <w:rFonts w:ascii="Arial" w:hAnsi="Arial" w:cs="Arial" w:eastAsia="Arial" w:hint="default"/>
                <w:sz w:val="20"/>
                <w:szCs w:val="20"/>
              </w:rPr>
            </w:pPr>
            <w:r>
              <w:rPr>
                <w:rFonts w:ascii="Arial"/>
                <w:spacing w:val="-1"/>
                <w:w w:val="95"/>
                <w:sz w:val="20"/>
              </w:rPr>
              <w:t>0.00%</w:t>
            </w:r>
            <w:r>
              <w:rPr>
                <w:rFonts w:ascii="Arial"/>
                <w:sz w:val="20"/>
              </w:rPr>
            </w:r>
          </w:p>
        </w:tc>
      </w:tr>
      <w:tr>
        <w:trPr>
          <w:trHeight w:val="286" w:hRule="exact"/>
        </w:trPr>
        <w:tc>
          <w:tcPr>
            <w:tcW w:w="5114"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Arial" w:hAnsi="Arial" w:cs="Arial" w:eastAsia="Arial" w:hint="default"/>
                <w:sz w:val="20"/>
                <w:szCs w:val="20"/>
              </w:rPr>
            </w:pPr>
            <w:r>
              <w:rPr>
                <w:rFonts w:ascii="黑体" w:hAnsi="黑体" w:cs="黑体" w:eastAsia="黑体" w:hint="default"/>
                <w:sz w:val="20"/>
                <w:szCs w:val="20"/>
              </w:rPr>
              <w:t>预期股价波动率</w:t>
            </w:r>
            <w:r>
              <w:rPr>
                <w:rFonts w:ascii="Arial" w:hAnsi="Arial" w:cs="Arial" w:eastAsia="Arial" w:hint="default"/>
                <w:sz w:val="20"/>
                <w:szCs w:val="20"/>
              </w:rPr>
              <w:t>(%)</w:t>
            </w:r>
          </w:p>
        </w:tc>
        <w:tc>
          <w:tcPr>
            <w:tcW w:w="363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1"/>
              <w:jc w:val="right"/>
              <w:rPr>
                <w:rFonts w:ascii="Arial" w:hAnsi="Arial" w:cs="Arial" w:eastAsia="Arial" w:hint="default"/>
                <w:sz w:val="20"/>
                <w:szCs w:val="20"/>
              </w:rPr>
            </w:pPr>
            <w:r>
              <w:rPr>
                <w:rFonts w:ascii="Arial"/>
                <w:w w:val="95"/>
                <w:sz w:val="20"/>
              </w:rPr>
              <w:t>57.53%</w:t>
            </w:r>
            <w:r>
              <w:rPr>
                <w:rFonts w:ascii="Arial"/>
                <w:sz w:val="20"/>
              </w:rPr>
            </w:r>
          </w:p>
        </w:tc>
      </w:tr>
      <w:tr>
        <w:trPr>
          <w:trHeight w:val="283" w:hRule="exact"/>
        </w:trPr>
        <w:tc>
          <w:tcPr>
            <w:tcW w:w="5114"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Arial" w:hAnsi="Arial" w:cs="Arial" w:eastAsia="Arial" w:hint="default"/>
                <w:sz w:val="20"/>
                <w:szCs w:val="20"/>
              </w:rPr>
            </w:pPr>
            <w:r>
              <w:rPr>
                <w:rFonts w:ascii="黑体" w:hAnsi="黑体" w:cs="黑体" w:eastAsia="黑体" w:hint="default"/>
                <w:sz w:val="20"/>
                <w:szCs w:val="20"/>
              </w:rPr>
              <w:t>无风险利率</w:t>
            </w:r>
            <w:r>
              <w:rPr>
                <w:rFonts w:ascii="Arial" w:hAnsi="Arial" w:cs="Arial" w:eastAsia="Arial" w:hint="default"/>
                <w:sz w:val="20"/>
                <w:szCs w:val="20"/>
              </w:rPr>
              <w:t>(%)</w:t>
            </w:r>
          </w:p>
        </w:tc>
        <w:tc>
          <w:tcPr>
            <w:tcW w:w="363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01"/>
              <w:jc w:val="right"/>
              <w:rPr>
                <w:rFonts w:ascii="Arial" w:hAnsi="Arial" w:cs="Arial" w:eastAsia="Arial" w:hint="default"/>
                <w:sz w:val="20"/>
                <w:szCs w:val="20"/>
              </w:rPr>
            </w:pPr>
            <w:r>
              <w:rPr>
                <w:rFonts w:ascii="Arial"/>
                <w:spacing w:val="-1"/>
                <w:sz w:val="20"/>
              </w:rPr>
              <w:t>0.52%-1.058%</w:t>
            </w:r>
          </w:p>
        </w:tc>
      </w:tr>
      <w:tr>
        <w:trPr>
          <w:trHeight w:val="283" w:hRule="exact"/>
        </w:trPr>
        <w:tc>
          <w:tcPr>
            <w:tcW w:w="5114"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Arial" w:hAnsi="Arial" w:cs="Arial" w:eastAsia="Arial" w:hint="default"/>
                <w:sz w:val="20"/>
                <w:szCs w:val="20"/>
              </w:rPr>
            </w:pPr>
            <w:r>
              <w:rPr>
                <w:rFonts w:ascii="黑体" w:hAnsi="黑体" w:cs="黑体" w:eastAsia="黑体" w:hint="default"/>
                <w:sz w:val="20"/>
                <w:szCs w:val="20"/>
              </w:rPr>
              <w:t>股票预期期限</w:t>
            </w:r>
            <w:r>
              <w:rPr>
                <w:rFonts w:ascii="Arial" w:hAnsi="Arial" w:cs="Arial" w:eastAsia="Arial" w:hint="default"/>
                <w:sz w:val="20"/>
                <w:szCs w:val="20"/>
              </w:rPr>
              <w:t>(</w:t>
            </w:r>
            <w:r>
              <w:rPr>
                <w:rFonts w:ascii="黑体" w:hAnsi="黑体" w:cs="黑体" w:eastAsia="黑体" w:hint="default"/>
                <w:sz w:val="20"/>
                <w:szCs w:val="20"/>
              </w:rPr>
              <w:t>年</w:t>
            </w:r>
            <w:r>
              <w:rPr>
                <w:rFonts w:ascii="Arial" w:hAnsi="Arial" w:cs="Arial" w:eastAsia="Arial" w:hint="default"/>
                <w:sz w:val="20"/>
                <w:szCs w:val="20"/>
              </w:rPr>
              <w:t>)</w:t>
            </w:r>
          </w:p>
        </w:tc>
        <w:tc>
          <w:tcPr>
            <w:tcW w:w="363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9"/>
              <w:jc w:val="right"/>
              <w:rPr>
                <w:rFonts w:ascii="Arial" w:hAnsi="Arial" w:cs="Arial" w:eastAsia="Arial" w:hint="default"/>
                <w:sz w:val="20"/>
                <w:szCs w:val="20"/>
              </w:rPr>
            </w:pPr>
            <w:r>
              <w:rPr>
                <w:rFonts w:ascii="Arial"/>
                <w:spacing w:val="-1"/>
                <w:sz w:val="20"/>
              </w:rPr>
              <w:t>1-8</w:t>
            </w:r>
          </w:p>
        </w:tc>
      </w:tr>
      <w:tr>
        <w:trPr>
          <w:trHeight w:val="254" w:hRule="exact"/>
        </w:trPr>
        <w:tc>
          <w:tcPr>
            <w:tcW w:w="5114" w:type="dxa"/>
            <w:tcBorders>
              <w:top w:val="nil" w:sz="6" w:space="0" w:color="auto"/>
              <w:left w:val="nil" w:sz="6" w:space="0" w:color="auto"/>
              <w:bottom w:val="nil" w:sz="6" w:space="0" w:color="auto"/>
              <w:right w:val="nil" w:sz="6" w:space="0" w:color="auto"/>
            </w:tcBorders>
          </w:tcPr>
          <w:p>
            <w:pPr>
              <w:pStyle w:val="TableParagraph"/>
              <w:spacing w:line="245" w:lineRule="exact"/>
              <w:ind w:left="200" w:right="0"/>
              <w:jc w:val="left"/>
              <w:rPr>
                <w:rFonts w:ascii="Arial" w:hAnsi="Arial" w:cs="Arial" w:eastAsia="Arial" w:hint="default"/>
                <w:sz w:val="20"/>
                <w:szCs w:val="20"/>
              </w:rPr>
            </w:pPr>
            <w:r>
              <w:rPr>
                <w:rFonts w:ascii="黑体" w:hAnsi="黑体" w:cs="黑体" w:eastAsia="黑体" w:hint="default"/>
                <w:sz w:val="20"/>
                <w:szCs w:val="20"/>
              </w:rPr>
              <w:t>加权平均股票价格</w:t>
            </w:r>
            <w:r>
              <w:rPr>
                <w:rFonts w:ascii="Arial" w:hAnsi="Arial" w:cs="Arial" w:eastAsia="Arial" w:hint="default"/>
                <w:sz w:val="20"/>
                <w:szCs w:val="20"/>
              </w:rPr>
              <w:t>(</w:t>
            </w:r>
            <w:r>
              <w:rPr>
                <w:rFonts w:ascii="黑体" w:hAnsi="黑体" w:cs="黑体" w:eastAsia="黑体" w:hint="default"/>
                <w:sz w:val="20"/>
                <w:szCs w:val="20"/>
              </w:rPr>
              <w:t>人民币元</w:t>
            </w:r>
            <w:r>
              <w:rPr>
                <w:rFonts w:ascii="Arial" w:hAnsi="Arial" w:cs="Arial" w:eastAsia="Arial" w:hint="default"/>
                <w:sz w:val="20"/>
                <w:szCs w:val="20"/>
              </w:rPr>
              <w:t>/</w:t>
            </w:r>
            <w:r>
              <w:rPr>
                <w:rFonts w:ascii="黑体" w:hAnsi="黑体" w:cs="黑体" w:eastAsia="黑体" w:hint="default"/>
                <w:sz w:val="20"/>
                <w:szCs w:val="20"/>
              </w:rPr>
              <w:t>股</w:t>
            </w:r>
            <w:r>
              <w:rPr>
                <w:rFonts w:ascii="Arial" w:hAnsi="Arial" w:cs="Arial" w:eastAsia="Arial" w:hint="default"/>
                <w:sz w:val="20"/>
                <w:szCs w:val="20"/>
              </w:rPr>
              <w:t>)</w:t>
            </w:r>
          </w:p>
        </w:tc>
        <w:tc>
          <w:tcPr>
            <w:tcW w:w="363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8"/>
              <w:jc w:val="right"/>
              <w:rPr>
                <w:rFonts w:ascii="Arial" w:hAnsi="Arial" w:cs="Arial" w:eastAsia="Arial" w:hint="default"/>
                <w:sz w:val="20"/>
                <w:szCs w:val="20"/>
              </w:rPr>
            </w:pPr>
            <w:r>
              <w:rPr>
                <w:rFonts w:ascii="Arial"/>
                <w:spacing w:val="-1"/>
                <w:w w:val="95"/>
                <w:sz w:val="20"/>
              </w:rPr>
              <w:t>6.98</w:t>
            </w:r>
            <w:r>
              <w:rPr>
                <w:rFonts w:ascii="Arial"/>
                <w:sz w:val="20"/>
              </w:rPr>
            </w:r>
          </w:p>
        </w:tc>
      </w:tr>
    </w:tbl>
    <w:p>
      <w:pPr>
        <w:spacing w:line="240" w:lineRule="auto" w:before="9"/>
        <w:rPr>
          <w:rFonts w:ascii="黑体" w:hAnsi="黑体" w:cs="黑体" w:eastAsia="黑体" w:hint="default"/>
          <w:sz w:val="12"/>
          <w:szCs w:val="12"/>
        </w:rPr>
      </w:pPr>
    </w:p>
    <w:p>
      <w:pPr>
        <w:spacing w:before="37"/>
        <w:ind w:left="398" w:right="0" w:firstLine="0"/>
        <w:jc w:val="both"/>
        <w:rPr>
          <w:rFonts w:ascii="黑体" w:hAnsi="黑体" w:cs="黑体" w:eastAsia="黑体" w:hint="default"/>
          <w:sz w:val="20"/>
          <w:szCs w:val="20"/>
        </w:rPr>
      </w:pPr>
      <w:r>
        <w:rPr>
          <w:rFonts w:ascii="Arial" w:hAnsi="Arial" w:cs="Arial" w:eastAsia="Arial" w:hint="default"/>
          <w:sz w:val="20"/>
          <w:szCs w:val="20"/>
        </w:rPr>
        <w:t>2018</w:t>
      </w:r>
      <w:r>
        <w:rPr>
          <w:rFonts w:ascii="Arial" w:hAnsi="Arial" w:cs="Arial" w:eastAsia="Arial" w:hint="default"/>
          <w:spacing w:val="-8"/>
          <w:sz w:val="20"/>
          <w:szCs w:val="20"/>
        </w:rPr>
        <w:t> </w:t>
      </w:r>
      <w:r>
        <w:rPr>
          <w:rFonts w:ascii="黑体" w:hAnsi="黑体" w:cs="黑体" w:eastAsia="黑体" w:hint="default"/>
          <w:sz w:val="20"/>
          <w:szCs w:val="20"/>
        </w:rPr>
        <w:t>年度及</w:t>
      </w:r>
      <w:r>
        <w:rPr>
          <w:rFonts w:ascii="黑体" w:hAnsi="黑体" w:cs="黑体" w:eastAsia="黑体" w:hint="default"/>
          <w:spacing w:val="-50"/>
          <w:sz w:val="20"/>
          <w:szCs w:val="20"/>
        </w:rPr>
        <w:t> </w:t>
      </w:r>
      <w:r>
        <w:rPr>
          <w:rFonts w:ascii="Arial" w:hAnsi="Arial" w:cs="Arial" w:eastAsia="Arial" w:hint="default"/>
          <w:sz w:val="20"/>
          <w:szCs w:val="20"/>
        </w:rPr>
        <w:t>2019</w:t>
      </w:r>
      <w:r>
        <w:rPr>
          <w:rFonts w:ascii="Arial" w:hAnsi="Arial" w:cs="Arial" w:eastAsia="Arial" w:hint="default"/>
          <w:spacing w:val="-8"/>
          <w:sz w:val="20"/>
          <w:szCs w:val="20"/>
        </w:rPr>
        <w:t> </w:t>
      </w:r>
      <w:r>
        <w:rPr>
          <w:rFonts w:ascii="黑体" w:hAnsi="黑体" w:cs="黑体" w:eastAsia="黑体" w:hint="default"/>
          <w:sz w:val="20"/>
          <w:szCs w:val="20"/>
        </w:rPr>
        <w:t>年度，畅捷通未委托信托机构于公开市场购买畅捷通内资股或</w:t>
      </w:r>
      <w:r>
        <w:rPr>
          <w:rFonts w:ascii="黑体" w:hAnsi="黑体" w:cs="黑体" w:eastAsia="黑体" w:hint="default"/>
          <w:spacing w:val="-47"/>
          <w:sz w:val="20"/>
          <w:szCs w:val="20"/>
        </w:rPr>
        <w:t> </w:t>
      </w:r>
      <w:r>
        <w:rPr>
          <w:rFonts w:ascii="Arial" w:hAnsi="Arial" w:cs="Arial" w:eastAsia="Arial" w:hint="default"/>
          <w:sz w:val="20"/>
          <w:szCs w:val="20"/>
        </w:rPr>
        <w:t>H</w:t>
      </w:r>
      <w:r>
        <w:rPr>
          <w:rFonts w:ascii="Arial" w:hAnsi="Arial" w:cs="Arial" w:eastAsia="Arial" w:hint="default"/>
          <w:spacing w:val="-9"/>
          <w:sz w:val="20"/>
          <w:szCs w:val="20"/>
        </w:rPr>
        <w:t> </w:t>
      </w:r>
      <w:r>
        <w:rPr>
          <w:rFonts w:ascii="黑体" w:hAnsi="黑体" w:cs="黑体" w:eastAsia="黑体" w:hint="default"/>
          <w:sz w:val="20"/>
          <w:szCs w:val="20"/>
        </w:rPr>
        <w:t>股。</w:t>
      </w:r>
    </w:p>
    <w:p>
      <w:pPr>
        <w:spacing w:line="240" w:lineRule="auto" w:before="5"/>
        <w:rPr>
          <w:rFonts w:ascii="黑体" w:hAnsi="黑体" w:cs="黑体" w:eastAsia="黑体" w:hint="default"/>
          <w:sz w:val="16"/>
          <w:szCs w:val="16"/>
        </w:rPr>
      </w:pPr>
    </w:p>
    <w:p>
      <w:pPr>
        <w:spacing w:line="268" w:lineRule="exact" w:before="0"/>
        <w:ind w:left="398" w:right="0" w:firstLine="0"/>
        <w:jc w:val="both"/>
        <w:rPr>
          <w:rFonts w:ascii="黑体" w:hAnsi="黑体" w:cs="黑体" w:eastAsia="黑体" w:hint="default"/>
          <w:sz w:val="20"/>
          <w:szCs w:val="20"/>
        </w:rPr>
      </w:pPr>
      <w:r>
        <w:rPr>
          <w:rFonts w:ascii="Arial" w:hAnsi="Arial" w:cs="Arial" w:eastAsia="Arial" w:hint="default"/>
          <w:sz w:val="20"/>
          <w:szCs w:val="20"/>
        </w:rPr>
        <w:t>2019  </w:t>
      </w:r>
      <w:r>
        <w:rPr>
          <w:rFonts w:ascii="黑体" w:hAnsi="黑体" w:cs="黑体" w:eastAsia="黑体" w:hint="default"/>
          <w:sz w:val="20"/>
          <w:szCs w:val="20"/>
        </w:rPr>
        <w:t>年度，部分激励对象因未达到如解锁条件导致该计划下 </w:t>
      </w:r>
      <w:r>
        <w:rPr>
          <w:rFonts w:ascii="Arial" w:hAnsi="Arial" w:cs="Arial" w:eastAsia="Arial" w:hint="default"/>
          <w:sz w:val="20"/>
          <w:szCs w:val="20"/>
        </w:rPr>
        <w:t>300,000  </w:t>
      </w:r>
      <w:r>
        <w:rPr>
          <w:rFonts w:ascii="黑体" w:hAnsi="黑体" w:cs="黑体" w:eastAsia="黑体" w:hint="default"/>
          <w:sz w:val="20"/>
          <w:szCs w:val="20"/>
        </w:rPr>
        <w:t>股目标股票</w:t>
      </w:r>
      <w:r>
        <w:rPr>
          <w:rFonts w:ascii="Arial" w:hAnsi="Arial" w:cs="Arial" w:eastAsia="Arial" w:hint="default"/>
          <w:sz w:val="20"/>
          <w:szCs w:val="20"/>
        </w:rPr>
        <w:t>(2018</w:t>
      </w:r>
      <w:r>
        <w:rPr>
          <w:rFonts w:ascii="Arial" w:hAnsi="Arial" w:cs="Arial" w:eastAsia="Arial" w:hint="default"/>
          <w:spacing w:val="37"/>
          <w:sz w:val="20"/>
          <w:szCs w:val="20"/>
        </w:rPr>
        <w:t> </w:t>
      </w:r>
      <w:r>
        <w:rPr>
          <w:rFonts w:ascii="黑体" w:hAnsi="黑体" w:cs="黑体" w:eastAsia="黑体" w:hint="default"/>
          <w:sz w:val="20"/>
          <w:szCs w:val="20"/>
        </w:rPr>
        <w:t>年：</w:t>
      </w:r>
    </w:p>
    <w:p>
      <w:pPr>
        <w:spacing w:line="268" w:lineRule="exact" w:before="0"/>
        <w:ind w:left="398" w:right="0" w:firstLine="0"/>
        <w:jc w:val="both"/>
        <w:rPr>
          <w:rFonts w:ascii="黑体" w:hAnsi="黑体" w:cs="黑体" w:eastAsia="黑体" w:hint="default"/>
          <w:sz w:val="20"/>
          <w:szCs w:val="20"/>
        </w:rPr>
      </w:pPr>
      <w:r>
        <w:rPr>
          <w:rFonts w:ascii="Arial" w:hAnsi="Arial" w:cs="Arial" w:eastAsia="Arial" w:hint="default"/>
          <w:sz w:val="20"/>
          <w:szCs w:val="20"/>
        </w:rPr>
        <w:t>612,500</w:t>
      </w:r>
      <w:r>
        <w:rPr>
          <w:rFonts w:ascii="Arial" w:hAnsi="Arial" w:cs="Arial" w:eastAsia="Arial" w:hint="default"/>
          <w:spacing w:val="-10"/>
          <w:sz w:val="20"/>
          <w:szCs w:val="20"/>
        </w:rPr>
        <w:t> </w:t>
      </w:r>
      <w:r>
        <w:rPr>
          <w:rFonts w:ascii="黑体" w:hAnsi="黑体" w:cs="黑体" w:eastAsia="黑体" w:hint="default"/>
          <w:sz w:val="20"/>
          <w:szCs w:val="20"/>
        </w:rPr>
        <w:t>股</w:t>
      </w:r>
      <w:r>
        <w:rPr>
          <w:rFonts w:ascii="Arial" w:hAnsi="Arial" w:cs="Arial" w:eastAsia="Arial" w:hint="default"/>
          <w:sz w:val="20"/>
          <w:szCs w:val="20"/>
        </w:rPr>
        <w:t>)</w:t>
      </w:r>
      <w:r>
        <w:rPr>
          <w:rFonts w:ascii="黑体" w:hAnsi="黑体" w:cs="黑体" w:eastAsia="黑体" w:hint="default"/>
          <w:sz w:val="20"/>
          <w:szCs w:val="20"/>
        </w:rPr>
        <w:t>失效。</w:t>
      </w:r>
    </w:p>
    <w:p>
      <w:pPr>
        <w:spacing w:line="240" w:lineRule="auto" w:before="4"/>
        <w:rPr>
          <w:rFonts w:ascii="黑体" w:hAnsi="黑体" w:cs="黑体" w:eastAsia="黑体" w:hint="default"/>
          <w:sz w:val="18"/>
          <w:szCs w:val="18"/>
        </w:rPr>
      </w:pPr>
    </w:p>
    <w:p>
      <w:pPr>
        <w:spacing w:line="260" w:lineRule="exact" w:before="0"/>
        <w:ind w:left="398" w:right="245" w:firstLine="0"/>
        <w:jc w:val="both"/>
        <w:rPr>
          <w:rFonts w:ascii="黑体" w:hAnsi="黑体" w:cs="黑体" w:eastAsia="黑体" w:hint="default"/>
          <w:sz w:val="20"/>
          <w:szCs w:val="20"/>
        </w:rPr>
      </w:pPr>
      <w:r>
        <w:rPr>
          <w:rFonts w:ascii="黑体" w:hAnsi="黑体" w:cs="黑体" w:eastAsia="黑体" w:hint="default"/>
          <w:sz w:val="20"/>
          <w:szCs w:val="20"/>
        </w:rPr>
        <w:t>由于已加入畅捷通</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3</w:t>
      </w:r>
      <w:r>
        <w:rPr>
          <w:rFonts w:ascii="黑体" w:hAnsi="黑体" w:cs="黑体" w:eastAsia="黑体" w:hint="default"/>
          <w:sz w:val="20"/>
          <w:szCs w:val="20"/>
        </w:rPr>
        <w:t>月</w:t>
      </w:r>
      <w:r>
        <w:rPr>
          <w:rFonts w:ascii="Arial" w:hAnsi="Arial" w:cs="Arial" w:eastAsia="Arial" w:hint="default"/>
          <w:sz w:val="20"/>
          <w:szCs w:val="20"/>
        </w:rPr>
        <w:t>29</w:t>
      </w:r>
      <w:r>
        <w:rPr>
          <w:rFonts w:ascii="黑体" w:hAnsi="黑体" w:cs="黑体" w:eastAsia="黑体" w:hint="default"/>
          <w:sz w:val="20"/>
          <w:szCs w:val="20"/>
        </w:rPr>
        <w:t>日新采纳的积分计划，若干该计划的激励对象已经同意放弃其信托</w:t>
      </w:r>
      <w:r>
        <w:rPr>
          <w:rFonts w:ascii="黑体" w:hAnsi="黑体" w:cs="黑体" w:eastAsia="黑体" w:hint="default"/>
          <w:w w:val="99"/>
          <w:sz w:val="20"/>
          <w:szCs w:val="20"/>
        </w:rPr>
        <w:t> </w:t>
      </w:r>
      <w:r>
        <w:rPr>
          <w:rFonts w:ascii="黑体" w:hAnsi="黑体" w:cs="黑体" w:eastAsia="黑体" w:hint="default"/>
          <w:sz w:val="20"/>
          <w:szCs w:val="20"/>
        </w:rPr>
        <w:t>受益权份额。</w:t>
      </w:r>
      <w:r>
        <w:rPr>
          <w:rFonts w:ascii="Arial" w:hAnsi="Arial" w:cs="Arial" w:eastAsia="Arial" w:hint="default"/>
          <w:sz w:val="20"/>
          <w:szCs w:val="20"/>
        </w:rPr>
        <w:t>2019</w:t>
      </w:r>
      <w:r>
        <w:rPr>
          <w:rFonts w:ascii="黑体" w:hAnsi="黑体" w:cs="黑体" w:eastAsia="黑体" w:hint="default"/>
          <w:sz w:val="20"/>
          <w:szCs w:val="20"/>
        </w:rPr>
        <w:t>年度，由于加入积分计划，该计划下</w:t>
      </w:r>
      <w:r>
        <w:rPr>
          <w:rFonts w:ascii="Arial" w:hAnsi="Arial" w:cs="Arial" w:eastAsia="Arial" w:hint="default"/>
          <w:sz w:val="20"/>
          <w:szCs w:val="20"/>
        </w:rPr>
        <w:t>1,041,400</w:t>
      </w:r>
      <w:r>
        <w:rPr>
          <w:rFonts w:ascii="黑体" w:hAnsi="黑体" w:cs="黑体" w:eastAsia="黑体" w:hint="default"/>
          <w:sz w:val="20"/>
          <w:szCs w:val="20"/>
        </w:rPr>
        <w:t>股目标股票（</w:t>
      </w:r>
      <w:r>
        <w:rPr>
          <w:rFonts w:ascii="Arial" w:hAnsi="Arial" w:cs="Arial" w:eastAsia="Arial" w:hint="default"/>
          <w:sz w:val="20"/>
          <w:szCs w:val="20"/>
        </w:rPr>
        <w:t>2018</w:t>
      </w:r>
      <w:r>
        <w:rPr>
          <w:rFonts w:ascii="黑体" w:hAnsi="黑体" w:cs="黑体" w:eastAsia="黑体" w:hint="default"/>
          <w:sz w:val="20"/>
          <w:szCs w:val="20"/>
        </w:rPr>
        <w:t>年：零）已取</w:t>
      </w:r>
      <w:r>
        <w:rPr>
          <w:rFonts w:ascii="黑体" w:hAnsi="黑体" w:cs="黑体" w:eastAsia="黑体" w:hint="default"/>
          <w:w w:val="99"/>
          <w:sz w:val="20"/>
          <w:szCs w:val="20"/>
        </w:rPr>
        <w:t> </w:t>
      </w:r>
      <w:r>
        <w:rPr>
          <w:rFonts w:ascii="黑体" w:hAnsi="黑体" w:cs="黑体" w:eastAsia="黑体" w:hint="default"/>
          <w:sz w:val="20"/>
          <w:szCs w:val="20"/>
        </w:rPr>
        <w:t>消。</w:t>
      </w:r>
    </w:p>
    <w:p>
      <w:pPr>
        <w:spacing w:line="240" w:lineRule="auto" w:before="7"/>
        <w:rPr>
          <w:rFonts w:ascii="黑体" w:hAnsi="黑体" w:cs="黑体" w:eastAsia="黑体" w:hint="default"/>
          <w:sz w:val="17"/>
          <w:szCs w:val="17"/>
        </w:rPr>
      </w:pPr>
    </w:p>
    <w:p>
      <w:pPr>
        <w:spacing w:line="260" w:lineRule="exact" w:before="0"/>
        <w:ind w:left="398" w:right="220" w:firstLine="0"/>
        <w:jc w:val="both"/>
        <w:rPr>
          <w:rFonts w:ascii="黑体" w:hAnsi="黑体" w:cs="黑体" w:eastAsia="黑体" w:hint="default"/>
          <w:sz w:val="20"/>
          <w:szCs w:val="20"/>
        </w:rPr>
      </w:pPr>
      <w:r>
        <w:rPr>
          <w:rFonts w:ascii="黑体" w:hAnsi="黑体" w:cs="黑体" w:eastAsia="黑体" w:hint="default"/>
          <w:sz w:val="20"/>
          <w:szCs w:val="20"/>
        </w:rPr>
        <w:t>第二次授予中，除部分已终止或解除与畅捷通的劳动合同</w:t>
      </w:r>
      <w:r>
        <w:rPr>
          <w:rFonts w:ascii="Arial" w:hAnsi="Arial" w:cs="Arial" w:eastAsia="Arial" w:hint="default"/>
          <w:sz w:val="20"/>
          <w:szCs w:val="20"/>
        </w:rPr>
        <w:t>(</w:t>
      </w:r>
      <w:r>
        <w:rPr>
          <w:rFonts w:ascii="黑体" w:hAnsi="黑体" w:cs="黑体" w:eastAsia="黑体" w:hint="default"/>
          <w:sz w:val="20"/>
          <w:szCs w:val="20"/>
        </w:rPr>
        <w:t>该等人士已不具备激励对象资格</w:t>
      </w:r>
      <w:r>
        <w:rPr>
          <w:rFonts w:ascii="Arial" w:hAnsi="Arial" w:cs="Arial" w:eastAsia="Arial" w:hint="default"/>
          <w:sz w:val="20"/>
          <w:szCs w:val="20"/>
        </w:rPr>
        <w:t>)</w:t>
      </w:r>
      <w:r>
        <w:rPr>
          <w:rFonts w:ascii="黑体" w:hAnsi="黑体" w:cs="黑体" w:eastAsia="黑体" w:hint="default"/>
          <w:sz w:val="20"/>
          <w:szCs w:val="20"/>
        </w:rPr>
        <w:t>、部分</w:t>
      </w:r>
      <w:r>
        <w:rPr>
          <w:rFonts w:ascii="黑体" w:hAnsi="黑体" w:cs="黑体" w:eastAsia="黑体" w:hint="default"/>
          <w:w w:val="99"/>
          <w:sz w:val="20"/>
          <w:szCs w:val="20"/>
        </w:rPr>
        <w:t> </w:t>
      </w:r>
      <w:r>
        <w:rPr>
          <w:rFonts w:ascii="黑体" w:hAnsi="黑体" w:cs="黑体" w:eastAsia="黑体" w:hint="default"/>
          <w:sz w:val="20"/>
          <w:szCs w:val="20"/>
        </w:rPr>
        <w:t>于紧接</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3</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日前的上一年度个人绩效考核未达到年度业绩完成率及格线及由于已加入积分</w:t>
      </w:r>
      <w:r>
        <w:rPr>
          <w:rFonts w:ascii="黑体" w:hAnsi="黑体" w:cs="黑体" w:eastAsia="黑体" w:hint="default"/>
          <w:w w:val="99"/>
          <w:sz w:val="20"/>
          <w:szCs w:val="20"/>
        </w:rPr>
        <w:t> </w:t>
      </w:r>
      <w:r>
        <w:rPr>
          <w:rFonts w:ascii="黑体" w:hAnsi="黑体" w:cs="黑体" w:eastAsia="黑体" w:hint="default"/>
          <w:sz w:val="20"/>
          <w:szCs w:val="20"/>
        </w:rPr>
        <w:t>计划而同意放弃其信托受益权份额的部分激励对象外，其余激励对象获授信托受益权份额</w:t>
      </w:r>
      <w:r>
        <w:rPr>
          <w:rFonts w:ascii="Arial" w:hAnsi="Arial" w:cs="Arial" w:eastAsia="Arial" w:hint="default"/>
          <w:sz w:val="20"/>
          <w:szCs w:val="20"/>
        </w:rPr>
        <w:t>40%</w:t>
      </w:r>
      <w:r>
        <w:rPr>
          <w:rFonts w:ascii="黑体" w:hAnsi="黑体" w:cs="黑体" w:eastAsia="黑体" w:hint="default"/>
          <w:sz w:val="20"/>
          <w:szCs w:val="20"/>
        </w:rPr>
        <w:t>的解</w:t>
      </w:r>
      <w:r>
        <w:rPr>
          <w:rFonts w:ascii="黑体" w:hAnsi="黑体" w:cs="黑体" w:eastAsia="黑体" w:hint="default"/>
          <w:spacing w:val="2"/>
          <w:w w:val="99"/>
          <w:sz w:val="20"/>
          <w:szCs w:val="20"/>
        </w:rPr>
        <w:t> </w:t>
      </w:r>
      <w:r>
        <w:rPr>
          <w:rFonts w:ascii="黑体" w:hAnsi="黑体" w:cs="黑体" w:eastAsia="黑体" w:hint="default"/>
          <w:sz w:val="20"/>
          <w:szCs w:val="20"/>
        </w:rPr>
        <w:t>锁条件于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3</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日达成。</w:t>
      </w:r>
    </w:p>
    <w:p>
      <w:pPr>
        <w:spacing w:line="240" w:lineRule="auto" w:before="9"/>
        <w:rPr>
          <w:rFonts w:ascii="黑体" w:hAnsi="黑体" w:cs="黑体" w:eastAsia="黑体" w:hint="default"/>
          <w:sz w:val="16"/>
          <w:szCs w:val="16"/>
        </w:rPr>
      </w:pPr>
    </w:p>
    <w:p>
      <w:pPr>
        <w:spacing w:line="225" w:lineRule="auto" w:before="0"/>
        <w:ind w:left="398" w:right="193" w:firstLine="0"/>
        <w:jc w:val="left"/>
        <w:rPr>
          <w:rFonts w:ascii="黑体" w:hAnsi="黑体" w:cs="黑体" w:eastAsia="黑体" w:hint="default"/>
          <w:sz w:val="20"/>
          <w:szCs w:val="20"/>
        </w:rPr>
      </w:pPr>
      <w:r>
        <w:rPr>
          <w:rFonts w:ascii="黑体" w:hAnsi="黑体" w:cs="黑体" w:eastAsia="黑体" w:hint="default"/>
          <w:sz w:val="20"/>
          <w:szCs w:val="20"/>
        </w:rPr>
        <w:t>再次授予中，除部分已终止或解除与畅捷通的劳动合同</w:t>
      </w:r>
      <w:r>
        <w:rPr>
          <w:rFonts w:ascii="Arial" w:hAnsi="Arial" w:cs="Arial" w:eastAsia="Arial" w:hint="default"/>
          <w:sz w:val="20"/>
          <w:szCs w:val="20"/>
        </w:rPr>
        <w:t>(</w:t>
      </w:r>
      <w:r>
        <w:rPr>
          <w:rFonts w:ascii="黑体" w:hAnsi="黑体" w:cs="黑体" w:eastAsia="黑体" w:hint="default"/>
          <w:sz w:val="20"/>
          <w:szCs w:val="20"/>
        </w:rPr>
        <w:t>该等人士已不具备激励对象资格</w:t>
      </w:r>
      <w:r>
        <w:rPr>
          <w:rFonts w:ascii="Arial" w:hAnsi="Arial" w:cs="Arial" w:eastAsia="Arial" w:hint="default"/>
          <w:sz w:val="20"/>
          <w:szCs w:val="20"/>
        </w:rPr>
        <w:t>)</w:t>
      </w:r>
      <w:r>
        <w:rPr>
          <w:rFonts w:ascii="黑体" w:hAnsi="黑体" w:cs="黑体" w:eastAsia="黑体" w:hint="default"/>
          <w:sz w:val="20"/>
          <w:szCs w:val="20"/>
        </w:rPr>
        <w:t>、部分于</w:t>
      </w:r>
      <w:r>
        <w:rPr>
          <w:rFonts w:ascii="黑体" w:hAnsi="黑体" w:cs="黑体" w:eastAsia="黑体" w:hint="default"/>
          <w:w w:val="99"/>
          <w:sz w:val="20"/>
          <w:szCs w:val="20"/>
        </w:rPr>
        <w:t> </w:t>
      </w:r>
      <w:r>
        <w:rPr>
          <w:rFonts w:ascii="黑体" w:hAnsi="黑体" w:cs="黑体" w:eastAsia="黑体" w:hint="default"/>
          <w:sz w:val="20"/>
          <w:szCs w:val="20"/>
        </w:rPr>
        <w:t>紧接</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6</w:t>
      </w:r>
      <w:r>
        <w:rPr>
          <w:rFonts w:ascii="黑体" w:hAnsi="黑体" w:cs="黑体" w:eastAsia="黑体" w:hint="default"/>
          <w:sz w:val="20"/>
          <w:szCs w:val="20"/>
        </w:rPr>
        <w:t>月</w:t>
      </w:r>
      <w:r>
        <w:rPr>
          <w:rFonts w:ascii="Arial" w:hAnsi="Arial" w:cs="Arial" w:eastAsia="Arial" w:hint="default"/>
          <w:sz w:val="20"/>
          <w:szCs w:val="20"/>
        </w:rPr>
        <w:t>5</w:t>
      </w:r>
      <w:r>
        <w:rPr>
          <w:rFonts w:ascii="黑体" w:hAnsi="黑体" w:cs="黑体" w:eastAsia="黑体" w:hint="default"/>
          <w:sz w:val="20"/>
          <w:szCs w:val="20"/>
        </w:rPr>
        <w:t>日前的上一年度个人绩效考核未达到年度业绩完成率及格线及由于已加入积分计</w:t>
      </w:r>
      <w:r>
        <w:rPr>
          <w:rFonts w:ascii="黑体" w:hAnsi="黑体" w:cs="黑体" w:eastAsia="黑体" w:hint="default"/>
          <w:w w:val="99"/>
          <w:sz w:val="20"/>
          <w:szCs w:val="20"/>
        </w:rPr>
        <w:t> </w:t>
      </w:r>
      <w:r>
        <w:rPr>
          <w:rFonts w:ascii="黑体" w:hAnsi="黑体" w:cs="黑体" w:eastAsia="黑体" w:hint="default"/>
          <w:sz w:val="20"/>
          <w:szCs w:val="20"/>
        </w:rPr>
        <w:t>划而同意放弃其信托受益权份额的部分激励对象外，其余激励对象获授信托受益权份额</w:t>
      </w:r>
      <w:r>
        <w:rPr>
          <w:rFonts w:ascii="Arial" w:hAnsi="Arial" w:cs="Arial" w:eastAsia="Arial" w:hint="default"/>
          <w:sz w:val="20"/>
          <w:szCs w:val="20"/>
        </w:rPr>
        <w:t>30%</w:t>
      </w:r>
      <w:r>
        <w:rPr>
          <w:rFonts w:ascii="黑体" w:hAnsi="黑体" w:cs="黑体" w:eastAsia="黑体" w:hint="default"/>
          <w:sz w:val="20"/>
          <w:szCs w:val="20"/>
        </w:rPr>
        <w:t>的解锁</w:t>
      </w:r>
      <w:r>
        <w:rPr>
          <w:rFonts w:ascii="黑体" w:hAnsi="黑体" w:cs="黑体" w:eastAsia="黑体" w:hint="default"/>
          <w:w w:val="99"/>
          <w:sz w:val="20"/>
          <w:szCs w:val="20"/>
        </w:rPr>
        <w:t> </w:t>
      </w:r>
      <w:r>
        <w:rPr>
          <w:rFonts w:ascii="黑体" w:hAnsi="黑体" w:cs="黑体" w:eastAsia="黑体" w:hint="default"/>
          <w:sz w:val="20"/>
          <w:szCs w:val="20"/>
        </w:rPr>
        <w:t>条件于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6</w:t>
      </w:r>
      <w:r>
        <w:rPr>
          <w:rFonts w:ascii="黑体" w:hAnsi="黑体" w:cs="黑体" w:eastAsia="黑体" w:hint="default"/>
          <w:sz w:val="20"/>
          <w:szCs w:val="20"/>
        </w:rPr>
        <w:t>月</w:t>
      </w:r>
      <w:r>
        <w:rPr>
          <w:rFonts w:ascii="Arial" w:hAnsi="Arial" w:cs="Arial" w:eastAsia="Arial" w:hint="default"/>
          <w:sz w:val="20"/>
          <w:szCs w:val="20"/>
        </w:rPr>
        <w:t>5</w:t>
      </w:r>
      <w:r>
        <w:rPr>
          <w:rFonts w:ascii="黑体" w:hAnsi="黑体" w:cs="黑体" w:eastAsia="黑体" w:hint="default"/>
          <w:sz w:val="20"/>
          <w:szCs w:val="20"/>
        </w:rPr>
        <w:t>日达成。</w:t>
      </w:r>
    </w:p>
    <w:p>
      <w:pPr>
        <w:spacing w:line="240" w:lineRule="auto" w:before="6"/>
        <w:rPr>
          <w:rFonts w:ascii="黑体" w:hAnsi="黑体" w:cs="黑体" w:eastAsia="黑体" w:hint="default"/>
          <w:sz w:val="18"/>
          <w:szCs w:val="18"/>
        </w:rPr>
      </w:pPr>
    </w:p>
    <w:p>
      <w:pPr>
        <w:spacing w:line="260" w:lineRule="exact" w:before="0"/>
        <w:ind w:left="398" w:right="201" w:firstLine="0"/>
        <w:jc w:val="both"/>
        <w:rPr>
          <w:rFonts w:ascii="黑体" w:hAnsi="黑体" w:cs="黑体" w:eastAsia="黑体" w:hint="default"/>
          <w:sz w:val="20"/>
          <w:szCs w:val="20"/>
        </w:rPr>
      </w:pPr>
      <w:r>
        <w:rPr>
          <w:rFonts w:ascii="黑体" w:hAnsi="黑体" w:cs="黑体" w:eastAsia="黑体" w:hint="default"/>
          <w:sz w:val="20"/>
          <w:szCs w:val="20"/>
        </w:rPr>
        <w:t>第三次授予中，除部分已终止或解除与畅捷通的劳动合同</w:t>
      </w:r>
      <w:r>
        <w:rPr>
          <w:rFonts w:ascii="Arial" w:hAnsi="Arial" w:cs="Arial" w:eastAsia="Arial" w:hint="default"/>
          <w:sz w:val="20"/>
          <w:szCs w:val="20"/>
        </w:rPr>
        <w:t>(</w:t>
      </w:r>
      <w:r>
        <w:rPr>
          <w:rFonts w:ascii="黑体" w:hAnsi="黑体" w:cs="黑体" w:eastAsia="黑体" w:hint="default"/>
          <w:sz w:val="20"/>
          <w:szCs w:val="20"/>
        </w:rPr>
        <w:t>该等人士已不具备激励对象资格</w:t>
      </w:r>
      <w:r>
        <w:rPr>
          <w:rFonts w:ascii="Arial" w:hAnsi="Arial" w:cs="Arial" w:eastAsia="Arial" w:hint="default"/>
          <w:sz w:val="20"/>
          <w:szCs w:val="20"/>
        </w:rPr>
        <w:t>)</w:t>
      </w:r>
      <w:r>
        <w:rPr>
          <w:rFonts w:ascii="Arial" w:hAnsi="Arial" w:cs="Arial" w:eastAsia="Arial" w:hint="default"/>
          <w:spacing w:val="31"/>
          <w:sz w:val="20"/>
          <w:szCs w:val="20"/>
        </w:rPr>
        <w:t> </w:t>
      </w:r>
      <w:r>
        <w:rPr>
          <w:rFonts w:ascii="黑体" w:hAnsi="黑体" w:cs="黑体" w:eastAsia="黑体" w:hint="default"/>
          <w:sz w:val="20"/>
          <w:szCs w:val="20"/>
        </w:rPr>
        <w:t>及由于</w:t>
      </w:r>
      <w:r>
        <w:rPr>
          <w:rFonts w:ascii="黑体" w:hAnsi="黑体" w:cs="黑体" w:eastAsia="黑体" w:hint="default"/>
          <w:w w:val="99"/>
          <w:sz w:val="20"/>
          <w:szCs w:val="20"/>
        </w:rPr>
        <w:t> </w:t>
      </w:r>
      <w:r>
        <w:rPr>
          <w:rFonts w:ascii="黑体" w:hAnsi="黑体" w:cs="黑体" w:eastAsia="黑体" w:hint="default"/>
          <w:sz w:val="20"/>
          <w:szCs w:val="20"/>
        </w:rPr>
        <w:t>已加入积分计划而同意放弃其信托受益权份额的部分激励对象外，其余激励对象获授信托受益权份</w:t>
      </w:r>
      <w:r>
        <w:rPr>
          <w:rFonts w:ascii="黑体" w:hAnsi="黑体" w:cs="黑体" w:eastAsia="黑体" w:hint="default"/>
          <w:w w:val="99"/>
          <w:sz w:val="20"/>
          <w:szCs w:val="20"/>
        </w:rPr>
        <w:t> </w:t>
      </w:r>
      <w:r>
        <w:rPr>
          <w:rFonts w:ascii="黑体" w:hAnsi="黑体" w:cs="黑体" w:eastAsia="黑体" w:hint="default"/>
          <w:sz w:val="20"/>
          <w:szCs w:val="20"/>
        </w:rPr>
        <w:t>额</w:t>
      </w:r>
      <w:r>
        <w:rPr>
          <w:rFonts w:ascii="Arial" w:hAnsi="Arial" w:cs="Arial" w:eastAsia="Arial" w:hint="default"/>
          <w:sz w:val="20"/>
          <w:szCs w:val="20"/>
        </w:rPr>
        <w:t>40%</w:t>
      </w:r>
      <w:r>
        <w:rPr>
          <w:rFonts w:ascii="黑体" w:hAnsi="黑体" w:cs="黑体" w:eastAsia="黑体" w:hint="default"/>
          <w:sz w:val="20"/>
          <w:szCs w:val="20"/>
        </w:rPr>
        <w:t>的解锁条件于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6</w:t>
      </w:r>
      <w:r>
        <w:rPr>
          <w:rFonts w:ascii="黑体" w:hAnsi="黑体" w:cs="黑体" w:eastAsia="黑体" w:hint="default"/>
          <w:sz w:val="20"/>
          <w:szCs w:val="20"/>
        </w:rPr>
        <w:t>日达成。</w:t>
      </w:r>
    </w:p>
    <w:p>
      <w:pPr>
        <w:spacing w:line="240" w:lineRule="auto" w:before="7"/>
        <w:rPr>
          <w:rFonts w:ascii="黑体" w:hAnsi="黑体" w:cs="黑体" w:eastAsia="黑体" w:hint="default"/>
          <w:sz w:val="17"/>
          <w:szCs w:val="17"/>
        </w:rPr>
      </w:pPr>
    </w:p>
    <w:p>
      <w:pPr>
        <w:spacing w:line="260" w:lineRule="exact" w:before="0"/>
        <w:ind w:left="398" w:right="193" w:firstLine="0"/>
        <w:jc w:val="left"/>
        <w:rPr>
          <w:rFonts w:ascii="黑体" w:hAnsi="黑体" w:cs="黑体" w:eastAsia="黑体" w:hint="default"/>
          <w:sz w:val="20"/>
          <w:szCs w:val="20"/>
        </w:rPr>
      </w:pPr>
      <w:r>
        <w:rPr>
          <w:rFonts w:ascii="黑体" w:hAnsi="黑体" w:cs="黑体" w:eastAsia="黑体" w:hint="default"/>
          <w:sz w:val="20"/>
          <w:szCs w:val="20"/>
        </w:rPr>
        <w:t>截至</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w:t>
      </w:r>
      <w:r>
        <w:rPr>
          <w:rFonts w:ascii="Arial" w:hAnsi="Arial" w:cs="Arial" w:eastAsia="Arial" w:hint="default"/>
          <w:sz w:val="20"/>
          <w:szCs w:val="20"/>
        </w:rPr>
        <w:t>1,211,000</w:t>
      </w:r>
      <w:r>
        <w:rPr>
          <w:rFonts w:ascii="Arial" w:hAnsi="Arial" w:cs="Arial" w:eastAsia="Arial" w:hint="default"/>
          <w:spacing w:val="43"/>
          <w:sz w:val="20"/>
          <w:szCs w:val="20"/>
        </w:rPr>
        <w:t> </w:t>
      </w:r>
      <w:r>
        <w:rPr>
          <w:rFonts w:ascii="黑体" w:hAnsi="黑体" w:cs="黑体" w:eastAsia="黑体" w:hint="default"/>
          <w:sz w:val="20"/>
          <w:szCs w:val="20"/>
        </w:rPr>
        <w:t>股已失效的目标股票于公开市场售出，交易金额为人民币</w:t>
      </w:r>
      <w:r>
        <w:rPr>
          <w:rFonts w:ascii="黑体" w:hAnsi="黑体" w:cs="黑体" w:eastAsia="黑体" w:hint="default"/>
          <w:w w:val="99"/>
          <w:sz w:val="20"/>
          <w:szCs w:val="20"/>
        </w:rPr>
        <w:t> </w:t>
      </w:r>
      <w:r>
        <w:rPr>
          <w:rFonts w:ascii="Arial" w:hAnsi="Arial" w:cs="Arial" w:eastAsia="Arial" w:hint="default"/>
          <w:spacing w:val="-1"/>
          <w:w w:val="95"/>
          <w:sz w:val="20"/>
          <w:szCs w:val="20"/>
        </w:rPr>
        <w:t>8,581,773</w:t>
      </w:r>
      <w:r>
        <w:rPr>
          <w:rFonts w:ascii="黑体" w:hAnsi="黑体" w:cs="黑体" w:eastAsia="黑体" w:hint="default"/>
          <w:spacing w:val="-1"/>
          <w:w w:val="95"/>
          <w:sz w:val="20"/>
          <w:szCs w:val="20"/>
        </w:rPr>
        <w:t>元，导致自库存股中转出人民币</w:t>
      </w:r>
      <w:r>
        <w:rPr>
          <w:rFonts w:ascii="Arial" w:hAnsi="Arial" w:cs="Arial" w:eastAsia="Arial" w:hint="default"/>
          <w:spacing w:val="-1"/>
          <w:w w:val="95"/>
          <w:sz w:val="20"/>
          <w:szCs w:val="20"/>
        </w:rPr>
        <w:t>19,642,859</w:t>
      </w:r>
      <w:r>
        <w:rPr>
          <w:rFonts w:ascii="黑体" w:hAnsi="黑体" w:cs="黑体" w:eastAsia="黑体" w:hint="default"/>
          <w:spacing w:val="-1"/>
          <w:w w:val="95"/>
          <w:sz w:val="20"/>
          <w:szCs w:val="20"/>
        </w:rPr>
        <w:t>元，差额人民币</w:t>
      </w:r>
      <w:r>
        <w:rPr>
          <w:rFonts w:ascii="Arial" w:hAnsi="Arial" w:cs="Arial" w:eastAsia="Arial" w:hint="default"/>
          <w:spacing w:val="-1"/>
          <w:w w:val="95"/>
          <w:sz w:val="20"/>
          <w:szCs w:val="20"/>
        </w:rPr>
        <w:t>11,061,086</w:t>
      </w:r>
      <w:r>
        <w:rPr>
          <w:rFonts w:ascii="黑体" w:hAnsi="黑体" w:cs="黑体" w:eastAsia="黑体" w:hint="default"/>
          <w:spacing w:val="-1"/>
          <w:w w:val="95"/>
          <w:sz w:val="20"/>
          <w:szCs w:val="20"/>
        </w:rPr>
        <w:t>元记入资本公积股</w:t>
      </w:r>
      <w:r>
        <w:rPr>
          <w:rFonts w:ascii="黑体" w:hAnsi="黑体" w:cs="黑体" w:eastAsia="黑体" w:hint="default"/>
          <w:spacing w:val="24"/>
          <w:w w:val="95"/>
          <w:sz w:val="20"/>
          <w:szCs w:val="20"/>
        </w:rPr>
        <w:t> </w:t>
      </w:r>
      <w:r>
        <w:rPr>
          <w:rFonts w:ascii="黑体" w:hAnsi="黑体" w:cs="黑体" w:eastAsia="黑体" w:hint="default"/>
          <w:spacing w:val="24"/>
          <w:w w:val="95"/>
          <w:sz w:val="20"/>
          <w:szCs w:val="20"/>
        </w:rPr>
      </w:r>
      <w:r>
        <w:rPr>
          <w:rFonts w:ascii="黑体" w:hAnsi="黑体" w:cs="黑体" w:eastAsia="黑体" w:hint="default"/>
          <w:sz w:val="20"/>
          <w:szCs w:val="20"/>
        </w:rPr>
        <w:t>本溢价。</w:t>
      </w:r>
    </w:p>
    <w:p>
      <w:pPr>
        <w:spacing w:line="240" w:lineRule="auto" w:before="8"/>
        <w:rPr>
          <w:rFonts w:ascii="黑体" w:hAnsi="黑体" w:cs="黑体" w:eastAsia="黑体" w:hint="default"/>
          <w:sz w:val="15"/>
          <w:szCs w:val="15"/>
        </w:rPr>
      </w:pPr>
    </w:p>
    <w:p>
      <w:pPr>
        <w:spacing w:line="268" w:lineRule="exact" w:before="0"/>
        <w:ind w:left="398" w:right="0" w:firstLine="0"/>
        <w:jc w:val="both"/>
        <w:rPr>
          <w:rFonts w:ascii="黑体" w:hAnsi="黑体" w:cs="黑体" w:eastAsia="黑体" w:hint="default"/>
          <w:sz w:val="20"/>
          <w:szCs w:val="20"/>
        </w:rPr>
      </w:pPr>
      <w:r>
        <w:rPr>
          <w:rFonts w:ascii="Arial" w:hAnsi="Arial" w:cs="Arial" w:eastAsia="Arial" w:hint="default"/>
          <w:sz w:val="20"/>
          <w:szCs w:val="20"/>
        </w:rPr>
        <w:t>2019</w:t>
      </w:r>
      <w:r>
        <w:rPr>
          <w:rFonts w:ascii="黑体" w:hAnsi="黑体" w:cs="黑体" w:eastAsia="黑体" w:hint="default"/>
          <w:sz w:val="20"/>
          <w:szCs w:val="20"/>
        </w:rPr>
        <w:t>年度，总额为人民币</w:t>
      </w:r>
      <w:r>
        <w:rPr>
          <w:rFonts w:ascii="Arial" w:hAnsi="Arial" w:cs="Arial" w:eastAsia="Arial" w:hint="default"/>
          <w:sz w:val="20"/>
          <w:szCs w:val="20"/>
        </w:rPr>
        <w:t>20,900,413</w:t>
      </w:r>
      <w:r>
        <w:rPr>
          <w:rFonts w:ascii="Arial" w:hAnsi="Arial" w:cs="Arial" w:eastAsia="Arial" w:hint="default"/>
          <w:spacing w:val="26"/>
          <w:sz w:val="20"/>
          <w:szCs w:val="20"/>
        </w:rPr>
        <w:t> </w:t>
      </w:r>
      <w:r>
        <w:rPr>
          <w:rFonts w:ascii="黑体" w:hAnsi="黑体" w:cs="黑体" w:eastAsia="黑体" w:hint="default"/>
          <w:spacing w:val="2"/>
          <w:sz w:val="20"/>
          <w:szCs w:val="20"/>
        </w:rPr>
        <w:t>元</w:t>
      </w:r>
      <w:r>
        <w:rPr>
          <w:rFonts w:ascii="Arial" w:hAnsi="Arial" w:cs="Arial" w:eastAsia="Arial" w:hint="default"/>
          <w:spacing w:val="2"/>
          <w:sz w:val="20"/>
          <w:szCs w:val="20"/>
        </w:rPr>
        <w:t>(2018</w:t>
      </w:r>
      <w:r>
        <w:rPr>
          <w:rFonts w:ascii="黑体" w:hAnsi="黑体" w:cs="黑体" w:eastAsia="黑体" w:hint="default"/>
          <w:spacing w:val="2"/>
          <w:sz w:val="20"/>
          <w:szCs w:val="20"/>
        </w:rPr>
        <w:t>年：人民币</w:t>
      </w:r>
      <w:r>
        <w:rPr>
          <w:rFonts w:ascii="Arial" w:hAnsi="Arial" w:cs="Arial" w:eastAsia="Arial" w:hint="default"/>
          <w:spacing w:val="2"/>
          <w:sz w:val="20"/>
          <w:szCs w:val="20"/>
        </w:rPr>
        <w:t>105,455,670</w:t>
      </w:r>
      <w:r>
        <w:rPr>
          <w:rFonts w:ascii="黑体" w:hAnsi="黑体" w:cs="黑体" w:eastAsia="黑体" w:hint="default"/>
          <w:spacing w:val="2"/>
          <w:sz w:val="20"/>
          <w:szCs w:val="20"/>
        </w:rPr>
        <w:t>元</w:t>
      </w:r>
      <w:r>
        <w:rPr>
          <w:rFonts w:ascii="Arial" w:hAnsi="Arial" w:cs="Arial" w:eastAsia="Arial" w:hint="default"/>
          <w:spacing w:val="2"/>
          <w:sz w:val="20"/>
          <w:szCs w:val="20"/>
        </w:rPr>
        <w:t>)</w:t>
      </w:r>
      <w:r>
        <w:rPr>
          <w:rFonts w:ascii="黑体" w:hAnsi="黑体" w:cs="黑体" w:eastAsia="黑体" w:hint="default"/>
          <w:spacing w:val="2"/>
          <w:sz w:val="20"/>
          <w:szCs w:val="20"/>
        </w:rPr>
        <w:t>的</w:t>
      </w:r>
      <w:r>
        <w:rPr>
          <w:rFonts w:ascii="Arial" w:hAnsi="Arial" w:cs="Arial" w:eastAsia="Arial" w:hint="default"/>
          <w:spacing w:val="2"/>
          <w:sz w:val="20"/>
          <w:szCs w:val="20"/>
        </w:rPr>
        <w:t>1,632,300</w:t>
      </w:r>
      <w:r>
        <w:rPr>
          <w:rFonts w:ascii="黑体" w:hAnsi="黑体" w:cs="黑体" w:eastAsia="黑体" w:hint="default"/>
          <w:spacing w:val="2"/>
          <w:sz w:val="20"/>
          <w:szCs w:val="20"/>
        </w:rPr>
        <w:t>股</w:t>
      </w:r>
      <w:r>
        <w:rPr>
          <w:rFonts w:ascii="Arial" w:hAnsi="Arial" w:cs="Arial" w:eastAsia="Arial" w:hint="default"/>
          <w:spacing w:val="2"/>
          <w:sz w:val="20"/>
          <w:szCs w:val="20"/>
        </w:rPr>
        <w:t>(2018</w:t>
      </w:r>
      <w:r>
        <w:rPr>
          <w:rFonts w:ascii="黑体" w:hAnsi="黑体" w:cs="黑体" w:eastAsia="黑体" w:hint="default"/>
          <w:spacing w:val="2"/>
          <w:sz w:val="20"/>
          <w:szCs w:val="20"/>
        </w:rPr>
        <w:t>年：</w:t>
      </w:r>
      <w:r>
        <w:rPr>
          <w:rFonts w:ascii="黑体" w:hAnsi="黑体" w:cs="黑体" w:eastAsia="黑体" w:hint="default"/>
          <w:sz w:val="20"/>
          <w:szCs w:val="20"/>
        </w:rPr>
      </w:r>
    </w:p>
    <w:p>
      <w:pPr>
        <w:spacing w:line="260" w:lineRule="exact" w:before="17"/>
        <w:ind w:left="398" w:right="193" w:firstLine="0"/>
        <w:jc w:val="left"/>
        <w:rPr>
          <w:rFonts w:ascii="黑体" w:hAnsi="黑体" w:cs="黑体" w:eastAsia="黑体" w:hint="default"/>
          <w:sz w:val="20"/>
          <w:szCs w:val="20"/>
        </w:rPr>
      </w:pPr>
      <w:r>
        <w:rPr>
          <w:rFonts w:ascii="Arial" w:hAnsi="Arial" w:cs="Arial" w:eastAsia="Arial" w:hint="default"/>
          <w:sz w:val="20"/>
          <w:szCs w:val="20"/>
        </w:rPr>
        <w:t>6,314,800</w:t>
      </w:r>
      <w:r>
        <w:rPr>
          <w:rFonts w:ascii="黑体" w:hAnsi="黑体" w:cs="黑体" w:eastAsia="黑体" w:hint="default"/>
          <w:sz w:val="20"/>
          <w:szCs w:val="20"/>
        </w:rPr>
        <w:t>股</w:t>
      </w:r>
      <w:r>
        <w:rPr>
          <w:rFonts w:ascii="Arial" w:hAnsi="Arial" w:cs="Arial" w:eastAsia="Arial" w:hint="default"/>
          <w:sz w:val="20"/>
          <w:szCs w:val="20"/>
        </w:rPr>
        <w:t>)</w:t>
      </w:r>
      <w:r>
        <w:rPr>
          <w:rFonts w:ascii="黑体" w:hAnsi="黑体" w:cs="黑体" w:eastAsia="黑体" w:hint="default"/>
          <w:sz w:val="20"/>
          <w:szCs w:val="20"/>
        </w:rPr>
        <w:t>目标股票已根据该计划解锁，导致自资本公积股份支付中转出人民币</w:t>
      </w:r>
      <w:r>
        <w:rPr>
          <w:rFonts w:ascii="Arial" w:hAnsi="Arial" w:cs="Arial" w:eastAsia="Arial" w:hint="default"/>
          <w:sz w:val="20"/>
          <w:szCs w:val="20"/>
        </w:rPr>
        <w:t>12,580,903</w:t>
      </w:r>
      <w:r>
        <w:rPr>
          <w:rFonts w:ascii="Arial" w:hAnsi="Arial" w:cs="Arial" w:eastAsia="Arial" w:hint="default"/>
          <w:spacing w:val="42"/>
          <w:sz w:val="20"/>
          <w:szCs w:val="20"/>
        </w:rPr>
        <w:t> </w:t>
      </w:r>
      <w:r>
        <w:rPr>
          <w:rFonts w:ascii="黑体" w:hAnsi="黑体" w:cs="黑体" w:eastAsia="黑体" w:hint="default"/>
          <w:sz w:val="20"/>
          <w:szCs w:val="20"/>
        </w:rPr>
        <w:t>元</w:t>
      </w:r>
      <w:r>
        <w:rPr>
          <w:rFonts w:ascii="黑体" w:hAnsi="黑体" w:cs="黑体" w:eastAsia="黑体" w:hint="default"/>
          <w:w w:val="99"/>
          <w:sz w:val="20"/>
          <w:szCs w:val="20"/>
        </w:rPr>
        <w:t> </w:t>
      </w:r>
      <w:r>
        <w:rPr>
          <w:rFonts w:ascii="Arial" w:hAnsi="Arial" w:cs="Arial" w:eastAsia="Arial" w:hint="default"/>
          <w:sz w:val="20"/>
          <w:szCs w:val="20"/>
        </w:rPr>
        <w:t>(2018</w:t>
      </w:r>
      <w:r>
        <w:rPr>
          <w:rFonts w:ascii="黑体" w:hAnsi="黑体" w:cs="黑体" w:eastAsia="黑体" w:hint="default"/>
          <w:sz w:val="20"/>
          <w:szCs w:val="20"/>
        </w:rPr>
        <w:t>年：人民币</w:t>
      </w:r>
      <w:r>
        <w:rPr>
          <w:rFonts w:ascii="Arial" w:hAnsi="Arial" w:cs="Arial" w:eastAsia="Arial" w:hint="default"/>
          <w:sz w:val="20"/>
          <w:szCs w:val="20"/>
        </w:rPr>
        <w:t>122,395,260</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，差额人民币</w:t>
      </w:r>
      <w:r>
        <w:rPr>
          <w:rFonts w:ascii="Arial" w:hAnsi="Arial" w:cs="Arial" w:eastAsia="Arial" w:hint="default"/>
          <w:sz w:val="20"/>
          <w:szCs w:val="20"/>
        </w:rPr>
        <w:t>8,319,510 </w:t>
      </w:r>
      <w:r>
        <w:rPr>
          <w:rFonts w:ascii="黑体" w:hAnsi="黑体" w:cs="黑体" w:eastAsia="黑体" w:hint="default"/>
          <w:sz w:val="20"/>
          <w:szCs w:val="20"/>
        </w:rPr>
        <w:t>元</w:t>
      </w:r>
      <w:r>
        <w:rPr>
          <w:rFonts w:ascii="Arial" w:hAnsi="Arial" w:cs="Arial" w:eastAsia="Arial" w:hint="default"/>
          <w:sz w:val="20"/>
          <w:szCs w:val="20"/>
        </w:rPr>
        <w:t>(2018</w:t>
      </w:r>
      <w:r>
        <w:rPr>
          <w:rFonts w:ascii="黑体" w:hAnsi="黑体" w:cs="黑体" w:eastAsia="黑体" w:hint="default"/>
          <w:sz w:val="20"/>
          <w:szCs w:val="20"/>
        </w:rPr>
        <w:t>年：人民币</w:t>
      </w:r>
      <w:r>
        <w:rPr>
          <w:rFonts w:ascii="Arial" w:hAnsi="Arial" w:cs="Arial" w:eastAsia="Arial" w:hint="default"/>
          <w:sz w:val="20"/>
          <w:szCs w:val="20"/>
        </w:rPr>
        <w:t>16,939,590</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记入资</w:t>
      </w:r>
      <w:r>
        <w:rPr>
          <w:rFonts w:ascii="黑体" w:hAnsi="黑体" w:cs="黑体" w:eastAsia="黑体" w:hint="default"/>
          <w:w w:val="99"/>
          <w:sz w:val="20"/>
          <w:szCs w:val="20"/>
        </w:rPr>
        <w:t> </w:t>
      </w:r>
      <w:r>
        <w:rPr>
          <w:rFonts w:ascii="黑体" w:hAnsi="黑体" w:cs="黑体" w:eastAsia="黑体" w:hint="default"/>
          <w:sz w:val="20"/>
          <w:szCs w:val="20"/>
        </w:rPr>
        <w:t>本公积股本溢价。</w:t>
      </w:r>
    </w:p>
    <w:p>
      <w:pPr>
        <w:spacing w:line="240" w:lineRule="auto" w:before="2"/>
        <w:rPr>
          <w:rFonts w:ascii="黑体" w:hAnsi="黑体" w:cs="黑体" w:eastAsia="黑体" w:hint="default"/>
          <w:sz w:val="17"/>
          <w:szCs w:val="17"/>
        </w:rPr>
      </w:pPr>
    </w:p>
    <w:p>
      <w:pPr>
        <w:spacing w:line="260" w:lineRule="exact" w:before="0"/>
        <w:ind w:left="398" w:right="508" w:firstLine="0"/>
        <w:jc w:val="both"/>
        <w:rPr>
          <w:rFonts w:ascii="宋体" w:hAnsi="宋体" w:cs="宋体" w:eastAsia="宋体" w:hint="default"/>
          <w:sz w:val="24"/>
          <w:szCs w:val="24"/>
        </w:rPr>
      </w:pPr>
      <w:r>
        <w:rPr>
          <w:rFonts w:ascii="Arial" w:hAnsi="Arial" w:cs="Arial" w:eastAsia="Arial" w:hint="default"/>
          <w:sz w:val="20"/>
          <w:szCs w:val="20"/>
        </w:rPr>
        <w:t>2019</w:t>
      </w:r>
      <w:r>
        <w:rPr>
          <w:rFonts w:ascii="黑体" w:hAnsi="黑体" w:cs="黑体" w:eastAsia="黑体" w:hint="default"/>
          <w:sz w:val="20"/>
          <w:szCs w:val="20"/>
        </w:rPr>
        <w:t>年度，畅捷通已确认股份支付费用人民币</w:t>
      </w:r>
      <w:r>
        <w:rPr>
          <w:rFonts w:ascii="Arial" w:hAnsi="Arial" w:cs="Arial" w:eastAsia="Arial" w:hint="default"/>
          <w:sz w:val="20"/>
          <w:szCs w:val="20"/>
        </w:rPr>
        <w:t>5,649,013</w:t>
      </w:r>
      <w:r>
        <w:rPr>
          <w:rFonts w:ascii="黑体" w:hAnsi="黑体" w:cs="黑体" w:eastAsia="黑体" w:hint="default"/>
          <w:sz w:val="20"/>
          <w:szCs w:val="20"/>
        </w:rPr>
        <w:t>元</w:t>
      </w:r>
      <w:r>
        <w:rPr>
          <w:rFonts w:ascii="Arial" w:hAnsi="Arial" w:cs="Arial" w:eastAsia="Arial" w:hint="default"/>
          <w:sz w:val="20"/>
          <w:szCs w:val="20"/>
        </w:rPr>
        <w:t>(2018</w:t>
      </w:r>
      <w:r>
        <w:rPr>
          <w:rFonts w:ascii="黑体" w:hAnsi="黑体" w:cs="黑体" w:eastAsia="黑体" w:hint="default"/>
          <w:sz w:val="20"/>
          <w:szCs w:val="20"/>
        </w:rPr>
        <w:t>年：人民币</w:t>
      </w:r>
      <w:r>
        <w:rPr>
          <w:rFonts w:ascii="Arial" w:hAnsi="Arial" w:cs="Arial" w:eastAsia="Arial" w:hint="default"/>
          <w:sz w:val="20"/>
          <w:szCs w:val="20"/>
        </w:rPr>
        <w:t>31,798,181</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。其</w:t>
      </w:r>
      <w:r>
        <w:rPr>
          <w:rFonts w:ascii="黑体" w:hAnsi="黑体" w:cs="黑体" w:eastAsia="黑体" w:hint="default"/>
          <w:spacing w:val="2"/>
          <w:w w:val="99"/>
          <w:sz w:val="20"/>
          <w:szCs w:val="20"/>
        </w:rPr>
        <w:t> </w:t>
      </w:r>
      <w:r>
        <w:rPr>
          <w:rFonts w:ascii="黑体" w:hAnsi="黑体" w:cs="黑体" w:eastAsia="黑体" w:hint="default"/>
          <w:sz w:val="20"/>
          <w:szCs w:val="20"/>
        </w:rPr>
        <w:t>中，于损益中确认股份支付费用人民币</w:t>
      </w:r>
      <w:r>
        <w:rPr>
          <w:rFonts w:ascii="Arial" w:hAnsi="Arial" w:cs="Arial" w:eastAsia="Arial" w:hint="default"/>
          <w:sz w:val="20"/>
          <w:szCs w:val="20"/>
        </w:rPr>
        <w:t>5,649,013</w:t>
      </w:r>
      <w:r>
        <w:rPr>
          <w:rFonts w:ascii="黑体" w:hAnsi="黑体" w:cs="黑体" w:eastAsia="黑体" w:hint="default"/>
          <w:sz w:val="20"/>
          <w:szCs w:val="20"/>
        </w:rPr>
        <w:t>元</w:t>
      </w:r>
      <w:r>
        <w:rPr>
          <w:rFonts w:ascii="Arial" w:hAnsi="Arial" w:cs="Arial" w:eastAsia="Arial" w:hint="default"/>
          <w:sz w:val="20"/>
          <w:szCs w:val="20"/>
        </w:rPr>
        <w:t>(2018</w:t>
      </w:r>
      <w:r>
        <w:rPr>
          <w:rFonts w:ascii="黑体" w:hAnsi="黑体" w:cs="黑体" w:eastAsia="黑体" w:hint="default"/>
          <w:sz w:val="20"/>
          <w:szCs w:val="20"/>
        </w:rPr>
        <w:t>年：人民币</w:t>
      </w:r>
      <w:r>
        <w:rPr>
          <w:rFonts w:ascii="Arial" w:hAnsi="Arial" w:cs="Arial" w:eastAsia="Arial" w:hint="default"/>
          <w:sz w:val="20"/>
          <w:szCs w:val="20"/>
        </w:rPr>
        <w:t>29,275,937</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，以资本化</w:t>
      </w:r>
      <w:r>
        <w:rPr>
          <w:rFonts w:ascii="黑体" w:hAnsi="黑体" w:cs="黑体" w:eastAsia="黑体" w:hint="default"/>
          <w:spacing w:val="-79"/>
          <w:sz w:val="20"/>
          <w:szCs w:val="20"/>
        </w:rPr>
        <w:t> </w:t>
      </w:r>
      <w:r>
        <w:rPr>
          <w:rFonts w:ascii="黑体" w:hAnsi="黑体" w:cs="黑体" w:eastAsia="黑体" w:hint="default"/>
          <w:sz w:val="20"/>
          <w:szCs w:val="20"/>
        </w:rPr>
        <w:t>计入开发支出的金额为人民币零元</w:t>
      </w:r>
      <w:r>
        <w:rPr>
          <w:rFonts w:ascii="Arial" w:hAnsi="Arial" w:cs="Arial" w:eastAsia="Arial" w:hint="default"/>
          <w:sz w:val="20"/>
          <w:szCs w:val="20"/>
        </w:rPr>
        <w:t>(2018</w:t>
      </w:r>
      <w:r>
        <w:rPr>
          <w:rFonts w:ascii="黑体" w:hAnsi="黑体" w:cs="黑体" w:eastAsia="黑体" w:hint="default"/>
          <w:sz w:val="20"/>
          <w:szCs w:val="20"/>
        </w:rPr>
        <w:t>年：人民币</w:t>
      </w:r>
      <w:r>
        <w:rPr>
          <w:rFonts w:ascii="Arial" w:hAnsi="Arial" w:cs="Arial" w:eastAsia="Arial" w:hint="default"/>
          <w:sz w:val="20"/>
          <w:szCs w:val="20"/>
        </w:rPr>
        <w:t>2,522,244</w:t>
      </w:r>
      <w:r>
        <w:rPr>
          <w:rFonts w:ascii="黑体" w:hAnsi="黑体" w:cs="黑体" w:eastAsia="黑体" w:hint="default"/>
          <w:sz w:val="20"/>
          <w:szCs w:val="20"/>
        </w:rPr>
        <w:t>元</w:t>
      </w:r>
      <w:r>
        <w:rPr>
          <w:rFonts w:ascii="Arial" w:hAnsi="Arial" w:cs="Arial" w:eastAsia="Arial" w:hint="default"/>
          <w:sz w:val="20"/>
          <w:szCs w:val="20"/>
        </w:rPr>
        <w:t>)</w:t>
      </w:r>
      <w:r>
        <w:rPr>
          <w:rFonts w:ascii="黑体" w:hAnsi="黑体" w:cs="黑体" w:eastAsia="黑体" w:hint="default"/>
          <w:sz w:val="20"/>
          <w:szCs w:val="20"/>
        </w:rPr>
        <w:t>。</w:t>
      </w:r>
      <w:r>
        <w:rPr>
          <w:rFonts w:ascii="宋体" w:hAnsi="宋体" w:cs="宋体" w:eastAsia="宋体" w:hint="default"/>
          <w:sz w:val="24"/>
          <w:szCs w:val="24"/>
        </w:rPr>
        <w:t> </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1"/>
          <w:szCs w:val="21"/>
        </w:rPr>
      </w:pPr>
    </w:p>
    <w:p>
      <w:pPr>
        <w:spacing w:before="0"/>
        <w:ind w:left="398" w:right="0" w:firstLine="0"/>
        <w:jc w:val="both"/>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z w:val="20"/>
          <w:szCs w:val="20"/>
        </w:rPr>
        <w:t>、</w:t>
      </w:r>
      <w:r>
        <w:rPr>
          <w:rFonts w:ascii="宋体" w:hAnsi="宋体" w:cs="宋体" w:eastAsia="宋体" w:hint="default"/>
          <w:b/>
          <w:bCs/>
          <w:spacing w:val="18"/>
          <w:sz w:val="20"/>
          <w:szCs w:val="20"/>
        </w:rPr>
        <w:t> </w:t>
      </w:r>
      <w:r>
        <w:rPr>
          <w:rFonts w:ascii="宋体" w:hAnsi="宋体" w:cs="宋体" w:eastAsia="宋体" w:hint="default"/>
          <w:b/>
          <w:bCs/>
          <w:sz w:val="20"/>
          <w:szCs w:val="20"/>
        </w:rPr>
        <w:t>以现金结算的股份支付情况</w:t>
      </w:r>
      <w:r>
        <w:rPr>
          <w:rFonts w:ascii="宋体" w:hAnsi="宋体" w:cs="宋体" w:eastAsia="宋体" w:hint="default"/>
          <w:sz w:val="20"/>
          <w:szCs w:val="20"/>
        </w:rPr>
      </w:r>
    </w:p>
    <w:p>
      <w:pPr>
        <w:pStyle w:val="BodyText"/>
        <w:spacing w:line="240" w:lineRule="auto" w:before="49"/>
        <w:ind w:left="398" w:right="0"/>
        <w:jc w:val="both"/>
      </w:pPr>
      <w:r>
        <w:rPr/>
        <w:t>□适用</w:t>
      </w:r>
      <w:r>
        <w:rPr>
          <w:spacing w:val="-1"/>
        </w:rPr>
        <w:t> </w:t>
      </w:r>
      <w:r>
        <w:rPr/>
        <w:t>√不适用</w:t>
      </w:r>
    </w:p>
    <w:p>
      <w:pPr>
        <w:spacing w:after="0" w:line="240" w:lineRule="auto"/>
        <w:jc w:val="both"/>
        <w:sectPr>
          <w:pgSz w:w="11910" w:h="16850"/>
          <w:pgMar w:header="745" w:footer="921" w:top="980" w:bottom="1120" w:left="1400" w:right="1280"/>
        </w:sectPr>
      </w:pPr>
    </w:p>
    <w:p>
      <w:pPr>
        <w:spacing w:line="240" w:lineRule="auto" w:before="11"/>
        <w:rPr>
          <w:rFonts w:ascii="宋体" w:hAnsi="宋体" w:cs="宋体" w:eastAsia="宋体" w:hint="default"/>
          <w:sz w:val="21"/>
          <w:szCs w:val="21"/>
        </w:rPr>
      </w:pPr>
    </w:p>
    <w:p>
      <w:pPr>
        <w:spacing w:before="37"/>
        <w:ind w:left="318" w:right="3588" w:firstLine="0"/>
        <w:jc w:val="left"/>
        <w:rPr>
          <w:rFonts w:ascii="宋体" w:hAnsi="宋体" w:cs="宋体" w:eastAsia="宋体" w:hint="default"/>
          <w:sz w:val="20"/>
          <w:szCs w:val="20"/>
        </w:rPr>
      </w:pPr>
      <w:r>
        <w:rPr/>
        <w:pict>
          <v:group style="position:absolute;margin-left:88.463997pt;margin-top:-19.470291pt;width:417.45pt;height:.1pt;mso-position-horizontal-relative:page;mso-position-vertical-relative:paragraph;z-index:1456" coordorigin="1769,-389" coordsize="8349,2">
            <v:shape style="position:absolute;left:1769;top:-389;width:8349;height:2" coordorigin="1769,-389" coordsize="8349,0" path="m1769,-389l10118,-389e" filled="false" stroked="true" strokeweight=".72pt" strokecolor="#000000">
              <v:path arrowok="t"/>
            </v:shape>
            <w10:wrap type="none"/>
          </v:group>
        </w:pict>
      </w:r>
      <w:r>
        <w:rPr>
          <w:rFonts w:ascii="宋体" w:hAnsi="宋体" w:cs="宋体" w:eastAsia="宋体" w:hint="default"/>
          <w:b/>
          <w:bCs/>
          <w:sz w:val="20"/>
          <w:szCs w:val="20"/>
        </w:rPr>
        <w:t>4</w:t>
      </w:r>
      <w:r>
        <w:rPr>
          <w:rFonts w:ascii="宋体" w:hAnsi="宋体" w:cs="宋体" w:eastAsia="宋体" w:hint="default"/>
          <w:b/>
          <w:bCs/>
          <w:sz w:val="20"/>
          <w:szCs w:val="20"/>
        </w:rPr>
        <w:t>、</w:t>
      </w:r>
      <w:r>
        <w:rPr>
          <w:rFonts w:ascii="宋体" w:hAnsi="宋体" w:cs="宋体" w:eastAsia="宋体" w:hint="default"/>
          <w:b/>
          <w:bCs/>
          <w:spacing w:val="18"/>
          <w:sz w:val="20"/>
          <w:szCs w:val="20"/>
        </w:rPr>
        <w:t> </w:t>
      </w:r>
      <w:r>
        <w:rPr>
          <w:rFonts w:ascii="宋体" w:hAnsi="宋体" w:cs="宋体" w:eastAsia="宋体" w:hint="default"/>
          <w:b/>
          <w:bCs/>
          <w:sz w:val="20"/>
          <w:szCs w:val="20"/>
        </w:rPr>
        <w:t>股份支付的修改、终止情况</w:t>
      </w:r>
      <w:r>
        <w:rPr>
          <w:rFonts w:ascii="宋体" w:hAnsi="宋体" w:cs="宋体" w:eastAsia="宋体" w:hint="default"/>
          <w:sz w:val="20"/>
          <w:szCs w:val="20"/>
        </w:rPr>
      </w:r>
    </w:p>
    <w:p>
      <w:pPr>
        <w:pStyle w:val="BodyText"/>
        <w:tabs>
          <w:tab w:pos="1277" w:val="left" w:leader="none"/>
        </w:tabs>
        <w:spacing w:line="240" w:lineRule="auto" w:before="49"/>
        <w:ind w:left="318" w:right="3588"/>
        <w:jc w:val="left"/>
      </w:pPr>
      <w:r>
        <w:rPr/>
        <w:t>□适用</w:t>
        <w:tab/>
        <w:t>√不适用</w:t>
      </w:r>
    </w:p>
    <w:p>
      <w:pPr>
        <w:spacing w:line="240" w:lineRule="auto" w:before="2"/>
        <w:rPr>
          <w:rFonts w:ascii="宋体" w:hAnsi="宋体" w:cs="宋体" w:eastAsia="宋体" w:hint="default"/>
          <w:sz w:val="26"/>
          <w:szCs w:val="26"/>
        </w:rPr>
      </w:pPr>
    </w:p>
    <w:p>
      <w:pPr>
        <w:spacing w:before="0"/>
        <w:ind w:left="318" w:right="3588"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z w:val="20"/>
          <w:szCs w:val="20"/>
        </w:rPr>
        <w:t>、</w:t>
      </w:r>
      <w:r>
        <w:rPr>
          <w:rFonts w:ascii="宋体" w:hAnsi="宋体" w:cs="宋体" w:eastAsia="宋体" w:hint="default"/>
          <w:b/>
          <w:bCs/>
          <w:spacing w:val="22"/>
          <w:sz w:val="20"/>
          <w:szCs w:val="20"/>
        </w:rPr>
        <w:t> </w:t>
      </w:r>
      <w:r>
        <w:rPr>
          <w:rFonts w:ascii="宋体" w:hAnsi="宋体" w:cs="宋体" w:eastAsia="宋体" w:hint="default"/>
          <w:b/>
          <w:bCs/>
          <w:sz w:val="20"/>
          <w:szCs w:val="20"/>
        </w:rPr>
        <w:t>其他</w:t>
      </w:r>
      <w:r>
        <w:rPr>
          <w:rFonts w:ascii="宋体" w:hAnsi="宋体" w:cs="宋体" w:eastAsia="宋体" w:hint="default"/>
          <w:sz w:val="20"/>
          <w:szCs w:val="20"/>
        </w:rPr>
      </w:r>
    </w:p>
    <w:p>
      <w:pPr>
        <w:pStyle w:val="BodyText"/>
        <w:tabs>
          <w:tab w:pos="1277" w:val="left" w:leader="none"/>
        </w:tabs>
        <w:spacing w:line="240" w:lineRule="auto" w:before="49"/>
        <w:ind w:left="318" w:right="3588"/>
        <w:jc w:val="left"/>
      </w:pPr>
      <w:r>
        <w:rPr/>
        <w:t>□适用</w:t>
        <w:tab/>
        <w:t>√不适用</w:t>
      </w:r>
    </w:p>
    <w:p>
      <w:pPr>
        <w:spacing w:line="240" w:lineRule="auto" w:before="2"/>
        <w:rPr>
          <w:rFonts w:ascii="宋体" w:hAnsi="宋体" w:cs="宋体" w:eastAsia="宋体" w:hint="default"/>
          <w:sz w:val="26"/>
          <w:szCs w:val="26"/>
        </w:rPr>
      </w:pPr>
    </w:p>
    <w:p>
      <w:pPr>
        <w:spacing w:line="292" w:lineRule="auto" w:before="0"/>
        <w:ind w:left="318" w:right="6225" w:firstLine="0"/>
        <w:jc w:val="left"/>
        <w:rPr>
          <w:rFonts w:ascii="宋体" w:hAnsi="宋体" w:cs="宋体" w:eastAsia="宋体" w:hint="default"/>
          <w:sz w:val="20"/>
          <w:szCs w:val="20"/>
        </w:rPr>
      </w:pPr>
      <w:r>
        <w:rPr>
          <w:rFonts w:ascii="宋体" w:hAnsi="宋体" w:cs="宋体" w:eastAsia="宋体" w:hint="default"/>
          <w:b/>
          <w:bCs/>
          <w:sz w:val="20"/>
          <w:szCs w:val="20"/>
        </w:rPr>
        <w:t>十四、</w:t>
      </w:r>
      <w:r>
        <w:rPr>
          <w:rFonts w:ascii="宋体" w:hAnsi="宋体" w:cs="宋体" w:eastAsia="宋体" w:hint="default"/>
          <w:b/>
          <w:bCs/>
          <w:spacing w:val="33"/>
          <w:sz w:val="20"/>
          <w:szCs w:val="20"/>
        </w:rPr>
        <w:t> </w:t>
      </w:r>
      <w:r>
        <w:rPr>
          <w:rFonts w:ascii="宋体" w:hAnsi="宋体" w:cs="宋体" w:eastAsia="宋体" w:hint="default"/>
          <w:b/>
          <w:bCs/>
          <w:spacing w:val="33"/>
          <w:sz w:val="20"/>
          <w:szCs w:val="20"/>
        </w:rPr>
      </w:r>
      <w:r>
        <w:rPr>
          <w:rFonts w:ascii="宋体" w:hAnsi="宋体" w:cs="宋体" w:eastAsia="宋体" w:hint="default"/>
          <w:b/>
          <w:bCs/>
          <w:sz w:val="20"/>
          <w:szCs w:val="20"/>
        </w:rPr>
        <w:t>承诺及或有事项</w:t>
      </w:r>
      <w:r>
        <w:rPr>
          <w:rFonts w:ascii="宋体" w:hAnsi="宋体" w:cs="宋体" w:eastAsia="宋体" w:hint="default"/>
          <w:b/>
          <w:bCs/>
          <w:w w:val="99"/>
          <w:sz w:val="20"/>
          <w:szCs w:val="20"/>
        </w:rPr>
        <w:t> </w:t>
      </w:r>
      <w:r>
        <w:rPr>
          <w:rFonts w:ascii="宋体" w:hAnsi="宋体" w:cs="宋体" w:eastAsia="宋体" w:hint="default"/>
          <w:b/>
          <w:bCs/>
          <w:sz w:val="20"/>
          <w:szCs w:val="20"/>
        </w:rPr>
        <w:t>1</w:t>
      </w:r>
      <w:r>
        <w:rPr>
          <w:rFonts w:ascii="宋体" w:hAnsi="宋体" w:cs="宋体" w:eastAsia="宋体" w:hint="default"/>
          <w:b/>
          <w:bCs/>
          <w:sz w:val="20"/>
          <w:szCs w:val="20"/>
        </w:rPr>
        <w:t>、</w:t>
      </w:r>
      <w:r>
        <w:rPr>
          <w:rFonts w:ascii="宋体" w:hAnsi="宋体" w:cs="宋体" w:eastAsia="宋体" w:hint="default"/>
          <w:b/>
          <w:bCs/>
          <w:spacing w:val="19"/>
          <w:sz w:val="20"/>
          <w:szCs w:val="20"/>
        </w:rPr>
        <w:t> </w:t>
      </w:r>
      <w:r>
        <w:rPr>
          <w:rFonts w:ascii="宋体" w:hAnsi="宋体" w:cs="宋体" w:eastAsia="宋体" w:hint="default"/>
          <w:b/>
          <w:bCs/>
          <w:sz w:val="20"/>
          <w:szCs w:val="20"/>
        </w:rPr>
        <w:t>重要承诺事项</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310" w:lineRule="exact" w:before="37"/>
        <w:ind w:left="318" w:right="3588"/>
        <w:jc w:val="left"/>
      </w:pPr>
      <w:r>
        <w:rPr/>
        <w:t>√适用</w:t>
      </w:r>
      <w:r>
        <w:rPr>
          <w:spacing w:val="-1"/>
        </w:rPr>
        <w:t> </w:t>
      </w:r>
      <w:r>
        <w:rPr/>
        <w:t>□不适用</w:t>
      </w:r>
      <w:r>
        <w:rPr/>
        <w:t> 资产负债表日存在的对外重要承诺、性质、金额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tbl>
      <w:tblPr>
        <w:tblW w:w="0" w:type="auto"/>
        <w:jc w:val="left"/>
        <w:tblInd w:w="118" w:type="dxa"/>
        <w:tblLayout w:type="fixed"/>
        <w:tblCellMar>
          <w:top w:w="0" w:type="dxa"/>
          <w:left w:w="0" w:type="dxa"/>
          <w:bottom w:w="0" w:type="dxa"/>
          <w:right w:w="0" w:type="dxa"/>
        </w:tblCellMar>
        <w:tblLook w:val="01E0"/>
      </w:tblPr>
      <w:tblGrid>
        <w:gridCol w:w="3269"/>
        <w:gridCol w:w="3659"/>
        <w:gridCol w:w="1801"/>
      </w:tblGrid>
      <w:tr>
        <w:trPr>
          <w:trHeight w:val="349" w:hRule="exact"/>
        </w:trPr>
        <w:tc>
          <w:tcPr>
            <w:tcW w:w="3269"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14" w:lineRule="exact"/>
              <w:ind w:right="492"/>
              <w:jc w:val="right"/>
              <w:rPr>
                <w:rFonts w:ascii="黑体" w:hAnsi="黑体" w:cs="黑体" w:eastAsia="黑体" w:hint="default"/>
                <w:sz w:val="20"/>
                <w:szCs w:val="20"/>
              </w:rPr>
            </w:pP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14" w:lineRule="exact"/>
              <w:ind w:right="199"/>
              <w:jc w:val="right"/>
              <w:rPr>
                <w:rFonts w:ascii="黑体" w:hAnsi="黑体" w:cs="黑体" w:eastAsia="黑体" w:hint="default"/>
                <w:sz w:val="20"/>
                <w:szCs w:val="20"/>
              </w:rPr>
            </w:pPr>
            <w:r>
              <w:rPr>
                <w:rFonts w:ascii="Arial" w:hAnsi="Arial" w:cs="Arial" w:eastAsia="Arial" w:hint="default"/>
                <w:spacing w:val="-1"/>
                <w:w w:val="95"/>
                <w:sz w:val="20"/>
                <w:szCs w:val="20"/>
              </w:rPr>
              <w:t>2018</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370" w:hRule="exact"/>
        </w:trPr>
        <w:tc>
          <w:tcPr>
            <w:tcW w:w="3269"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00" w:right="0"/>
              <w:jc w:val="left"/>
              <w:rPr>
                <w:rFonts w:ascii="黑体" w:hAnsi="黑体" w:cs="黑体" w:eastAsia="黑体" w:hint="default"/>
                <w:sz w:val="20"/>
                <w:szCs w:val="20"/>
              </w:rPr>
            </w:pPr>
            <w:r>
              <w:rPr>
                <w:rFonts w:ascii="黑体" w:hAnsi="黑体" w:cs="黑体" w:eastAsia="黑体" w:hint="default"/>
                <w:sz w:val="20"/>
                <w:szCs w:val="20"/>
              </w:rPr>
              <w:t>已签约但未拨备</w:t>
            </w:r>
          </w:p>
        </w:tc>
        <w:tc>
          <w:tcPr>
            <w:tcW w:w="3659"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nil" w:sz="6" w:space="0" w:color="auto"/>
            </w:tcBorders>
          </w:tcPr>
          <w:p>
            <w:pPr/>
          </w:p>
        </w:tc>
      </w:tr>
      <w:tr>
        <w:trPr>
          <w:trHeight w:val="383" w:hRule="exact"/>
        </w:trPr>
        <w:tc>
          <w:tcPr>
            <w:tcW w:w="3269" w:type="dxa"/>
            <w:tcBorders>
              <w:top w:val="nil" w:sz="6" w:space="0" w:color="auto"/>
              <w:left w:val="nil" w:sz="6" w:space="0" w:color="auto"/>
              <w:bottom w:val="nil" w:sz="6" w:space="0" w:color="auto"/>
              <w:right w:val="nil" w:sz="6" w:space="0" w:color="auto"/>
            </w:tcBorders>
          </w:tcPr>
          <w:p>
            <w:pPr>
              <w:pStyle w:val="TableParagraph"/>
              <w:spacing w:line="229" w:lineRule="exact"/>
              <w:ind w:left="411" w:right="0"/>
              <w:jc w:val="left"/>
              <w:rPr>
                <w:rFonts w:ascii="黑体" w:hAnsi="黑体" w:cs="黑体" w:eastAsia="黑体" w:hint="default"/>
                <w:sz w:val="20"/>
                <w:szCs w:val="20"/>
              </w:rPr>
            </w:pPr>
            <w:r>
              <w:rPr>
                <w:rFonts w:ascii="黑体" w:hAnsi="黑体" w:cs="黑体" w:eastAsia="黑体" w:hint="default"/>
                <w:sz w:val="20"/>
                <w:szCs w:val="20"/>
              </w:rPr>
              <w:t>资本承诺</w:t>
            </w:r>
          </w:p>
        </w:tc>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90"/>
              <w:jc w:val="right"/>
              <w:rPr>
                <w:rFonts w:ascii="Arial" w:hAnsi="Arial" w:cs="Arial" w:eastAsia="Arial" w:hint="default"/>
                <w:sz w:val="20"/>
                <w:szCs w:val="20"/>
              </w:rPr>
            </w:pPr>
            <w:r>
              <w:rPr>
                <w:rFonts w:ascii="Arial"/>
                <w:w w:val="99"/>
                <w:sz w:val="20"/>
              </w:rPr>
            </w:r>
            <w:r>
              <w:rPr>
                <w:rFonts w:ascii="Arial"/>
                <w:spacing w:val="-1"/>
                <w:sz w:val="20"/>
                <w:u w:val="single" w:color="000000"/>
              </w:rPr>
              <w:t>169,997,369</w:t>
            </w:r>
            <w:r>
              <w:rPr>
                <w:rFonts w:ascii="Arial"/>
                <w:spacing w:val="-1"/>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8"/>
              <w:jc w:val="right"/>
              <w:rPr>
                <w:rFonts w:ascii="Arial" w:hAnsi="Arial" w:cs="Arial" w:eastAsia="Arial" w:hint="default"/>
                <w:sz w:val="20"/>
                <w:szCs w:val="20"/>
              </w:rPr>
            </w:pPr>
            <w:r>
              <w:rPr>
                <w:rFonts w:ascii="Arial"/>
                <w:w w:val="99"/>
                <w:sz w:val="20"/>
              </w:rPr>
            </w:r>
            <w:r>
              <w:rPr>
                <w:rFonts w:ascii="Arial"/>
                <w:spacing w:val="-1"/>
                <w:sz w:val="20"/>
                <w:u w:val="single" w:color="000000"/>
              </w:rPr>
              <w:t>258,027,596</w:t>
            </w:r>
            <w:r>
              <w:rPr>
                <w:rFonts w:ascii="Arial"/>
                <w:spacing w:val="-1"/>
                <w:sz w:val="20"/>
              </w:rPr>
            </w:r>
          </w:p>
        </w:tc>
      </w:tr>
      <w:tr>
        <w:trPr>
          <w:trHeight w:val="329" w:hRule="exact"/>
        </w:trPr>
        <w:tc>
          <w:tcPr>
            <w:tcW w:w="3269" w:type="dxa"/>
            <w:tcBorders>
              <w:top w:val="nil" w:sz="6" w:space="0" w:color="auto"/>
              <w:left w:val="nil" w:sz="6" w:space="0" w:color="auto"/>
              <w:bottom w:val="nil" w:sz="6" w:space="0" w:color="auto"/>
              <w:right w:val="nil" w:sz="6" w:space="0" w:color="auto"/>
            </w:tcBorders>
          </w:tcPr>
          <w:p>
            <w:pPr/>
          </w:p>
        </w:tc>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490"/>
              <w:jc w:val="right"/>
              <w:rPr>
                <w:rFonts w:ascii="Arial" w:hAnsi="Arial" w:cs="Arial" w:eastAsia="Arial" w:hint="default"/>
                <w:sz w:val="20"/>
                <w:szCs w:val="20"/>
              </w:rPr>
            </w:pPr>
            <w:r>
              <w:rPr>
                <w:rFonts w:ascii="Arial"/>
                <w:w w:val="99"/>
                <w:sz w:val="20"/>
              </w:rPr>
            </w:r>
            <w:r>
              <w:rPr>
                <w:rFonts w:ascii="Arial"/>
                <w:spacing w:val="-1"/>
                <w:sz w:val="20"/>
                <w:u w:val="thick" w:color="000000"/>
              </w:rPr>
              <w:t>169,997,369</w:t>
            </w:r>
            <w:r>
              <w:rPr>
                <w:rFonts w:ascii="Arial"/>
                <w:spacing w:val="-1"/>
                <w:sz w:val="20"/>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98"/>
              <w:jc w:val="right"/>
              <w:rPr>
                <w:rFonts w:ascii="Arial" w:hAnsi="Arial" w:cs="Arial" w:eastAsia="Arial" w:hint="default"/>
                <w:sz w:val="20"/>
                <w:szCs w:val="20"/>
              </w:rPr>
            </w:pPr>
            <w:r>
              <w:rPr>
                <w:rFonts w:ascii="Arial"/>
                <w:w w:val="99"/>
                <w:sz w:val="20"/>
              </w:rPr>
            </w:r>
            <w:r>
              <w:rPr>
                <w:rFonts w:ascii="Arial"/>
                <w:spacing w:val="-1"/>
                <w:sz w:val="20"/>
                <w:u w:val="thick" w:color="000000"/>
              </w:rPr>
              <w:t>258,027,596</w:t>
            </w:r>
            <w:r>
              <w:rPr>
                <w:rFonts w:ascii="Arial"/>
                <w:spacing w:val="-1"/>
                <w:sz w:val="20"/>
              </w:rPr>
            </w:r>
          </w:p>
        </w:tc>
      </w:tr>
    </w:tbl>
    <w:p>
      <w:pPr>
        <w:spacing w:line="240" w:lineRule="auto" w:before="12"/>
        <w:rPr>
          <w:rFonts w:ascii="宋体" w:hAnsi="宋体" w:cs="宋体" w:eastAsia="宋体" w:hint="default"/>
          <w:sz w:val="12"/>
          <w:szCs w:val="12"/>
        </w:rPr>
      </w:pPr>
    </w:p>
    <w:p>
      <w:pPr>
        <w:spacing w:line="260" w:lineRule="exact" w:before="63"/>
        <w:ind w:left="346" w:right="219" w:firstLine="0"/>
        <w:jc w:val="left"/>
        <w:rPr>
          <w:rFonts w:ascii="黑体" w:hAnsi="黑体" w:cs="黑体" w:eastAsia="黑体" w:hint="default"/>
          <w:sz w:val="20"/>
          <w:szCs w:val="20"/>
        </w:rPr>
      </w:pPr>
      <w:r>
        <w:rPr>
          <w:rFonts w:ascii="黑体" w:hAnsi="黑体" w:cs="黑体" w:eastAsia="黑体" w:hint="default"/>
          <w:sz w:val="20"/>
          <w:szCs w:val="20"/>
        </w:rPr>
        <w:t>注</w:t>
      </w:r>
      <w:r>
        <w:rPr>
          <w:rFonts w:ascii="Arial" w:hAnsi="Arial" w:cs="Arial" w:eastAsia="Arial" w:hint="default"/>
          <w:sz w:val="20"/>
          <w:szCs w:val="20"/>
        </w:rPr>
        <w:t>1.</w:t>
      </w:r>
      <w:r>
        <w:rPr>
          <w:rFonts w:ascii="Arial" w:hAnsi="Arial" w:cs="Arial" w:eastAsia="Arial" w:hint="default"/>
          <w:spacing w:val="24"/>
          <w:sz w:val="20"/>
          <w:szCs w:val="20"/>
        </w:rPr>
        <w:t> </w:t>
      </w:r>
      <w:r>
        <w:rPr>
          <w:rFonts w:ascii="黑体" w:hAnsi="黑体" w:cs="黑体" w:eastAsia="黑体" w:hint="default"/>
          <w:sz w:val="20"/>
          <w:szCs w:val="20"/>
        </w:rPr>
        <w:t>本集团与中国建筑土木建设有限公司</w:t>
      </w:r>
      <w:r>
        <w:rPr>
          <w:rFonts w:ascii="Arial" w:hAnsi="Arial" w:cs="Arial" w:eastAsia="Arial" w:hint="default"/>
          <w:sz w:val="20"/>
          <w:szCs w:val="20"/>
        </w:rPr>
        <w:t>,</w:t>
      </w:r>
      <w:r>
        <w:rPr>
          <w:rFonts w:ascii="黑体" w:hAnsi="黑体" w:cs="黑体" w:eastAsia="黑体" w:hint="default"/>
          <w:sz w:val="20"/>
          <w:szCs w:val="20"/>
        </w:rPr>
        <w:t>中建三局集团有限公司、北京诚信四海市政建设发展</w:t>
      </w:r>
      <w:r>
        <w:rPr>
          <w:rFonts w:ascii="黑体" w:hAnsi="黑体" w:cs="黑体" w:eastAsia="黑体" w:hint="default"/>
          <w:w w:val="99"/>
          <w:sz w:val="20"/>
          <w:szCs w:val="20"/>
        </w:rPr>
        <w:t> </w:t>
      </w:r>
      <w:r>
        <w:rPr>
          <w:rFonts w:ascii="黑体" w:hAnsi="黑体" w:cs="黑体" w:eastAsia="黑体" w:hint="default"/>
          <w:spacing w:val="-2"/>
          <w:sz w:val="20"/>
          <w:szCs w:val="20"/>
        </w:rPr>
        <w:t>有限公司等签订的与用友产业园一期二期工程施工、工程设计相关合同，共计</w:t>
      </w:r>
      <w:r>
        <w:rPr>
          <w:rFonts w:ascii="Arial" w:hAnsi="Arial" w:cs="Arial" w:eastAsia="Arial" w:hint="default"/>
          <w:spacing w:val="-2"/>
          <w:sz w:val="20"/>
          <w:szCs w:val="20"/>
        </w:rPr>
        <w:t>1,907,570,881</w:t>
      </w:r>
      <w:r>
        <w:rPr>
          <w:rFonts w:ascii="黑体" w:hAnsi="黑体" w:cs="黑体" w:eastAsia="黑体" w:hint="default"/>
          <w:spacing w:val="-2"/>
          <w:sz w:val="20"/>
          <w:szCs w:val="20"/>
        </w:rPr>
        <w:t>元，</w:t>
      </w:r>
      <w:r>
        <w:rPr>
          <w:rFonts w:ascii="黑体" w:hAnsi="黑体" w:cs="黑体" w:eastAsia="黑体" w:hint="default"/>
          <w:spacing w:val="2"/>
          <w:w w:val="99"/>
          <w:sz w:val="20"/>
          <w:szCs w:val="20"/>
        </w:rPr>
        <w:t> </w:t>
      </w:r>
      <w:r>
        <w:rPr>
          <w:rFonts w:ascii="黑体" w:hAnsi="黑体" w:cs="黑体" w:eastAsia="黑体" w:hint="default"/>
          <w:sz w:val="20"/>
          <w:szCs w:val="20"/>
        </w:rPr>
        <w:t>已支付</w:t>
      </w:r>
      <w:r>
        <w:rPr>
          <w:rFonts w:ascii="Arial" w:hAnsi="Arial" w:cs="Arial" w:eastAsia="Arial" w:hint="default"/>
          <w:sz w:val="20"/>
          <w:szCs w:val="20"/>
        </w:rPr>
        <w:t>1,877,263,502</w:t>
      </w:r>
      <w:r>
        <w:rPr>
          <w:rFonts w:ascii="黑体" w:hAnsi="黑体" w:cs="黑体" w:eastAsia="黑体" w:hint="default"/>
          <w:sz w:val="20"/>
          <w:szCs w:val="20"/>
        </w:rPr>
        <w:t>元，资本承诺共计</w:t>
      </w:r>
      <w:r>
        <w:rPr>
          <w:rFonts w:ascii="Arial" w:hAnsi="Arial" w:cs="Arial" w:eastAsia="Arial" w:hint="default"/>
          <w:sz w:val="20"/>
          <w:szCs w:val="20"/>
        </w:rPr>
        <w:t>30,307,379</w:t>
      </w:r>
      <w:r>
        <w:rPr>
          <w:rFonts w:ascii="黑体" w:hAnsi="黑体" w:cs="黑体" w:eastAsia="黑体" w:hint="default"/>
          <w:sz w:val="20"/>
          <w:szCs w:val="20"/>
        </w:rPr>
        <w:t>元。</w:t>
      </w:r>
    </w:p>
    <w:p>
      <w:pPr>
        <w:spacing w:line="240" w:lineRule="auto" w:before="2"/>
        <w:rPr>
          <w:rFonts w:ascii="黑体" w:hAnsi="黑体" w:cs="黑体" w:eastAsia="黑体" w:hint="default"/>
          <w:sz w:val="16"/>
          <w:szCs w:val="16"/>
        </w:rPr>
      </w:pPr>
    </w:p>
    <w:p>
      <w:pPr>
        <w:spacing w:line="232" w:lineRule="auto" w:before="0"/>
        <w:ind w:left="346" w:right="332" w:firstLine="0"/>
        <w:jc w:val="both"/>
        <w:rPr>
          <w:rFonts w:ascii="黑体" w:hAnsi="黑体" w:cs="黑体" w:eastAsia="黑体" w:hint="default"/>
          <w:sz w:val="20"/>
          <w:szCs w:val="20"/>
        </w:rPr>
      </w:pPr>
      <w:r>
        <w:rPr>
          <w:rFonts w:ascii="黑体" w:hAnsi="黑体" w:cs="黑体" w:eastAsia="黑体" w:hint="default"/>
          <w:spacing w:val="2"/>
          <w:sz w:val="20"/>
          <w:szCs w:val="20"/>
        </w:rPr>
        <w:t>本集团与中铁建设集团有限公司、洪城市环境建设集团有限公司、北京华清元泰新能源技术开</w:t>
      </w:r>
      <w:r>
        <w:rPr>
          <w:rFonts w:ascii="黑体" w:hAnsi="黑体" w:cs="黑体" w:eastAsia="黑体" w:hint="default"/>
          <w:w w:val="99"/>
          <w:sz w:val="20"/>
          <w:szCs w:val="20"/>
        </w:rPr>
        <w:t> </w:t>
      </w:r>
      <w:r>
        <w:rPr>
          <w:rFonts w:ascii="黑体" w:hAnsi="黑体" w:cs="黑体" w:eastAsia="黑体" w:hint="default"/>
          <w:spacing w:val="-1"/>
          <w:w w:val="95"/>
          <w:sz w:val="20"/>
          <w:szCs w:val="20"/>
        </w:rPr>
        <w:t>发有限公司和洪城市环境建设集团有限公司等签订的与用友</w:t>
      </w:r>
      <w:r>
        <w:rPr>
          <w:rFonts w:ascii="Arial" w:hAnsi="Arial" w:cs="Arial" w:eastAsia="Arial" w:hint="default"/>
          <w:spacing w:val="-1"/>
          <w:w w:val="95"/>
          <w:sz w:val="20"/>
          <w:szCs w:val="20"/>
        </w:rPr>
        <w:t>(</w:t>
      </w:r>
      <w:r>
        <w:rPr>
          <w:rFonts w:ascii="黑体" w:hAnsi="黑体" w:cs="黑体" w:eastAsia="黑体" w:hint="default"/>
          <w:spacing w:val="-1"/>
          <w:w w:val="95"/>
          <w:sz w:val="20"/>
          <w:szCs w:val="20"/>
        </w:rPr>
        <w:t>南昌</w:t>
      </w:r>
      <w:r>
        <w:rPr>
          <w:rFonts w:ascii="Arial" w:hAnsi="Arial" w:cs="Arial" w:eastAsia="Arial" w:hint="default"/>
          <w:spacing w:val="-1"/>
          <w:w w:val="95"/>
          <w:sz w:val="20"/>
          <w:szCs w:val="20"/>
        </w:rPr>
        <w:t>)</w:t>
      </w:r>
      <w:r>
        <w:rPr>
          <w:rFonts w:ascii="黑体" w:hAnsi="黑体" w:cs="黑体" w:eastAsia="黑体" w:hint="default"/>
          <w:spacing w:val="-1"/>
          <w:w w:val="95"/>
          <w:sz w:val="20"/>
          <w:szCs w:val="20"/>
        </w:rPr>
        <w:t>产业园工程施工、工程设计相</w:t>
      </w:r>
      <w:r>
        <w:rPr>
          <w:rFonts w:ascii="黑体" w:hAnsi="黑体" w:cs="黑体" w:eastAsia="黑体" w:hint="default"/>
          <w:spacing w:val="26"/>
          <w:w w:val="95"/>
          <w:sz w:val="20"/>
          <w:szCs w:val="20"/>
        </w:rPr>
        <w:t> </w:t>
      </w:r>
      <w:r>
        <w:rPr>
          <w:rFonts w:ascii="黑体" w:hAnsi="黑体" w:cs="黑体" w:eastAsia="黑体" w:hint="default"/>
          <w:spacing w:val="26"/>
          <w:w w:val="95"/>
          <w:sz w:val="20"/>
          <w:szCs w:val="20"/>
        </w:rPr>
      </w:r>
      <w:r>
        <w:rPr>
          <w:rFonts w:ascii="黑体" w:hAnsi="黑体" w:cs="黑体" w:eastAsia="黑体" w:hint="default"/>
          <w:sz w:val="20"/>
          <w:szCs w:val="20"/>
        </w:rPr>
        <w:t>关合同，共计</w:t>
      </w:r>
      <w:r>
        <w:rPr>
          <w:rFonts w:ascii="Arial" w:hAnsi="Arial" w:cs="Arial" w:eastAsia="Arial" w:hint="default"/>
          <w:sz w:val="20"/>
          <w:szCs w:val="20"/>
        </w:rPr>
        <w:t>702,807,263</w:t>
      </w:r>
      <w:r>
        <w:rPr>
          <w:rFonts w:ascii="黑体" w:hAnsi="黑体" w:cs="黑体" w:eastAsia="黑体" w:hint="default"/>
          <w:sz w:val="20"/>
          <w:szCs w:val="20"/>
        </w:rPr>
        <w:t>元，已支付</w:t>
      </w:r>
      <w:r>
        <w:rPr>
          <w:rFonts w:ascii="Arial" w:hAnsi="Arial" w:cs="Arial" w:eastAsia="Arial" w:hint="default"/>
          <w:sz w:val="20"/>
          <w:szCs w:val="20"/>
        </w:rPr>
        <w:t>606,829,129</w:t>
      </w:r>
      <w:r>
        <w:rPr>
          <w:rFonts w:ascii="黑体" w:hAnsi="黑体" w:cs="黑体" w:eastAsia="黑体" w:hint="default"/>
          <w:sz w:val="20"/>
          <w:szCs w:val="20"/>
        </w:rPr>
        <w:t>元，资本承诺共计</w:t>
      </w:r>
      <w:r>
        <w:rPr>
          <w:rFonts w:ascii="Arial" w:hAnsi="Arial" w:cs="Arial" w:eastAsia="Arial" w:hint="default"/>
          <w:sz w:val="20"/>
          <w:szCs w:val="20"/>
        </w:rPr>
        <w:t>95,978,134</w:t>
      </w:r>
      <w:r>
        <w:rPr>
          <w:rFonts w:ascii="黑体" w:hAnsi="黑体" w:cs="黑体" w:eastAsia="黑体" w:hint="default"/>
          <w:sz w:val="20"/>
          <w:szCs w:val="20"/>
        </w:rPr>
        <w:t>元。</w:t>
      </w:r>
    </w:p>
    <w:p>
      <w:pPr>
        <w:spacing w:line="240" w:lineRule="auto" w:before="5"/>
        <w:rPr>
          <w:rFonts w:ascii="黑体" w:hAnsi="黑体" w:cs="黑体" w:eastAsia="黑体" w:hint="default"/>
          <w:sz w:val="18"/>
          <w:szCs w:val="18"/>
        </w:rPr>
      </w:pPr>
    </w:p>
    <w:p>
      <w:pPr>
        <w:spacing w:line="260" w:lineRule="exact" w:before="0"/>
        <w:ind w:left="346" w:right="332" w:firstLine="0"/>
        <w:jc w:val="both"/>
        <w:rPr>
          <w:rFonts w:ascii="黑体" w:hAnsi="黑体" w:cs="黑体" w:eastAsia="黑体" w:hint="default"/>
          <w:sz w:val="20"/>
          <w:szCs w:val="20"/>
        </w:rPr>
      </w:pPr>
      <w:r>
        <w:rPr>
          <w:rFonts w:ascii="黑体" w:hAnsi="黑体" w:cs="黑体" w:eastAsia="黑体" w:hint="default"/>
          <w:spacing w:val="2"/>
          <w:sz w:val="20"/>
          <w:szCs w:val="20"/>
        </w:rPr>
        <w:t>本集团与武汉岸房建筑工程有限公司、三来亿博房地产顾问有限公司、上海朴利建筑规划设计</w:t>
      </w:r>
      <w:r>
        <w:rPr>
          <w:rFonts w:ascii="黑体" w:hAnsi="黑体" w:cs="黑体" w:eastAsia="黑体" w:hint="default"/>
          <w:w w:val="99"/>
          <w:sz w:val="20"/>
          <w:szCs w:val="20"/>
        </w:rPr>
        <w:t> </w:t>
      </w:r>
      <w:r>
        <w:rPr>
          <w:rFonts w:ascii="黑体" w:hAnsi="黑体" w:cs="黑体" w:eastAsia="黑体" w:hint="default"/>
          <w:spacing w:val="16"/>
          <w:sz w:val="20"/>
          <w:szCs w:val="20"/>
        </w:rPr>
        <w:t>有限公司等签订的与三亚用友产业园工程设计等相关合同，</w:t>
      </w:r>
      <w:r>
        <w:rPr>
          <w:rFonts w:ascii="黑体" w:hAnsi="黑体" w:cs="黑体" w:eastAsia="黑体" w:hint="default"/>
          <w:spacing w:val="-85"/>
          <w:sz w:val="20"/>
          <w:szCs w:val="20"/>
        </w:rPr>
        <w:t> </w:t>
      </w:r>
      <w:r>
        <w:rPr>
          <w:rFonts w:ascii="黑体" w:hAnsi="黑体" w:cs="黑体" w:eastAsia="黑体" w:hint="default"/>
          <w:spacing w:val="8"/>
          <w:sz w:val="20"/>
          <w:szCs w:val="20"/>
        </w:rPr>
        <w:t>共计</w:t>
      </w:r>
      <w:r>
        <w:rPr>
          <w:rFonts w:ascii="黑体" w:hAnsi="黑体" w:cs="黑体" w:eastAsia="黑体" w:hint="default"/>
          <w:spacing w:val="-78"/>
          <w:sz w:val="20"/>
          <w:szCs w:val="20"/>
        </w:rPr>
        <w:t> </w:t>
      </w:r>
      <w:r>
        <w:rPr>
          <w:rFonts w:ascii="Arial" w:hAnsi="Arial" w:cs="Arial" w:eastAsia="Arial" w:hint="default"/>
          <w:sz w:val="20"/>
          <w:szCs w:val="20"/>
        </w:rPr>
        <w:t>232,326,629</w:t>
      </w:r>
      <w:r>
        <w:rPr>
          <w:rFonts w:ascii="Arial" w:hAnsi="Arial" w:cs="Arial" w:eastAsia="Arial" w:hint="default"/>
          <w:spacing w:val="-40"/>
          <w:sz w:val="20"/>
          <w:szCs w:val="20"/>
        </w:rPr>
        <w:t> </w:t>
      </w:r>
      <w:r>
        <w:rPr>
          <w:rFonts w:ascii="黑体" w:hAnsi="黑体" w:cs="黑体" w:eastAsia="黑体" w:hint="default"/>
          <w:spacing w:val="9"/>
          <w:sz w:val="20"/>
          <w:szCs w:val="20"/>
        </w:rPr>
        <w:t>元，</w:t>
      </w:r>
      <w:r>
        <w:rPr>
          <w:rFonts w:ascii="黑体" w:hAnsi="黑体" w:cs="黑体" w:eastAsia="黑体" w:hint="default"/>
          <w:spacing w:val="-85"/>
          <w:sz w:val="20"/>
          <w:szCs w:val="20"/>
        </w:rPr>
        <w:t> </w:t>
      </w:r>
      <w:r>
        <w:rPr>
          <w:rFonts w:ascii="黑体" w:hAnsi="黑体" w:cs="黑体" w:eastAsia="黑体" w:hint="default"/>
          <w:spacing w:val="11"/>
          <w:sz w:val="20"/>
          <w:szCs w:val="20"/>
        </w:rPr>
        <w:t>已支付</w:t>
      </w:r>
      <w:r>
        <w:rPr>
          <w:rFonts w:ascii="黑体" w:hAnsi="黑体" w:cs="黑体" w:eastAsia="黑体" w:hint="default"/>
          <w:w w:val="99"/>
          <w:sz w:val="20"/>
          <w:szCs w:val="20"/>
        </w:rPr>
        <w:t> </w:t>
      </w:r>
      <w:r>
        <w:rPr>
          <w:rFonts w:ascii="Arial" w:hAnsi="Arial" w:cs="Arial" w:eastAsia="Arial" w:hint="default"/>
          <w:sz w:val="20"/>
          <w:szCs w:val="20"/>
        </w:rPr>
        <w:t>188,614,773</w:t>
      </w:r>
      <w:r>
        <w:rPr>
          <w:rFonts w:ascii="黑体" w:hAnsi="黑体" w:cs="黑体" w:eastAsia="黑体" w:hint="default"/>
          <w:sz w:val="20"/>
          <w:szCs w:val="20"/>
        </w:rPr>
        <w:t>元，资本承诺共计</w:t>
      </w:r>
      <w:r>
        <w:rPr>
          <w:rFonts w:ascii="Arial" w:hAnsi="Arial" w:cs="Arial" w:eastAsia="Arial" w:hint="default"/>
          <w:sz w:val="20"/>
          <w:szCs w:val="20"/>
        </w:rPr>
        <w:t>43,711,856</w:t>
      </w:r>
      <w:r>
        <w:rPr>
          <w:rFonts w:ascii="黑体" w:hAnsi="黑体" w:cs="黑体" w:eastAsia="黑体" w:hint="default"/>
          <w:sz w:val="20"/>
          <w:szCs w:val="20"/>
        </w:rPr>
        <w:t>元</w:t>
      </w:r>
    </w:p>
    <w:p>
      <w:pPr>
        <w:spacing w:after="0" w:line="260" w:lineRule="exact"/>
        <w:jc w:val="both"/>
        <w:rPr>
          <w:rFonts w:ascii="黑体" w:hAnsi="黑体" w:cs="黑体" w:eastAsia="黑体" w:hint="default"/>
          <w:sz w:val="20"/>
          <w:szCs w:val="20"/>
        </w:rPr>
        <w:sectPr>
          <w:headerReference w:type="default" r:id="rId96"/>
          <w:pgSz w:w="11910" w:h="16850"/>
          <w:pgMar w:header="745" w:footer="921" w:top="1080" w:bottom="1120" w:left="1480" w:right="1460"/>
        </w:sectPr>
      </w:pPr>
    </w:p>
    <w:p>
      <w:pPr>
        <w:spacing w:line="240" w:lineRule="auto" w:before="3"/>
        <w:rPr>
          <w:rFonts w:ascii="黑体" w:hAnsi="黑体" w:cs="黑体" w:eastAsia="黑体" w:hint="default"/>
          <w:sz w:val="2"/>
          <w:szCs w:val="2"/>
        </w:rPr>
      </w:pPr>
    </w:p>
    <w:p>
      <w:pPr>
        <w:spacing w:line="20" w:lineRule="exact"/>
        <w:ind w:left="180" w:right="0" w:firstLine="0"/>
        <w:rPr>
          <w:rFonts w:ascii="黑体" w:hAnsi="黑体" w:cs="黑体" w:eastAsia="黑体" w:hint="default"/>
          <w:sz w:val="2"/>
          <w:szCs w:val="2"/>
        </w:rPr>
      </w:pPr>
      <w:r>
        <w:rPr>
          <w:rFonts w:ascii="黑体" w:hAnsi="黑体" w:cs="黑体" w:eastAsia="黑体" w:hint="default"/>
          <w:sz w:val="2"/>
          <w:szCs w:val="2"/>
        </w:rPr>
        <w:pict>
          <v:group style="width:444.1pt;height:.75pt;mso-position-horizontal-relative:char;mso-position-vertical-relative:line" coordorigin="0,0" coordsize="8882,15">
            <v:group style="position:absolute;left:7;top:7;width:8868;height:2" coordorigin="7,7" coordsize="8868,2">
              <v:shape style="position:absolute;left:7;top:7;width:8868;height:2" coordorigin="7,7" coordsize="8868,0" path="m7,7l8875,7e" filled="false" stroked="true" strokeweight=".72pt" strokecolor="#000000">
                <v:path arrowok="t"/>
              </v:shape>
            </v:group>
          </v:group>
        </w:pict>
      </w:r>
      <w:r>
        <w:rPr>
          <w:rFonts w:ascii="黑体" w:hAnsi="黑体" w:cs="黑体" w:eastAsia="黑体" w:hint="default"/>
          <w:sz w:val="2"/>
          <w:szCs w:val="2"/>
        </w:rPr>
      </w: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2"/>
          <w:szCs w:val="22"/>
        </w:rPr>
      </w:pPr>
    </w:p>
    <w:tbl>
      <w:tblPr>
        <w:tblW w:w="0" w:type="auto"/>
        <w:jc w:val="left"/>
        <w:tblInd w:w="310" w:type="dxa"/>
        <w:tblLayout w:type="fixed"/>
        <w:tblCellMar>
          <w:top w:w="0" w:type="dxa"/>
          <w:left w:w="0" w:type="dxa"/>
          <w:bottom w:w="0" w:type="dxa"/>
          <w:right w:w="0" w:type="dxa"/>
        </w:tblCellMar>
        <w:tblLook w:val="01E0"/>
      </w:tblPr>
      <w:tblGrid>
        <w:gridCol w:w="3762"/>
        <w:gridCol w:w="3190"/>
        <w:gridCol w:w="2072"/>
      </w:tblGrid>
      <w:tr>
        <w:trPr>
          <w:trHeight w:val="364" w:hRule="exact"/>
        </w:trPr>
        <w:tc>
          <w:tcPr>
            <w:tcW w:w="3762" w:type="dxa"/>
            <w:tcBorders>
              <w:top w:val="nil" w:sz="6" w:space="0" w:color="auto"/>
              <w:left w:val="nil" w:sz="6" w:space="0" w:color="auto"/>
              <w:bottom w:val="nil" w:sz="6" w:space="0" w:color="auto"/>
              <w:right w:val="nil" w:sz="6" w:space="0" w:color="auto"/>
            </w:tcBorders>
          </w:tcPr>
          <w:p>
            <w:pPr/>
          </w:p>
        </w:tc>
        <w:tc>
          <w:tcPr>
            <w:tcW w:w="3190" w:type="dxa"/>
            <w:tcBorders>
              <w:top w:val="nil" w:sz="6" w:space="0" w:color="auto"/>
              <w:left w:val="nil" w:sz="6" w:space="0" w:color="auto"/>
              <w:bottom w:val="nil" w:sz="6" w:space="0" w:color="auto"/>
              <w:right w:val="nil" w:sz="6" w:space="0" w:color="auto"/>
            </w:tcBorders>
          </w:tcPr>
          <w:p>
            <w:pPr>
              <w:pStyle w:val="TableParagraph"/>
              <w:spacing w:line="214" w:lineRule="exact"/>
              <w:ind w:right="763"/>
              <w:jc w:val="right"/>
              <w:rPr>
                <w:rFonts w:ascii="黑体" w:hAnsi="黑体" w:cs="黑体" w:eastAsia="黑体" w:hint="default"/>
                <w:sz w:val="20"/>
                <w:szCs w:val="20"/>
              </w:rPr>
            </w:pPr>
            <w:r>
              <w:rPr>
                <w:rFonts w:ascii="Arial" w:hAnsi="Arial" w:cs="Arial" w:eastAsia="Arial" w:hint="default"/>
                <w:spacing w:val="-1"/>
                <w:w w:val="95"/>
                <w:sz w:val="20"/>
                <w:szCs w:val="20"/>
              </w:rPr>
              <w:t>2019</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14" w:lineRule="exact"/>
              <w:ind w:right="199"/>
              <w:jc w:val="right"/>
              <w:rPr>
                <w:rFonts w:ascii="黑体" w:hAnsi="黑体" w:cs="黑体" w:eastAsia="黑体" w:hint="default"/>
                <w:sz w:val="20"/>
                <w:szCs w:val="20"/>
              </w:rPr>
            </w:pPr>
            <w:r>
              <w:rPr>
                <w:rFonts w:ascii="Arial" w:hAnsi="Arial" w:cs="Arial" w:eastAsia="Arial" w:hint="default"/>
                <w:spacing w:val="-1"/>
                <w:w w:val="95"/>
                <w:sz w:val="20"/>
                <w:szCs w:val="20"/>
              </w:rPr>
              <w:t>2018</w:t>
            </w:r>
            <w:r>
              <w:rPr>
                <w:rFonts w:ascii="黑体" w:hAnsi="黑体" w:cs="黑体" w:eastAsia="黑体" w:hint="default"/>
                <w:spacing w:val="-1"/>
                <w:w w:val="95"/>
                <w:sz w:val="20"/>
                <w:szCs w:val="20"/>
              </w:rPr>
              <w:t>年</w:t>
            </w:r>
            <w:r>
              <w:rPr>
                <w:rFonts w:ascii="黑体" w:hAnsi="黑体" w:cs="黑体" w:eastAsia="黑体" w:hint="default"/>
                <w:spacing w:val="-1"/>
                <w:sz w:val="20"/>
                <w:szCs w:val="20"/>
              </w:rPr>
            </w:r>
          </w:p>
        </w:tc>
      </w:tr>
      <w:tr>
        <w:trPr>
          <w:trHeight w:val="515" w:hRule="exact"/>
        </w:trPr>
        <w:tc>
          <w:tcPr>
            <w:tcW w:w="3762"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07" w:right="0"/>
              <w:jc w:val="left"/>
              <w:rPr>
                <w:rFonts w:ascii="黑体" w:hAnsi="黑体" w:cs="黑体" w:eastAsia="黑体" w:hint="default"/>
                <w:sz w:val="20"/>
                <w:szCs w:val="20"/>
              </w:rPr>
            </w:pPr>
            <w:r>
              <w:rPr>
                <w:rFonts w:ascii="黑体" w:hAnsi="黑体" w:cs="黑体" w:eastAsia="黑体" w:hint="default"/>
                <w:sz w:val="20"/>
                <w:szCs w:val="20"/>
              </w:rPr>
              <w:t>投资承诺</w:t>
            </w:r>
          </w:p>
        </w:tc>
        <w:tc>
          <w:tcPr>
            <w:tcW w:w="3190" w:type="dxa"/>
            <w:tcBorders>
              <w:top w:val="nil" w:sz="6" w:space="0" w:color="auto"/>
              <w:left w:val="nil" w:sz="6" w:space="0" w:color="auto"/>
              <w:bottom w:val="nil" w:sz="6" w:space="0" w:color="auto"/>
              <w:right w:val="nil" w:sz="6" w:space="0" w:color="auto"/>
            </w:tcBorders>
          </w:tcPr>
          <w:p>
            <w:pPr/>
          </w:p>
        </w:tc>
        <w:tc>
          <w:tcPr>
            <w:tcW w:w="2072" w:type="dxa"/>
            <w:tcBorders>
              <w:top w:val="nil" w:sz="6" w:space="0" w:color="auto"/>
              <w:left w:val="nil" w:sz="6" w:space="0" w:color="auto"/>
              <w:bottom w:val="nil" w:sz="6" w:space="0" w:color="auto"/>
              <w:right w:val="nil" w:sz="6" w:space="0" w:color="auto"/>
            </w:tcBorders>
          </w:tcPr>
          <w:p>
            <w:pPr/>
          </w:p>
        </w:tc>
      </w:tr>
      <w:tr>
        <w:trPr>
          <w:trHeight w:val="395" w:hRule="exact"/>
        </w:trPr>
        <w:tc>
          <w:tcPr>
            <w:tcW w:w="3762" w:type="dxa"/>
            <w:tcBorders>
              <w:top w:val="nil" w:sz="6" w:space="0" w:color="auto"/>
              <w:left w:val="nil" w:sz="6" w:space="0" w:color="auto"/>
              <w:bottom w:val="nil" w:sz="6" w:space="0" w:color="auto"/>
              <w:right w:val="nil" w:sz="6" w:space="0" w:color="auto"/>
            </w:tcBorders>
          </w:tcPr>
          <w:p>
            <w:pPr>
              <w:pStyle w:val="TableParagraph"/>
              <w:spacing w:line="240" w:lineRule="auto" w:before="98"/>
              <w:ind w:left="200" w:right="0"/>
              <w:jc w:val="left"/>
              <w:rPr>
                <w:rFonts w:ascii="Arial" w:hAnsi="Arial" w:cs="Arial" w:eastAsia="Arial" w:hint="default"/>
                <w:sz w:val="20"/>
                <w:szCs w:val="20"/>
              </w:rPr>
            </w:pPr>
            <w:r>
              <w:rPr>
                <w:rFonts w:ascii="黑体" w:hAnsi="黑体" w:cs="黑体" w:eastAsia="黑体" w:hint="default"/>
                <w:sz w:val="20"/>
                <w:szCs w:val="20"/>
              </w:rPr>
              <w:t>已签约但未履行</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1)</w:t>
            </w:r>
          </w:p>
        </w:tc>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761"/>
              <w:jc w:val="right"/>
              <w:rPr>
                <w:rFonts w:ascii="Arial" w:hAnsi="Arial" w:cs="Arial" w:eastAsia="Arial" w:hint="default"/>
                <w:sz w:val="20"/>
                <w:szCs w:val="20"/>
              </w:rPr>
            </w:pPr>
            <w:r>
              <w:rPr>
                <w:rFonts w:ascii="Arial"/>
                <w:spacing w:val="-1"/>
                <w:sz w:val="20"/>
              </w:rPr>
              <w:t>200,000,000</w:t>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98"/>
              <w:jc w:val="right"/>
              <w:rPr>
                <w:rFonts w:ascii="Arial" w:hAnsi="Arial" w:cs="Arial" w:eastAsia="Arial" w:hint="default"/>
                <w:sz w:val="20"/>
                <w:szCs w:val="20"/>
              </w:rPr>
            </w:pPr>
            <w:r>
              <w:rPr>
                <w:rFonts w:ascii="Arial"/>
                <w:spacing w:val="-1"/>
                <w:sz w:val="20"/>
              </w:rPr>
              <w:t>200,000,000</w:t>
            </w:r>
          </w:p>
        </w:tc>
      </w:tr>
      <w:tr>
        <w:trPr>
          <w:trHeight w:val="395" w:hRule="exact"/>
        </w:trPr>
        <w:tc>
          <w:tcPr>
            <w:tcW w:w="3762" w:type="dxa"/>
            <w:tcBorders>
              <w:top w:val="nil" w:sz="6" w:space="0" w:color="auto"/>
              <w:left w:val="nil" w:sz="6" w:space="0" w:color="auto"/>
              <w:bottom w:val="nil" w:sz="6" w:space="0" w:color="auto"/>
              <w:right w:val="nil" w:sz="6" w:space="0" w:color="auto"/>
            </w:tcBorders>
          </w:tcPr>
          <w:p>
            <w:pPr>
              <w:pStyle w:val="TableParagraph"/>
              <w:spacing w:line="239" w:lineRule="exact"/>
              <w:ind w:left="200" w:right="0"/>
              <w:jc w:val="left"/>
              <w:rPr>
                <w:rFonts w:ascii="Arial" w:hAnsi="Arial" w:cs="Arial" w:eastAsia="Arial" w:hint="default"/>
                <w:sz w:val="20"/>
                <w:szCs w:val="20"/>
              </w:rPr>
            </w:pPr>
            <w:r>
              <w:rPr>
                <w:rFonts w:ascii="黑体" w:hAnsi="黑体" w:cs="黑体" w:eastAsia="黑体" w:hint="default"/>
                <w:sz w:val="20"/>
                <w:szCs w:val="20"/>
              </w:rPr>
              <w:t>已签约但未完全履行</w:t>
            </w:r>
            <w:r>
              <w:rPr>
                <w:rFonts w:ascii="Arial" w:hAnsi="Arial" w:cs="Arial" w:eastAsia="Arial" w:hint="default"/>
                <w:sz w:val="20"/>
                <w:szCs w:val="20"/>
              </w:rPr>
              <w:t>(</w:t>
            </w:r>
            <w:r>
              <w:rPr>
                <w:rFonts w:ascii="黑体" w:hAnsi="黑体" w:cs="黑体" w:eastAsia="黑体" w:hint="default"/>
                <w:sz w:val="20"/>
                <w:szCs w:val="20"/>
              </w:rPr>
              <w:t>注</w:t>
            </w:r>
            <w:r>
              <w:rPr>
                <w:rFonts w:ascii="Arial" w:hAnsi="Arial" w:cs="Arial" w:eastAsia="Arial" w:hint="default"/>
                <w:sz w:val="20"/>
                <w:szCs w:val="20"/>
              </w:rPr>
              <w:t>2)</w:t>
            </w:r>
          </w:p>
        </w:tc>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61"/>
              <w:jc w:val="right"/>
              <w:rPr>
                <w:rFonts w:ascii="Arial" w:hAnsi="Arial" w:cs="Arial" w:eastAsia="Arial" w:hint="default"/>
                <w:sz w:val="20"/>
                <w:szCs w:val="20"/>
              </w:rPr>
            </w:pPr>
            <w:r>
              <w:rPr>
                <w:rFonts w:ascii="Arial"/>
                <w:w w:val="99"/>
                <w:sz w:val="20"/>
              </w:rPr>
            </w:r>
            <w:r>
              <w:rPr>
                <w:rFonts w:ascii="Arial"/>
                <w:spacing w:val="-1"/>
                <w:sz w:val="20"/>
                <w:u w:val="single" w:color="000000"/>
              </w:rPr>
              <w:t>157,000,000</w:t>
            </w:r>
            <w:r>
              <w:rPr>
                <w:rFonts w:ascii="Arial"/>
                <w:spacing w:val="-1"/>
                <w:sz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8"/>
              <w:jc w:val="right"/>
              <w:rPr>
                <w:rFonts w:ascii="Arial" w:hAnsi="Arial" w:cs="Arial" w:eastAsia="Arial" w:hint="default"/>
                <w:sz w:val="20"/>
                <w:szCs w:val="20"/>
              </w:rPr>
            </w:pPr>
            <w:r>
              <w:rPr>
                <w:rFonts w:ascii="Arial"/>
                <w:w w:val="99"/>
                <w:sz w:val="20"/>
              </w:rPr>
            </w:r>
            <w:r>
              <w:rPr>
                <w:rFonts w:ascii="Arial"/>
                <w:spacing w:val="-1"/>
                <w:sz w:val="20"/>
                <w:u w:val="single" w:color="000000"/>
              </w:rPr>
              <w:t>105,000,000</w:t>
            </w:r>
            <w:r>
              <w:rPr>
                <w:rFonts w:ascii="Arial"/>
                <w:spacing w:val="-1"/>
                <w:sz w:val="20"/>
              </w:rPr>
            </w:r>
          </w:p>
        </w:tc>
      </w:tr>
      <w:tr>
        <w:trPr>
          <w:trHeight w:val="360" w:hRule="exact"/>
        </w:trPr>
        <w:tc>
          <w:tcPr>
            <w:tcW w:w="3762" w:type="dxa"/>
            <w:tcBorders>
              <w:top w:val="nil" w:sz="6" w:space="0" w:color="auto"/>
              <w:left w:val="nil" w:sz="6" w:space="0" w:color="auto"/>
              <w:bottom w:val="nil" w:sz="6" w:space="0" w:color="auto"/>
              <w:right w:val="nil" w:sz="6" w:space="0" w:color="auto"/>
            </w:tcBorders>
          </w:tcPr>
          <w:p>
            <w:pPr/>
          </w:p>
        </w:tc>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761"/>
              <w:jc w:val="right"/>
              <w:rPr>
                <w:rFonts w:ascii="Arial" w:hAnsi="Arial" w:cs="Arial" w:eastAsia="Arial" w:hint="default"/>
                <w:sz w:val="20"/>
                <w:szCs w:val="20"/>
              </w:rPr>
            </w:pPr>
            <w:r>
              <w:rPr>
                <w:rFonts w:ascii="Arial"/>
                <w:w w:val="99"/>
                <w:sz w:val="20"/>
              </w:rPr>
            </w:r>
            <w:r>
              <w:rPr>
                <w:rFonts w:ascii="Arial"/>
                <w:spacing w:val="-1"/>
                <w:sz w:val="20"/>
                <w:u w:val="thick" w:color="000000"/>
              </w:rPr>
              <w:t>357,000,000</w:t>
            </w:r>
            <w:r>
              <w:rPr>
                <w:rFonts w:ascii="Arial"/>
                <w:spacing w:val="-1"/>
                <w:sz w:val="20"/>
              </w:rPr>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98"/>
              <w:jc w:val="right"/>
              <w:rPr>
                <w:rFonts w:ascii="Arial" w:hAnsi="Arial" w:cs="Arial" w:eastAsia="Arial" w:hint="default"/>
                <w:sz w:val="20"/>
                <w:szCs w:val="20"/>
              </w:rPr>
            </w:pPr>
            <w:r>
              <w:rPr>
                <w:rFonts w:ascii="Arial"/>
                <w:w w:val="99"/>
                <w:sz w:val="20"/>
              </w:rPr>
            </w:r>
            <w:r>
              <w:rPr>
                <w:rFonts w:ascii="Arial"/>
                <w:spacing w:val="-1"/>
                <w:sz w:val="20"/>
                <w:u w:val="thick" w:color="000000"/>
              </w:rPr>
              <w:t>305,000,000</w:t>
            </w:r>
            <w:r>
              <w:rPr>
                <w:rFonts w:ascii="Arial"/>
                <w:spacing w:val="-1"/>
                <w:sz w:val="20"/>
              </w:rPr>
            </w:r>
          </w:p>
        </w:tc>
      </w:tr>
    </w:tbl>
    <w:p>
      <w:pPr>
        <w:spacing w:line="240" w:lineRule="auto" w:before="12"/>
        <w:rPr>
          <w:rFonts w:ascii="黑体" w:hAnsi="黑体" w:cs="黑体" w:eastAsia="黑体" w:hint="default"/>
          <w:sz w:val="14"/>
          <w:szCs w:val="14"/>
        </w:rPr>
      </w:pPr>
    </w:p>
    <w:p>
      <w:pPr>
        <w:spacing w:line="260" w:lineRule="exact" w:before="63"/>
        <w:ind w:left="246" w:right="216" w:firstLine="0"/>
        <w:jc w:val="left"/>
        <w:rPr>
          <w:rFonts w:ascii="黑体" w:hAnsi="黑体" w:cs="黑体" w:eastAsia="黑体" w:hint="default"/>
          <w:sz w:val="20"/>
          <w:szCs w:val="20"/>
        </w:rPr>
      </w:pPr>
      <w:r>
        <w:rPr>
          <w:rFonts w:ascii="黑体" w:hAnsi="黑体" w:cs="黑体" w:eastAsia="黑体" w:hint="default"/>
          <w:sz w:val="20"/>
          <w:szCs w:val="20"/>
        </w:rPr>
        <w:t>注</w:t>
      </w:r>
      <w:r>
        <w:rPr>
          <w:rFonts w:ascii="Arial" w:hAnsi="Arial" w:cs="Arial" w:eastAsia="Arial" w:hint="default"/>
          <w:sz w:val="20"/>
          <w:szCs w:val="20"/>
        </w:rPr>
        <w:t>1.</w:t>
      </w:r>
      <w:r>
        <w:rPr>
          <w:rFonts w:ascii="Arial" w:hAnsi="Arial" w:cs="Arial" w:eastAsia="Arial" w:hint="default"/>
          <w:spacing w:val="2"/>
          <w:sz w:val="20"/>
          <w:szCs w:val="20"/>
        </w:rPr>
        <w:t> </w:t>
      </w:r>
      <w:r>
        <w:rPr>
          <w:rFonts w:ascii="黑体" w:hAnsi="黑体" w:cs="黑体" w:eastAsia="黑体" w:hint="default"/>
          <w:sz w:val="20"/>
          <w:szCs w:val="20"/>
        </w:rPr>
        <w:t>本公司与江铃汽车集团公司等</w:t>
      </w:r>
      <w:r>
        <w:rPr>
          <w:rFonts w:ascii="Arial" w:hAnsi="Arial" w:cs="Arial" w:eastAsia="Arial" w:hint="default"/>
          <w:sz w:val="20"/>
          <w:szCs w:val="20"/>
        </w:rPr>
        <w:t>6</w:t>
      </w:r>
      <w:r>
        <w:rPr>
          <w:rFonts w:ascii="黑体" w:hAnsi="黑体" w:cs="黑体" w:eastAsia="黑体" w:hint="default"/>
          <w:sz w:val="20"/>
          <w:szCs w:val="20"/>
        </w:rPr>
        <w:t>家公司共同投资发起设立友泰财产保险股份有限公司，公司出资</w:t>
      </w:r>
      <w:r>
        <w:rPr>
          <w:rFonts w:ascii="黑体" w:hAnsi="黑体" w:cs="黑体" w:eastAsia="黑体" w:hint="default"/>
          <w:w w:val="99"/>
          <w:sz w:val="20"/>
          <w:szCs w:val="20"/>
        </w:rPr>
        <w:t> </w:t>
      </w:r>
      <w:r>
        <w:rPr>
          <w:rFonts w:ascii="黑体" w:hAnsi="黑体" w:cs="黑体" w:eastAsia="黑体" w:hint="default"/>
          <w:sz w:val="20"/>
          <w:szCs w:val="20"/>
        </w:rPr>
        <w:t>额为人民币</w:t>
      </w:r>
      <w:r>
        <w:rPr>
          <w:rFonts w:ascii="Arial" w:hAnsi="Arial" w:cs="Arial" w:eastAsia="Arial" w:hint="default"/>
          <w:sz w:val="20"/>
          <w:szCs w:val="20"/>
        </w:rPr>
        <w:t>200,000,000</w:t>
      </w:r>
      <w:r>
        <w:rPr>
          <w:rFonts w:ascii="黑体" w:hAnsi="黑体" w:cs="黑体" w:eastAsia="黑体" w:hint="default"/>
          <w:sz w:val="20"/>
          <w:szCs w:val="20"/>
        </w:rPr>
        <w:t>元，尚未出资。</w:t>
      </w:r>
    </w:p>
    <w:p>
      <w:pPr>
        <w:spacing w:line="240" w:lineRule="auto" w:before="9"/>
        <w:rPr>
          <w:rFonts w:ascii="黑体" w:hAnsi="黑体" w:cs="黑体" w:eastAsia="黑体" w:hint="default"/>
          <w:sz w:val="16"/>
          <w:szCs w:val="16"/>
        </w:rPr>
      </w:pPr>
    </w:p>
    <w:p>
      <w:pPr>
        <w:spacing w:line="225" w:lineRule="auto" w:before="0"/>
        <w:ind w:left="246" w:right="392" w:firstLine="0"/>
        <w:jc w:val="both"/>
        <w:rPr>
          <w:rFonts w:ascii="黑体" w:hAnsi="黑体" w:cs="黑体" w:eastAsia="黑体" w:hint="default"/>
          <w:sz w:val="20"/>
          <w:szCs w:val="20"/>
        </w:rPr>
      </w:pPr>
      <w:r>
        <w:rPr>
          <w:rFonts w:ascii="黑体" w:hAnsi="黑体" w:cs="黑体" w:eastAsia="黑体" w:hint="default"/>
          <w:w w:val="95"/>
          <w:sz w:val="20"/>
          <w:szCs w:val="20"/>
        </w:rPr>
        <w:t>注</w:t>
      </w:r>
      <w:r>
        <w:rPr>
          <w:rFonts w:ascii="Arial" w:hAnsi="Arial" w:cs="Arial" w:eastAsia="Arial" w:hint="default"/>
          <w:w w:val="95"/>
          <w:sz w:val="20"/>
          <w:szCs w:val="20"/>
        </w:rPr>
        <w:t>2. </w:t>
      </w:r>
      <w:r>
        <w:rPr>
          <w:rFonts w:ascii="黑体" w:hAnsi="黑体" w:cs="黑体" w:eastAsia="黑体" w:hint="default"/>
          <w:w w:val="95"/>
          <w:sz w:val="20"/>
          <w:szCs w:val="20"/>
        </w:rPr>
        <w:t>本公司与北京中关村大河资本投资管理中心（有限合伙）等</w:t>
      </w:r>
      <w:r>
        <w:rPr>
          <w:rFonts w:ascii="Arial" w:hAnsi="Arial" w:cs="Arial" w:eastAsia="Arial" w:hint="default"/>
          <w:w w:val="95"/>
          <w:sz w:val="20"/>
          <w:szCs w:val="20"/>
        </w:rPr>
        <w:t>22</w:t>
      </w:r>
      <w:r>
        <w:rPr>
          <w:rFonts w:ascii="黑体" w:hAnsi="黑体" w:cs="黑体" w:eastAsia="黑体" w:hint="default"/>
          <w:w w:val="95"/>
          <w:sz w:val="20"/>
          <w:szCs w:val="20"/>
        </w:rPr>
        <w:t>家合伙人共同投资设立北京中关村</w:t>
      </w:r>
      <w:r>
        <w:rPr>
          <w:rFonts w:ascii="黑体" w:hAnsi="黑体" w:cs="黑体" w:eastAsia="黑体" w:hint="default"/>
          <w:spacing w:val="-69"/>
          <w:w w:val="95"/>
          <w:sz w:val="20"/>
          <w:szCs w:val="20"/>
        </w:rPr>
        <w:t> </w:t>
      </w:r>
      <w:r>
        <w:rPr>
          <w:rFonts w:ascii="黑体" w:hAnsi="黑体" w:cs="黑体" w:eastAsia="黑体" w:hint="default"/>
          <w:spacing w:val="-69"/>
          <w:w w:val="95"/>
          <w:sz w:val="20"/>
          <w:szCs w:val="20"/>
        </w:rPr>
      </w:r>
      <w:r>
        <w:rPr>
          <w:rFonts w:ascii="黑体" w:hAnsi="黑体" w:cs="黑体" w:eastAsia="黑体" w:hint="default"/>
          <w:spacing w:val="18"/>
          <w:sz w:val="20"/>
          <w:szCs w:val="20"/>
        </w:rPr>
        <w:t>并购母基金投资中心</w:t>
      </w:r>
      <w:r>
        <w:rPr>
          <w:rFonts w:ascii="黑体" w:hAnsi="黑体" w:cs="黑体" w:eastAsia="黑体" w:hint="default"/>
          <w:spacing w:val="-76"/>
          <w:sz w:val="20"/>
          <w:szCs w:val="20"/>
        </w:rPr>
        <w:t> </w:t>
      </w:r>
      <w:r>
        <w:rPr>
          <w:rFonts w:ascii="Arial" w:hAnsi="Arial" w:cs="Arial" w:eastAsia="Arial" w:hint="default"/>
          <w:sz w:val="20"/>
          <w:szCs w:val="20"/>
        </w:rPr>
        <w:t>(</w:t>
      </w:r>
      <w:r>
        <w:rPr>
          <w:rFonts w:ascii="Arial" w:hAnsi="Arial" w:cs="Arial" w:eastAsia="Arial" w:hint="default"/>
          <w:spacing w:val="-37"/>
          <w:sz w:val="20"/>
          <w:szCs w:val="20"/>
        </w:rPr>
        <w:t> </w:t>
      </w:r>
      <w:r>
        <w:rPr>
          <w:rFonts w:ascii="黑体" w:hAnsi="黑体" w:cs="黑体" w:eastAsia="黑体" w:hint="default"/>
          <w:spacing w:val="17"/>
          <w:sz w:val="20"/>
          <w:szCs w:val="20"/>
        </w:rPr>
        <w:t>有限合伙</w:t>
      </w:r>
      <w:r>
        <w:rPr>
          <w:rFonts w:ascii="Arial" w:hAnsi="Arial" w:cs="Arial" w:eastAsia="Arial" w:hint="default"/>
          <w:spacing w:val="17"/>
          <w:sz w:val="20"/>
          <w:szCs w:val="20"/>
        </w:rPr>
        <w:t>)</w:t>
      </w:r>
      <w:r>
        <w:rPr>
          <w:rFonts w:ascii="黑体" w:hAnsi="黑体" w:cs="黑体" w:eastAsia="黑体" w:hint="default"/>
          <w:spacing w:val="17"/>
          <w:sz w:val="20"/>
          <w:szCs w:val="20"/>
        </w:rPr>
        <w:t>，</w:t>
      </w:r>
      <w:r>
        <w:rPr>
          <w:rFonts w:ascii="黑体" w:hAnsi="黑体" w:cs="黑体" w:eastAsia="黑体" w:hint="default"/>
          <w:spacing w:val="-80"/>
          <w:sz w:val="20"/>
          <w:szCs w:val="20"/>
        </w:rPr>
        <w:t> </w:t>
      </w:r>
      <w:r>
        <w:rPr>
          <w:rFonts w:ascii="黑体" w:hAnsi="黑体" w:cs="黑体" w:eastAsia="黑体" w:hint="default"/>
          <w:spacing w:val="18"/>
          <w:sz w:val="20"/>
          <w:szCs w:val="20"/>
        </w:rPr>
        <w:t>公司出资额为人民币</w:t>
      </w:r>
      <w:r>
        <w:rPr>
          <w:rFonts w:ascii="黑体" w:hAnsi="黑体" w:cs="黑体" w:eastAsia="黑体" w:hint="default"/>
          <w:spacing w:val="-76"/>
          <w:sz w:val="20"/>
          <w:szCs w:val="20"/>
        </w:rPr>
        <w:t> </w:t>
      </w:r>
      <w:r>
        <w:rPr>
          <w:rFonts w:ascii="Arial" w:hAnsi="Arial" w:cs="Arial" w:eastAsia="Arial" w:hint="default"/>
          <w:sz w:val="20"/>
          <w:szCs w:val="20"/>
        </w:rPr>
        <w:t>150,000,000</w:t>
      </w:r>
      <w:r>
        <w:rPr>
          <w:rFonts w:ascii="Arial" w:hAnsi="Arial" w:cs="Arial" w:eastAsia="Arial" w:hint="default"/>
          <w:spacing w:val="-36"/>
          <w:sz w:val="20"/>
          <w:szCs w:val="20"/>
        </w:rPr>
        <w:t> </w:t>
      </w:r>
      <w:r>
        <w:rPr>
          <w:rFonts w:ascii="黑体" w:hAnsi="黑体" w:cs="黑体" w:eastAsia="黑体" w:hint="default"/>
          <w:spacing w:val="17"/>
          <w:sz w:val="20"/>
          <w:szCs w:val="20"/>
        </w:rPr>
        <w:t>元人民币，</w:t>
      </w:r>
      <w:r>
        <w:rPr>
          <w:rFonts w:ascii="黑体" w:hAnsi="黑体" w:cs="黑体" w:eastAsia="黑体" w:hint="default"/>
          <w:spacing w:val="-79"/>
          <w:sz w:val="20"/>
          <w:szCs w:val="20"/>
        </w:rPr>
        <w:t> </w:t>
      </w:r>
      <w:r>
        <w:rPr>
          <w:rFonts w:ascii="黑体" w:hAnsi="黑体" w:cs="黑体" w:eastAsia="黑体" w:hint="default"/>
          <w:spacing w:val="17"/>
          <w:sz w:val="20"/>
          <w:szCs w:val="20"/>
        </w:rPr>
        <w:t>已出资人民币</w:t>
      </w:r>
      <w:r>
        <w:rPr>
          <w:rFonts w:ascii="黑体" w:hAnsi="黑体" w:cs="黑体" w:eastAsia="黑体" w:hint="default"/>
          <w:w w:val="99"/>
          <w:sz w:val="20"/>
          <w:szCs w:val="20"/>
        </w:rPr>
        <w:t> </w:t>
      </w:r>
      <w:r>
        <w:rPr>
          <w:rFonts w:ascii="Arial" w:hAnsi="Arial" w:cs="Arial" w:eastAsia="Arial" w:hint="default"/>
          <w:sz w:val="20"/>
          <w:szCs w:val="20"/>
        </w:rPr>
        <w:t>45,000,000</w:t>
      </w:r>
      <w:r>
        <w:rPr>
          <w:rFonts w:ascii="黑体" w:hAnsi="黑体" w:cs="黑体" w:eastAsia="黑体" w:hint="default"/>
          <w:sz w:val="20"/>
          <w:szCs w:val="20"/>
        </w:rPr>
        <w:t>元，投资承诺为人民币</w:t>
      </w:r>
      <w:r>
        <w:rPr>
          <w:rFonts w:ascii="Arial" w:hAnsi="Arial" w:cs="Arial" w:eastAsia="Arial" w:hint="default"/>
          <w:sz w:val="20"/>
          <w:szCs w:val="20"/>
        </w:rPr>
        <w:t>105,000,000</w:t>
      </w:r>
      <w:r>
        <w:rPr>
          <w:rFonts w:ascii="黑体" w:hAnsi="黑体" w:cs="黑体" w:eastAsia="黑体" w:hint="default"/>
          <w:sz w:val="20"/>
          <w:szCs w:val="20"/>
        </w:rPr>
        <w:t>元。</w:t>
      </w:r>
    </w:p>
    <w:p>
      <w:pPr>
        <w:spacing w:line="240" w:lineRule="auto" w:before="7"/>
        <w:rPr>
          <w:rFonts w:ascii="黑体" w:hAnsi="黑体" w:cs="黑体" w:eastAsia="黑体" w:hint="default"/>
          <w:sz w:val="16"/>
          <w:szCs w:val="16"/>
        </w:rPr>
      </w:pPr>
    </w:p>
    <w:p>
      <w:pPr>
        <w:spacing w:line="424" w:lineRule="auto" w:before="0"/>
        <w:ind w:left="216" w:right="216" w:firstLine="29"/>
        <w:jc w:val="left"/>
        <w:rPr>
          <w:rFonts w:ascii="黑体" w:hAnsi="黑体" w:cs="黑体" w:eastAsia="黑体" w:hint="default"/>
          <w:sz w:val="20"/>
          <w:szCs w:val="20"/>
        </w:rPr>
      </w:pPr>
      <w:r>
        <w:rPr>
          <w:rFonts w:ascii="黑体" w:hAnsi="黑体" w:cs="黑体" w:eastAsia="黑体" w:hint="default"/>
          <w:sz w:val="20"/>
          <w:szCs w:val="20"/>
        </w:rPr>
        <w:t>本公司其他的投资承诺为人民币</w:t>
      </w:r>
      <w:r>
        <w:rPr>
          <w:rFonts w:ascii="Arial" w:hAnsi="Arial" w:cs="Arial" w:eastAsia="Arial" w:hint="default"/>
          <w:sz w:val="20"/>
          <w:szCs w:val="20"/>
        </w:rPr>
        <w:t>52,000,000</w:t>
      </w:r>
      <w:r>
        <w:rPr>
          <w:rFonts w:ascii="黑体" w:hAnsi="黑体" w:cs="黑体" w:eastAsia="黑体" w:hint="default"/>
          <w:sz w:val="20"/>
          <w:szCs w:val="20"/>
        </w:rPr>
        <w:t>元。</w:t>
      </w:r>
      <w:r>
        <w:rPr>
          <w:rFonts w:ascii="黑体" w:hAnsi="黑体" w:cs="黑体" w:eastAsia="黑体" w:hint="default"/>
          <w:spacing w:val="2"/>
          <w:w w:val="99"/>
          <w:sz w:val="20"/>
          <w:szCs w:val="20"/>
        </w:rPr>
        <w:t> </w:t>
      </w:r>
      <w:r>
        <w:rPr>
          <w:rFonts w:ascii="黑体" w:hAnsi="黑体" w:cs="黑体" w:eastAsia="黑体" w:hint="default"/>
          <w:sz w:val="20"/>
          <w:szCs w:val="20"/>
        </w:rPr>
        <w:t>于</w:t>
      </w:r>
      <w:r>
        <w:rPr>
          <w:rFonts w:ascii="Arial" w:hAnsi="Arial" w:cs="Arial" w:eastAsia="Arial" w:hint="default"/>
          <w:sz w:val="20"/>
          <w:szCs w:val="20"/>
        </w:rPr>
        <w:t>2019</w:t>
      </w:r>
      <w:r>
        <w:rPr>
          <w:rFonts w:ascii="黑体" w:hAnsi="黑体" w:cs="黑体" w:eastAsia="黑体" w:hint="default"/>
          <w:sz w:val="20"/>
          <w:szCs w:val="20"/>
        </w:rPr>
        <w:t>年</w:t>
      </w:r>
      <w:r>
        <w:rPr>
          <w:rFonts w:ascii="Arial" w:hAnsi="Arial" w:cs="Arial" w:eastAsia="Arial" w:hint="default"/>
          <w:sz w:val="20"/>
          <w:szCs w:val="20"/>
        </w:rPr>
        <w:t>12</w:t>
      </w:r>
      <w:r>
        <w:rPr>
          <w:rFonts w:ascii="黑体" w:hAnsi="黑体" w:cs="黑体" w:eastAsia="黑体" w:hint="default"/>
          <w:sz w:val="20"/>
          <w:szCs w:val="20"/>
        </w:rPr>
        <w:t>月</w:t>
      </w:r>
      <w:r>
        <w:rPr>
          <w:rFonts w:ascii="Arial" w:hAnsi="Arial" w:cs="Arial" w:eastAsia="Arial" w:hint="default"/>
          <w:sz w:val="20"/>
          <w:szCs w:val="20"/>
        </w:rPr>
        <w:t>31</w:t>
      </w:r>
      <w:r>
        <w:rPr>
          <w:rFonts w:ascii="黑体" w:hAnsi="黑体" w:cs="黑体" w:eastAsia="黑体" w:hint="default"/>
          <w:sz w:val="20"/>
          <w:szCs w:val="20"/>
        </w:rPr>
        <w:t>日，除上述已披露的事项外，本集团无其他需作披露的重大承诺事项。</w:t>
      </w:r>
    </w:p>
    <w:p>
      <w:pPr>
        <w:spacing w:line="240" w:lineRule="auto" w:before="0"/>
        <w:rPr>
          <w:rFonts w:ascii="黑体" w:hAnsi="黑体" w:cs="黑体" w:eastAsia="黑体" w:hint="default"/>
          <w:sz w:val="20"/>
          <w:szCs w:val="20"/>
        </w:rPr>
      </w:pPr>
    </w:p>
    <w:p>
      <w:pPr>
        <w:spacing w:before="161"/>
        <w:ind w:left="216" w:right="0" w:firstLine="0"/>
        <w:jc w:val="both"/>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w:t>
      </w:r>
      <w:r>
        <w:rPr>
          <w:rFonts w:ascii="宋体" w:hAnsi="宋体" w:cs="宋体" w:eastAsia="宋体" w:hint="default"/>
          <w:b/>
          <w:bCs/>
          <w:spacing w:val="23"/>
          <w:sz w:val="20"/>
          <w:szCs w:val="20"/>
        </w:rPr>
        <w:t> </w:t>
      </w:r>
      <w:r>
        <w:rPr>
          <w:rFonts w:ascii="宋体" w:hAnsi="宋体" w:cs="宋体" w:eastAsia="宋体" w:hint="default"/>
          <w:b/>
          <w:bCs/>
          <w:sz w:val="20"/>
          <w:szCs w:val="20"/>
        </w:rPr>
        <w:t>或有事项</w:t>
      </w:r>
      <w:r>
        <w:rPr>
          <w:rFonts w:ascii="宋体" w:hAnsi="宋体" w:cs="宋体" w:eastAsia="宋体" w:hint="default"/>
          <w:sz w:val="20"/>
          <w:szCs w:val="20"/>
        </w:rPr>
      </w:r>
    </w:p>
    <w:p>
      <w:pPr>
        <w:spacing w:before="57"/>
        <w:ind w:left="216" w:right="0" w:firstLine="0"/>
        <w:jc w:val="both"/>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pacing w:val="-22"/>
          <w:sz w:val="20"/>
          <w:szCs w:val="20"/>
        </w:rPr>
        <w:t> </w:t>
      </w:r>
      <w:r>
        <w:rPr>
          <w:rFonts w:ascii="宋体" w:hAnsi="宋体" w:cs="宋体" w:eastAsia="宋体" w:hint="default"/>
          <w:b/>
          <w:bCs/>
          <w:sz w:val="20"/>
          <w:szCs w:val="20"/>
        </w:rPr>
        <w:t>资产负债表日存在的重要或有事项</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6" w:right="0"/>
        <w:jc w:val="both"/>
      </w:pPr>
      <w:r>
        <w:rPr/>
        <w:t>□适用  √不适用</w:t>
      </w:r>
    </w:p>
    <w:p>
      <w:pPr>
        <w:spacing w:line="240" w:lineRule="auto" w:before="2"/>
        <w:rPr>
          <w:rFonts w:ascii="宋体" w:hAnsi="宋体" w:cs="宋体" w:eastAsia="宋体" w:hint="default"/>
          <w:sz w:val="26"/>
          <w:szCs w:val="26"/>
        </w:rPr>
      </w:pPr>
    </w:p>
    <w:p>
      <w:pPr>
        <w:spacing w:before="0"/>
        <w:ind w:left="216" w:right="0" w:firstLine="0"/>
        <w:jc w:val="both"/>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24"/>
          <w:sz w:val="20"/>
          <w:szCs w:val="20"/>
        </w:rPr>
        <w:t> </w:t>
      </w:r>
      <w:r>
        <w:rPr>
          <w:rFonts w:ascii="宋体" w:hAnsi="宋体" w:cs="宋体" w:eastAsia="宋体" w:hint="default"/>
          <w:b/>
          <w:bCs/>
          <w:sz w:val="20"/>
          <w:szCs w:val="20"/>
        </w:rPr>
        <w:t>公司没有需要披露的重要或有事项，也应予以说明：</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6" w:right="0"/>
        <w:jc w:val="both"/>
      </w:pPr>
      <w:r>
        <w:rPr/>
        <w:t>□适用  √不适用</w:t>
      </w:r>
    </w:p>
    <w:p>
      <w:pPr>
        <w:spacing w:line="240" w:lineRule="auto" w:before="6"/>
        <w:rPr>
          <w:rFonts w:ascii="宋体" w:hAnsi="宋体" w:cs="宋体" w:eastAsia="宋体" w:hint="default"/>
          <w:sz w:val="27"/>
          <w:szCs w:val="27"/>
        </w:rPr>
      </w:pPr>
    </w:p>
    <w:p>
      <w:pPr>
        <w:spacing w:before="0"/>
        <w:ind w:left="216" w:right="0" w:firstLine="0"/>
        <w:jc w:val="both"/>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z w:val="20"/>
          <w:szCs w:val="20"/>
        </w:rPr>
        <w:t>、</w:t>
      </w:r>
      <w:r>
        <w:rPr>
          <w:rFonts w:ascii="宋体" w:hAnsi="宋体" w:cs="宋体" w:eastAsia="宋体" w:hint="default"/>
          <w:b/>
          <w:bCs/>
          <w:spacing w:val="23"/>
          <w:sz w:val="20"/>
          <w:szCs w:val="20"/>
        </w:rPr>
        <w:t> </w:t>
      </w:r>
      <w:r>
        <w:rPr>
          <w:rFonts w:ascii="宋体" w:hAnsi="宋体" w:cs="宋体" w:eastAsia="宋体" w:hint="default"/>
          <w:b/>
          <w:bCs/>
          <w:sz w:val="20"/>
          <w:szCs w:val="20"/>
        </w:rPr>
        <w:t>其他</w:t>
      </w:r>
      <w:r>
        <w:rPr>
          <w:rFonts w:ascii="宋体" w:hAnsi="宋体" w:cs="宋体" w:eastAsia="宋体" w:hint="default"/>
          <w:sz w:val="20"/>
          <w:szCs w:val="20"/>
        </w:rPr>
      </w:r>
    </w:p>
    <w:p>
      <w:pPr>
        <w:pStyle w:val="BodyText"/>
        <w:spacing w:line="240" w:lineRule="auto" w:before="49"/>
        <w:ind w:left="216" w:right="0"/>
        <w:jc w:val="both"/>
      </w:pPr>
      <w:r>
        <w:rPr/>
        <w:t>□适用  √不适用</w:t>
      </w:r>
    </w:p>
    <w:p>
      <w:pPr>
        <w:spacing w:line="240" w:lineRule="auto" w:before="4"/>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97"/>
          <w:pgSz w:w="11910" w:h="16840"/>
          <w:pgMar w:footer="1195" w:header="745" w:top="1080" w:bottom="1380" w:left="1060" w:right="1400"/>
          <w:pgNumType w:start="178"/>
        </w:sectPr>
      </w:pPr>
    </w:p>
    <w:p>
      <w:pPr>
        <w:spacing w:before="37"/>
        <w:ind w:left="216" w:right="-16" w:firstLine="0"/>
        <w:jc w:val="left"/>
        <w:rPr>
          <w:rFonts w:ascii="宋体" w:hAnsi="宋体" w:cs="宋体" w:eastAsia="宋体" w:hint="default"/>
          <w:sz w:val="20"/>
          <w:szCs w:val="20"/>
        </w:rPr>
      </w:pPr>
      <w:r>
        <w:rPr>
          <w:rFonts w:ascii="宋体" w:hAnsi="宋体" w:cs="宋体" w:eastAsia="宋体" w:hint="default"/>
          <w:b/>
          <w:bCs/>
          <w:sz w:val="20"/>
          <w:szCs w:val="20"/>
        </w:rPr>
        <w:t>十五、 </w:t>
      </w:r>
      <w:r>
        <w:rPr>
          <w:rFonts w:ascii="宋体" w:hAnsi="宋体" w:cs="宋体" w:eastAsia="宋体" w:hint="default"/>
          <w:b/>
          <w:bCs/>
          <w:spacing w:val="32"/>
          <w:sz w:val="20"/>
          <w:szCs w:val="20"/>
        </w:rPr>
        <w:t> </w:t>
      </w:r>
      <w:r>
        <w:rPr>
          <w:rFonts w:ascii="宋体" w:hAnsi="宋体" w:cs="宋体" w:eastAsia="宋体" w:hint="default"/>
          <w:b/>
          <w:bCs/>
          <w:spacing w:val="32"/>
          <w:sz w:val="20"/>
          <w:szCs w:val="20"/>
        </w:rPr>
      </w:r>
      <w:r>
        <w:rPr>
          <w:rFonts w:ascii="宋体" w:hAnsi="宋体" w:cs="宋体" w:eastAsia="宋体" w:hint="default"/>
          <w:b/>
          <w:bCs/>
          <w:sz w:val="20"/>
          <w:szCs w:val="20"/>
        </w:rPr>
        <w:t>资产负债表日后事项</w:t>
      </w:r>
      <w:r>
        <w:rPr>
          <w:rFonts w:ascii="宋体" w:hAnsi="宋体" w:cs="宋体" w:eastAsia="宋体" w:hint="default"/>
          <w:sz w:val="20"/>
          <w:szCs w:val="20"/>
        </w:rPr>
      </w:r>
    </w:p>
    <w:p>
      <w:pPr>
        <w:spacing w:before="57"/>
        <w:ind w:left="216" w:right="-16" w:firstLine="0"/>
        <w:jc w:val="left"/>
        <w:rPr>
          <w:rFonts w:ascii="宋体" w:hAnsi="宋体" w:cs="宋体" w:eastAsia="宋体" w:hint="default"/>
          <w:sz w:val="20"/>
          <w:szCs w:val="20"/>
        </w:rPr>
      </w:pPr>
      <w:r>
        <w:rPr>
          <w:rFonts w:ascii="Calibri" w:hAnsi="Calibri" w:cs="Calibri" w:eastAsia="Calibri" w:hint="default"/>
          <w:b/>
          <w:bCs/>
          <w:sz w:val="20"/>
          <w:szCs w:val="20"/>
        </w:rPr>
        <w:t>1</w:t>
      </w:r>
      <w:r>
        <w:rPr>
          <w:rFonts w:ascii="宋体" w:hAnsi="宋体" w:cs="宋体" w:eastAsia="宋体" w:hint="default"/>
          <w:b/>
          <w:bCs/>
          <w:sz w:val="20"/>
          <w:szCs w:val="20"/>
        </w:rPr>
        <w:t>、</w:t>
      </w:r>
      <w:r>
        <w:rPr>
          <w:rFonts w:ascii="宋体" w:hAnsi="宋体" w:cs="宋体" w:eastAsia="宋体" w:hint="default"/>
          <w:b/>
          <w:bCs/>
          <w:spacing w:val="19"/>
          <w:sz w:val="20"/>
          <w:szCs w:val="20"/>
        </w:rPr>
        <w:t> </w:t>
      </w:r>
      <w:r>
        <w:rPr>
          <w:rFonts w:ascii="宋体" w:hAnsi="宋体" w:cs="宋体" w:eastAsia="宋体" w:hint="default"/>
          <w:b/>
          <w:bCs/>
          <w:sz w:val="20"/>
          <w:szCs w:val="20"/>
        </w:rPr>
        <w:t>重要的非调整事项</w:t>
      </w:r>
      <w:r>
        <w:rPr>
          <w:rFonts w:ascii="宋体" w:hAnsi="宋体" w:cs="宋体" w:eastAsia="宋体" w:hint="default"/>
          <w:sz w:val="20"/>
          <w:szCs w:val="20"/>
        </w:rPr>
      </w:r>
    </w:p>
    <w:p>
      <w:pPr>
        <w:pStyle w:val="BodyText"/>
        <w:spacing w:line="240" w:lineRule="auto" w:before="23"/>
        <w:ind w:left="216" w:right="-16"/>
        <w:jc w:val="left"/>
      </w:pPr>
      <w:r>
        <w:rPr/>
        <w:t>□适用 √不适用</w:t>
      </w:r>
    </w:p>
    <w:p>
      <w:pPr>
        <w:spacing w:before="66"/>
        <w:ind w:left="216" w:right="-16" w:firstLine="0"/>
        <w:jc w:val="left"/>
        <w:rPr>
          <w:rFonts w:ascii="宋体" w:hAnsi="宋体" w:cs="宋体" w:eastAsia="宋体" w:hint="default"/>
          <w:sz w:val="20"/>
          <w:szCs w:val="20"/>
        </w:rPr>
      </w:pPr>
      <w:r>
        <w:rPr>
          <w:rFonts w:ascii="Calibri" w:hAnsi="Calibri" w:cs="Calibri" w:eastAsia="Calibri" w:hint="default"/>
          <w:b/>
          <w:bCs/>
          <w:sz w:val="20"/>
          <w:szCs w:val="20"/>
        </w:rPr>
        <w:t>2</w:t>
      </w:r>
      <w:r>
        <w:rPr>
          <w:rFonts w:ascii="宋体" w:hAnsi="宋体" w:cs="宋体" w:eastAsia="宋体" w:hint="default"/>
          <w:b/>
          <w:bCs/>
          <w:sz w:val="20"/>
          <w:szCs w:val="20"/>
        </w:rPr>
        <w:t>、</w:t>
      </w:r>
      <w:r>
        <w:rPr>
          <w:rFonts w:ascii="宋体" w:hAnsi="宋体" w:cs="宋体" w:eastAsia="宋体" w:hint="default"/>
          <w:b/>
          <w:bCs/>
          <w:spacing w:val="20"/>
          <w:sz w:val="20"/>
          <w:szCs w:val="20"/>
        </w:rPr>
        <w:t> </w:t>
      </w:r>
      <w:r>
        <w:rPr>
          <w:rFonts w:ascii="宋体" w:hAnsi="宋体" w:cs="宋体" w:eastAsia="宋体" w:hint="default"/>
          <w:b/>
          <w:bCs/>
          <w:sz w:val="20"/>
          <w:szCs w:val="20"/>
        </w:rPr>
        <w:t>利润分配情况</w:t>
      </w:r>
      <w:r>
        <w:rPr>
          <w:rFonts w:ascii="宋体" w:hAnsi="宋体" w:cs="宋体" w:eastAsia="宋体" w:hint="default"/>
          <w:sz w:val="20"/>
          <w:szCs w:val="20"/>
        </w:rPr>
      </w:r>
    </w:p>
    <w:p>
      <w:pPr>
        <w:pStyle w:val="BodyText"/>
        <w:spacing w:line="240" w:lineRule="auto" w:before="23"/>
        <w:ind w:left="216" w:right="-16"/>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1"/>
          <w:szCs w:val="31"/>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400"/>
          <w:cols w:num="2" w:equalWidth="0">
            <w:col w:w="2864" w:space="3330"/>
            <w:col w:w="3256"/>
          </w:cols>
        </w:sectPr>
      </w:pPr>
    </w:p>
    <w:p>
      <w:pPr>
        <w:spacing w:line="240" w:lineRule="auto" w:before="13"/>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723"/>
        <w:gridCol w:w="5327"/>
      </w:tblGrid>
      <w:tr>
        <w:trPr>
          <w:trHeight w:val="322" w:hRule="exact"/>
        </w:trPr>
        <w:tc>
          <w:tcPr>
            <w:tcW w:w="372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拟分配的利润或股利</w:t>
            </w:r>
          </w:p>
        </w:tc>
        <w:tc>
          <w:tcPr>
            <w:tcW w:w="53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646,342,128</w:t>
            </w:r>
          </w:p>
        </w:tc>
      </w:tr>
      <w:tr>
        <w:trPr>
          <w:trHeight w:val="634" w:hRule="exact"/>
        </w:trPr>
        <w:tc>
          <w:tcPr>
            <w:tcW w:w="372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经审议批准宣告发放的利润或股</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利</w:t>
            </w:r>
          </w:p>
        </w:tc>
        <w:tc>
          <w:tcPr>
            <w:tcW w:w="532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16"/>
          <w:szCs w:val="16"/>
        </w:rPr>
      </w:pPr>
    </w:p>
    <w:p>
      <w:pPr>
        <w:pStyle w:val="BodyText"/>
        <w:spacing w:line="321" w:lineRule="exact" w:before="26"/>
        <w:ind w:left="59" w:right="447"/>
        <w:jc w:val="center"/>
      </w:pPr>
      <w:r>
        <w:rPr/>
        <w:t>经安永华明会计师事务所</w:t>
      </w:r>
      <w:r>
        <w:rPr>
          <w:rFonts w:ascii="Times New Roman" w:hAnsi="Times New Roman" w:cs="Times New Roman" w:eastAsia="Times New Roman" w:hint="default"/>
        </w:rPr>
        <w:t>(</w:t>
      </w:r>
      <w:r>
        <w:rPr/>
        <w:t>特殊普通合伙</w:t>
      </w:r>
      <w:r>
        <w:rPr>
          <w:rFonts w:ascii="Times New Roman" w:hAnsi="Times New Roman" w:cs="Times New Roman" w:eastAsia="Times New Roman" w:hint="default"/>
        </w:rPr>
        <w:t>)</w:t>
      </w:r>
      <w:r>
        <w:rPr/>
        <w:t>确认，</w:t>
      </w:r>
      <w:r>
        <w:rPr>
          <w:rFonts w:ascii="Times New Roman" w:hAnsi="Times New Roman" w:cs="Times New Roman" w:eastAsia="Times New Roman" w:hint="default"/>
        </w:rPr>
        <w:t>2019 </w:t>
      </w:r>
      <w:r>
        <w:rPr/>
        <w:t>年度公司实现净利润</w:t>
      </w:r>
    </w:p>
    <w:p>
      <w:pPr>
        <w:pStyle w:val="BodyText"/>
        <w:spacing w:line="311" w:lineRule="exact"/>
        <w:ind w:left="216" w:right="216"/>
        <w:jc w:val="left"/>
      </w:pPr>
      <w:r>
        <w:rPr>
          <w:rFonts w:ascii="Times New Roman" w:hAnsi="Times New Roman" w:cs="Times New Roman" w:eastAsia="Times New Roman" w:hint="default"/>
        </w:rPr>
        <w:t>1,101,791,535</w:t>
      </w:r>
      <w:r>
        <w:rPr>
          <w:rFonts w:ascii="Times New Roman" w:hAnsi="Times New Roman" w:cs="Times New Roman" w:eastAsia="Times New Roman" w:hint="default"/>
          <w:spacing w:val="-2"/>
        </w:rPr>
        <w:t> </w:t>
      </w:r>
      <w:r>
        <w:rPr/>
        <w:t>元。本公司以</w:t>
      </w:r>
      <w:r>
        <w:rPr>
          <w:spacing w:val="-62"/>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年度净利润</w:t>
      </w:r>
      <w:r>
        <w:rPr>
          <w:spacing w:val="-62"/>
        </w:rPr>
        <w:t> </w:t>
      </w:r>
      <w:r>
        <w:rPr>
          <w:rFonts w:ascii="Times New Roman" w:hAnsi="Times New Roman" w:cs="Times New Roman" w:eastAsia="Times New Roman" w:hint="default"/>
        </w:rPr>
        <w:t>1,101,791,535</w:t>
      </w:r>
      <w:r>
        <w:rPr>
          <w:rFonts w:ascii="Times New Roman" w:hAnsi="Times New Roman" w:cs="Times New Roman" w:eastAsia="Times New Roman" w:hint="default"/>
          <w:spacing w:val="-2"/>
        </w:rPr>
        <w:t> </w:t>
      </w:r>
      <w:r>
        <w:rPr/>
        <w:t>元为基数，提取</w:t>
      </w:r>
      <w:r>
        <w:rPr>
          <w:spacing w:val="-62"/>
        </w:rPr>
        <w:t> </w:t>
      </w:r>
      <w:r>
        <w:rPr>
          <w:rFonts w:ascii="Times New Roman" w:hAnsi="Times New Roman" w:cs="Times New Roman" w:eastAsia="Times New Roman" w:hint="default"/>
        </w:rPr>
        <w:t>10%</w:t>
      </w:r>
      <w:r>
        <w:rPr/>
        <w:t>的法</w:t>
      </w:r>
    </w:p>
    <w:p>
      <w:pPr>
        <w:pStyle w:val="BodyText"/>
        <w:spacing w:line="312" w:lineRule="exact"/>
        <w:ind w:left="157" w:right="447"/>
        <w:jc w:val="center"/>
      </w:pPr>
      <w:r>
        <w:rPr/>
        <w:t>定盈余公积金</w:t>
      </w:r>
      <w:r>
        <w:rPr>
          <w:spacing w:val="-61"/>
        </w:rPr>
        <w:t> </w:t>
      </w:r>
      <w:r>
        <w:rPr>
          <w:rFonts w:ascii="Times New Roman" w:hAnsi="Times New Roman" w:cs="Times New Roman" w:eastAsia="Times New Roman" w:hint="default"/>
        </w:rPr>
        <w:t>110,179,153</w:t>
      </w:r>
      <w:r>
        <w:rPr>
          <w:rFonts w:ascii="Times New Roman" w:hAnsi="Times New Roman" w:cs="Times New Roman" w:eastAsia="Times New Roman" w:hint="default"/>
          <w:spacing w:val="59"/>
        </w:rPr>
        <w:t> </w:t>
      </w:r>
      <w:r>
        <w:rPr/>
        <w:t>元，提取</w:t>
      </w:r>
      <w:r>
        <w:rPr>
          <w:spacing w:val="-61"/>
        </w:rPr>
        <w:t> </w:t>
      </w:r>
      <w:r>
        <w:rPr>
          <w:rFonts w:ascii="Times New Roman" w:hAnsi="Times New Roman" w:cs="Times New Roman" w:eastAsia="Times New Roman" w:hint="default"/>
        </w:rPr>
        <w:t>5%</w:t>
      </w:r>
      <w:r>
        <w:rPr/>
        <w:t>任意盈余公积金</w:t>
      </w:r>
      <w:r>
        <w:rPr>
          <w:spacing w:val="-61"/>
        </w:rPr>
        <w:t> </w:t>
      </w:r>
      <w:r>
        <w:rPr>
          <w:rFonts w:ascii="Times New Roman" w:hAnsi="Times New Roman" w:cs="Times New Roman" w:eastAsia="Times New Roman" w:hint="default"/>
        </w:rPr>
        <w:t>55,089,577</w:t>
      </w:r>
      <w:r>
        <w:rPr>
          <w:rFonts w:ascii="Times New Roman" w:hAnsi="Times New Roman" w:cs="Times New Roman" w:eastAsia="Times New Roman" w:hint="default"/>
          <w:spacing w:val="-1"/>
        </w:rPr>
        <w:t> </w:t>
      </w:r>
      <w:r>
        <w:rPr/>
        <w:t>元，加往年累积</w:t>
      </w:r>
    </w:p>
    <w:p>
      <w:pPr>
        <w:pStyle w:val="BodyText"/>
        <w:spacing w:line="322" w:lineRule="exact"/>
        <w:ind w:left="199" w:right="447"/>
        <w:jc w:val="center"/>
      </w:pPr>
      <w:r>
        <w:rPr/>
        <w:t>的未分配利润</w:t>
      </w:r>
      <w:r>
        <w:rPr>
          <w:spacing w:val="-60"/>
        </w:rPr>
        <w:t> </w:t>
      </w:r>
      <w:r>
        <w:rPr>
          <w:rFonts w:ascii="Times New Roman" w:hAnsi="Times New Roman" w:cs="Times New Roman" w:eastAsia="Times New Roman" w:hint="default"/>
        </w:rPr>
        <w:t>1,169,733,782 </w:t>
      </w:r>
      <w:r>
        <w:rPr/>
        <w:t>元，本次实际可供分配的利润为</w:t>
      </w:r>
      <w:r>
        <w:rPr>
          <w:spacing w:val="-60"/>
        </w:rPr>
        <w:t> </w:t>
      </w:r>
      <w:r>
        <w:rPr>
          <w:rFonts w:ascii="Times New Roman" w:hAnsi="Times New Roman" w:cs="Times New Roman" w:eastAsia="Times New Roman" w:hint="default"/>
        </w:rPr>
        <w:t>2,106,256,587 </w:t>
      </w:r>
      <w:r>
        <w:rPr/>
        <w:t>元；本公</w:t>
      </w:r>
    </w:p>
    <w:p>
      <w:pPr>
        <w:spacing w:after="0" w:line="322" w:lineRule="exact"/>
        <w:jc w:val="center"/>
        <w:sectPr>
          <w:type w:val="continuous"/>
          <w:pgSz w:w="11910" w:h="16840"/>
          <w:pgMar w:top="1120" w:bottom="1380" w:left="1060" w:right="1400"/>
        </w:sectPr>
      </w:pPr>
    </w:p>
    <w:p>
      <w:pPr>
        <w:spacing w:line="240" w:lineRule="auto" w:before="4"/>
        <w:rPr>
          <w:rFonts w:ascii="宋体" w:hAnsi="宋体" w:cs="宋体" w:eastAsia="宋体" w:hint="default"/>
          <w:sz w:val="22"/>
          <w:szCs w:val="22"/>
        </w:rPr>
      </w:pPr>
    </w:p>
    <w:p>
      <w:pPr>
        <w:pStyle w:val="BodyText"/>
        <w:spacing w:line="322" w:lineRule="exact" w:before="26"/>
        <w:ind w:right="0"/>
        <w:jc w:val="both"/>
      </w:pPr>
      <w:r>
        <w:rPr/>
        <w:t>司以实施</w:t>
      </w:r>
      <w:r>
        <w:rPr>
          <w:spacing w:val="-60"/>
        </w:rPr>
        <w:t> </w:t>
      </w:r>
      <w:r>
        <w:rPr>
          <w:rFonts w:ascii="Times New Roman" w:hAnsi="Times New Roman" w:cs="Times New Roman" w:eastAsia="Times New Roman" w:hint="default"/>
        </w:rPr>
        <w:t>2019 </w:t>
      </w:r>
      <w:r>
        <w:rPr/>
        <w:t>年度利润分配时股权登记日可参与分配的股本为基数</w:t>
      </w:r>
      <w:r>
        <w:rPr>
          <w:rFonts w:ascii="Times New Roman" w:hAnsi="Times New Roman" w:cs="Times New Roman" w:eastAsia="Times New Roman" w:hint="default"/>
        </w:rPr>
        <w:t>,</w:t>
      </w:r>
      <w:r>
        <w:rPr/>
        <w:t>拟向全体股东每</w:t>
      </w:r>
    </w:p>
    <w:p>
      <w:pPr>
        <w:pStyle w:val="BodyText"/>
        <w:spacing w:line="322" w:lineRule="exact"/>
        <w:ind w:right="0"/>
        <w:jc w:val="both"/>
      </w:pP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股派发现金股利</w:t>
      </w:r>
      <w:r>
        <w:rPr>
          <w:spacing w:val="-62"/>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w:t>
      </w:r>
    </w:p>
    <w:p>
      <w:pPr>
        <w:spacing w:line="240" w:lineRule="auto" w:before="5"/>
        <w:rPr>
          <w:rFonts w:ascii="宋体" w:hAnsi="宋体" w:cs="宋体" w:eastAsia="宋体" w:hint="default"/>
          <w:sz w:val="19"/>
          <w:szCs w:val="19"/>
        </w:rPr>
      </w:pPr>
    </w:p>
    <w:p>
      <w:pPr>
        <w:pStyle w:val="BodyText"/>
        <w:spacing w:line="322" w:lineRule="exact"/>
        <w:ind w:right="0"/>
        <w:jc w:val="both"/>
      </w:pPr>
      <w:r>
        <w:rPr/>
        <w:t>公司以实施</w:t>
      </w:r>
      <w:r>
        <w:rPr>
          <w:spacing w:val="-60"/>
        </w:rPr>
        <w:t> </w:t>
      </w:r>
      <w:r>
        <w:rPr>
          <w:rFonts w:ascii="Times New Roman" w:hAnsi="Times New Roman" w:cs="Times New Roman" w:eastAsia="Times New Roman" w:hint="default"/>
        </w:rPr>
        <w:t>2019 </w:t>
      </w:r>
      <w:r>
        <w:rPr/>
        <w:t>年度利润分配时股权登记日可参与分配的股本为基数，拟向全体股</w:t>
      </w:r>
    </w:p>
    <w:p>
      <w:pPr>
        <w:pStyle w:val="BodyText"/>
        <w:spacing w:line="322" w:lineRule="exact"/>
        <w:ind w:right="0"/>
        <w:jc w:val="both"/>
      </w:pPr>
      <w:r>
        <w:rPr/>
        <w:t>东每</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股转增</w:t>
      </w:r>
      <w:r>
        <w:rPr>
          <w:spacing w:val="-60"/>
        </w:rPr>
        <w:t> </w:t>
      </w:r>
      <w:r>
        <w:rPr>
          <w:rFonts w:ascii="Times New Roman" w:hAnsi="Times New Roman" w:cs="Times New Roman" w:eastAsia="Times New Roman" w:hint="default"/>
        </w:rPr>
        <w:t>3 </w:t>
      </w:r>
      <w:r>
        <w:rPr/>
        <w:t>股。</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8"/>
          <w:szCs w:val="18"/>
        </w:rPr>
      </w:pPr>
    </w:p>
    <w:p>
      <w:pPr>
        <w:spacing w:before="0"/>
        <w:ind w:left="136" w:right="0" w:firstLine="0"/>
        <w:jc w:val="both"/>
        <w:rPr>
          <w:rFonts w:ascii="宋体" w:hAnsi="宋体" w:cs="宋体" w:eastAsia="宋体" w:hint="default"/>
          <w:sz w:val="20"/>
          <w:szCs w:val="20"/>
        </w:rPr>
      </w:pPr>
      <w:r>
        <w:rPr>
          <w:rFonts w:ascii="Calibri" w:hAnsi="Calibri" w:cs="Calibri" w:eastAsia="Calibri" w:hint="default"/>
          <w:b/>
          <w:bCs/>
          <w:sz w:val="20"/>
          <w:szCs w:val="20"/>
        </w:rPr>
        <w:t>3</w:t>
      </w:r>
      <w:r>
        <w:rPr>
          <w:rFonts w:ascii="宋体" w:hAnsi="宋体" w:cs="宋体" w:eastAsia="宋体" w:hint="default"/>
          <w:b/>
          <w:bCs/>
          <w:sz w:val="20"/>
          <w:szCs w:val="20"/>
        </w:rPr>
        <w:t>、</w:t>
      </w:r>
      <w:r>
        <w:rPr>
          <w:rFonts w:ascii="宋体" w:hAnsi="宋体" w:cs="宋体" w:eastAsia="宋体" w:hint="default"/>
          <w:b/>
          <w:bCs/>
          <w:spacing w:val="23"/>
          <w:sz w:val="20"/>
          <w:szCs w:val="20"/>
        </w:rPr>
        <w:t> </w:t>
      </w:r>
      <w:r>
        <w:rPr>
          <w:rFonts w:ascii="宋体" w:hAnsi="宋体" w:cs="宋体" w:eastAsia="宋体" w:hint="default"/>
          <w:b/>
          <w:bCs/>
          <w:sz w:val="20"/>
          <w:szCs w:val="20"/>
        </w:rPr>
        <w:t>销售退回</w:t>
      </w:r>
      <w:r>
        <w:rPr>
          <w:rFonts w:ascii="宋体" w:hAnsi="宋体" w:cs="宋体" w:eastAsia="宋体" w:hint="default"/>
          <w:sz w:val="20"/>
          <w:szCs w:val="20"/>
        </w:rPr>
      </w:r>
    </w:p>
    <w:p>
      <w:pPr>
        <w:pStyle w:val="BodyText"/>
        <w:spacing w:line="240" w:lineRule="auto" w:before="23"/>
        <w:ind w:right="0"/>
        <w:jc w:val="both"/>
      </w:pPr>
      <w:r>
        <w:rPr/>
        <w:t>□适用 √不适用</w:t>
      </w:r>
    </w:p>
    <w:p>
      <w:pPr>
        <w:spacing w:line="240" w:lineRule="auto" w:before="13"/>
        <w:rPr>
          <w:rFonts w:ascii="宋体" w:hAnsi="宋体" w:cs="宋体" w:eastAsia="宋体" w:hint="default"/>
          <w:sz w:val="25"/>
          <w:szCs w:val="25"/>
        </w:rPr>
      </w:pPr>
    </w:p>
    <w:p>
      <w:pPr>
        <w:spacing w:before="0"/>
        <w:ind w:left="136" w:right="0" w:firstLine="0"/>
        <w:jc w:val="both"/>
        <w:rPr>
          <w:rFonts w:ascii="宋体" w:hAnsi="宋体" w:cs="宋体" w:eastAsia="宋体" w:hint="default"/>
          <w:sz w:val="20"/>
          <w:szCs w:val="20"/>
        </w:rPr>
      </w:pPr>
      <w:r>
        <w:rPr>
          <w:rFonts w:ascii="Calibri" w:hAnsi="Calibri" w:cs="Calibri" w:eastAsia="Calibri" w:hint="default"/>
          <w:b/>
          <w:bCs/>
          <w:sz w:val="20"/>
          <w:szCs w:val="20"/>
        </w:rPr>
        <w:t>4</w:t>
      </w:r>
      <w:r>
        <w:rPr>
          <w:rFonts w:ascii="宋体" w:hAnsi="宋体" w:cs="宋体" w:eastAsia="宋体" w:hint="default"/>
          <w:b/>
          <w:bCs/>
          <w:sz w:val="20"/>
          <w:szCs w:val="20"/>
        </w:rPr>
        <w:t>、</w:t>
      </w:r>
      <w:r>
        <w:rPr>
          <w:rFonts w:ascii="宋体" w:hAnsi="宋体" w:cs="宋体" w:eastAsia="宋体" w:hint="default"/>
          <w:b/>
          <w:bCs/>
          <w:spacing w:val="17"/>
          <w:sz w:val="20"/>
          <w:szCs w:val="20"/>
        </w:rPr>
        <w:t> </w:t>
      </w:r>
      <w:r>
        <w:rPr>
          <w:rFonts w:ascii="宋体" w:hAnsi="宋体" w:cs="宋体" w:eastAsia="宋体" w:hint="default"/>
          <w:b/>
          <w:bCs/>
          <w:sz w:val="20"/>
          <w:szCs w:val="20"/>
        </w:rPr>
        <w:t>其他资产负债表日后事项说明</w:t>
      </w:r>
      <w:r>
        <w:rPr>
          <w:rFonts w:ascii="宋体" w:hAnsi="宋体" w:cs="宋体" w:eastAsia="宋体" w:hint="default"/>
          <w:sz w:val="20"/>
          <w:szCs w:val="20"/>
        </w:rPr>
      </w:r>
    </w:p>
    <w:p>
      <w:pPr>
        <w:pStyle w:val="BodyText"/>
        <w:tabs>
          <w:tab w:pos="1097" w:val="left" w:leader="none"/>
        </w:tabs>
        <w:spacing w:line="310" w:lineRule="exact" w:before="59"/>
        <w:ind w:right="7027"/>
        <w:jc w:val="left"/>
      </w:pPr>
      <w:r>
        <w:rPr/>
        <w:t>√适用</w:t>
        <w:tab/>
        <w:t>□不适用 疫情影响</w:t>
      </w:r>
    </w:p>
    <w:p>
      <w:pPr>
        <w:spacing w:line="240" w:lineRule="auto" w:before="3"/>
        <w:rPr>
          <w:rFonts w:ascii="宋体" w:hAnsi="宋体" w:cs="宋体" w:eastAsia="宋体" w:hint="default"/>
          <w:sz w:val="19"/>
          <w:szCs w:val="19"/>
        </w:rPr>
      </w:pPr>
    </w:p>
    <w:p>
      <w:pPr>
        <w:pStyle w:val="BodyText"/>
        <w:spacing w:line="235" w:lineRule="auto"/>
        <w:ind w:right="115"/>
        <w:jc w:val="both"/>
      </w:pPr>
      <w:r>
        <w:rPr/>
        <w:t>新型冠状病毒感染的肺炎疫情于</w:t>
      </w:r>
      <w:r>
        <w:rPr>
          <w:spacing w:val="1"/>
        </w:rPr>
        <w:t> </w:t>
      </w:r>
      <w:r>
        <w:rPr>
          <w:rFonts w:ascii="Times New Roman" w:hAnsi="Times New Roman" w:cs="Times New Roman" w:eastAsia="Times New Roman" w:hint="default"/>
        </w:rPr>
        <w:t>2020 </w:t>
      </w:r>
      <w:r>
        <w:rPr/>
        <w:t>年</w:t>
      </w:r>
      <w:r>
        <w:rPr>
          <w:spacing w:val="-60"/>
        </w:rPr>
        <w:t> </w:t>
      </w:r>
      <w:r>
        <w:rPr>
          <w:rFonts w:ascii="Times New Roman" w:hAnsi="Times New Roman" w:cs="Times New Roman" w:eastAsia="Times New Roman" w:hint="default"/>
        </w:rPr>
        <w:t>1 </w:t>
      </w:r>
      <w:r>
        <w:rPr/>
        <w:t>月在全国爆发以来，对肺炎疫情的防控工 </w:t>
      </w:r>
      <w:r>
        <w:rPr>
          <w:spacing w:val="-2"/>
        </w:rPr>
        <w:t>作正在全国范围内持续进行。本公司积极响应并严格执行党和国家各级政府对肺炎疫</w:t>
      </w:r>
      <w:r>
        <w:rPr>
          <w:spacing w:val="-94"/>
        </w:rPr>
        <w:t> </w:t>
      </w:r>
      <w:r>
        <w:rPr>
          <w:spacing w:val="-94"/>
        </w:rPr>
      </w:r>
      <w:r>
        <w:rPr>
          <w:spacing w:val="-8"/>
        </w:rPr>
        <w:t>情防控的各项规定和要求。本公司是企业与公共组织云服务、软件、金融服务提供商，</w:t>
      </w:r>
      <w:r>
        <w:rPr>
          <w:spacing w:val="-104"/>
        </w:rPr>
        <w:t> </w:t>
      </w:r>
      <w:r>
        <w:rPr>
          <w:spacing w:val="-104"/>
        </w:rPr>
      </w:r>
      <w:r>
        <w:rPr>
          <w:spacing w:val="-2"/>
        </w:rPr>
        <w:t>预计此次肺炎疫情及防控措施将对本公司整体经济运行影响较小。本公司将采取相关</w:t>
      </w:r>
      <w:r>
        <w:rPr>
          <w:spacing w:val="-94"/>
        </w:rPr>
        <w:t> </w:t>
      </w:r>
      <w:r>
        <w:rPr>
          <w:spacing w:val="-94"/>
        </w:rPr>
      </w:r>
      <w:r>
        <w:rPr>
          <w:spacing w:val="-2"/>
        </w:rPr>
        <w:t>经营策略以应对疫情的影响，截至本报告日，本公司仍在持续评估疫情对本公司经营</w:t>
      </w:r>
      <w:r>
        <w:rPr>
          <w:spacing w:val="-94"/>
        </w:rPr>
        <w:t> </w:t>
      </w:r>
      <w:r>
        <w:rPr>
          <w:spacing w:val="-94"/>
        </w:rPr>
      </w:r>
      <w:r>
        <w:rPr/>
        <w:t>的影响中。</w:t>
      </w:r>
    </w:p>
    <w:p>
      <w:pPr>
        <w:spacing w:line="240" w:lineRule="auto" w:before="13"/>
        <w:rPr>
          <w:rFonts w:ascii="宋体" w:hAnsi="宋体" w:cs="宋体" w:eastAsia="宋体" w:hint="default"/>
          <w:sz w:val="20"/>
          <w:szCs w:val="20"/>
        </w:rPr>
      </w:pPr>
    </w:p>
    <w:p>
      <w:pPr>
        <w:pStyle w:val="BodyText"/>
        <w:spacing w:line="240" w:lineRule="auto"/>
        <w:ind w:right="0"/>
        <w:jc w:val="both"/>
      </w:pPr>
      <w:r>
        <w:rPr/>
        <w:t>截至 </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27 </w:t>
      </w:r>
      <w:r>
        <w:rPr/>
        <w:t>日，本公司不存在其他应披露的资产负债表日后事项。</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1"/>
          <w:szCs w:val="21"/>
        </w:rPr>
      </w:pPr>
    </w:p>
    <w:p>
      <w:pPr>
        <w:spacing w:line="292" w:lineRule="auto" w:before="0"/>
        <w:ind w:left="136" w:right="6903" w:firstLine="0"/>
        <w:jc w:val="both"/>
        <w:rPr>
          <w:rFonts w:ascii="宋体" w:hAnsi="宋体" w:cs="宋体" w:eastAsia="宋体" w:hint="default"/>
          <w:sz w:val="20"/>
          <w:szCs w:val="20"/>
        </w:rPr>
      </w:pPr>
      <w:r>
        <w:rPr>
          <w:rFonts w:ascii="宋体" w:hAnsi="宋体" w:cs="宋体" w:eastAsia="宋体" w:hint="default"/>
          <w:b/>
          <w:bCs/>
          <w:sz w:val="20"/>
          <w:szCs w:val="20"/>
        </w:rPr>
        <w:t>十六、</w:t>
      </w:r>
      <w:r>
        <w:rPr>
          <w:rFonts w:ascii="宋体" w:hAnsi="宋体" w:cs="宋体" w:eastAsia="宋体" w:hint="default"/>
          <w:b/>
          <w:bCs/>
          <w:spacing w:val="33"/>
          <w:sz w:val="20"/>
          <w:szCs w:val="20"/>
        </w:rPr>
        <w:t> </w:t>
      </w:r>
      <w:r>
        <w:rPr>
          <w:rFonts w:ascii="宋体" w:hAnsi="宋体" w:cs="宋体" w:eastAsia="宋体" w:hint="default"/>
          <w:b/>
          <w:bCs/>
          <w:spacing w:val="33"/>
          <w:sz w:val="20"/>
          <w:szCs w:val="20"/>
        </w:rPr>
      </w:r>
      <w:r>
        <w:rPr>
          <w:rFonts w:ascii="宋体" w:hAnsi="宋体" w:cs="宋体" w:eastAsia="宋体" w:hint="default"/>
          <w:b/>
          <w:bCs/>
          <w:sz w:val="20"/>
          <w:szCs w:val="20"/>
        </w:rPr>
        <w:t>其他重要事项</w:t>
      </w:r>
      <w:r>
        <w:rPr>
          <w:rFonts w:ascii="宋体" w:hAnsi="宋体" w:cs="宋体" w:eastAsia="宋体" w:hint="default"/>
          <w:b/>
          <w:bCs/>
          <w:w w:val="99"/>
          <w:sz w:val="20"/>
          <w:szCs w:val="20"/>
        </w:rPr>
        <w:t> </w:t>
      </w:r>
      <w:r>
        <w:rPr>
          <w:rFonts w:ascii="宋体" w:hAnsi="宋体" w:cs="宋体" w:eastAsia="宋体" w:hint="default"/>
          <w:b/>
          <w:bCs/>
          <w:sz w:val="20"/>
          <w:szCs w:val="20"/>
        </w:rPr>
        <w:t>1</w:t>
      </w:r>
      <w:r>
        <w:rPr>
          <w:rFonts w:ascii="宋体" w:hAnsi="宋体" w:cs="宋体" w:eastAsia="宋体" w:hint="default"/>
          <w:b/>
          <w:bCs/>
          <w:sz w:val="20"/>
          <w:szCs w:val="20"/>
        </w:rPr>
        <w:t>、</w:t>
      </w:r>
      <w:r>
        <w:rPr>
          <w:rFonts w:ascii="宋体" w:hAnsi="宋体" w:cs="宋体" w:eastAsia="宋体" w:hint="default"/>
          <w:b/>
          <w:bCs/>
          <w:spacing w:val="19"/>
          <w:sz w:val="20"/>
          <w:szCs w:val="20"/>
        </w:rPr>
        <w:t> </w:t>
      </w:r>
      <w:r>
        <w:rPr>
          <w:rFonts w:ascii="宋体" w:hAnsi="宋体" w:cs="宋体" w:eastAsia="宋体" w:hint="default"/>
          <w:b/>
          <w:bCs/>
          <w:sz w:val="20"/>
          <w:szCs w:val="20"/>
        </w:rPr>
        <w:t>前期会计差错更正</w:t>
      </w:r>
      <w:r>
        <w:rPr>
          <w:rFonts w:ascii="宋体" w:hAnsi="宋体" w:cs="宋体" w:eastAsia="宋体" w:hint="default"/>
          <w:b/>
          <w:bCs/>
          <w:w w:val="99"/>
          <w:sz w:val="20"/>
          <w:szCs w:val="20"/>
        </w:rPr>
        <w:t> </w:t>
      </w:r>
      <w:r>
        <w:rPr>
          <w:rFonts w:ascii="宋体" w:hAnsi="宋体" w:cs="宋体" w:eastAsia="宋体" w:hint="default"/>
          <w:b/>
          <w:bCs/>
          <w:sz w:val="20"/>
          <w:szCs w:val="20"/>
        </w:rPr>
        <w:t>(1).</w:t>
      </w:r>
      <w:r>
        <w:rPr>
          <w:rFonts w:ascii="宋体" w:hAnsi="宋体" w:cs="宋体" w:eastAsia="宋体" w:hint="default"/>
          <w:b/>
          <w:bCs/>
          <w:spacing w:val="-22"/>
          <w:sz w:val="20"/>
          <w:szCs w:val="20"/>
        </w:rPr>
        <w:t> </w:t>
      </w:r>
      <w:r>
        <w:rPr>
          <w:rFonts w:ascii="宋体" w:hAnsi="宋体" w:cs="宋体" w:eastAsia="宋体" w:hint="default"/>
          <w:b/>
          <w:bCs/>
          <w:sz w:val="20"/>
          <w:szCs w:val="20"/>
        </w:rPr>
        <w:t>追溯重述法</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5"/>
        <w:ind w:right="0"/>
        <w:jc w:val="both"/>
      </w:pPr>
      <w:r>
        <w:rPr/>
        <w:t>□适用 √不适用</w:t>
      </w:r>
    </w:p>
    <w:p>
      <w:pPr>
        <w:spacing w:before="66"/>
        <w:ind w:left="136" w:right="0" w:firstLine="0"/>
        <w:jc w:val="both"/>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22"/>
          <w:sz w:val="20"/>
          <w:szCs w:val="20"/>
        </w:rPr>
        <w:t> </w:t>
      </w:r>
      <w:r>
        <w:rPr>
          <w:rFonts w:ascii="宋体" w:hAnsi="宋体" w:cs="宋体" w:eastAsia="宋体" w:hint="default"/>
          <w:b/>
          <w:bCs/>
          <w:sz w:val="20"/>
          <w:szCs w:val="20"/>
        </w:rPr>
        <w:t>未来适用法</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both"/>
      </w:pPr>
      <w:r>
        <w:rPr/>
        <w:t>□适用 √不适用</w:t>
      </w:r>
    </w:p>
    <w:p>
      <w:pPr>
        <w:spacing w:before="64"/>
        <w:ind w:left="136" w:right="0" w:firstLine="0"/>
        <w:jc w:val="both"/>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w:t>
      </w:r>
      <w:r>
        <w:rPr>
          <w:rFonts w:ascii="宋体" w:hAnsi="宋体" w:cs="宋体" w:eastAsia="宋体" w:hint="default"/>
          <w:b/>
          <w:bCs/>
          <w:spacing w:val="23"/>
          <w:sz w:val="20"/>
          <w:szCs w:val="20"/>
        </w:rPr>
        <w:t> </w:t>
      </w:r>
      <w:r>
        <w:rPr>
          <w:rFonts w:ascii="宋体" w:hAnsi="宋体" w:cs="宋体" w:eastAsia="宋体" w:hint="default"/>
          <w:b/>
          <w:bCs/>
          <w:sz w:val="20"/>
          <w:szCs w:val="20"/>
        </w:rPr>
        <w:t>债务重组</w:t>
      </w:r>
      <w:r>
        <w:rPr>
          <w:rFonts w:ascii="宋体" w:hAnsi="宋体" w:cs="宋体" w:eastAsia="宋体" w:hint="default"/>
          <w:sz w:val="20"/>
          <w:szCs w:val="20"/>
        </w:rPr>
      </w:r>
    </w:p>
    <w:p>
      <w:pPr>
        <w:pStyle w:val="BodyText"/>
        <w:spacing w:line="240" w:lineRule="auto" w:before="49"/>
        <w:ind w:right="0"/>
        <w:jc w:val="both"/>
      </w:pPr>
      <w:r>
        <w:rPr/>
        <w:t>□适用 √不适用</w:t>
      </w:r>
    </w:p>
    <w:p>
      <w:pPr>
        <w:spacing w:line="240" w:lineRule="auto" w:before="3"/>
        <w:rPr>
          <w:rFonts w:ascii="宋体" w:hAnsi="宋体" w:cs="宋体" w:eastAsia="宋体" w:hint="default"/>
          <w:sz w:val="26"/>
          <w:szCs w:val="26"/>
        </w:rPr>
      </w:pPr>
    </w:p>
    <w:p>
      <w:pPr>
        <w:spacing w:before="0"/>
        <w:ind w:left="136" w:right="0" w:firstLine="0"/>
        <w:jc w:val="both"/>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z w:val="20"/>
          <w:szCs w:val="20"/>
        </w:rPr>
        <w:t>、</w:t>
      </w:r>
      <w:r>
        <w:rPr>
          <w:rFonts w:ascii="宋体" w:hAnsi="宋体" w:cs="宋体" w:eastAsia="宋体" w:hint="default"/>
          <w:b/>
          <w:bCs/>
          <w:spacing w:val="23"/>
          <w:sz w:val="20"/>
          <w:szCs w:val="20"/>
        </w:rPr>
        <w:t> </w:t>
      </w:r>
      <w:r>
        <w:rPr>
          <w:rFonts w:ascii="宋体" w:hAnsi="宋体" w:cs="宋体" w:eastAsia="宋体" w:hint="default"/>
          <w:b/>
          <w:bCs/>
          <w:sz w:val="20"/>
          <w:szCs w:val="20"/>
        </w:rPr>
        <w:t>资产置换</w:t>
      </w:r>
      <w:r>
        <w:rPr>
          <w:rFonts w:ascii="宋体" w:hAnsi="宋体" w:cs="宋体" w:eastAsia="宋体" w:hint="default"/>
          <w:sz w:val="20"/>
          <w:szCs w:val="20"/>
        </w:rPr>
      </w:r>
    </w:p>
    <w:p>
      <w:pPr>
        <w:spacing w:before="57"/>
        <w:ind w:left="136" w:right="0" w:firstLine="0"/>
        <w:jc w:val="both"/>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pacing w:val="-23"/>
          <w:sz w:val="20"/>
          <w:szCs w:val="20"/>
        </w:rPr>
        <w:t> </w:t>
      </w:r>
      <w:r>
        <w:rPr>
          <w:rFonts w:ascii="宋体" w:hAnsi="宋体" w:cs="宋体" w:eastAsia="宋体" w:hint="default"/>
          <w:b/>
          <w:bCs/>
          <w:sz w:val="20"/>
          <w:szCs w:val="20"/>
        </w:rPr>
        <w:t>非货币性资产交换</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97"/>
        <w:ind w:right="0"/>
        <w:jc w:val="both"/>
      </w:pPr>
      <w:r>
        <w:rPr/>
        <w:t>□适用  √不适用</w:t>
      </w:r>
    </w:p>
    <w:p>
      <w:pPr>
        <w:spacing w:line="240" w:lineRule="auto" w:before="2"/>
        <w:rPr>
          <w:rFonts w:ascii="宋体" w:hAnsi="宋体" w:cs="宋体" w:eastAsia="宋体" w:hint="default"/>
          <w:sz w:val="26"/>
          <w:szCs w:val="26"/>
        </w:rPr>
      </w:pPr>
    </w:p>
    <w:p>
      <w:pPr>
        <w:spacing w:before="0"/>
        <w:ind w:left="136" w:right="0" w:firstLine="0"/>
        <w:jc w:val="both"/>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22"/>
          <w:sz w:val="20"/>
          <w:szCs w:val="20"/>
        </w:rPr>
        <w:t> </w:t>
      </w:r>
      <w:r>
        <w:rPr>
          <w:rFonts w:ascii="宋体" w:hAnsi="宋体" w:cs="宋体" w:eastAsia="宋体" w:hint="default"/>
          <w:b/>
          <w:bCs/>
          <w:sz w:val="20"/>
          <w:szCs w:val="20"/>
        </w:rPr>
        <w:t>其他资产置换</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both"/>
      </w:pPr>
      <w:r>
        <w:rPr/>
        <w:t>□适用  √不适用</w:t>
      </w:r>
    </w:p>
    <w:p>
      <w:pPr>
        <w:spacing w:line="240" w:lineRule="auto" w:before="2"/>
        <w:rPr>
          <w:rFonts w:ascii="宋体" w:hAnsi="宋体" w:cs="宋体" w:eastAsia="宋体" w:hint="default"/>
          <w:sz w:val="26"/>
          <w:szCs w:val="26"/>
        </w:rPr>
      </w:pPr>
    </w:p>
    <w:p>
      <w:pPr>
        <w:spacing w:before="0"/>
        <w:ind w:left="136" w:right="0" w:firstLine="0"/>
        <w:jc w:val="both"/>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z w:val="20"/>
          <w:szCs w:val="20"/>
        </w:rPr>
        <w:t>、</w:t>
      </w:r>
      <w:r>
        <w:rPr>
          <w:rFonts w:ascii="宋体" w:hAnsi="宋体" w:cs="宋体" w:eastAsia="宋体" w:hint="default"/>
          <w:b/>
          <w:bCs/>
          <w:spacing w:val="23"/>
          <w:sz w:val="20"/>
          <w:szCs w:val="20"/>
        </w:rPr>
        <w:t> </w:t>
      </w:r>
      <w:r>
        <w:rPr>
          <w:rFonts w:ascii="宋体" w:hAnsi="宋体" w:cs="宋体" w:eastAsia="宋体" w:hint="default"/>
          <w:b/>
          <w:bCs/>
          <w:sz w:val="20"/>
          <w:szCs w:val="20"/>
        </w:rPr>
        <w:t>年金计划</w:t>
      </w:r>
      <w:r>
        <w:rPr>
          <w:rFonts w:ascii="宋体" w:hAnsi="宋体" w:cs="宋体" w:eastAsia="宋体" w:hint="default"/>
          <w:sz w:val="20"/>
          <w:szCs w:val="20"/>
        </w:rPr>
      </w:r>
    </w:p>
    <w:p>
      <w:pPr>
        <w:pStyle w:val="BodyText"/>
        <w:spacing w:line="240" w:lineRule="auto" w:before="49"/>
        <w:ind w:right="0"/>
        <w:jc w:val="both"/>
      </w:pPr>
      <w:r>
        <w:rPr/>
        <w:t>□适用 √不适用</w:t>
      </w:r>
    </w:p>
    <w:p>
      <w:pPr>
        <w:spacing w:after="0" w:line="240" w:lineRule="auto"/>
        <w:jc w:val="both"/>
        <w:sectPr>
          <w:pgSz w:w="11910" w:h="16840"/>
          <w:pgMar w:header="745" w:footer="1195" w:top="1080" w:bottom="1380" w:left="1140" w:right="1680"/>
        </w:sectPr>
      </w:pPr>
    </w:p>
    <w:p>
      <w:pPr>
        <w:spacing w:line="240" w:lineRule="auto" w:before="1"/>
        <w:rPr>
          <w:rFonts w:ascii="宋体" w:hAnsi="宋体" w:cs="宋体" w:eastAsia="宋体" w:hint="default"/>
          <w:sz w:val="22"/>
          <w:szCs w:val="22"/>
        </w:rPr>
      </w:pPr>
    </w:p>
    <w:p>
      <w:pPr>
        <w:spacing w:before="37"/>
        <w:ind w:left="236" w:right="4250"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z w:val="20"/>
          <w:szCs w:val="20"/>
        </w:rPr>
        <w:t>、</w:t>
      </w:r>
      <w:r>
        <w:rPr>
          <w:rFonts w:ascii="宋体" w:hAnsi="宋体" w:cs="宋体" w:eastAsia="宋体" w:hint="default"/>
          <w:b/>
          <w:bCs/>
          <w:spacing w:val="20"/>
          <w:sz w:val="20"/>
          <w:szCs w:val="20"/>
        </w:rPr>
        <w:t> </w:t>
      </w:r>
      <w:r>
        <w:rPr>
          <w:rFonts w:ascii="宋体" w:hAnsi="宋体" w:cs="宋体" w:eastAsia="宋体" w:hint="default"/>
          <w:b/>
          <w:bCs/>
          <w:sz w:val="20"/>
          <w:szCs w:val="20"/>
        </w:rPr>
        <w:t>终止经营</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36" w:right="4250"/>
        <w:jc w:val="left"/>
      </w:pPr>
      <w:r>
        <w:rPr/>
        <w:t>□适用 √不适用</w:t>
      </w:r>
    </w:p>
    <w:p>
      <w:pPr>
        <w:spacing w:line="240" w:lineRule="auto" w:before="2"/>
        <w:rPr>
          <w:rFonts w:ascii="宋体" w:hAnsi="宋体" w:cs="宋体" w:eastAsia="宋体" w:hint="default"/>
          <w:sz w:val="26"/>
          <w:szCs w:val="26"/>
        </w:rPr>
      </w:pPr>
    </w:p>
    <w:p>
      <w:pPr>
        <w:spacing w:before="0"/>
        <w:ind w:left="236" w:right="4250" w:firstLine="0"/>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z w:val="20"/>
          <w:szCs w:val="20"/>
        </w:rPr>
        <w:t>、</w:t>
      </w:r>
      <w:r>
        <w:rPr>
          <w:rFonts w:ascii="宋体" w:hAnsi="宋体" w:cs="宋体" w:eastAsia="宋体" w:hint="default"/>
          <w:b/>
          <w:bCs/>
          <w:spacing w:val="20"/>
          <w:sz w:val="20"/>
          <w:szCs w:val="20"/>
        </w:rPr>
        <w:t> </w:t>
      </w:r>
      <w:r>
        <w:rPr>
          <w:rFonts w:ascii="宋体" w:hAnsi="宋体" w:cs="宋体" w:eastAsia="宋体" w:hint="default"/>
          <w:b/>
          <w:bCs/>
          <w:sz w:val="20"/>
          <w:szCs w:val="20"/>
        </w:rPr>
        <w:t>分部信息</w:t>
      </w:r>
      <w:r>
        <w:rPr>
          <w:rFonts w:ascii="宋体" w:hAnsi="宋体" w:cs="宋体" w:eastAsia="宋体" w:hint="default"/>
          <w:b/>
          <w:bCs/>
          <w:w w:val="98"/>
          <w:sz w:val="20"/>
          <w:szCs w:val="20"/>
        </w:rPr>
        <w:t> </w:t>
      </w:r>
      <w:r>
        <w:rPr>
          <w:rFonts w:ascii="宋体" w:hAnsi="宋体" w:cs="宋体" w:eastAsia="宋体" w:hint="default"/>
          <w:sz w:val="20"/>
          <w:szCs w:val="20"/>
        </w:rPr>
      </w:r>
    </w:p>
    <w:p>
      <w:pPr>
        <w:spacing w:before="57"/>
        <w:ind w:left="236" w:right="4250"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pacing w:val="-22"/>
          <w:sz w:val="20"/>
          <w:szCs w:val="20"/>
        </w:rPr>
        <w:t> </w:t>
      </w:r>
      <w:r>
        <w:rPr>
          <w:rFonts w:ascii="宋体" w:hAnsi="宋体" w:cs="宋体" w:eastAsia="宋体" w:hint="default"/>
          <w:b/>
          <w:bCs/>
          <w:sz w:val="20"/>
          <w:szCs w:val="20"/>
        </w:rPr>
        <w:t>报告分部的确定依据与会计政策</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97" w:val="left" w:leader="none"/>
        </w:tabs>
        <w:spacing w:line="240" w:lineRule="auto" w:before="49"/>
        <w:ind w:left="236" w:right="4250"/>
        <w:jc w:val="left"/>
      </w:pPr>
      <w:r>
        <w:rPr/>
        <w:t>□适用</w:t>
        <w:tab/>
        <w:t>√不适用</w:t>
      </w:r>
    </w:p>
    <w:p>
      <w:pPr>
        <w:spacing w:line="240" w:lineRule="auto" w:before="2"/>
        <w:rPr>
          <w:rFonts w:ascii="宋体" w:hAnsi="宋体" w:cs="宋体" w:eastAsia="宋体" w:hint="default"/>
          <w:sz w:val="26"/>
          <w:szCs w:val="26"/>
        </w:rPr>
      </w:pPr>
    </w:p>
    <w:p>
      <w:pPr>
        <w:spacing w:before="0"/>
        <w:ind w:left="236" w:right="4250"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报告分部的财务信息</w:t>
      </w:r>
      <w:r>
        <w:rPr>
          <w:rFonts w:ascii="宋体" w:hAnsi="宋体" w:cs="宋体" w:eastAsia="宋体" w:hint="default"/>
          <w:b/>
          <w:bCs/>
          <w:w w:val="98"/>
          <w:sz w:val="20"/>
          <w:szCs w:val="20"/>
        </w:rPr>
        <w:t> </w:t>
      </w:r>
      <w:r>
        <w:rPr>
          <w:rFonts w:ascii="宋体" w:hAnsi="宋体" w:cs="宋体" w:eastAsia="宋体" w:hint="default"/>
          <w:sz w:val="20"/>
          <w:szCs w:val="20"/>
        </w:rPr>
      </w:r>
    </w:p>
    <w:p>
      <w:pPr>
        <w:spacing w:before="57"/>
        <w:ind w:left="236" w:right="4250" w:firstLine="0"/>
        <w:jc w:val="left"/>
        <w:rPr>
          <w:rFonts w:ascii="宋体" w:hAnsi="宋体" w:cs="宋体" w:eastAsia="宋体" w:hint="default"/>
          <w:sz w:val="20"/>
          <w:szCs w:val="20"/>
        </w:rPr>
      </w:pPr>
      <w:r>
        <w:rPr>
          <w:rFonts w:ascii="宋体" w:hAnsi="宋体" w:cs="宋体" w:eastAsia="宋体" w:hint="default"/>
          <w:sz w:val="20"/>
          <w:szCs w:val="20"/>
        </w:rPr>
        <w:t>□适用</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√不适用</w:t>
      </w:r>
      <w:r>
        <w:rPr>
          <w:rFonts w:ascii="宋体" w:hAnsi="宋体" w:cs="宋体" w:eastAsia="宋体" w:hint="default"/>
          <w:sz w:val="20"/>
          <w:szCs w:val="20"/>
        </w:rPr>
        <w:t> </w:t>
      </w:r>
    </w:p>
    <w:p>
      <w:pPr>
        <w:spacing w:before="57"/>
        <w:ind w:left="236" w:right="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pacing w:val="-23"/>
          <w:sz w:val="20"/>
          <w:szCs w:val="20"/>
        </w:rPr>
        <w:t> </w:t>
      </w:r>
      <w:r>
        <w:rPr>
          <w:rFonts w:ascii="宋体" w:hAnsi="宋体" w:cs="宋体" w:eastAsia="宋体" w:hint="default"/>
          <w:b/>
          <w:bCs/>
          <w:sz w:val="20"/>
          <w:szCs w:val="20"/>
        </w:rPr>
        <w:t>公司无报告分部的，或者不能披露各报告分部的资产总额和负债总额的，应说明原因</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97" w:val="left" w:leader="none"/>
        </w:tabs>
        <w:spacing w:line="240" w:lineRule="auto" w:before="49"/>
        <w:ind w:left="236" w:right="4250"/>
        <w:jc w:val="left"/>
      </w:pPr>
      <w:r>
        <w:rPr/>
        <w:t>□适用</w:t>
        <w:tab/>
        <w:t>√不适用</w:t>
      </w:r>
    </w:p>
    <w:p>
      <w:pPr>
        <w:spacing w:line="240" w:lineRule="auto" w:before="0"/>
        <w:rPr>
          <w:rFonts w:ascii="宋体" w:hAnsi="宋体" w:cs="宋体" w:eastAsia="宋体" w:hint="default"/>
          <w:sz w:val="26"/>
          <w:szCs w:val="26"/>
        </w:rPr>
      </w:pPr>
    </w:p>
    <w:p>
      <w:pPr>
        <w:spacing w:before="0"/>
        <w:ind w:left="236" w:right="4250"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pacing w:val="-22"/>
          <w:sz w:val="20"/>
          <w:szCs w:val="20"/>
        </w:rPr>
        <w:t> </w:t>
      </w:r>
      <w:r>
        <w:rPr>
          <w:rFonts w:ascii="宋体" w:hAnsi="宋体" w:cs="宋体" w:eastAsia="宋体" w:hint="default"/>
          <w:b/>
          <w:bCs/>
          <w:sz w:val="20"/>
          <w:szCs w:val="20"/>
        </w:rPr>
        <w:t>其他说明</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97" w:val="left" w:leader="none"/>
        </w:tabs>
        <w:spacing w:line="240" w:lineRule="auto" w:before="51"/>
        <w:ind w:left="236" w:right="4250"/>
        <w:jc w:val="left"/>
      </w:pPr>
      <w:r>
        <w:rPr/>
        <w:t>□适用</w:t>
        <w:tab/>
        <w:t>√不适用</w:t>
      </w:r>
    </w:p>
    <w:p>
      <w:pPr>
        <w:spacing w:line="240" w:lineRule="auto" w:before="13"/>
        <w:rPr>
          <w:rFonts w:ascii="宋体" w:hAnsi="宋体" w:cs="宋体" w:eastAsia="宋体" w:hint="default"/>
          <w:sz w:val="25"/>
          <w:szCs w:val="25"/>
        </w:rPr>
      </w:pPr>
    </w:p>
    <w:p>
      <w:pPr>
        <w:spacing w:before="0"/>
        <w:ind w:left="236" w:right="4250" w:firstLine="0"/>
        <w:jc w:val="left"/>
        <w:rPr>
          <w:rFonts w:ascii="宋体" w:hAnsi="宋体" w:cs="宋体" w:eastAsia="宋体" w:hint="default"/>
          <w:sz w:val="20"/>
          <w:szCs w:val="20"/>
        </w:rPr>
      </w:pPr>
      <w:r>
        <w:rPr>
          <w:rFonts w:ascii="宋体" w:hAnsi="宋体" w:cs="宋体" w:eastAsia="宋体" w:hint="default"/>
          <w:b/>
          <w:bCs/>
          <w:sz w:val="20"/>
          <w:szCs w:val="20"/>
        </w:rPr>
        <w:t>7</w:t>
      </w:r>
      <w:r>
        <w:rPr>
          <w:rFonts w:ascii="宋体" w:hAnsi="宋体" w:cs="宋体" w:eastAsia="宋体" w:hint="default"/>
          <w:b/>
          <w:bCs/>
          <w:sz w:val="20"/>
          <w:szCs w:val="20"/>
        </w:rPr>
        <w:t>、</w:t>
      </w:r>
      <w:r>
        <w:rPr>
          <w:rFonts w:ascii="宋体" w:hAnsi="宋体" w:cs="宋体" w:eastAsia="宋体" w:hint="default"/>
          <w:b/>
          <w:bCs/>
          <w:spacing w:val="18"/>
          <w:sz w:val="20"/>
          <w:szCs w:val="20"/>
        </w:rPr>
        <w:t> </w:t>
      </w:r>
      <w:r>
        <w:rPr>
          <w:rFonts w:ascii="宋体" w:hAnsi="宋体" w:cs="宋体" w:eastAsia="宋体" w:hint="default"/>
          <w:b/>
          <w:bCs/>
          <w:sz w:val="20"/>
          <w:szCs w:val="20"/>
        </w:rPr>
        <w:t>其他对投资者决策有影响的重要交易和事项</w:t>
      </w:r>
      <w:r>
        <w:rPr>
          <w:rFonts w:ascii="宋体" w:hAnsi="宋体" w:cs="宋体" w:eastAsia="宋体" w:hint="default"/>
          <w:sz w:val="20"/>
          <w:szCs w:val="20"/>
        </w:rPr>
      </w:r>
    </w:p>
    <w:p>
      <w:pPr>
        <w:pStyle w:val="BodyText"/>
        <w:tabs>
          <w:tab w:pos="1197" w:val="left" w:leader="none"/>
        </w:tabs>
        <w:spacing w:line="240" w:lineRule="auto" w:before="97"/>
        <w:ind w:left="236" w:right="4250"/>
        <w:jc w:val="left"/>
      </w:pPr>
      <w:r>
        <w:rPr/>
        <w:t>□适用</w:t>
        <w:tab/>
        <w:t>√不适用</w:t>
      </w:r>
    </w:p>
    <w:p>
      <w:pPr>
        <w:spacing w:line="240" w:lineRule="auto" w:before="4"/>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footerReference w:type="default" r:id="rId98"/>
          <w:pgSz w:w="11910" w:h="16840"/>
          <w:pgMar w:footer="1195" w:header="745" w:top="1080" w:bottom="1380" w:left="1040" w:right="1560"/>
        </w:sectPr>
      </w:pPr>
    </w:p>
    <w:p>
      <w:pPr>
        <w:spacing w:before="37"/>
        <w:ind w:left="236" w:right="0" w:firstLine="0"/>
        <w:jc w:val="left"/>
        <w:rPr>
          <w:rFonts w:ascii="宋体" w:hAnsi="宋体" w:cs="宋体" w:eastAsia="宋体" w:hint="default"/>
          <w:sz w:val="20"/>
          <w:szCs w:val="20"/>
        </w:rPr>
      </w:pPr>
      <w:r>
        <w:rPr>
          <w:rFonts w:ascii="宋体" w:hAnsi="宋体" w:cs="宋体" w:eastAsia="宋体" w:hint="default"/>
          <w:b/>
          <w:bCs/>
          <w:sz w:val="20"/>
          <w:szCs w:val="20"/>
        </w:rPr>
        <w:t>8</w:t>
      </w:r>
      <w:r>
        <w:rPr>
          <w:rFonts w:ascii="宋体" w:hAnsi="宋体" w:cs="宋体" w:eastAsia="宋体" w:hint="default"/>
          <w:b/>
          <w:bCs/>
          <w:sz w:val="20"/>
          <w:szCs w:val="20"/>
        </w:rPr>
        <w:t>、</w:t>
      </w:r>
      <w:r>
        <w:rPr>
          <w:rFonts w:ascii="宋体" w:hAnsi="宋体" w:cs="宋体" w:eastAsia="宋体" w:hint="default"/>
          <w:b/>
          <w:bCs/>
          <w:spacing w:val="23"/>
          <w:sz w:val="20"/>
          <w:szCs w:val="20"/>
        </w:rPr>
        <w:t> </w:t>
      </w:r>
      <w:r>
        <w:rPr>
          <w:rFonts w:ascii="宋体" w:hAnsi="宋体" w:cs="宋体" w:eastAsia="宋体" w:hint="default"/>
          <w:b/>
          <w:bCs/>
          <w:sz w:val="20"/>
          <w:szCs w:val="20"/>
        </w:rPr>
        <w:t>其他</w:t>
      </w:r>
      <w:r>
        <w:rPr>
          <w:rFonts w:ascii="宋体" w:hAnsi="宋体" w:cs="宋体" w:eastAsia="宋体" w:hint="default"/>
          <w:sz w:val="20"/>
          <w:szCs w:val="20"/>
        </w:rPr>
      </w:r>
    </w:p>
    <w:p>
      <w:pPr>
        <w:pStyle w:val="BodyText"/>
        <w:tabs>
          <w:tab w:pos="1197" w:val="left" w:leader="none"/>
        </w:tabs>
        <w:spacing w:line="240" w:lineRule="auto" w:before="49"/>
        <w:ind w:left="236" w:right="0"/>
        <w:jc w:val="left"/>
      </w:pPr>
      <w:r>
        <w:rPr/>
        <w:t>□适用</w:t>
        <w:tab/>
        <w:t>√不适用</w:t>
      </w:r>
    </w:p>
    <w:p>
      <w:pPr>
        <w:spacing w:before="66"/>
        <w:ind w:left="236" w:right="0" w:firstLine="0"/>
        <w:jc w:val="left"/>
        <w:rPr>
          <w:rFonts w:ascii="宋体" w:hAnsi="宋体" w:cs="宋体" w:eastAsia="宋体" w:hint="default"/>
          <w:sz w:val="20"/>
          <w:szCs w:val="20"/>
        </w:rPr>
      </w:pPr>
      <w:r>
        <w:rPr>
          <w:rFonts w:ascii="宋体" w:hAnsi="宋体" w:cs="宋体" w:eastAsia="宋体" w:hint="default"/>
          <w:b/>
          <w:bCs/>
          <w:sz w:val="20"/>
          <w:szCs w:val="20"/>
        </w:rPr>
        <w:t>十七、 </w:t>
      </w:r>
      <w:r>
        <w:rPr>
          <w:rFonts w:ascii="宋体" w:hAnsi="宋体" w:cs="宋体" w:eastAsia="宋体" w:hint="default"/>
          <w:b/>
          <w:bCs/>
          <w:spacing w:val="34"/>
          <w:sz w:val="20"/>
          <w:szCs w:val="20"/>
        </w:rPr>
        <w:t> </w:t>
      </w:r>
      <w:r>
        <w:rPr>
          <w:rFonts w:ascii="宋体" w:hAnsi="宋体" w:cs="宋体" w:eastAsia="宋体" w:hint="default"/>
          <w:b/>
          <w:bCs/>
          <w:spacing w:val="34"/>
          <w:sz w:val="20"/>
          <w:szCs w:val="20"/>
        </w:rPr>
      </w:r>
      <w:r>
        <w:rPr>
          <w:rFonts w:ascii="宋体" w:hAnsi="宋体" w:cs="宋体" w:eastAsia="宋体" w:hint="default"/>
          <w:b/>
          <w:bCs/>
          <w:sz w:val="20"/>
          <w:szCs w:val="20"/>
        </w:rPr>
        <w:t>母公司财务报表主要项目注释</w:t>
      </w:r>
      <w:r>
        <w:rPr>
          <w:rFonts w:ascii="宋体" w:hAnsi="宋体" w:cs="宋体" w:eastAsia="宋体" w:hint="default"/>
          <w:b/>
          <w:bCs/>
          <w:w w:val="98"/>
          <w:sz w:val="20"/>
          <w:szCs w:val="20"/>
        </w:rPr>
        <w:t> </w:t>
      </w:r>
      <w:r>
        <w:rPr>
          <w:rFonts w:ascii="宋体" w:hAnsi="宋体" w:cs="宋体" w:eastAsia="宋体" w:hint="default"/>
          <w:sz w:val="20"/>
          <w:szCs w:val="20"/>
        </w:rPr>
      </w:r>
    </w:p>
    <w:p>
      <w:pPr>
        <w:spacing w:line="290" w:lineRule="auto" w:before="55"/>
        <w:ind w:left="236" w:right="1941" w:firstLine="0"/>
        <w:jc w:val="left"/>
        <w:rPr>
          <w:rFonts w:ascii="宋体" w:hAnsi="宋体" w:cs="宋体" w:eastAsia="宋体" w:hint="default"/>
          <w:sz w:val="20"/>
          <w:szCs w:val="20"/>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0"/>
          <w:szCs w:val="20"/>
        </w:rPr>
        <w:t>应收账款</w:t>
      </w:r>
      <w:r>
        <w:rPr>
          <w:rFonts w:ascii="宋体" w:hAnsi="宋体" w:cs="宋体" w:eastAsia="宋体" w:hint="default"/>
          <w:b/>
          <w:bCs/>
          <w:spacing w:val="2"/>
          <w:w w:val="99"/>
          <w:sz w:val="20"/>
          <w:szCs w:val="20"/>
        </w:rPr>
        <w:t> </w:t>
      </w:r>
      <w:r>
        <w:rPr>
          <w:rFonts w:ascii="宋体" w:hAnsi="宋体" w:cs="宋体" w:eastAsia="宋体" w:hint="default"/>
          <w:b/>
          <w:bCs/>
          <w:sz w:val="20"/>
          <w:szCs w:val="20"/>
        </w:rPr>
        <w:t>(1).</w:t>
      </w:r>
      <w:r>
        <w:rPr>
          <w:rFonts w:ascii="宋体" w:hAnsi="宋体" w:cs="宋体" w:eastAsia="宋体" w:hint="default"/>
          <w:b/>
          <w:bCs/>
          <w:spacing w:val="-22"/>
          <w:sz w:val="20"/>
          <w:szCs w:val="20"/>
        </w:rPr>
        <w:t> </w:t>
      </w:r>
      <w:r>
        <w:rPr>
          <w:rFonts w:ascii="宋体" w:hAnsi="宋体" w:cs="宋体" w:eastAsia="宋体" w:hint="default"/>
          <w:b/>
          <w:bCs/>
          <w:sz w:val="20"/>
          <w:szCs w:val="20"/>
        </w:rPr>
        <w:t>按账龄披露</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7"/>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32"/>
          <w:szCs w:val="32"/>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3789" w:space="2404"/>
            <w:col w:w="3117"/>
          </w:cols>
        </w:sectPr>
      </w:pPr>
    </w:p>
    <w:p>
      <w:pPr>
        <w:spacing w:line="240" w:lineRule="auto" w:before="12"/>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451"/>
        <w:gridCol w:w="4611"/>
      </w:tblGrid>
      <w:tr>
        <w:trPr>
          <w:trHeight w:val="322"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978"/>
              <w:jc w:val="right"/>
              <w:rPr>
                <w:rFonts w:ascii="宋体" w:hAnsi="宋体" w:cs="宋体" w:eastAsia="宋体" w:hint="default"/>
                <w:sz w:val="24"/>
                <w:szCs w:val="24"/>
              </w:rPr>
            </w:pPr>
            <w:r>
              <w:rPr>
                <w:rFonts w:ascii="宋体" w:hAnsi="宋体" w:cs="宋体" w:eastAsia="宋体" w:hint="default"/>
                <w:sz w:val="24"/>
                <w:szCs w:val="24"/>
              </w:rPr>
              <w:t>账龄</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期末账面余额</w:t>
            </w:r>
          </w:p>
        </w:tc>
      </w:tr>
      <w:tr>
        <w:trPr>
          <w:trHeight w:val="322" w:hRule="exact"/>
        </w:trPr>
        <w:tc>
          <w:tcPr>
            <w:tcW w:w="9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r>
      <w:tr>
        <w:trPr>
          <w:trHeight w:val="319" w:hRule="exact"/>
        </w:trPr>
        <w:tc>
          <w:tcPr>
            <w:tcW w:w="9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宋体" w:hAnsi="宋体" w:cs="宋体" w:eastAsia="宋体" w:hint="default"/>
                <w:sz w:val="24"/>
                <w:szCs w:val="24"/>
              </w:rPr>
              <w:t>其中：</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年以内分项</w:t>
            </w:r>
          </w:p>
        </w:tc>
      </w:tr>
      <w:tr>
        <w:trPr>
          <w:trHeight w:val="322"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0"/>
              <w:jc w:val="right"/>
              <w:rPr>
                <w:rFonts w:ascii="Times New Roman" w:hAnsi="Times New Roman" w:cs="Times New Roman" w:eastAsia="Times New Roman" w:hint="default"/>
                <w:sz w:val="24"/>
                <w:szCs w:val="24"/>
              </w:rPr>
            </w:pPr>
            <w:r>
              <w:rPr>
                <w:rFonts w:ascii="Times New Roman"/>
                <w:sz w:val="24"/>
              </w:rPr>
              <w:t>422,653,998</w:t>
            </w:r>
          </w:p>
        </w:tc>
      </w:tr>
      <w:tr>
        <w:trPr>
          <w:trHeight w:val="286" w:hRule="exact"/>
        </w:trPr>
        <w:tc>
          <w:tcPr>
            <w:tcW w:w="4451" w:type="dxa"/>
            <w:tcBorders>
              <w:top w:val="single" w:sz="4" w:space="0" w:color="000000"/>
              <w:left w:val="single" w:sz="4" w:space="0" w:color="000000"/>
              <w:bottom w:val="single" w:sz="4" w:space="0" w:color="000000"/>
              <w:right w:val="single" w:sz="4" w:space="0" w:color="000000"/>
            </w:tcBorders>
          </w:tcPr>
          <w:p>
            <w:pPr/>
          </w:p>
        </w:tc>
        <w:tc>
          <w:tcPr>
            <w:tcW w:w="46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年以内小计</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10"/>
              <w:jc w:val="right"/>
              <w:rPr>
                <w:rFonts w:ascii="Times New Roman" w:hAnsi="Times New Roman" w:cs="Times New Roman" w:eastAsia="Times New Roman" w:hint="default"/>
                <w:sz w:val="24"/>
                <w:szCs w:val="24"/>
              </w:rPr>
            </w:pPr>
            <w:r>
              <w:rPr>
                <w:rFonts w:ascii="Times New Roman"/>
                <w:sz w:val="24"/>
              </w:rPr>
              <w:t>422,653,998</w:t>
            </w:r>
          </w:p>
        </w:tc>
      </w:tr>
      <w:tr>
        <w:trPr>
          <w:trHeight w:val="322"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 </w:t>
            </w:r>
            <w:r>
              <w:rPr>
                <w:rFonts w:ascii="宋体" w:hAnsi="宋体" w:cs="宋体" w:eastAsia="宋体" w:hint="default"/>
                <w:sz w:val="24"/>
                <w:szCs w:val="24"/>
              </w:rPr>
              <w:t>年</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104,280,632</w:t>
            </w:r>
          </w:p>
        </w:tc>
      </w:tr>
      <w:tr>
        <w:trPr>
          <w:trHeight w:val="322"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 </w:t>
            </w:r>
            <w:r>
              <w:rPr>
                <w:rFonts w:ascii="宋体" w:hAnsi="宋体" w:cs="宋体" w:eastAsia="宋体" w:hint="default"/>
                <w:sz w:val="24"/>
                <w:szCs w:val="24"/>
              </w:rPr>
              <w:t>年</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70,184,854</w:t>
            </w:r>
          </w:p>
        </w:tc>
      </w:tr>
      <w:tr>
        <w:trPr>
          <w:trHeight w:val="322"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年以上</w:t>
            </w:r>
          </w:p>
        </w:tc>
        <w:tc>
          <w:tcPr>
            <w:tcW w:w="46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 </w:t>
            </w:r>
            <w:r>
              <w:rPr>
                <w:rFonts w:ascii="宋体" w:hAnsi="宋体" w:cs="宋体" w:eastAsia="宋体" w:hint="default"/>
                <w:sz w:val="24"/>
                <w:szCs w:val="24"/>
              </w:rPr>
              <w:t>年</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64,872,417</w:t>
            </w:r>
          </w:p>
        </w:tc>
      </w:tr>
      <w:tr>
        <w:trPr>
          <w:trHeight w:val="322"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 </w:t>
            </w:r>
            <w:r>
              <w:rPr>
                <w:rFonts w:ascii="宋体" w:hAnsi="宋体" w:cs="宋体" w:eastAsia="宋体" w:hint="default"/>
                <w:sz w:val="24"/>
                <w:szCs w:val="24"/>
              </w:rPr>
              <w:t>年</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33,940,640</w:t>
            </w:r>
          </w:p>
        </w:tc>
      </w:tr>
      <w:tr>
        <w:trPr>
          <w:trHeight w:val="319"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8"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5 </w:t>
            </w:r>
            <w:r>
              <w:rPr>
                <w:rFonts w:ascii="宋体" w:hAnsi="宋体" w:cs="宋体" w:eastAsia="宋体" w:hint="default"/>
                <w:sz w:val="24"/>
                <w:szCs w:val="24"/>
              </w:rPr>
              <w:t>年以上</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124,235,637</w:t>
            </w:r>
          </w:p>
        </w:tc>
      </w:tr>
      <w:tr>
        <w:trPr>
          <w:trHeight w:val="288" w:hRule="exact"/>
        </w:trPr>
        <w:tc>
          <w:tcPr>
            <w:tcW w:w="4451" w:type="dxa"/>
            <w:tcBorders>
              <w:top w:val="single" w:sz="4" w:space="0" w:color="000000"/>
              <w:left w:val="single" w:sz="4" w:space="0" w:color="000000"/>
              <w:bottom w:val="single" w:sz="4" w:space="0" w:color="000000"/>
              <w:right w:val="single" w:sz="4" w:space="0" w:color="000000"/>
            </w:tcBorders>
          </w:tcPr>
          <w:p>
            <w:pPr/>
          </w:p>
        </w:tc>
        <w:tc>
          <w:tcPr>
            <w:tcW w:w="4611"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4451" w:type="dxa"/>
            <w:tcBorders>
              <w:top w:val="single" w:sz="4" w:space="0" w:color="000000"/>
              <w:left w:val="single" w:sz="4" w:space="0" w:color="000000"/>
              <w:bottom w:val="single" w:sz="4" w:space="0" w:color="000000"/>
              <w:right w:val="single" w:sz="4" w:space="0" w:color="000000"/>
            </w:tcBorders>
          </w:tcPr>
          <w:p>
            <w:pPr/>
          </w:p>
        </w:tc>
        <w:tc>
          <w:tcPr>
            <w:tcW w:w="46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978"/>
              <w:jc w:val="right"/>
              <w:rPr>
                <w:rFonts w:ascii="宋体" w:hAnsi="宋体" w:cs="宋体" w:eastAsia="宋体" w:hint="default"/>
                <w:sz w:val="24"/>
                <w:szCs w:val="24"/>
              </w:rPr>
            </w:pPr>
            <w:r>
              <w:rPr>
                <w:rFonts w:ascii="宋体" w:hAnsi="宋体" w:cs="宋体" w:eastAsia="宋体" w:hint="default"/>
                <w:sz w:val="24"/>
                <w:szCs w:val="24"/>
              </w:rPr>
              <w:t>合计</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0"/>
              <w:jc w:val="right"/>
              <w:rPr>
                <w:rFonts w:ascii="Times New Roman" w:hAnsi="Times New Roman" w:cs="Times New Roman" w:eastAsia="Times New Roman" w:hint="default"/>
                <w:sz w:val="24"/>
                <w:szCs w:val="24"/>
              </w:rPr>
            </w:pPr>
            <w:r>
              <w:rPr>
                <w:rFonts w:ascii="Times New Roman"/>
                <w:sz w:val="24"/>
              </w:rPr>
              <w:t>820,168,178</w:t>
            </w:r>
          </w:p>
        </w:tc>
      </w:tr>
    </w:tbl>
    <w:p>
      <w:pPr>
        <w:spacing w:after="0" w:line="268" w:lineRule="exact"/>
        <w:jc w:val="right"/>
        <w:rPr>
          <w:rFonts w:ascii="Times New Roman" w:hAnsi="Times New Roman" w:cs="Times New Roman" w:eastAsia="Times New Roman" w:hint="default"/>
          <w:sz w:val="24"/>
          <w:szCs w:val="24"/>
        </w:rPr>
        <w:sectPr>
          <w:type w:val="continuous"/>
          <w:pgSz w:w="11910" w:h="16840"/>
          <w:pgMar w:top="1120" w:bottom="1380" w:left="1040" w:right="1560"/>
        </w:sectPr>
      </w:pPr>
    </w:p>
    <w:p>
      <w:pPr>
        <w:spacing w:line="240" w:lineRule="auto" w:before="1"/>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99"/>
          <w:pgSz w:w="11910" w:h="16840"/>
          <w:pgMar w:footer="1195" w:header="745" w:top="1080" w:bottom="1380" w:left="1060" w:right="1560"/>
          <w:pgNumType w:start="181"/>
        </w:sectPr>
      </w:pPr>
    </w:p>
    <w:p>
      <w:pPr>
        <w:spacing w:before="37"/>
        <w:ind w:left="216" w:right="0"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22"/>
          <w:sz w:val="20"/>
          <w:szCs w:val="20"/>
        </w:rPr>
        <w:t> </w:t>
      </w:r>
      <w:r>
        <w:rPr>
          <w:rFonts w:ascii="宋体" w:hAnsi="宋体" w:cs="宋体" w:eastAsia="宋体" w:hint="default"/>
          <w:b/>
          <w:bCs/>
          <w:sz w:val="20"/>
          <w:szCs w:val="20"/>
        </w:rPr>
        <w:t>按坏账计提方法分类披露</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tabs>
          <w:tab w:pos="1215" w:val="left" w:leader="none"/>
        </w:tabs>
        <w:spacing w:before="145"/>
        <w:ind w:left="216" w:right="0" w:firstLine="0"/>
        <w:jc w:val="left"/>
        <w:rPr>
          <w:rFonts w:ascii="宋体" w:hAnsi="宋体" w:cs="宋体" w:eastAsia="宋体" w:hint="default"/>
          <w:sz w:val="20"/>
          <w:szCs w:val="20"/>
        </w:rPr>
      </w:pPr>
      <w:r>
        <w:rPr>
          <w:rFonts w:ascii="宋体" w:hAnsi="宋体" w:cs="宋体" w:eastAsia="宋体" w:hint="default"/>
          <w:w w:val="95"/>
          <w:sz w:val="20"/>
          <w:szCs w:val="20"/>
        </w:rPr>
        <w:t>单位：元</w:t>
        <w:tab/>
      </w:r>
      <w:r>
        <w:rPr>
          <w:rFonts w:ascii="宋体" w:hAnsi="宋体" w:cs="宋体" w:eastAsia="宋体" w:hint="default"/>
          <w:sz w:val="20"/>
          <w:szCs w:val="20"/>
        </w:rPr>
        <w:t>币种：人民币</w:t>
      </w:r>
    </w:p>
    <w:p>
      <w:pPr>
        <w:spacing w:after="0"/>
        <w:jc w:val="left"/>
        <w:rPr>
          <w:rFonts w:ascii="宋体" w:hAnsi="宋体" w:cs="宋体" w:eastAsia="宋体" w:hint="default"/>
          <w:sz w:val="20"/>
          <w:szCs w:val="20"/>
        </w:rPr>
        <w:sectPr>
          <w:type w:val="continuous"/>
          <w:pgSz w:w="11910" w:h="16840"/>
          <w:pgMar w:top="1120" w:bottom="1380" w:left="1060" w:right="1560"/>
          <w:cols w:num="2" w:equalWidth="0">
            <w:col w:w="3011" w:space="3519"/>
            <w:col w:w="2760"/>
          </w:cols>
        </w:sectPr>
      </w:pPr>
    </w:p>
    <w:p>
      <w:pPr>
        <w:spacing w:line="240" w:lineRule="auto" w:before="3"/>
        <w:rPr>
          <w:rFonts w:ascii="宋体" w:hAnsi="宋体" w:cs="宋体" w:eastAsia="宋体" w:hint="default"/>
          <w:sz w:val="2"/>
          <w:szCs w:val="2"/>
        </w:rPr>
      </w:pPr>
    </w:p>
    <w:tbl>
      <w:tblPr>
        <w:tblW w:w="0" w:type="auto"/>
        <w:jc w:val="left"/>
        <w:tblInd w:w="180" w:type="dxa"/>
        <w:tblLayout w:type="fixed"/>
        <w:tblCellMar>
          <w:top w:w="0" w:type="dxa"/>
          <w:left w:w="0" w:type="dxa"/>
          <w:bottom w:w="0" w:type="dxa"/>
          <w:right w:w="0" w:type="dxa"/>
        </w:tblCellMar>
        <w:tblLook w:val="01E0"/>
      </w:tblPr>
      <w:tblGrid>
        <w:gridCol w:w="243"/>
        <w:gridCol w:w="1150"/>
        <w:gridCol w:w="331"/>
        <w:gridCol w:w="1150"/>
        <w:gridCol w:w="358"/>
        <w:gridCol w:w="1152"/>
        <w:gridCol w:w="1150"/>
        <w:gridCol w:w="446"/>
        <w:gridCol w:w="1152"/>
        <w:gridCol w:w="614"/>
        <w:gridCol w:w="1150"/>
      </w:tblGrid>
      <w:tr>
        <w:trPr>
          <w:trHeight w:val="269" w:hRule="exact"/>
        </w:trPr>
        <w:tc>
          <w:tcPr>
            <w:tcW w:w="24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32" w:lineRule="exact" w:before="130"/>
              <w:ind w:left="26" w:right="24"/>
              <w:jc w:val="left"/>
              <w:rPr>
                <w:rFonts w:ascii="宋体" w:hAnsi="宋体" w:cs="宋体" w:eastAsia="宋体" w:hint="default"/>
                <w:sz w:val="18"/>
                <w:szCs w:val="18"/>
              </w:rPr>
            </w:pPr>
            <w:r>
              <w:rPr>
                <w:rFonts w:ascii="宋体" w:hAnsi="宋体" w:cs="宋体" w:eastAsia="宋体" w:hint="default"/>
                <w:sz w:val="18"/>
                <w:szCs w:val="18"/>
              </w:rPr>
              <w:t>类 别</w:t>
            </w:r>
          </w:p>
        </w:tc>
        <w:tc>
          <w:tcPr>
            <w:tcW w:w="41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82"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4513" w:type="dxa"/>
            <w:gridSpan w:val="5"/>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85"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242" w:hRule="exact"/>
        </w:trPr>
        <w:tc>
          <w:tcPr>
            <w:tcW w:w="243" w:type="dxa"/>
            <w:vMerge/>
            <w:tcBorders>
              <w:left w:val="single" w:sz="4" w:space="0" w:color="000000"/>
              <w:right w:val="single" w:sz="4" w:space="0" w:color="000000"/>
            </w:tcBorders>
          </w:tcPr>
          <w:p>
            <w:pPr/>
          </w:p>
        </w:tc>
        <w:tc>
          <w:tcPr>
            <w:tcW w:w="14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71"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5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86"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32" w:lineRule="exact"/>
              <w:ind w:left="388" w:right="301"/>
              <w:jc w:val="left"/>
              <w:rPr>
                <w:rFonts w:ascii="宋体" w:hAnsi="宋体" w:cs="宋体" w:eastAsia="宋体" w:hint="default"/>
                <w:sz w:val="18"/>
                <w:szCs w:val="18"/>
              </w:rPr>
            </w:pPr>
            <w:r>
              <w:rPr>
                <w:rFonts w:ascii="宋体" w:hAnsi="宋体" w:cs="宋体" w:eastAsia="宋体" w:hint="default"/>
                <w:sz w:val="18"/>
                <w:szCs w:val="18"/>
              </w:rPr>
              <w:t>账面</w:t>
            </w:r>
            <w:r>
              <w:rPr>
                <w:rFonts w:ascii="宋体" w:hAnsi="宋体" w:cs="宋体" w:eastAsia="宋体" w:hint="default"/>
                <w:sz w:val="18"/>
                <w:szCs w:val="18"/>
              </w:rPr>
              <w:t> </w:t>
            </w:r>
            <w:r>
              <w:rPr>
                <w:rFonts w:ascii="宋体" w:hAnsi="宋体" w:cs="宋体" w:eastAsia="宋体" w:hint="default"/>
                <w:sz w:val="18"/>
                <w:szCs w:val="18"/>
              </w:rPr>
              <w:t>价值</w:t>
            </w:r>
            <w:r>
              <w:rPr>
                <w:rFonts w:ascii="宋体" w:hAnsi="宋体" w:cs="宋体" w:eastAsia="宋体" w:hint="default"/>
                <w:sz w:val="18"/>
                <w:szCs w:val="18"/>
              </w:rPr>
              <w:t> </w:t>
            </w:r>
          </w:p>
        </w:tc>
        <w:tc>
          <w:tcPr>
            <w:tcW w:w="15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32"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7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18"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1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32" w:lineRule="exact"/>
              <w:ind w:left="389" w:right="299"/>
              <w:jc w:val="left"/>
              <w:rPr>
                <w:rFonts w:ascii="宋体" w:hAnsi="宋体" w:cs="宋体" w:eastAsia="宋体" w:hint="default"/>
                <w:sz w:val="18"/>
                <w:szCs w:val="18"/>
              </w:rPr>
            </w:pPr>
            <w:r>
              <w:rPr>
                <w:rFonts w:ascii="宋体" w:hAnsi="宋体" w:cs="宋体" w:eastAsia="宋体" w:hint="default"/>
                <w:sz w:val="18"/>
                <w:szCs w:val="18"/>
              </w:rPr>
              <w:t>账面</w:t>
            </w:r>
            <w:r>
              <w:rPr>
                <w:rFonts w:ascii="宋体" w:hAnsi="宋体" w:cs="宋体" w:eastAsia="宋体" w:hint="default"/>
                <w:sz w:val="18"/>
                <w:szCs w:val="18"/>
              </w:rPr>
              <w:t> </w:t>
            </w:r>
            <w:r>
              <w:rPr>
                <w:rFonts w:ascii="宋体" w:hAnsi="宋体" w:cs="宋体" w:eastAsia="宋体" w:hint="default"/>
                <w:sz w:val="18"/>
                <w:szCs w:val="18"/>
              </w:rPr>
              <w:t>价值</w:t>
            </w:r>
            <w:r>
              <w:rPr>
                <w:rFonts w:ascii="宋体" w:hAnsi="宋体" w:cs="宋体" w:eastAsia="宋体" w:hint="default"/>
                <w:sz w:val="18"/>
                <w:szCs w:val="18"/>
              </w:rPr>
              <w:t> </w:t>
            </w:r>
          </w:p>
        </w:tc>
      </w:tr>
      <w:tr>
        <w:trPr>
          <w:trHeight w:val="1178" w:hRule="exact"/>
        </w:trPr>
        <w:tc>
          <w:tcPr>
            <w:tcW w:w="243" w:type="dxa"/>
            <w:vMerge/>
            <w:tcBorders>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69" w:right="67"/>
              <w:jc w:val="both"/>
              <w:rPr>
                <w:rFonts w:ascii="宋体" w:hAnsi="宋体" w:cs="宋体" w:eastAsia="宋体" w:hint="default"/>
                <w:sz w:val="18"/>
                <w:szCs w:val="18"/>
              </w:rPr>
            </w:pPr>
            <w:r>
              <w:rPr>
                <w:rFonts w:ascii="宋体" w:hAnsi="宋体" w:cs="宋体" w:eastAsia="宋体" w:hint="default"/>
                <w:sz w:val="18"/>
                <w:szCs w:val="18"/>
              </w:rPr>
              <w:t>比 例 </w:t>
            </w:r>
            <w:r>
              <w:rPr>
                <w:rFonts w:ascii="宋体" w:hAnsi="宋体" w:cs="宋体" w:eastAsia="宋体" w:hint="default"/>
                <w:sz w:val="18"/>
                <w:szCs w:val="18"/>
              </w:rPr>
              <w:t>(%</w:t>
            </w:r>
          </w:p>
          <w:p>
            <w:pPr>
              <w:pStyle w:val="TableParagraph"/>
              <w:spacing w:line="233" w:lineRule="exact"/>
              <w:ind w:left="115" w:right="0"/>
              <w:jc w:val="both"/>
              <w:rPr>
                <w:rFonts w:ascii="宋体" w:hAnsi="宋体" w:cs="宋体" w:eastAsia="宋体" w:hint="default"/>
                <w:sz w:val="18"/>
                <w:szCs w:val="18"/>
              </w:rPr>
            </w:pPr>
            <w:r>
              <w:rPr>
                <w:rFonts w:ascii="宋体"/>
                <w:sz w:val="18"/>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82"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35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81" w:right="0"/>
              <w:jc w:val="both"/>
              <w:rPr>
                <w:rFonts w:ascii="宋体" w:hAnsi="宋体" w:cs="宋体" w:eastAsia="宋体" w:hint="default"/>
                <w:sz w:val="18"/>
                <w:szCs w:val="18"/>
              </w:rPr>
            </w:pPr>
            <w:r>
              <w:rPr>
                <w:rFonts w:ascii="宋体" w:hAnsi="宋体" w:cs="宋体" w:eastAsia="宋体" w:hint="default"/>
                <w:sz w:val="18"/>
                <w:szCs w:val="18"/>
              </w:rPr>
              <w:t>计</w:t>
            </w:r>
          </w:p>
          <w:p>
            <w:pPr>
              <w:pStyle w:val="TableParagraph"/>
              <w:spacing w:line="237" w:lineRule="auto"/>
              <w:ind w:left="35" w:right="36" w:firstLine="45"/>
              <w:jc w:val="both"/>
              <w:rPr>
                <w:rFonts w:ascii="宋体" w:hAnsi="宋体" w:cs="宋体" w:eastAsia="宋体" w:hint="default"/>
                <w:sz w:val="18"/>
                <w:szCs w:val="18"/>
              </w:rPr>
            </w:pPr>
            <w:r>
              <w:rPr>
                <w:rFonts w:ascii="宋体" w:hAnsi="宋体" w:cs="宋体" w:eastAsia="宋体" w:hint="default"/>
                <w:sz w:val="18"/>
                <w:szCs w:val="18"/>
              </w:rPr>
              <w:t>提 比 例 </w:t>
            </w:r>
            <w:r>
              <w:rPr>
                <w:rFonts w:ascii="宋体" w:hAnsi="宋体" w:cs="宋体" w:eastAsia="宋体" w:hint="default"/>
                <w:sz w:val="18"/>
                <w:szCs w:val="18"/>
              </w:rPr>
              <w:t>(%)</w:t>
            </w:r>
          </w:p>
        </w:tc>
        <w:tc>
          <w:tcPr>
            <w:tcW w:w="1152" w:type="dxa"/>
            <w:vMerge/>
            <w:tcBorders>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386"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81" w:right="-7" w:hanging="46"/>
              <w:jc w:val="left"/>
              <w:rPr>
                <w:rFonts w:ascii="宋体" w:hAnsi="宋体" w:cs="宋体" w:eastAsia="宋体" w:hint="default"/>
                <w:sz w:val="18"/>
                <w:szCs w:val="18"/>
              </w:rPr>
            </w:pPr>
            <w:r>
              <w:rPr>
                <w:rFonts w:ascii="宋体" w:hAnsi="宋体" w:cs="宋体" w:eastAsia="宋体" w:hint="default"/>
                <w:sz w:val="18"/>
                <w:szCs w:val="18"/>
              </w:rPr>
              <w:t>比例 </w:t>
            </w:r>
            <w:r>
              <w:rPr>
                <w:rFonts w:ascii="宋体" w:hAnsi="宋体" w:cs="宋体" w:eastAsia="宋体" w:hint="default"/>
                <w:sz w:val="18"/>
                <w:szCs w:val="18"/>
              </w:rPr>
              <w:t>(%)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85"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74" w:right="-11" w:hanging="44"/>
              <w:jc w:val="left"/>
              <w:rPr>
                <w:rFonts w:ascii="宋体" w:hAnsi="宋体" w:cs="宋体" w:eastAsia="宋体" w:hint="default"/>
                <w:sz w:val="18"/>
                <w:szCs w:val="18"/>
              </w:rPr>
            </w:pPr>
            <w:r>
              <w:rPr>
                <w:rFonts w:ascii="宋体" w:hAnsi="宋体" w:cs="宋体" w:eastAsia="宋体" w:hint="default"/>
                <w:sz w:val="18"/>
                <w:szCs w:val="18"/>
              </w:rPr>
              <w:t>计提比 例</w:t>
            </w:r>
            <w:r>
              <w:rPr>
                <w:rFonts w:ascii="宋体" w:hAnsi="宋体" w:cs="宋体" w:eastAsia="宋体" w:hint="default"/>
                <w:sz w:val="18"/>
                <w:szCs w:val="18"/>
              </w:rPr>
              <w:t>(%) </w:t>
            </w:r>
          </w:p>
        </w:tc>
        <w:tc>
          <w:tcPr>
            <w:tcW w:w="1150" w:type="dxa"/>
            <w:vMerge/>
            <w:tcBorders>
              <w:left w:val="single" w:sz="4" w:space="0" w:color="000000"/>
              <w:bottom w:val="single" w:sz="4" w:space="0" w:color="000000"/>
              <w:right w:val="single" w:sz="4" w:space="0" w:color="000000"/>
            </w:tcBorders>
          </w:tcPr>
          <w:p>
            <w:pPr/>
          </w:p>
        </w:tc>
      </w:tr>
      <w:tr>
        <w:trPr>
          <w:trHeight w:val="2110" w:hRule="exact"/>
        </w:trPr>
        <w:tc>
          <w:tcPr>
            <w:tcW w:w="2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both"/>
              <w:rPr>
                <w:rFonts w:ascii="宋体" w:hAnsi="宋体" w:cs="宋体" w:eastAsia="宋体" w:hint="default"/>
                <w:sz w:val="18"/>
                <w:szCs w:val="18"/>
              </w:rPr>
            </w:pPr>
            <w:r>
              <w:rPr>
                <w:rFonts w:ascii="宋体" w:hAnsi="宋体" w:cs="宋体" w:eastAsia="宋体" w:hint="default"/>
                <w:sz w:val="18"/>
                <w:szCs w:val="18"/>
              </w:rPr>
              <w:t>按</w:t>
            </w:r>
          </w:p>
          <w:p>
            <w:pPr>
              <w:pStyle w:val="TableParagraph"/>
              <w:spacing w:line="237" w:lineRule="auto"/>
              <w:ind w:left="26" w:right="24"/>
              <w:jc w:val="both"/>
              <w:rPr>
                <w:rFonts w:ascii="宋体" w:hAnsi="宋体" w:cs="宋体" w:eastAsia="宋体" w:hint="default"/>
                <w:sz w:val="18"/>
                <w:szCs w:val="18"/>
              </w:rPr>
            </w:pPr>
            <w:r>
              <w:rPr>
                <w:rFonts w:ascii="宋体" w:hAnsi="宋体" w:cs="宋体" w:eastAsia="宋体" w:hint="default"/>
                <w:sz w:val="18"/>
                <w:szCs w:val="18"/>
              </w:rPr>
              <w:t>单 项 计 提 坏 账 准 备</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86" w:right="0"/>
              <w:jc w:val="center"/>
              <w:rPr>
                <w:rFonts w:ascii="宋体" w:hAnsi="宋体" w:cs="宋体" w:eastAsia="宋体" w:hint="default"/>
                <w:sz w:val="20"/>
                <w:szCs w:val="20"/>
              </w:rPr>
            </w:pPr>
            <w:r>
              <w:rPr>
                <w:rFonts w:ascii="宋体"/>
                <w:sz w:val="20"/>
              </w:rPr>
              <w:t>30,410,854</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5"/>
              <w:jc w:val="right"/>
              <w:rPr>
                <w:rFonts w:ascii="宋体" w:hAnsi="宋体" w:cs="宋体" w:eastAsia="宋体" w:hint="default"/>
                <w:sz w:val="20"/>
                <w:szCs w:val="20"/>
              </w:rPr>
            </w:pPr>
            <w:r>
              <w:rPr>
                <w:rFonts w:ascii="宋体"/>
                <w:w w:val="99"/>
                <w:sz w:val="20"/>
              </w:rPr>
              <w:t>4</w:t>
            </w:r>
            <w:r>
              <w:rPr>
                <w:rFonts w:ascii="宋体"/>
                <w:sz w:val="20"/>
              </w:rPr>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80" w:right="0"/>
              <w:jc w:val="center"/>
              <w:rPr>
                <w:rFonts w:ascii="宋体" w:hAnsi="宋体" w:cs="宋体" w:eastAsia="宋体" w:hint="default"/>
                <w:sz w:val="20"/>
                <w:szCs w:val="20"/>
              </w:rPr>
            </w:pPr>
            <w:r>
              <w:rPr>
                <w:rFonts w:ascii="宋体"/>
                <w:sz w:val="20"/>
              </w:rPr>
              <w:t>30,410,854</w:t>
            </w:r>
          </w:p>
        </w:tc>
        <w:tc>
          <w:tcPr>
            <w:tcW w:w="35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22" w:right="0"/>
              <w:jc w:val="left"/>
              <w:rPr>
                <w:rFonts w:ascii="宋体" w:hAnsi="宋体" w:cs="宋体" w:eastAsia="宋体" w:hint="default"/>
                <w:sz w:val="20"/>
                <w:szCs w:val="20"/>
              </w:rPr>
            </w:pPr>
            <w:r>
              <w:rPr>
                <w:rFonts w:ascii="宋体"/>
                <w:sz w:val="20"/>
              </w:rPr>
              <w:t>10</w:t>
            </w:r>
          </w:p>
          <w:p>
            <w:pPr>
              <w:pStyle w:val="TableParagraph"/>
              <w:spacing w:line="260" w:lineRule="exact"/>
              <w:ind w:left="220" w:right="0"/>
              <w:jc w:val="left"/>
              <w:rPr>
                <w:rFonts w:ascii="宋体" w:hAnsi="宋体" w:cs="宋体" w:eastAsia="宋体" w:hint="default"/>
                <w:sz w:val="20"/>
                <w:szCs w:val="20"/>
              </w:rPr>
            </w:pPr>
            <w:r>
              <w:rPr>
                <w:rFonts w:ascii="宋体"/>
                <w:w w:val="99"/>
                <w:sz w:val="20"/>
              </w:rPr>
              <w:t>0</w:t>
            </w:r>
            <w:r>
              <w:rPr>
                <w:rFonts w:ascii="宋体"/>
                <w:sz w:val="20"/>
              </w:rPr>
            </w:r>
          </w:p>
        </w:tc>
        <w:tc>
          <w:tcPr>
            <w:tcW w:w="1152"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44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66"/>
              <w:jc w:val="center"/>
              <w:rPr>
                <w:rFonts w:ascii="宋体" w:hAnsi="宋体" w:cs="宋体" w:eastAsia="宋体" w:hint="default"/>
                <w:sz w:val="20"/>
                <w:szCs w:val="20"/>
              </w:rPr>
            </w:pPr>
            <w:r>
              <w:rPr>
                <w:rFonts w:ascii="宋体"/>
                <w:w w:val="99"/>
                <w:sz w:val="20"/>
              </w:rPr>
              <w:t> </w:t>
            </w:r>
            <w:r>
              <w:rPr>
                <w:rFonts w:ascii="宋体"/>
                <w:sz w:val="20"/>
              </w:rPr>
            </w:r>
          </w:p>
        </w:tc>
        <w:tc>
          <w:tcPr>
            <w:tcW w:w="1150" w:type="dxa"/>
            <w:tcBorders>
              <w:top w:val="single" w:sz="4" w:space="0" w:color="000000"/>
              <w:left w:val="single" w:sz="4" w:space="0" w:color="000000"/>
              <w:bottom w:val="single" w:sz="4" w:space="0" w:color="000000"/>
              <w:right w:val="single" w:sz="4" w:space="0" w:color="000000"/>
            </w:tcBorders>
          </w:tcPr>
          <w:p>
            <w:pPr/>
          </w:p>
        </w:tc>
      </w:tr>
      <w:tr>
        <w:trPr>
          <w:trHeight w:val="271" w:hRule="exact"/>
        </w:trPr>
        <w:tc>
          <w:tcPr>
            <w:tcW w:w="889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6" w:right="0"/>
              <w:jc w:val="left"/>
              <w:rPr>
                <w:rFonts w:ascii="宋体" w:hAnsi="宋体" w:cs="宋体" w:eastAsia="宋体" w:hint="default"/>
                <w:sz w:val="20"/>
                <w:szCs w:val="20"/>
              </w:rPr>
            </w:pPr>
            <w:r>
              <w:rPr>
                <w:rFonts w:ascii="宋体" w:hAnsi="宋体" w:cs="宋体" w:eastAsia="宋体" w:hint="default"/>
                <w:sz w:val="20"/>
                <w:szCs w:val="20"/>
              </w:rPr>
              <w:t>其中：</w:t>
            </w:r>
            <w:r>
              <w:rPr>
                <w:rFonts w:ascii="宋体" w:hAnsi="宋体" w:cs="宋体" w:eastAsia="宋体" w:hint="default"/>
                <w:sz w:val="20"/>
                <w:szCs w:val="20"/>
              </w:rPr>
              <w:t> </w:t>
            </w:r>
          </w:p>
        </w:tc>
      </w:tr>
      <w:tr>
        <w:trPr>
          <w:trHeight w:val="269" w:hRule="exact"/>
        </w:trPr>
        <w:tc>
          <w:tcPr>
            <w:tcW w:w="2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spacing w:val="1"/>
                <w:sz w:val="18"/>
              </w:rPr>
              <w:t> </w:t>
            </w:r>
            <w:r>
              <w:rPr>
                <w:rFonts w:ascii="宋体"/>
                <w:sz w:val="18"/>
              </w:rPr>
              <w:t> </w:t>
            </w:r>
          </w:p>
        </w:tc>
        <w:tc>
          <w:tcPr>
            <w:tcW w:w="1150" w:type="dxa"/>
            <w:tcBorders>
              <w:top w:val="single" w:sz="4" w:space="0" w:color="000000"/>
              <w:left w:val="single" w:sz="4" w:space="0" w:color="000000"/>
              <w:bottom w:val="single" w:sz="4" w:space="0" w:color="000000"/>
              <w:right w:val="single" w:sz="4" w:space="0" w:color="000000"/>
            </w:tcBorders>
          </w:tcPr>
          <w:p>
            <w:pPr/>
          </w:p>
        </w:tc>
        <w:tc>
          <w:tcPr>
            <w:tcW w:w="331"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35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4" w:right="0"/>
              <w:jc w:val="left"/>
              <w:rPr>
                <w:rFonts w:ascii="宋体" w:hAnsi="宋体" w:cs="宋体" w:eastAsia="宋体" w:hint="default"/>
                <w:sz w:val="20"/>
                <w:szCs w:val="20"/>
              </w:rPr>
            </w:pPr>
            <w:r>
              <w:rPr>
                <w:rFonts w:ascii="宋体"/>
                <w:spacing w:val="1"/>
                <w:w w:val="99"/>
                <w:sz w:val="20"/>
              </w:rPr>
              <w:t> </w:t>
            </w:r>
            <w:r>
              <w:rPr>
                <w:rFonts w:ascii="宋体"/>
                <w:w w:val="99"/>
                <w:sz w:val="20"/>
              </w:rPr>
              <w:t> </w:t>
            </w:r>
            <w:r>
              <w:rPr>
                <w:rFonts w:ascii="宋体"/>
                <w:sz w:val="20"/>
              </w:rPr>
            </w:r>
          </w:p>
        </w:tc>
        <w:tc>
          <w:tcPr>
            <w:tcW w:w="44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r>
      <w:tr>
        <w:trPr>
          <w:trHeight w:val="269" w:hRule="exact"/>
        </w:trPr>
        <w:tc>
          <w:tcPr>
            <w:tcW w:w="2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spacing w:val="1"/>
                <w:sz w:val="18"/>
              </w:rPr>
              <w:t> </w:t>
            </w:r>
            <w:r>
              <w:rPr>
                <w:rFonts w:ascii="宋体"/>
                <w:sz w:val="18"/>
              </w:rPr>
              <w:t> </w:t>
            </w:r>
          </w:p>
        </w:tc>
        <w:tc>
          <w:tcPr>
            <w:tcW w:w="1150" w:type="dxa"/>
            <w:tcBorders>
              <w:top w:val="single" w:sz="4" w:space="0" w:color="000000"/>
              <w:left w:val="single" w:sz="4" w:space="0" w:color="000000"/>
              <w:bottom w:val="single" w:sz="4" w:space="0" w:color="000000"/>
              <w:right w:val="single" w:sz="4" w:space="0" w:color="000000"/>
            </w:tcBorders>
          </w:tcPr>
          <w:p>
            <w:pPr/>
          </w:p>
        </w:tc>
        <w:tc>
          <w:tcPr>
            <w:tcW w:w="331"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35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44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r>
      <w:tr>
        <w:trPr>
          <w:trHeight w:val="2112" w:hRule="exact"/>
        </w:trPr>
        <w:tc>
          <w:tcPr>
            <w:tcW w:w="2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both"/>
              <w:rPr>
                <w:rFonts w:ascii="宋体" w:hAnsi="宋体" w:cs="宋体" w:eastAsia="宋体" w:hint="default"/>
                <w:sz w:val="18"/>
                <w:szCs w:val="18"/>
              </w:rPr>
            </w:pPr>
            <w:r>
              <w:rPr>
                <w:rFonts w:ascii="宋体" w:hAnsi="宋体" w:cs="宋体" w:eastAsia="宋体" w:hint="default"/>
                <w:sz w:val="18"/>
                <w:szCs w:val="18"/>
              </w:rPr>
              <w:t>按</w:t>
            </w:r>
          </w:p>
          <w:p>
            <w:pPr>
              <w:pStyle w:val="TableParagraph"/>
              <w:spacing w:line="237" w:lineRule="auto" w:before="2"/>
              <w:ind w:left="26" w:right="24"/>
              <w:jc w:val="both"/>
              <w:rPr>
                <w:rFonts w:ascii="宋体" w:hAnsi="宋体" w:cs="宋体" w:eastAsia="宋体" w:hint="default"/>
                <w:sz w:val="18"/>
                <w:szCs w:val="18"/>
              </w:rPr>
            </w:pPr>
            <w:r>
              <w:rPr>
                <w:rFonts w:ascii="宋体" w:hAnsi="宋体" w:cs="宋体" w:eastAsia="宋体" w:hint="default"/>
                <w:sz w:val="18"/>
                <w:szCs w:val="18"/>
              </w:rPr>
              <w:t>组 合 计 提 坏 账 准 备</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86" w:right="0"/>
              <w:jc w:val="center"/>
              <w:rPr>
                <w:rFonts w:ascii="Times New Roman" w:hAnsi="Times New Roman" w:cs="Times New Roman" w:eastAsia="Times New Roman" w:hint="default"/>
                <w:sz w:val="20"/>
                <w:szCs w:val="20"/>
              </w:rPr>
            </w:pPr>
            <w:r>
              <w:rPr>
                <w:rFonts w:ascii="宋体"/>
                <w:sz w:val="20"/>
              </w:rPr>
              <w:t>789</w:t>
            </w:r>
            <w:r>
              <w:rPr>
                <w:rFonts w:ascii="Times New Roman"/>
                <w:sz w:val="20"/>
              </w:rPr>
              <w:t>,757,324</w:t>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23"/>
              <w:jc w:val="right"/>
              <w:rPr>
                <w:rFonts w:ascii="Times New Roman" w:hAnsi="Times New Roman" w:cs="Times New Roman" w:eastAsia="Times New Roman" w:hint="default"/>
                <w:sz w:val="20"/>
                <w:szCs w:val="20"/>
              </w:rPr>
            </w:pPr>
            <w:r>
              <w:rPr>
                <w:rFonts w:ascii="Times New Roman"/>
                <w:sz w:val="20"/>
              </w:rPr>
              <w:t>96</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80" w:right="0"/>
              <w:jc w:val="center"/>
              <w:rPr>
                <w:rFonts w:ascii="Times New Roman" w:hAnsi="Times New Roman" w:cs="Times New Roman" w:eastAsia="Times New Roman" w:hint="default"/>
                <w:sz w:val="20"/>
                <w:szCs w:val="20"/>
              </w:rPr>
            </w:pPr>
            <w:r>
              <w:rPr>
                <w:rFonts w:ascii="Times New Roman"/>
                <w:sz w:val="20"/>
              </w:rPr>
              <w:t>276,176,165</w:t>
            </w:r>
          </w:p>
        </w:tc>
        <w:tc>
          <w:tcPr>
            <w:tcW w:w="358"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23"/>
              <w:jc w:val="right"/>
              <w:rPr>
                <w:rFonts w:ascii="Times New Roman" w:hAnsi="Times New Roman" w:cs="Times New Roman" w:eastAsia="Times New Roman" w:hint="default"/>
                <w:sz w:val="20"/>
                <w:szCs w:val="20"/>
              </w:rPr>
            </w:pPr>
            <w:r>
              <w:rPr>
                <w:rFonts w:ascii="Times New Roman"/>
                <w:sz w:val="20"/>
              </w:rPr>
              <w:t>35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12" w:right="0"/>
              <w:jc w:val="left"/>
              <w:rPr>
                <w:rFonts w:ascii="Times New Roman" w:hAnsi="Times New Roman" w:cs="Times New Roman" w:eastAsia="Times New Roman" w:hint="default"/>
                <w:sz w:val="20"/>
                <w:szCs w:val="20"/>
              </w:rPr>
            </w:pPr>
            <w:r>
              <w:rPr>
                <w:rFonts w:ascii="Times New Roman"/>
                <w:sz w:val="20"/>
              </w:rPr>
              <w:t>513,581,159</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22" w:right="0"/>
              <w:jc w:val="left"/>
              <w:rPr>
                <w:rFonts w:ascii="Times New Roman" w:hAnsi="Times New Roman" w:cs="Times New Roman" w:eastAsia="Times New Roman" w:hint="default"/>
                <w:sz w:val="20"/>
                <w:szCs w:val="20"/>
              </w:rPr>
            </w:pPr>
            <w:r>
              <w:rPr>
                <w:rFonts w:ascii="Times New Roman"/>
                <w:sz w:val="20"/>
              </w:rPr>
              <w:t>799,856,99</w:t>
            </w:r>
          </w:p>
          <w:p>
            <w:pPr>
              <w:pStyle w:val="TableParagraph"/>
              <w:spacing w:line="240" w:lineRule="auto"/>
              <w:ind w:right="17"/>
              <w:jc w:val="right"/>
              <w:rPr>
                <w:rFonts w:ascii="宋体" w:hAnsi="宋体" w:cs="宋体" w:eastAsia="宋体" w:hint="default"/>
                <w:sz w:val="20"/>
                <w:szCs w:val="20"/>
              </w:rPr>
            </w:pPr>
            <w:r>
              <w:rPr>
                <w:rFonts w:ascii="Times New Roman"/>
                <w:sz w:val="20"/>
              </w:rPr>
              <w:t>3</w:t>
            </w:r>
            <w:r>
              <w:rPr>
                <w:rFonts w:ascii="宋体"/>
                <w:sz w:val="20"/>
              </w:rPr>
              <w:t> </w:t>
            </w:r>
          </w:p>
        </w:tc>
        <w:tc>
          <w:tcPr>
            <w:tcW w:w="446"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23"/>
              <w:jc w:val="right"/>
              <w:rPr>
                <w:rFonts w:ascii="Times New Roman" w:hAnsi="Times New Roman" w:cs="Times New Roman" w:eastAsia="Times New Roman" w:hint="default"/>
                <w:sz w:val="20"/>
                <w:szCs w:val="20"/>
              </w:rPr>
            </w:pPr>
            <w:r>
              <w:rPr>
                <w:rFonts w:ascii="Times New Roman"/>
                <w:sz w:val="20"/>
              </w:rPr>
              <w:t>100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83" w:right="0"/>
              <w:jc w:val="center"/>
              <w:rPr>
                <w:rFonts w:ascii="Times New Roman" w:hAnsi="Times New Roman" w:cs="Times New Roman" w:eastAsia="Times New Roman" w:hint="default"/>
                <w:sz w:val="20"/>
                <w:szCs w:val="20"/>
              </w:rPr>
            </w:pPr>
            <w:r>
              <w:rPr>
                <w:rFonts w:ascii="Times New Roman"/>
                <w:sz w:val="20"/>
              </w:rPr>
              <w:t>242,828,311</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17" w:right="0"/>
              <w:jc w:val="left"/>
              <w:rPr>
                <w:rFonts w:ascii="Times New Roman" w:hAnsi="Times New Roman" w:cs="Times New Roman" w:eastAsia="Times New Roman" w:hint="default"/>
                <w:sz w:val="20"/>
                <w:szCs w:val="20"/>
              </w:rPr>
            </w:pPr>
            <w:r>
              <w:rPr>
                <w:rFonts w:ascii="Times New Roman"/>
                <w:w w:val="99"/>
                <w:sz w:val="20"/>
              </w:rPr>
              <w:t>3</w:t>
            </w:r>
            <w:r>
              <w:rPr>
                <w:rFonts w:ascii="Times New Roman"/>
                <w:sz w:val="20"/>
              </w:rPr>
            </w:r>
          </w:p>
          <w:p>
            <w:pPr>
              <w:pStyle w:val="TableParagraph"/>
              <w:spacing w:line="240" w:lineRule="auto"/>
              <w:ind w:left="117" w:right="0"/>
              <w:jc w:val="left"/>
              <w:rPr>
                <w:rFonts w:ascii="宋体" w:hAnsi="宋体" w:cs="宋体" w:eastAsia="宋体" w:hint="default"/>
                <w:sz w:val="20"/>
                <w:szCs w:val="20"/>
              </w:rPr>
            </w:pPr>
            <w:r>
              <w:rPr>
                <w:rFonts w:ascii="Times New Roman"/>
                <w:sz w:val="20"/>
              </w:rPr>
              <w:t>0</w:t>
            </w:r>
            <w:r>
              <w:rPr>
                <w:rFonts w:ascii="宋体"/>
                <w:sz w:val="20"/>
              </w:rPr>
              <w:t>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113" w:right="0"/>
              <w:jc w:val="left"/>
              <w:rPr>
                <w:rFonts w:ascii="Times New Roman" w:hAnsi="Times New Roman" w:cs="Times New Roman" w:eastAsia="Times New Roman" w:hint="default"/>
                <w:sz w:val="20"/>
                <w:szCs w:val="20"/>
              </w:rPr>
            </w:pPr>
            <w:r>
              <w:rPr>
                <w:rFonts w:ascii="Times New Roman"/>
                <w:sz w:val="20"/>
              </w:rPr>
              <w:t>557,028,682</w:t>
            </w:r>
          </w:p>
        </w:tc>
      </w:tr>
      <w:tr>
        <w:trPr>
          <w:trHeight w:val="269" w:hRule="exact"/>
        </w:trPr>
        <w:tc>
          <w:tcPr>
            <w:tcW w:w="889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6" w:right="0"/>
              <w:jc w:val="left"/>
              <w:rPr>
                <w:rFonts w:ascii="宋体" w:hAnsi="宋体" w:cs="宋体" w:eastAsia="宋体" w:hint="default"/>
                <w:sz w:val="20"/>
                <w:szCs w:val="20"/>
              </w:rPr>
            </w:pPr>
            <w:r>
              <w:rPr>
                <w:rFonts w:ascii="宋体" w:hAnsi="宋体" w:cs="宋体" w:eastAsia="宋体" w:hint="default"/>
                <w:sz w:val="20"/>
                <w:szCs w:val="20"/>
              </w:rPr>
              <w:t>其中：</w:t>
            </w:r>
            <w:r>
              <w:rPr>
                <w:rFonts w:ascii="宋体" w:hAnsi="宋体" w:cs="宋体" w:eastAsia="宋体" w:hint="default"/>
                <w:sz w:val="20"/>
                <w:szCs w:val="20"/>
              </w:rPr>
              <w:t> </w:t>
            </w:r>
          </w:p>
        </w:tc>
      </w:tr>
      <w:tr>
        <w:trPr>
          <w:trHeight w:val="3512" w:hRule="exact"/>
        </w:trPr>
        <w:tc>
          <w:tcPr>
            <w:tcW w:w="24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both"/>
              <w:rPr>
                <w:rFonts w:ascii="宋体" w:hAnsi="宋体" w:cs="宋体" w:eastAsia="宋体" w:hint="default"/>
                <w:sz w:val="18"/>
                <w:szCs w:val="18"/>
              </w:rPr>
            </w:pPr>
            <w:r>
              <w:rPr>
                <w:rFonts w:ascii="宋体" w:hAnsi="宋体" w:cs="宋体" w:eastAsia="宋体" w:hint="default"/>
                <w:sz w:val="18"/>
                <w:szCs w:val="18"/>
              </w:rPr>
              <w:t>按</w:t>
            </w:r>
          </w:p>
          <w:p>
            <w:pPr>
              <w:pStyle w:val="TableParagraph"/>
              <w:spacing w:line="237" w:lineRule="auto"/>
              <w:ind w:left="26" w:right="24"/>
              <w:jc w:val="both"/>
              <w:rPr>
                <w:rFonts w:ascii="宋体" w:hAnsi="宋体" w:cs="宋体" w:eastAsia="宋体" w:hint="default"/>
                <w:sz w:val="18"/>
                <w:szCs w:val="18"/>
              </w:rPr>
            </w:pPr>
            <w:r>
              <w:rPr>
                <w:rFonts w:ascii="宋体" w:hAnsi="宋体" w:cs="宋体" w:eastAsia="宋体" w:hint="default"/>
                <w:sz w:val="18"/>
                <w:szCs w:val="18"/>
              </w:rPr>
              <w:t>信 用 风 险 特 征 组 合 计 提 坏 账 准 备</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24"/>
              <w:jc w:val="right"/>
              <w:rPr>
                <w:rFonts w:ascii="宋体" w:hAnsi="宋体" w:cs="宋体" w:eastAsia="宋体" w:hint="default"/>
                <w:sz w:val="20"/>
                <w:szCs w:val="20"/>
              </w:rPr>
            </w:pPr>
            <w:r>
              <w:rPr>
                <w:rFonts w:ascii="宋体"/>
                <w:w w:val="95"/>
                <w:sz w:val="20"/>
              </w:rPr>
              <w:t>789,757,32</w:t>
            </w:r>
            <w:r>
              <w:rPr>
                <w:rFonts w:ascii="宋体"/>
                <w:sz w:val="20"/>
              </w:rPr>
            </w:r>
          </w:p>
          <w:p>
            <w:pPr>
              <w:pStyle w:val="TableParagraph"/>
              <w:spacing w:line="260" w:lineRule="exact"/>
              <w:ind w:right="25"/>
              <w:jc w:val="right"/>
              <w:rPr>
                <w:rFonts w:ascii="宋体" w:hAnsi="宋体" w:cs="宋体" w:eastAsia="宋体" w:hint="default"/>
                <w:sz w:val="20"/>
                <w:szCs w:val="20"/>
              </w:rPr>
            </w:pPr>
            <w:r>
              <w:rPr>
                <w:rFonts w:ascii="宋体"/>
                <w:w w:val="99"/>
                <w:sz w:val="20"/>
              </w:rPr>
              <w:t>4</w:t>
            </w:r>
            <w:r>
              <w:rPr>
                <w:rFonts w:ascii="宋体"/>
                <w:sz w:val="20"/>
              </w:rPr>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3"/>
              <w:jc w:val="right"/>
              <w:rPr>
                <w:rFonts w:ascii="宋体" w:hAnsi="宋体" w:cs="宋体" w:eastAsia="宋体" w:hint="default"/>
                <w:sz w:val="20"/>
                <w:szCs w:val="20"/>
              </w:rPr>
            </w:pPr>
            <w:r>
              <w:rPr>
                <w:rFonts w:ascii="宋体"/>
                <w:sz w:val="20"/>
              </w:rPr>
              <w:t>96</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27"/>
              <w:jc w:val="right"/>
              <w:rPr>
                <w:rFonts w:ascii="宋体" w:hAnsi="宋体" w:cs="宋体" w:eastAsia="宋体" w:hint="default"/>
                <w:sz w:val="20"/>
                <w:szCs w:val="20"/>
              </w:rPr>
            </w:pPr>
            <w:r>
              <w:rPr>
                <w:rFonts w:ascii="宋体"/>
                <w:w w:val="95"/>
                <w:sz w:val="20"/>
              </w:rPr>
              <w:t>276,176,16</w:t>
            </w:r>
            <w:r>
              <w:rPr>
                <w:rFonts w:ascii="宋体"/>
                <w:sz w:val="20"/>
              </w:rPr>
            </w:r>
          </w:p>
          <w:p>
            <w:pPr>
              <w:pStyle w:val="TableParagraph"/>
              <w:spacing w:line="260" w:lineRule="exact"/>
              <w:ind w:right="29"/>
              <w:jc w:val="right"/>
              <w:rPr>
                <w:rFonts w:ascii="宋体" w:hAnsi="宋体" w:cs="宋体" w:eastAsia="宋体" w:hint="default"/>
                <w:sz w:val="20"/>
                <w:szCs w:val="20"/>
              </w:rPr>
            </w:pPr>
            <w:r>
              <w:rPr>
                <w:rFonts w:ascii="宋体"/>
                <w:w w:val="99"/>
                <w:sz w:val="20"/>
              </w:rPr>
              <w:t>5</w:t>
            </w:r>
            <w:r>
              <w:rPr>
                <w:rFonts w:ascii="宋体"/>
                <w:sz w:val="20"/>
              </w:rPr>
            </w:r>
          </w:p>
        </w:tc>
        <w:tc>
          <w:tcPr>
            <w:tcW w:w="35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3"/>
              <w:jc w:val="right"/>
              <w:rPr>
                <w:rFonts w:ascii="宋体" w:hAnsi="宋体" w:cs="宋体" w:eastAsia="宋体" w:hint="default"/>
                <w:sz w:val="20"/>
                <w:szCs w:val="20"/>
              </w:rPr>
            </w:pPr>
            <w:r>
              <w:rPr>
                <w:rFonts w:ascii="宋体"/>
                <w:sz w:val="20"/>
              </w:rPr>
              <w:t>35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27"/>
              <w:jc w:val="right"/>
              <w:rPr>
                <w:rFonts w:ascii="宋体" w:hAnsi="宋体" w:cs="宋体" w:eastAsia="宋体" w:hint="default"/>
                <w:sz w:val="20"/>
                <w:szCs w:val="20"/>
              </w:rPr>
            </w:pPr>
            <w:r>
              <w:rPr>
                <w:rFonts w:ascii="宋体"/>
                <w:w w:val="95"/>
                <w:sz w:val="20"/>
              </w:rPr>
              <w:t>513,581,15</w:t>
            </w:r>
            <w:r>
              <w:rPr>
                <w:rFonts w:ascii="宋体"/>
                <w:sz w:val="20"/>
              </w:rPr>
            </w:r>
          </w:p>
          <w:p>
            <w:pPr>
              <w:pStyle w:val="TableParagraph"/>
              <w:spacing w:line="260" w:lineRule="exact"/>
              <w:ind w:right="29"/>
              <w:jc w:val="right"/>
              <w:rPr>
                <w:rFonts w:ascii="宋体" w:hAnsi="宋体" w:cs="宋体" w:eastAsia="宋体" w:hint="default"/>
                <w:sz w:val="20"/>
                <w:szCs w:val="20"/>
              </w:rPr>
            </w:pPr>
            <w:r>
              <w:rPr>
                <w:rFonts w:ascii="宋体"/>
                <w:w w:val="99"/>
                <w:sz w:val="20"/>
              </w:rPr>
              <w:t>9</w:t>
            </w:r>
            <w:r>
              <w:rPr>
                <w:rFonts w:ascii="宋体"/>
                <w:sz w:val="20"/>
              </w:rPr>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27"/>
              <w:jc w:val="right"/>
              <w:rPr>
                <w:rFonts w:ascii="宋体" w:hAnsi="宋体" w:cs="宋体" w:eastAsia="宋体" w:hint="default"/>
                <w:sz w:val="20"/>
                <w:szCs w:val="20"/>
              </w:rPr>
            </w:pPr>
            <w:r>
              <w:rPr>
                <w:rFonts w:ascii="宋体"/>
                <w:w w:val="95"/>
                <w:sz w:val="20"/>
              </w:rPr>
              <w:t>799,856,99</w:t>
            </w:r>
            <w:r>
              <w:rPr>
                <w:rFonts w:ascii="宋体"/>
                <w:sz w:val="20"/>
              </w:rPr>
            </w:r>
          </w:p>
          <w:p>
            <w:pPr>
              <w:pStyle w:val="TableParagraph"/>
              <w:spacing w:line="260" w:lineRule="exact"/>
              <w:ind w:right="29"/>
              <w:jc w:val="right"/>
              <w:rPr>
                <w:rFonts w:ascii="宋体" w:hAnsi="宋体" w:cs="宋体" w:eastAsia="宋体" w:hint="default"/>
                <w:sz w:val="20"/>
                <w:szCs w:val="20"/>
              </w:rPr>
            </w:pPr>
            <w:r>
              <w:rPr>
                <w:rFonts w:ascii="宋体"/>
                <w:w w:val="99"/>
                <w:sz w:val="20"/>
              </w:rPr>
              <w:t>3</w:t>
            </w:r>
            <w:r>
              <w:rPr>
                <w:rFonts w:ascii="宋体"/>
                <w:sz w:val="20"/>
              </w:rPr>
            </w:r>
          </w:p>
        </w:tc>
        <w:tc>
          <w:tcPr>
            <w:tcW w:w="44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19" w:right="0"/>
              <w:jc w:val="left"/>
              <w:rPr>
                <w:rFonts w:ascii="宋体" w:hAnsi="宋体" w:cs="宋体" w:eastAsia="宋体" w:hint="default"/>
                <w:sz w:val="20"/>
                <w:szCs w:val="20"/>
              </w:rPr>
            </w:pPr>
            <w:r>
              <w:rPr>
                <w:rFonts w:ascii="宋体"/>
                <w:sz w:val="20"/>
              </w:rPr>
              <w:t>10</w:t>
            </w:r>
          </w:p>
          <w:p>
            <w:pPr>
              <w:pStyle w:val="TableParagraph"/>
              <w:spacing w:line="260" w:lineRule="exact"/>
              <w:ind w:left="218" w:right="0"/>
              <w:jc w:val="left"/>
              <w:rPr>
                <w:rFonts w:ascii="宋体" w:hAnsi="宋体" w:cs="宋体" w:eastAsia="宋体" w:hint="default"/>
                <w:sz w:val="20"/>
                <w:szCs w:val="20"/>
              </w:rPr>
            </w:pPr>
            <w:r>
              <w:rPr>
                <w:rFonts w:ascii="宋体"/>
                <w:sz w:val="20"/>
              </w:rPr>
              <w:t>0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27"/>
              <w:jc w:val="right"/>
              <w:rPr>
                <w:rFonts w:ascii="宋体" w:hAnsi="宋体" w:cs="宋体" w:eastAsia="宋体" w:hint="default"/>
                <w:sz w:val="20"/>
                <w:szCs w:val="20"/>
              </w:rPr>
            </w:pPr>
            <w:r>
              <w:rPr>
                <w:rFonts w:ascii="宋体"/>
                <w:w w:val="95"/>
                <w:sz w:val="20"/>
              </w:rPr>
              <w:t>242,828,31</w:t>
            </w:r>
            <w:r>
              <w:rPr>
                <w:rFonts w:ascii="宋体"/>
                <w:sz w:val="20"/>
              </w:rPr>
            </w:r>
          </w:p>
          <w:p>
            <w:pPr>
              <w:pStyle w:val="TableParagraph"/>
              <w:spacing w:line="260" w:lineRule="exact"/>
              <w:ind w:right="29"/>
              <w:jc w:val="right"/>
              <w:rPr>
                <w:rFonts w:ascii="宋体" w:hAnsi="宋体" w:cs="宋体" w:eastAsia="宋体" w:hint="default"/>
                <w:sz w:val="20"/>
                <w:szCs w:val="20"/>
              </w:rPr>
            </w:pPr>
            <w:r>
              <w:rPr>
                <w:rFonts w:ascii="宋体"/>
                <w:w w:val="99"/>
                <w:sz w:val="20"/>
              </w:rPr>
              <w:t>1</w:t>
            </w:r>
            <w:r>
              <w:rPr>
                <w:rFonts w:ascii="宋体"/>
                <w:sz w:val="20"/>
              </w:rPr>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17" w:right="0"/>
              <w:jc w:val="left"/>
              <w:rPr>
                <w:rFonts w:ascii="宋体" w:hAnsi="宋体" w:cs="宋体" w:eastAsia="宋体" w:hint="default"/>
                <w:sz w:val="20"/>
                <w:szCs w:val="20"/>
              </w:rPr>
            </w:pPr>
            <w:r>
              <w:rPr>
                <w:rFonts w:ascii="宋体"/>
                <w:w w:val="99"/>
                <w:sz w:val="20"/>
              </w:rPr>
              <w:t>3</w:t>
            </w:r>
            <w:r>
              <w:rPr>
                <w:rFonts w:ascii="宋体"/>
                <w:sz w:val="20"/>
              </w:rPr>
            </w:r>
          </w:p>
          <w:p>
            <w:pPr>
              <w:pStyle w:val="TableParagraph"/>
              <w:spacing w:line="260" w:lineRule="exact"/>
              <w:ind w:left="117" w:right="0"/>
              <w:jc w:val="left"/>
              <w:rPr>
                <w:rFonts w:ascii="宋体" w:hAnsi="宋体" w:cs="宋体" w:eastAsia="宋体" w:hint="default"/>
                <w:sz w:val="20"/>
                <w:szCs w:val="20"/>
              </w:rPr>
            </w:pPr>
            <w:r>
              <w:rPr>
                <w:rFonts w:ascii="宋体"/>
                <w:sz w:val="20"/>
              </w:rPr>
              <w:t>0 </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24"/>
              <w:jc w:val="right"/>
              <w:rPr>
                <w:rFonts w:ascii="宋体" w:hAnsi="宋体" w:cs="宋体" w:eastAsia="宋体" w:hint="default"/>
                <w:sz w:val="20"/>
                <w:szCs w:val="20"/>
              </w:rPr>
            </w:pPr>
            <w:r>
              <w:rPr>
                <w:rFonts w:ascii="宋体"/>
                <w:w w:val="95"/>
                <w:sz w:val="20"/>
              </w:rPr>
              <w:t>557,028,68</w:t>
            </w:r>
            <w:r>
              <w:rPr>
                <w:rFonts w:ascii="宋体"/>
                <w:sz w:val="20"/>
              </w:rPr>
            </w:r>
          </w:p>
          <w:p>
            <w:pPr>
              <w:pStyle w:val="TableParagraph"/>
              <w:spacing w:line="260" w:lineRule="exact"/>
              <w:ind w:right="25"/>
              <w:jc w:val="right"/>
              <w:rPr>
                <w:rFonts w:ascii="宋体" w:hAnsi="宋体" w:cs="宋体" w:eastAsia="宋体" w:hint="default"/>
                <w:sz w:val="20"/>
                <w:szCs w:val="20"/>
              </w:rPr>
            </w:pPr>
            <w:r>
              <w:rPr>
                <w:rFonts w:ascii="宋体"/>
                <w:w w:val="99"/>
                <w:sz w:val="20"/>
              </w:rPr>
              <w:t>2</w:t>
            </w:r>
            <w:r>
              <w:rPr>
                <w:rFonts w:ascii="宋体"/>
                <w:sz w:val="20"/>
              </w:rPr>
            </w:r>
          </w:p>
        </w:tc>
      </w:tr>
      <w:tr>
        <w:trPr>
          <w:trHeight w:val="269" w:hRule="exact"/>
        </w:trPr>
        <w:tc>
          <w:tcPr>
            <w:tcW w:w="24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sz w:val="18"/>
              </w:rPr>
              <w:t> </w:t>
            </w:r>
          </w:p>
        </w:tc>
        <w:tc>
          <w:tcPr>
            <w:tcW w:w="1150" w:type="dxa"/>
            <w:tcBorders>
              <w:top w:val="single" w:sz="4" w:space="0" w:color="000000"/>
              <w:left w:val="single" w:sz="4" w:space="0" w:color="000000"/>
              <w:bottom w:val="single" w:sz="4" w:space="0" w:color="000000"/>
              <w:right w:val="single" w:sz="4" w:space="0" w:color="000000"/>
            </w:tcBorders>
          </w:tcPr>
          <w:p>
            <w:pPr/>
          </w:p>
        </w:tc>
        <w:tc>
          <w:tcPr>
            <w:tcW w:w="331"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35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446"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243"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before="17"/>
              <w:ind w:left="26" w:right="24"/>
              <w:jc w:val="left"/>
              <w:rPr>
                <w:rFonts w:ascii="宋体" w:hAnsi="宋体" w:cs="宋体" w:eastAsia="宋体" w:hint="default"/>
                <w:sz w:val="18"/>
                <w:szCs w:val="18"/>
              </w:rPr>
            </w:pPr>
            <w:r>
              <w:rPr>
                <w:rFonts w:ascii="宋体" w:hAnsi="宋体" w:cs="宋体" w:eastAsia="宋体" w:hint="default"/>
                <w:sz w:val="18"/>
                <w:szCs w:val="18"/>
              </w:rPr>
              <w:t>合 计</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4"/>
              <w:jc w:val="right"/>
              <w:rPr>
                <w:rFonts w:ascii="宋体" w:hAnsi="宋体" w:cs="宋体" w:eastAsia="宋体" w:hint="default"/>
                <w:sz w:val="20"/>
                <w:szCs w:val="20"/>
              </w:rPr>
            </w:pPr>
            <w:r>
              <w:rPr>
                <w:rFonts w:ascii="宋体"/>
                <w:w w:val="95"/>
                <w:sz w:val="20"/>
              </w:rPr>
              <w:t>820,168,17</w:t>
            </w:r>
            <w:r>
              <w:rPr>
                <w:rFonts w:ascii="宋体"/>
                <w:sz w:val="20"/>
              </w:rPr>
            </w:r>
          </w:p>
          <w:p>
            <w:pPr>
              <w:pStyle w:val="TableParagraph"/>
              <w:spacing w:line="240" w:lineRule="auto"/>
              <w:ind w:right="25"/>
              <w:jc w:val="right"/>
              <w:rPr>
                <w:rFonts w:ascii="宋体" w:hAnsi="宋体" w:cs="宋体" w:eastAsia="宋体" w:hint="default"/>
                <w:sz w:val="20"/>
                <w:szCs w:val="20"/>
              </w:rPr>
            </w:pPr>
            <w:r>
              <w:rPr>
                <w:rFonts w:ascii="宋体"/>
                <w:w w:val="99"/>
                <w:sz w:val="20"/>
              </w:rPr>
              <w:t>8</w:t>
            </w:r>
            <w:r>
              <w:rPr>
                <w:rFonts w:ascii="宋体"/>
                <w:sz w:val="20"/>
              </w:rPr>
            </w:r>
          </w:p>
        </w:tc>
        <w:tc>
          <w:tcPr>
            <w:tcW w:w="33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5"/>
              <w:jc w:val="right"/>
              <w:rPr>
                <w:rFonts w:ascii="宋体" w:hAnsi="宋体" w:cs="宋体" w:eastAsia="宋体" w:hint="default"/>
                <w:sz w:val="20"/>
                <w:szCs w:val="20"/>
              </w:rPr>
            </w:pPr>
            <w:r>
              <w:rPr>
                <w:rFonts w:ascii="宋体"/>
                <w:w w:val="99"/>
                <w:sz w:val="20"/>
              </w:rPr>
              <w:t>/</w:t>
            </w:r>
            <w:r>
              <w:rPr>
                <w:rFonts w:ascii="宋体"/>
                <w:sz w:val="20"/>
              </w:rPr>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7"/>
              <w:jc w:val="right"/>
              <w:rPr>
                <w:rFonts w:ascii="宋体" w:hAnsi="宋体" w:cs="宋体" w:eastAsia="宋体" w:hint="default"/>
                <w:sz w:val="20"/>
                <w:szCs w:val="20"/>
              </w:rPr>
            </w:pPr>
            <w:r>
              <w:rPr>
                <w:rFonts w:ascii="宋体"/>
                <w:w w:val="95"/>
                <w:sz w:val="20"/>
              </w:rPr>
              <w:t>306,587,01</w:t>
            </w:r>
            <w:r>
              <w:rPr>
                <w:rFonts w:ascii="宋体"/>
                <w:sz w:val="20"/>
              </w:rPr>
            </w:r>
          </w:p>
          <w:p>
            <w:pPr>
              <w:pStyle w:val="TableParagraph"/>
              <w:spacing w:line="240" w:lineRule="auto"/>
              <w:ind w:right="29"/>
              <w:jc w:val="right"/>
              <w:rPr>
                <w:rFonts w:ascii="宋体" w:hAnsi="宋体" w:cs="宋体" w:eastAsia="宋体" w:hint="default"/>
                <w:sz w:val="20"/>
                <w:szCs w:val="20"/>
              </w:rPr>
            </w:pPr>
            <w:r>
              <w:rPr>
                <w:rFonts w:ascii="宋体"/>
                <w:w w:val="99"/>
                <w:sz w:val="20"/>
              </w:rPr>
              <w:t>9</w:t>
            </w:r>
            <w:r>
              <w:rPr>
                <w:rFonts w:ascii="宋体"/>
                <w:sz w:val="20"/>
              </w:rPr>
            </w:r>
          </w:p>
        </w:tc>
        <w:tc>
          <w:tcPr>
            <w:tcW w:w="35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5"/>
              <w:jc w:val="right"/>
              <w:rPr>
                <w:rFonts w:ascii="宋体" w:hAnsi="宋体" w:cs="宋体" w:eastAsia="宋体" w:hint="default"/>
                <w:sz w:val="20"/>
                <w:szCs w:val="20"/>
              </w:rPr>
            </w:pPr>
            <w:r>
              <w:rPr>
                <w:rFonts w:ascii="宋体"/>
                <w:w w:val="99"/>
                <w:sz w:val="20"/>
              </w:rPr>
              <w:t>/</w:t>
            </w:r>
            <w:r>
              <w:rPr>
                <w:rFonts w:ascii="宋体"/>
                <w:sz w:val="20"/>
              </w:rPr>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7"/>
              <w:jc w:val="right"/>
              <w:rPr>
                <w:rFonts w:ascii="宋体" w:hAnsi="宋体" w:cs="宋体" w:eastAsia="宋体" w:hint="default"/>
                <w:sz w:val="20"/>
                <w:szCs w:val="20"/>
              </w:rPr>
            </w:pPr>
            <w:r>
              <w:rPr>
                <w:rFonts w:ascii="宋体"/>
                <w:w w:val="95"/>
                <w:sz w:val="20"/>
              </w:rPr>
              <w:t>513,581,15</w:t>
            </w:r>
            <w:r>
              <w:rPr>
                <w:rFonts w:ascii="宋体"/>
                <w:sz w:val="20"/>
              </w:rPr>
            </w:r>
          </w:p>
          <w:p>
            <w:pPr>
              <w:pStyle w:val="TableParagraph"/>
              <w:spacing w:line="240" w:lineRule="auto"/>
              <w:ind w:right="29"/>
              <w:jc w:val="right"/>
              <w:rPr>
                <w:rFonts w:ascii="宋体" w:hAnsi="宋体" w:cs="宋体" w:eastAsia="宋体" w:hint="default"/>
                <w:sz w:val="20"/>
                <w:szCs w:val="20"/>
              </w:rPr>
            </w:pPr>
            <w:r>
              <w:rPr>
                <w:rFonts w:ascii="宋体"/>
                <w:w w:val="99"/>
                <w:sz w:val="20"/>
              </w:rPr>
              <w:t>9</w:t>
            </w:r>
            <w:r>
              <w:rPr>
                <w:rFonts w:ascii="宋体"/>
                <w:sz w:val="20"/>
              </w:rPr>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7"/>
              <w:jc w:val="right"/>
              <w:rPr>
                <w:rFonts w:ascii="宋体" w:hAnsi="宋体" w:cs="宋体" w:eastAsia="宋体" w:hint="default"/>
                <w:sz w:val="20"/>
                <w:szCs w:val="20"/>
              </w:rPr>
            </w:pPr>
            <w:r>
              <w:rPr>
                <w:rFonts w:ascii="宋体"/>
                <w:w w:val="95"/>
                <w:sz w:val="20"/>
              </w:rPr>
              <w:t>799,856,99</w:t>
            </w:r>
            <w:r>
              <w:rPr>
                <w:rFonts w:ascii="宋体"/>
                <w:sz w:val="20"/>
              </w:rPr>
            </w:r>
          </w:p>
          <w:p>
            <w:pPr>
              <w:pStyle w:val="TableParagraph"/>
              <w:spacing w:line="240" w:lineRule="auto"/>
              <w:ind w:right="29"/>
              <w:jc w:val="right"/>
              <w:rPr>
                <w:rFonts w:ascii="宋体" w:hAnsi="宋体" w:cs="宋体" w:eastAsia="宋体" w:hint="default"/>
                <w:sz w:val="20"/>
                <w:szCs w:val="20"/>
              </w:rPr>
            </w:pPr>
            <w:r>
              <w:rPr>
                <w:rFonts w:ascii="宋体"/>
                <w:w w:val="99"/>
                <w:sz w:val="20"/>
              </w:rPr>
              <w:t>3</w:t>
            </w:r>
            <w:r>
              <w:rPr>
                <w:rFonts w:ascii="宋体"/>
                <w:sz w:val="20"/>
              </w:rPr>
            </w:r>
          </w:p>
        </w:tc>
        <w:tc>
          <w:tcPr>
            <w:tcW w:w="44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5"/>
              <w:jc w:val="right"/>
              <w:rPr>
                <w:rFonts w:ascii="宋体" w:hAnsi="宋体" w:cs="宋体" w:eastAsia="宋体" w:hint="default"/>
                <w:sz w:val="20"/>
                <w:szCs w:val="20"/>
              </w:rPr>
            </w:pPr>
            <w:r>
              <w:rPr>
                <w:rFonts w:ascii="宋体"/>
                <w:w w:val="99"/>
                <w:sz w:val="20"/>
              </w:rPr>
              <w:t>/</w:t>
            </w:r>
            <w:r>
              <w:rPr>
                <w:rFonts w:ascii="宋体"/>
                <w:sz w:val="20"/>
              </w:rPr>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7"/>
              <w:jc w:val="right"/>
              <w:rPr>
                <w:rFonts w:ascii="宋体" w:hAnsi="宋体" w:cs="宋体" w:eastAsia="宋体" w:hint="default"/>
                <w:sz w:val="20"/>
                <w:szCs w:val="20"/>
              </w:rPr>
            </w:pPr>
            <w:r>
              <w:rPr>
                <w:rFonts w:ascii="宋体"/>
                <w:w w:val="95"/>
                <w:sz w:val="20"/>
              </w:rPr>
              <w:t>242,828,31</w:t>
            </w:r>
            <w:r>
              <w:rPr>
                <w:rFonts w:ascii="宋体"/>
                <w:sz w:val="20"/>
              </w:rPr>
            </w:r>
          </w:p>
          <w:p>
            <w:pPr>
              <w:pStyle w:val="TableParagraph"/>
              <w:spacing w:line="240" w:lineRule="auto"/>
              <w:ind w:right="29"/>
              <w:jc w:val="right"/>
              <w:rPr>
                <w:rFonts w:ascii="宋体" w:hAnsi="宋体" w:cs="宋体" w:eastAsia="宋体" w:hint="default"/>
                <w:sz w:val="20"/>
                <w:szCs w:val="20"/>
              </w:rPr>
            </w:pPr>
            <w:r>
              <w:rPr>
                <w:rFonts w:ascii="宋体"/>
                <w:w w:val="99"/>
                <w:sz w:val="20"/>
              </w:rPr>
              <w:t>1</w:t>
            </w:r>
            <w:r>
              <w:rPr>
                <w:rFonts w:ascii="宋体"/>
                <w:sz w:val="20"/>
              </w:rPr>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5"/>
              <w:jc w:val="right"/>
              <w:rPr>
                <w:rFonts w:ascii="宋体" w:hAnsi="宋体" w:cs="宋体" w:eastAsia="宋体" w:hint="default"/>
                <w:sz w:val="20"/>
                <w:szCs w:val="20"/>
              </w:rPr>
            </w:pPr>
            <w:r>
              <w:rPr>
                <w:rFonts w:ascii="宋体"/>
                <w:w w:val="99"/>
                <w:sz w:val="20"/>
              </w:rPr>
              <w:t>/</w:t>
            </w:r>
            <w:r>
              <w:rPr>
                <w:rFonts w:ascii="宋体"/>
                <w:sz w:val="20"/>
              </w:rPr>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4"/>
              <w:jc w:val="right"/>
              <w:rPr>
                <w:rFonts w:ascii="宋体" w:hAnsi="宋体" w:cs="宋体" w:eastAsia="宋体" w:hint="default"/>
                <w:sz w:val="20"/>
                <w:szCs w:val="20"/>
              </w:rPr>
            </w:pPr>
            <w:r>
              <w:rPr>
                <w:rFonts w:ascii="宋体"/>
                <w:w w:val="95"/>
                <w:sz w:val="20"/>
              </w:rPr>
              <w:t>557,028,68</w:t>
            </w:r>
            <w:r>
              <w:rPr>
                <w:rFonts w:ascii="宋体"/>
                <w:sz w:val="20"/>
              </w:rPr>
            </w:r>
          </w:p>
          <w:p>
            <w:pPr>
              <w:pStyle w:val="TableParagraph"/>
              <w:spacing w:line="240" w:lineRule="auto"/>
              <w:ind w:right="25"/>
              <w:jc w:val="right"/>
              <w:rPr>
                <w:rFonts w:ascii="宋体" w:hAnsi="宋体" w:cs="宋体" w:eastAsia="宋体" w:hint="default"/>
                <w:sz w:val="20"/>
                <w:szCs w:val="20"/>
              </w:rPr>
            </w:pPr>
            <w:r>
              <w:rPr>
                <w:rFonts w:ascii="宋体"/>
                <w:w w:val="99"/>
                <w:sz w:val="20"/>
              </w:rPr>
              <w:t>2</w:t>
            </w:r>
            <w:r>
              <w:rPr>
                <w:rFonts w:ascii="宋体"/>
                <w:sz w:val="20"/>
              </w:rPr>
            </w:r>
          </w:p>
        </w:tc>
      </w:tr>
    </w:tbl>
    <w:p>
      <w:pPr>
        <w:spacing w:line="240" w:lineRule="auto" w:before="0"/>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1120" w:bottom="1380" w:left="1060" w:right="1560"/>
        </w:sectPr>
      </w:pPr>
    </w:p>
    <w:p>
      <w:pPr>
        <w:pStyle w:val="BodyText"/>
        <w:spacing w:line="312" w:lineRule="exact" w:before="26"/>
        <w:ind w:left="216" w:right="-20"/>
        <w:jc w:val="left"/>
      </w:pPr>
      <w:r>
        <w:rPr/>
        <w:t>按单项计提坏账准备：</w:t>
      </w:r>
    </w:p>
    <w:p>
      <w:pPr>
        <w:pStyle w:val="BodyText"/>
        <w:spacing w:line="312" w:lineRule="exact"/>
        <w:ind w:left="216" w:right="-2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5"/>
          <w:szCs w:val="25"/>
        </w:rPr>
      </w:pPr>
    </w:p>
    <w:p>
      <w:pPr>
        <w:pStyle w:val="BodyText"/>
        <w:tabs>
          <w:tab w:pos="1176" w:val="left" w:leader="none"/>
        </w:tabs>
        <w:spacing w:line="240" w:lineRule="auto"/>
        <w:ind w:left="216" w:right="0"/>
        <w:jc w:val="left"/>
      </w:pPr>
      <w:r>
        <w:rPr/>
        <w:t>位：元</w:t>
        <w:tab/>
        <w:t>币种：人民币</w:t>
      </w:r>
    </w:p>
    <w:p>
      <w:pPr>
        <w:spacing w:after="0" w:line="240" w:lineRule="auto"/>
        <w:jc w:val="left"/>
        <w:sectPr>
          <w:type w:val="continuous"/>
          <w:pgSz w:w="11910" w:h="16840"/>
          <w:pgMar w:top="1120" w:bottom="1380" w:left="1060" w:right="1560"/>
          <w:cols w:num="2" w:equalWidth="0">
            <w:col w:w="2617" w:space="3713"/>
            <w:col w:w="2960"/>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100"/>
        <w:gridCol w:w="6950"/>
      </w:tblGrid>
      <w:tr>
        <w:trPr>
          <w:trHeight w:val="322"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名称</w:t>
            </w:r>
          </w:p>
        </w:tc>
        <w:tc>
          <w:tcPr>
            <w:tcW w:w="695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期末余额</w:t>
            </w:r>
          </w:p>
        </w:tc>
      </w:tr>
    </w:tbl>
    <w:p>
      <w:pPr>
        <w:spacing w:after="0" w:line="274" w:lineRule="exact"/>
        <w:jc w:val="center"/>
        <w:rPr>
          <w:rFonts w:ascii="宋体" w:hAnsi="宋体" w:cs="宋体" w:eastAsia="宋体" w:hint="default"/>
          <w:sz w:val="24"/>
          <w:szCs w:val="24"/>
        </w:rPr>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223" w:type="dxa"/>
        <w:tblLayout w:type="fixed"/>
        <w:tblCellMar>
          <w:top w:w="0" w:type="dxa"/>
          <w:left w:w="0" w:type="dxa"/>
          <w:bottom w:w="0" w:type="dxa"/>
          <w:right w:w="0" w:type="dxa"/>
        </w:tblCellMar>
        <w:tblLook w:val="01E0"/>
      </w:tblPr>
      <w:tblGrid>
        <w:gridCol w:w="2100"/>
        <w:gridCol w:w="1700"/>
        <w:gridCol w:w="1702"/>
        <w:gridCol w:w="1327"/>
        <w:gridCol w:w="2221"/>
      </w:tblGrid>
      <w:tr>
        <w:trPr>
          <w:trHeight w:val="634" w:hRule="exact"/>
        </w:trPr>
        <w:tc>
          <w:tcPr>
            <w:tcW w:w="210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364" w:right="0"/>
              <w:jc w:val="left"/>
              <w:rPr>
                <w:rFonts w:ascii="宋体" w:hAnsi="宋体" w:cs="宋体" w:eastAsia="宋体" w:hint="default"/>
                <w:sz w:val="24"/>
                <w:szCs w:val="24"/>
              </w:rPr>
            </w:pPr>
            <w:r>
              <w:rPr>
                <w:rFonts w:ascii="宋体" w:hAnsi="宋体" w:cs="宋体" w:eastAsia="宋体" w:hint="default"/>
                <w:sz w:val="24"/>
                <w:szCs w:val="24"/>
              </w:rPr>
              <w:t>账面余额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364" w:right="0"/>
              <w:jc w:val="left"/>
              <w:rPr>
                <w:rFonts w:ascii="宋体" w:hAnsi="宋体" w:cs="宋体" w:eastAsia="宋体" w:hint="default"/>
                <w:sz w:val="24"/>
                <w:szCs w:val="24"/>
              </w:rPr>
            </w:pPr>
            <w:r>
              <w:rPr>
                <w:rFonts w:ascii="宋体" w:hAnsi="宋体" w:cs="宋体" w:eastAsia="宋体" w:hint="default"/>
                <w:sz w:val="24"/>
                <w:szCs w:val="24"/>
              </w:rPr>
              <w:t>坏账准备</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
              <w:jc w:val="center"/>
              <w:rPr>
                <w:rFonts w:ascii="宋体" w:hAnsi="宋体" w:cs="宋体" w:eastAsia="宋体" w:hint="default"/>
                <w:sz w:val="24"/>
                <w:szCs w:val="24"/>
              </w:rPr>
            </w:pPr>
            <w:r>
              <w:rPr>
                <w:rFonts w:ascii="宋体" w:hAnsi="宋体" w:cs="宋体" w:eastAsia="宋体" w:hint="default"/>
                <w:sz w:val="24"/>
                <w:szCs w:val="24"/>
              </w:rPr>
              <w:t>计提比例</w:t>
            </w:r>
          </w:p>
          <w:p>
            <w:pPr>
              <w:pStyle w:val="TableParagraph"/>
              <w:spacing w:line="331" w:lineRule="exact"/>
              <w:ind w:right="2"/>
              <w:jc w:val="center"/>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
              <w:jc w:val="center"/>
              <w:rPr>
                <w:rFonts w:ascii="宋体" w:hAnsi="宋体" w:cs="宋体" w:eastAsia="宋体" w:hint="default"/>
                <w:sz w:val="24"/>
                <w:szCs w:val="24"/>
              </w:rPr>
            </w:pPr>
            <w:r>
              <w:rPr>
                <w:rFonts w:ascii="宋体" w:hAnsi="宋体" w:cs="宋体" w:eastAsia="宋体" w:hint="default"/>
                <w:sz w:val="24"/>
                <w:szCs w:val="24"/>
              </w:rPr>
              <w:t>计提理由</w:t>
            </w:r>
          </w:p>
        </w:tc>
      </w:tr>
      <w:tr>
        <w:trPr>
          <w:trHeight w:val="319"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5,329,326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5,329,326</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100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2"/>
              <w:jc w:val="center"/>
              <w:rPr>
                <w:rFonts w:ascii="宋体" w:hAnsi="宋体" w:cs="宋体" w:eastAsia="宋体" w:hint="default"/>
                <w:sz w:val="24"/>
                <w:szCs w:val="24"/>
              </w:rPr>
            </w:pPr>
            <w:r>
              <w:rPr>
                <w:rFonts w:ascii="宋体" w:hAnsi="宋体" w:cs="宋体" w:eastAsia="宋体" w:hint="default"/>
                <w:sz w:val="24"/>
                <w:szCs w:val="24"/>
              </w:rPr>
              <w:t>预计款项无法收回</w:t>
            </w:r>
          </w:p>
        </w:tc>
      </w:tr>
      <w:tr>
        <w:trPr>
          <w:trHeight w:val="322"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2,571,346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2,571,346</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100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82"/>
              <w:jc w:val="center"/>
              <w:rPr>
                <w:rFonts w:ascii="宋体" w:hAnsi="宋体" w:cs="宋体" w:eastAsia="宋体" w:hint="default"/>
                <w:sz w:val="24"/>
                <w:szCs w:val="24"/>
              </w:rPr>
            </w:pPr>
            <w:r>
              <w:rPr>
                <w:rFonts w:ascii="宋体" w:hAnsi="宋体" w:cs="宋体" w:eastAsia="宋体" w:hint="default"/>
                <w:sz w:val="24"/>
                <w:szCs w:val="24"/>
              </w:rPr>
              <w:t>预计款项无法收回</w:t>
            </w:r>
          </w:p>
        </w:tc>
      </w:tr>
      <w:tr>
        <w:trPr>
          <w:trHeight w:val="322"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2,224,528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2,224,528</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100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2"/>
              <w:jc w:val="center"/>
              <w:rPr>
                <w:rFonts w:ascii="宋体" w:hAnsi="宋体" w:cs="宋体" w:eastAsia="宋体" w:hint="default"/>
                <w:sz w:val="24"/>
                <w:szCs w:val="24"/>
              </w:rPr>
            </w:pPr>
            <w:r>
              <w:rPr>
                <w:rFonts w:ascii="宋体" w:hAnsi="宋体" w:cs="宋体" w:eastAsia="宋体" w:hint="default"/>
                <w:sz w:val="24"/>
                <w:szCs w:val="24"/>
              </w:rPr>
              <w:t>预计款项无法收回</w:t>
            </w:r>
          </w:p>
        </w:tc>
      </w:tr>
      <w:tr>
        <w:trPr>
          <w:trHeight w:val="322"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20,285,654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20,285,654</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100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82"/>
              <w:jc w:val="center"/>
              <w:rPr>
                <w:rFonts w:ascii="宋体" w:hAnsi="宋体" w:cs="宋体" w:eastAsia="宋体" w:hint="default"/>
                <w:sz w:val="24"/>
                <w:szCs w:val="24"/>
              </w:rPr>
            </w:pPr>
            <w:r>
              <w:rPr>
                <w:rFonts w:ascii="宋体" w:hAnsi="宋体" w:cs="宋体" w:eastAsia="宋体" w:hint="default"/>
                <w:sz w:val="24"/>
                <w:szCs w:val="24"/>
              </w:rPr>
              <w:t>预计款项无法收回</w:t>
            </w:r>
          </w:p>
        </w:tc>
      </w:tr>
      <w:tr>
        <w:trPr>
          <w:trHeight w:val="322"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合计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30,410,854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30,410,854</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100</w:t>
            </w:r>
          </w:p>
        </w:tc>
        <w:tc>
          <w:tcPr>
            <w:tcW w:w="2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Times New Roman" w:hAnsi="Times New Roman" w:cs="Times New Roman" w:eastAsia="Times New Roman" w:hint="default"/>
                <w:sz w:val="24"/>
                <w:szCs w:val="24"/>
              </w:rPr>
            </w:pPr>
            <w:r>
              <w:rPr>
                <w:rFonts w:ascii="Times New Roman"/>
                <w:sz w:val="24"/>
              </w:rPr>
              <w:t>/</w:t>
            </w:r>
          </w:p>
        </w:tc>
      </w:tr>
    </w:tbl>
    <w:p>
      <w:pPr>
        <w:pStyle w:val="BodyText"/>
        <w:spacing w:line="273" w:lineRule="exact"/>
        <w:ind w:left="336" w:right="1850"/>
        <w:jc w:val="left"/>
      </w:pPr>
      <w:r>
        <w:rPr/>
        <w:t>按单项计提坏账准备的说明：</w:t>
      </w:r>
    </w:p>
    <w:p>
      <w:pPr>
        <w:pStyle w:val="BodyText"/>
        <w:spacing w:line="313" w:lineRule="exact"/>
        <w:ind w:left="336" w:right="1850"/>
        <w:jc w:val="left"/>
      </w:pPr>
      <w:r>
        <w:rPr/>
        <w:t>□适用 √不适用</w:t>
      </w:r>
    </w:p>
    <w:p>
      <w:pPr>
        <w:spacing w:line="240" w:lineRule="auto" w:before="10"/>
        <w:rPr>
          <w:rFonts w:ascii="宋体" w:hAnsi="宋体" w:cs="宋体" w:eastAsia="宋体" w:hint="default"/>
          <w:sz w:val="20"/>
          <w:szCs w:val="20"/>
        </w:rPr>
      </w:pPr>
    </w:p>
    <w:p>
      <w:pPr>
        <w:pStyle w:val="BodyText"/>
        <w:spacing w:line="313" w:lineRule="exact"/>
        <w:ind w:left="336" w:right="1850"/>
        <w:jc w:val="left"/>
      </w:pPr>
      <w:r>
        <w:rPr/>
        <w:t>按组合计提坏账准备：</w:t>
      </w:r>
    </w:p>
    <w:p>
      <w:pPr>
        <w:pStyle w:val="BodyText"/>
        <w:spacing w:line="240" w:lineRule="auto"/>
        <w:ind w:left="336" w:right="1850"/>
        <w:jc w:val="left"/>
      </w:pPr>
      <w:r>
        <w:rPr/>
        <w:t>□适用 √不适用 如按预期信用损失一般模型计提坏账准备，请参照其他应收款披露：</w:t>
      </w:r>
    </w:p>
    <w:p>
      <w:pPr>
        <w:pStyle w:val="BodyText"/>
        <w:spacing w:line="310" w:lineRule="exact"/>
        <w:ind w:left="336" w:right="1850"/>
        <w:jc w:val="left"/>
      </w:pPr>
      <w:r>
        <w:rPr/>
        <w:t>√适用 □不适用</w:t>
      </w:r>
    </w:p>
    <w:p>
      <w:pPr>
        <w:spacing w:before="6"/>
        <w:ind w:left="336" w:right="1850" w:firstLine="0"/>
        <w:jc w:val="left"/>
        <w:rPr>
          <w:rFonts w:ascii="黑体" w:hAnsi="黑体" w:cs="黑体" w:eastAsia="黑体" w:hint="default"/>
          <w:sz w:val="20"/>
          <w:szCs w:val="20"/>
        </w:rPr>
      </w:pPr>
      <w:r>
        <w:rPr>
          <w:rFonts w:ascii="黑体" w:hAnsi="黑体" w:cs="黑体" w:eastAsia="黑体" w:hint="default"/>
          <w:sz w:val="20"/>
          <w:szCs w:val="20"/>
        </w:rPr>
        <w:t>本公司采用账龄分析法计提坏账准备的应收账款情况如下：</w:t>
      </w:r>
    </w:p>
    <w:p>
      <w:pPr>
        <w:spacing w:line="240" w:lineRule="auto" w:before="11"/>
        <w:rPr>
          <w:rFonts w:ascii="黑体" w:hAnsi="黑体" w:cs="黑体" w:eastAsia="黑体" w:hint="default"/>
          <w:sz w:val="21"/>
          <w:szCs w:val="21"/>
        </w:rPr>
      </w:pPr>
    </w:p>
    <w:tbl>
      <w:tblPr>
        <w:tblW w:w="0" w:type="auto"/>
        <w:jc w:val="left"/>
        <w:tblInd w:w="117" w:type="dxa"/>
        <w:tblLayout w:type="fixed"/>
        <w:tblCellMar>
          <w:top w:w="0" w:type="dxa"/>
          <w:left w:w="0" w:type="dxa"/>
          <w:bottom w:w="0" w:type="dxa"/>
          <w:right w:w="0" w:type="dxa"/>
        </w:tblCellMar>
        <w:tblLook w:val="01E0"/>
      </w:tblPr>
      <w:tblGrid>
        <w:gridCol w:w="2096"/>
        <w:gridCol w:w="2036"/>
        <w:gridCol w:w="2350"/>
        <w:gridCol w:w="1875"/>
      </w:tblGrid>
      <w:tr>
        <w:trPr>
          <w:trHeight w:val="238" w:hRule="exact"/>
        </w:trPr>
        <w:tc>
          <w:tcPr>
            <w:tcW w:w="8357" w:type="dxa"/>
            <w:gridSpan w:val="4"/>
            <w:tcBorders>
              <w:top w:val="nil" w:sz="6" w:space="0" w:color="auto"/>
              <w:left w:val="nil" w:sz="6" w:space="0" w:color="auto"/>
              <w:bottom w:val="nil" w:sz="6" w:space="0" w:color="auto"/>
              <w:right w:val="nil" w:sz="6" w:space="0" w:color="auto"/>
            </w:tcBorders>
          </w:tcPr>
          <w:p>
            <w:pPr>
              <w:pStyle w:val="TableParagraph"/>
              <w:spacing w:line="214" w:lineRule="exact"/>
              <w:ind w:right="948"/>
              <w:jc w:val="right"/>
              <w:rPr>
                <w:rFonts w:ascii="黑体" w:hAnsi="黑体" w:cs="黑体" w:eastAsia="黑体" w:hint="default"/>
                <w:sz w:val="20"/>
                <w:szCs w:val="20"/>
              </w:rPr>
            </w:pPr>
            <w:r>
              <w:rPr>
                <w:rFonts w:ascii="Arial" w:hAnsi="Arial" w:cs="Arial" w:eastAsia="Arial" w:hint="default"/>
                <w:spacing w:val="-1"/>
                <w:sz w:val="20"/>
                <w:szCs w:val="20"/>
              </w:rPr>
              <w:t>2019</w:t>
            </w:r>
            <w:r>
              <w:rPr>
                <w:rFonts w:ascii="黑体" w:hAnsi="黑体" w:cs="黑体" w:eastAsia="黑体" w:hint="default"/>
                <w:spacing w:val="-1"/>
                <w:sz w:val="20"/>
                <w:szCs w:val="20"/>
              </w:rPr>
              <w:t>年</w:t>
            </w:r>
            <w:r>
              <w:rPr>
                <w:rFonts w:ascii="Arial" w:hAnsi="Arial" w:cs="Arial" w:eastAsia="Arial" w:hint="default"/>
                <w:spacing w:val="-1"/>
                <w:sz w:val="20"/>
                <w:szCs w:val="20"/>
              </w:rPr>
              <w:t>12</w:t>
            </w:r>
            <w:r>
              <w:rPr>
                <w:rFonts w:ascii="黑体" w:hAnsi="黑体" w:cs="黑体" w:eastAsia="黑体" w:hint="default"/>
                <w:spacing w:val="-1"/>
                <w:sz w:val="20"/>
                <w:szCs w:val="20"/>
              </w:rPr>
              <w:t>月</w:t>
            </w:r>
            <w:r>
              <w:rPr>
                <w:rFonts w:ascii="Arial" w:hAnsi="Arial" w:cs="Arial" w:eastAsia="Arial" w:hint="default"/>
                <w:spacing w:val="-1"/>
                <w:sz w:val="20"/>
                <w:szCs w:val="20"/>
              </w:rPr>
              <w:t>31</w:t>
            </w:r>
            <w:r>
              <w:rPr>
                <w:rFonts w:ascii="黑体" w:hAnsi="黑体" w:cs="黑体" w:eastAsia="黑体" w:hint="default"/>
                <w:spacing w:val="-1"/>
                <w:sz w:val="20"/>
                <w:szCs w:val="20"/>
              </w:rPr>
              <w:t>日</w:t>
            </w:r>
          </w:p>
        </w:tc>
      </w:tr>
      <w:tr>
        <w:trPr>
          <w:trHeight w:val="260" w:hRule="exact"/>
        </w:trPr>
        <w:tc>
          <w:tcPr>
            <w:tcW w:w="2096" w:type="dxa"/>
            <w:tcBorders>
              <w:top w:val="nil" w:sz="6" w:space="0" w:color="auto"/>
              <w:left w:val="nil" w:sz="6" w:space="0" w:color="auto"/>
              <w:bottom w:val="nil" w:sz="6" w:space="0" w:color="auto"/>
              <w:right w:val="nil" w:sz="6" w:space="0" w:color="auto"/>
            </w:tcBorders>
          </w:tcPr>
          <w:p>
            <w:pPr/>
          </w:p>
        </w:tc>
        <w:tc>
          <w:tcPr>
            <w:tcW w:w="2036" w:type="dxa"/>
            <w:tcBorders>
              <w:top w:val="single" w:sz="4" w:space="0" w:color="000000"/>
              <w:left w:val="nil" w:sz="6" w:space="0" w:color="auto"/>
              <w:bottom w:val="nil" w:sz="6" w:space="0" w:color="auto"/>
              <w:right w:val="nil" w:sz="6" w:space="0" w:color="auto"/>
            </w:tcBorders>
          </w:tcPr>
          <w:p>
            <w:pPr>
              <w:pStyle w:val="TableParagraph"/>
              <w:spacing w:line="230" w:lineRule="exact"/>
              <w:ind w:right="502"/>
              <w:jc w:val="right"/>
              <w:rPr>
                <w:rFonts w:ascii="黑体" w:hAnsi="黑体" w:cs="黑体" w:eastAsia="黑体" w:hint="default"/>
                <w:sz w:val="20"/>
                <w:szCs w:val="20"/>
              </w:rPr>
            </w:pPr>
            <w:r>
              <w:rPr>
                <w:rFonts w:ascii="黑体" w:hAnsi="黑体" w:cs="黑体" w:eastAsia="黑体" w:hint="default"/>
                <w:w w:val="95"/>
                <w:sz w:val="20"/>
                <w:szCs w:val="20"/>
              </w:rPr>
              <w:t>估计发生违约的</w:t>
            </w:r>
            <w:r>
              <w:rPr>
                <w:rFonts w:ascii="黑体" w:hAnsi="黑体" w:cs="黑体" w:eastAsia="黑体" w:hint="default"/>
                <w:sz w:val="20"/>
                <w:szCs w:val="20"/>
              </w:rPr>
            </w:r>
          </w:p>
        </w:tc>
        <w:tc>
          <w:tcPr>
            <w:tcW w:w="2350" w:type="dxa"/>
            <w:tcBorders>
              <w:top w:val="single" w:sz="4" w:space="0" w:color="000000"/>
              <w:left w:val="nil" w:sz="6" w:space="0" w:color="auto"/>
              <w:bottom w:val="nil" w:sz="6" w:space="0" w:color="auto"/>
              <w:right w:val="nil" w:sz="6" w:space="0" w:color="auto"/>
            </w:tcBorders>
          </w:tcPr>
          <w:p>
            <w:pPr>
              <w:pStyle w:val="TableParagraph"/>
              <w:spacing w:line="230" w:lineRule="exact"/>
              <w:ind w:right="445"/>
              <w:jc w:val="right"/>
              <w:rPr>
                <w:rFonts w:ascii="黑体" w:hAnsi="黑体" w:cs="黑体" w:eastAsia="黑体" w:hint="default"/>
                <w:sz w:val="20"/>
                <w:szCs w:val="20"/>
              </w:rPr>
            </w:pPr>
            <w:r>
              <w:rPr>
                <w:rFonts w:ascii="黑体" w:hAnsi="黑体" w:cs="黑体" w:eastAsia="黑体" w:hint="default"/>
                <w:w w:val="95"/>
                <w:sz w:val="20"/>
                <w:szCs w:val="20"/>
              </w:rPr>
              <w:t>预期信用损失率</w:t>
            </w:r>
            <w:r>
              <w:rPr>
                <w:rFonts w:ascii="黑体" w:hAnsi="黑体" w:cs="黑体" w:eastAsia="黑体" w:hint="default"/>
                <w:sz w:val="20"/>
                <w:szCs w:val="20"/>
              </w:rPr>
            </w:r>
          </w:p>
        </w:tc>
        <w:tc>
          <w:tcPr>
            <w:tcW w:w="1875" w:type="dxa"/>
            <w:tcBorders>
              <w:top w:val="single" w:sz="4" w:space="0" w:color="000000"/>
              <w:left w:val="nil" w:sz="6" w:space="0" w:color="auto"/>
              <w:bottom w:val="nil" w:sz="6" w:space="0" w:color="auto"/>
              <w:right w:val="nil" w:sz="6" w:space="0" w:color="auto"/>
            </w:tcBorders>
          </w:tcPr>
          <w:p>
            <w:pPr>
              <w:pStyle w:val="TableParagraph"/>
              <w:spacing w:line="230" w:lineRule="exact"/>
              <w:ind w:right="27"/>
              <w:jc w:val="right"/>
              <w:rPr>
                <w:rFonts w:ascii="黑体" w:hAnsi="黑体" w:cs="黑体" w:eastAsia="黑体" w:hint="default"/>
                <w:sz w:val="20"/>
                <w:szCs w:val="20"/>
              </w:rPr>
            </w:pPr>
            <w:r>
              <w:rPr>
                <w:rFonts w:ascii="黑体" w:hAnsi="黑体" w:cs="黑体" w:eastAsia="黑体" w:hint="default"/>
                <w:w w:val="95"/>
                <w:sz w:val="20"/>
                <w:szCs w:val="20"/>
              </w:rPr>
              <w:t>整个存续期预期</w:t>
            </w:r>
            <w:r>
              <w:rPr>
                <w:rFonts w:ascii="黑体" w:hAnsi="黑体" w:cs="黑体" w:eastAsia="黑体" w:hint="default"/>
                <w:sz w:val="20"/>
                <w:szCs w:val="20"/>
              </w:rPr>
            </w:r>
          </w:p>
        </w:tc>
      </w:tr>
      <w:tr>
        <w:trPr>
          <w:trHeight w:val="503" w:hRule="exact"/>
        </w:trPr>
        <w:tc>
          <w:tcPr>
            <w:tcW w:w="2096"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Style w:val="TableParagraph"/>
              <w:spacing w:line="225" w:lineRule="exact"/>
              <w:ind w:right="502"/>
              <w:jc w:val="right"/>
              <w:rPr>
                <w:rFonts w:ascii="黑体" w:hAnsi="黑体" w:cs="黑体" w:eastAsia="黑体" w:hint="default"/>
                <w:sz w:val="20"/>
                <w:szCs w:val="20"/>
              </w:rPr>
            </w:pPr>
            <w:r>
              <w:rPr>
                <w:rFonts w:ascii="黑体" w:hAnsi="黑体" w:cs="黑体" w:eastAsia="黑体" w:hint="default"/>
                <w:w w:val="95"/>
                <w:sz w:val="20"/>
                <w:szCs w:val="20"/>
              </w:rPr>
              <w:t>账面余额</w:t>
            </w:r>
            <w:r>
              <w:rPr>
                <w:rFonts w:ascii="黑体" w:hAnsi="黑体" w:cs="黑体" w:eastAsia="黑体" w:hint="default"/>
                <w:sz w:val="20"/>
                <w:szCs w:val="20"/>
              </w:rPr>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46"/>
              <w:jc w:val="right"/>
              <w:rPr>
                <w:rFonts w:ascii="Arial" w:hAnsi="Arial" w:cs="Arial" w:eastAsia="Arial" w:hint="default"/>
                <w:sz w:val="20"/>
                <w:szCs w:val="20"/>
              </w:rPr>
            </w:pPr>
            <w:r>
              <w:rPr>
                <w:rFonts w:ascii="Arial"/>
                <w:w w:val="95"/>
                <w:sz w:val="20"/>
              </w:rPr>
              <w:t>(%)</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spacing w:line="225" w:lineRule="exact"/>
              <w:ind w:right="27"/>
              <w:jc w:val="right"/>
              <w:rPr>
                <w:rFonts w:ascii="黑体" w:hAnsi="黑体" w:cs="黑体" w:eastAsia="黑体" w:hint="default"/>
                <w:sz w:val="20"/>
                <w:szCs w:val="20"/>
              </w:rPr>
            </w:pPr>
            <w:r>
              <w:rPr>
                <w:rFonts w:ascii="黑体" w:hAnsi="黑体" w:cs="黑体" w:eastAsia="黑体" w:hint="default"/>
                <w:w w:val="95"/>
                <w:sz w:val="20"/>
                <w:szCs w:val="20"/>
              </w:rPr>
              <w:t>信用损失</w:t>
            </w:r>
            <w:r>
              <w:rPr>
                <w:rFonts w:ascii="黑体" w:hAnsi="黑体" w:cs="黑体" w:eastAsia="黑体" w:hint="default"/>
                <w:sz w:val="20"/>
                <w:szCs w:val="20"/>
              </w:rPr>
            </w:r>
          </w:p>
        </w:tc>
      </w:tr>
      <w:tr>
        <w:trPr>
          <w:trHeight w:val="498" w:hRule="exact"/>
        </w:trPr>
        <w:tc>
          <w:tcPr>
            <w:tcW w:w="209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left="200" w:right="0"/>
              <w:jc w:val="left"/>
              <w:rPr>
                <w:rFonts w:ascii="黑体" w:hAnsi="黑体" w:cs="黑体" w:eastAsia="黑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黑体" w:hAnsi="黑体" w:cs="黑体" w:eastAsia="黑体" w:hint="default"/>
                <w:sz w:val="20"/>
                <w:szCs w:val="20"/>
              </w:rPr>
              <w:t>年以内</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9"/>
                <w:szCs w:val="19"/>
              </w:rPr>
            </w:pPr>
          </w:p>
          <w:p>
            <w:pPr>
              <w:pStyle w:val="TableParagraph"/>
              <w:spacing w:line="240" w:lineRule="auto"/>
              <w:ind w:right="502"/>
              <w:jc w:val="right"/>
              <w:rPr>
                <w:rFonts w:ascii="Arial" w:hAnsi="Arial" w:cs="Arial" w:eastAsia="Arial" w:hint="default"/>
                <w:sz w:val="20"/>
                <w:szCs w:val="20"/>
              </w:rPr>
            </w:pPr>
            <w:r>
              <w:rPr>
                <w:rFonts w:ascii="Arial"/>
                <w:spacing w:val="-1"/>
                <w:sz w:val="20"/>
              </w:rPr>
              <w:t>422,502,602</w:t>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9"/>
                <w:szCs w:val="19"/>
              </w:rPr>
            </w:pPr>
          </w:p>
          <w:p>
            <w:pPr>
              <w:pStyle w:val="TableParagraph"/>
              <w:spacing w:line="240" w:lineRule="auto"/>
              <w:ind w:right="444"/>
              <w:jc w:val="right"/>
              <w:rPr>
                <w:rFonts w:ascii="Arial" w:hAnsi="Arial" w:cs="Arial" w:eastAsia="Arial" w:hint="default"/>
                <w:sz w:val="20"/>
                <w:szCs w:val="20"/>
              </w:rPr>
            </w:pPr>
            <w:r>
              <w:rPr>
                <w:rFonts w:ascii="Arial"/>
                <w:w w:val="99"/>
                <w:sz w:val="20"/>
              </w:rPr>
              <w:t>9</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9"/>
                <w:szCs w:val="19"/>
              </w:rPr>
            </w:pPr>
          </w:p>
          <w:p>
            <w:pPr>
              <w:pStyle w:val="TableParagraph"/>
              <w:spacing w:line="240" w:lineRule="auto"/>
              <w:ind w:right="27"/>
              <w:jc w:val="right"/>
              <w:rPr>
                <w:rFonts w:ascii="Arial" w:hAnsi="Arial" w:cs="Arial" w:eastAsia="Arial" w:hint="default"/>
                <w:sz w:val="20"/>
                <w:szCs w:val="20"/>
              </w:rPr>
            </w:pPr>
            <w:r>
              <w:rPr>
                <w:rFonts w:ascii="Arial"/>
                <w:spacing w:val="-1"/>
                <w:w w:val="95"/>
                <w:sz w:val="20"/>
              </w:rPr>
              <w:t>38,713,519</w:t>
            </w:r>
            <w:r>
              <w:rPr>
                <w:rFonts w:ascii="Arial"/>
                <w:sz w:val="20"/>
              </w:rPr>
            </w:r>
          </w:p>
        </w:tc>
      </w:tr>
      <w:tr>
        <w:trPr>
          <w:trHeight w:val="248" w:hRule="exact"/>
        </w:trPr>
        <w:tc>
          <w:tcPr>
            <w:tcW w:w="2096" w:type="dxa"/>
            <w:tcBorders>
              <w:top w:val="nil" w:sz="6" w:space="0" w:color="auto"/>
              <w:left w:val="nil" w:sz="6" w:space="0" w:color="auto"/>
              <w:bottom w:val="nil" w:sz="6" w:space="0" w:color="auto"/>
              <w:right w:val="nil" w:sz="6" w:space="0" w:color="auto"/>
            </w:tcBorders>
          </w:tcPr>
          <w:p>
            <w:pPr>
              <w:pStyle w:val="TableParagraph"/>
              <w:spacing w:line="234" w:lineRule="exact"/>
              <w:ind w:left="200" w:right="0"/>
              <w:jc w:val="left"/>
              <w:rPr>
                <w:rFonts w:ascii="黑体" w:hAnsi="黑体" w:cs="黑体" w:eastAsia="黑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黑体" w:hAnsi="黑体" w:cs="黑体" w:eastAsia="黑体" w:hint="default"/>
                <w:sz w:val="20"/>
                <w:szCs w:val="20"/>
              </w:rPr>
              <w:t>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02"/>
              <w:jc w:val="right"/>
              <w:rPr>
                <w:rFonts w:ascii="Arial" w:hAnsi="Arial" w:cs="Arial" w:eastAsia="Arial" w:hint="default"/>
                <w:sz w:val="20"/>
                <w:szCs w:val="20"/>
              </w:rPr>
            </w:pPr>
            <w:r>
              <w:rPr>
                <w:rFonts w:ascii="Arial"/>
                <w:w w:val="95"/>
                <w:sz w:val="20"/>
              </w:rPr>
              <w:t>104,280,632</w:t>
            </w:r>
            <w:r>
              <w:rPr>
                <w:rFonts w:ascii="Arial"/>
                <w:sz w:val="20"/>
              </w:rPr>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46"/>
              <w:jc w:val="right"/>
              <w:rPr>
                <w:rFonts w:ascii="Arial" w:hAnsi="Arial" w:cs="Arial" w:eastAsia="Arial" w:hint="default"/>
                <w:sz w:val="20"/>
                <w:szCs w:val="20"/>
              </w:rPr>
            </w:pPr>
            <w:r>
              <w:rPr>
                <w:rFonts w:ascii="Arial"/>
                <w:spacing w:val="-1"/>
                <w:w w:val="95"/>
                <w:sz w:val="20"/>
              </w:rPr>
              <w:t>31</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
              <w:jc w:val="right"/>
              <w:rPr>
                <w:rFonts w:ascii="Arial" w:hAnsi="Arial" w:cs="Arial" w:eastAsia="Arial" w:hint="default"/>
                <w:sz w:val="20"/>
                <w:szCs w:val="20"/>
              </w:rPr>
            </w:pPr>
            <w:r>
              <w:rPr>
                <w:rFonts w:ascii="Arial"/>
                <w:w w:val="95"/>
                <w:sz w:val="20"/>
              </w:rPr>
              <w:t>32,066,353</w:t>
            </w:r>
            <w:r>
              <w:rPr>
                <w:rFonts w:ascii="Arial"/>
                <w:sz w:val="20"/>
              </w:rPr>
            </w:r>
          </w:p>
        </w:tc>
      </w:tr>
      <w:tr>
        <w:trPr>
          <w:trHeight w:val="248" w:hRule="exact"/>
        </w:trPr>
        <w:tc>
          <w:tcPr>
            <w:tcW w:w="2096" w:type="dxa"/>
            <w:tcBorders>
              <w:top w:val="nil" w:sz="6" w:space="0" w:color="auto"/>
              <w:left w:val="nil" w:sz="6" w:space="0" w:color="auto"/>
              <w:bottom w:val="nil" w:sz="6" w:space="0" w:color="auto"/>
              <w:right w:val="nil" w:sz="6" w:space="0" w:color="auto"/>
            </w:tcBorders>
          </w:tcPr>
          <w:p>
            <w:pPr>
              <w:pStyle w:val="TableParagraph"/>
              <w:spacing w:line="233" w:lineRule="exact"/>
              <w:ind w:left="200" w:right="0"/>
              <w:jc w:val="left"/>
              <w:rPr>
                <w:rFonts w:ascii="黑体" w:hAnsi="黑体" w:cs="黑体" w:eastAsia="黑体" w:hint="default"/>
                <w:sz w:val="20"/>
                <w:szCs w:val="20"/>
              </w:rPr>
            </w:pPr>
            <w:r>
              <w:rPr>
                <w:rFonts w:ascii="Arial" w:hAnsi="Arial" w:cs="Arial" w:eastAsia="Arial" w:hint="default"/>
                <w:sz w:val="20"/>
                <w:szCs w:val="20"/>
              </w:rPr>
              <w:t>2-3</w:t>
            </w:r>
            <w:r>
              <w:rPr>
                <w:rFonts w:ascii="Arial" w:hAnsi="Arial" w:cs="Arial" w:eastAsia="Arial" w:hint="default"/>
                <w:spacing w:val="-8"/>
                <w:sz w:val="20"/>
                <w:szCs w:val="20"/>
              </w:rPr>
              <w:t> </w:t>
            </w:r>
            <w:r>
              <w:rPr>
                <w:rFonts w:ascii="黑体" w:hAnsi="黑体" w:cs="黑体" w:eastAsia="黑体" w:hint="default"/>
                <w:sz w:val="20"/>
                <w:szCs w:val="20"/>
              </w:rPr>
              <w:t>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02"/>
              <w:jc w:val="right"/>
              <w:rPr>
                <w:rFonts w:ascii="Arial" w:hAnsi="Arial" w:cs="Arial" w:eastAsia="Arial" w:hint="default"/>
                <w:sz w:val="20"/>
                <w:szCs w:val="20"/>
              </w:rPr>
            </w:pPr>
            <w:r>
              <w:rPr>
                <w:rFonts w:ascii="Arial"/>
                <w:w w:val="95"/>
                <w:sz w:val="20"/>
              </w:rPr>
              <w:t>64,231,326</w:t>
            </w:r>
            <w:r>
              <w:rPr>
                <w:rFonts w:ascii="Arial"/>
                <w:sz w:val="20"/>
              </w:rPr>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46"/>
              <w:jc w:val="right"/>
              <w:rPr>
                <w:rFonts w:ascii="Arial" w:hAnsi="Arial" w:cs="Arial" w:eastAsia="Arial" w:hint="default"/>
                <w:sz w:val="20"/>
                <w:szCs w:val="20"/>
              </w:rPr>
            </w:pPr>
            <w:r>
              <w:rPr>
                <w:rFonts w:ascii="Arial"/>
                <w:spacing w:val="-1"/>
                <w:w w:val="95"/>
                <w:sz w:val="20"/>
              </w:rPr>
              <w:t>49</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7"/>
              <w:jc w:val="right"/>
              <w:rPr>
                <w:rFonts w:ascii="Arial" w:hAnsi="Arial" w:cs="Arial" w:eastAsia="Arial" w:hint="default"/>
                <w:sz w:val="20"/>
                <w:szCs w:val="20"/>
              </w:rPr>
            </w:pPr>
            <w:r>
              <w:rPr>
                <w:rFonts w:ascii="Arial"/>
                <w:w w:val="95"/>
                <w:sz w:val="20"/>
              </w:rPr>
              <w:t>31,338,673</w:t>
            </w:r>
            <w:r>
              <w:rPr>
                <w:rFonts w:ascii="Arial"/>
                <w:sz w:val="20"/>
              </w:rPr>
            </w:r>
          </w:p>
        </w:tc>
      </w:tr>
      <w:tr>
        <w:trPr>
          <w:trHeight w:val="250" w:hRule="exact"/>
        </w:trPr>
        <w:tc>
          <w:tcPr>
            <w:tcW w:w="2096" w:type="dxa"/>
            <w:tcBorders>
              <w:top w:val="nil" w:sz="6" w:space="0" w:color="auto"/>
              <w:left w:val="nil" w:sz="6" w:space="0" w:color="auto"/>
              <w:bottom w:val="nil" w:sz="6" w:space="0" w:color="auto"/>
              <w:right w:val="nil" w:sz="6" w:space="0" w:color="auto"/>
            </w:tcBorders>
          </w:tcPr>
          <w:p>
            <w:pPr>
              <w:pStyle w:val="TableParagraph"/>
              <w:spacing w:line="234" w:lineRule="exact"/>
              <w:ind w:left="200" w:right="0"/>
              <w:jc w:val="left"/>
              <w:rPr>
                <w:rFonts w:ascii="黑体" w:hAnsi="黑体" w:cs="黑体" w:eastAsia="黑体" w:hint="default"/>
                <w:sz w:val="20"/>
                <w:szCs w:val="20"/>
              </w:rPr>
            </w:pPr>
            <w:r>
              <w:rPr>
                <w:rFonts w:ascii="Arial" w:hAnsi="Arial" w:cs="Arial" w:eastAsia="Arial" w:hint="default"/>
                <w:sz w:val="20"/>
                <w:szCs w:val="20"/>
              </w:rPr>
              <w:t>3-4</w:t>
            </w:r>
            <w:r>
              <w:rPr>
                <w:rFonts w:ascii="Arial" w:hAnsi="Arial" w:cs="Arial" w:eastAsia="Arial" w:hint="default"/>
                <w:spacing w:val="-8"/>
                <w:sz w:val="20"/>
                <w:szCs w:val="20"/>
              </w:rPr>
              <w:t> </w:t>
            </w:r>
            <w:r>
              <w:rPr>
                <w:rFonts w:ascii="黑体" w:hAnsi="黑体" w:cs="黑体" w:eastAsia="黑体" w:hint="default"/>
                <w:sz w:val="20"/>
                <w:szCs w:val="20"/>
              </w:rPr>
              <w:t>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02"/>
              <w:jc w:val="right"/>
              <w:rPr>
                <w:rFonts w:ascii="Arial" w:hAnsi="Arial" w:cs="Arial" w:eastAsia="Arial" w:hint="default"/>
                <w:sz w:val="20"/>
                <w:szCs w:val="20"/>
              </w:rPr>
            </w:pPr>
            <w:r>
              <w:rPr>
                <w:rFonts w:ascii="Arial"/>
                <w:w w:val="95"/>
                <w:sz w:val="20"/>
              </w:rPr>
              <w:t>57,583,695</w:t>
            </w:r>
            <w:r>
              <w:rPr>
                <w:rFonts w:ascii="Arial"/>
                <w:sz w:val="20"/>
              </w:rPr>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46"/>
              <w:jc w:val="right"/>
              <w:rPr>
                <w:rFonts w:ascii="Arial" w:hAnsi="Arial" w:cs="Arial" w:eastAsia="Arial" w:hint="default"/>
                <w:sz w:val="20"/>
                <w:szCs w:val="20"/>
              </w:rPr>
            </w:pPr>
            <w:r>
              <w:rPr>
                <w:rFonts w:ascii="Arial"/>
                <w:spacing w:val="-1"/>
                <w:w w:val="95"/>
                <w:sz w:val="20"/>
              </w:rPr>
              <w:t>64</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
              <w:jc w:val="right"/>
              <w:rPr>
                <w:rFonts w:ascii="Arial" w:hAnsi="Arial" w:cs="Arial" w:eastAsia="Arial" w:hint="default"/>
                <w:sz w:val="20"/>
                <w:szCs w:val="20"/>
              </w:rPr>
            </w:pPr>
            <w:r>
              <w:rPr>
                <w:rFonts w:ascii="Arial"/>
                <w:w w:val="95"/>
                <w:sz w:val="20"/>
              </w:rPr>
              <w:t>36,903,074</w:t>
            </w:r>
            <w:r>
              <w:rPr>
                <w:rFonts w:ascii="Arial"/>
                <w:sz w:val="20"/>
              </w:rPr>
            </w:r>
          </w:p>
        </w:tc>
      </w:tr>
      <w:tr>
        <w:trPr>
          <w:trHeight w:val="250" w:hRule="exact"/>
        </w:trPr>
        <w:tc>
          <w:tcPr>
            <w:tcW w:w="2096" w:type="dxa"/>
            <w:tcBorders>
              <w:top w:val="nil" w:sz="6" w:space="0" w:color="auto"/>
              <w:left w:val="nil" w:sz="6" w:space="0" w:color="auto"/>
              <w:bottom w:val="nil" w:sz="6" w:space="0" w:color="auto"/>
              <w:right w:val="nil" w:sz="6" w:space="0" w:color="auto"/>
            </w:tcBorders>
          </w:tcPr>
          <w:p>
            <w:pPr>
              <w:pStyle w:val="TableParagraph"/>
              <w:spacing w:line="234" w:lineRule="exact"/>
              <w:ind w:left="200" w:right="0"/>
              <w:jc w:val="left"/>
              <w:rPr>
                <w:rFonts w:ascii="黑体" w:hAnsi="黑体" w:cs="黑体" w:eastAsia="黑体" w:hint="default"/>
                <w:sz w:val="20"/>
                <w:szCs w:val="20"/>
              </w:rPr>
            </w:pPr>
            <w:r>
              <w:rPr>
                <w:rFonts w:ascii="Arial" w:hAnsi="Arial" w:cs="Arial" w:eastAsia="Arial" w:hint="default"/>
                <w:sz w:val="20"/>
                <w:szCs w:val="20"/>
              </w:rPr>
              <w:t>4-5</w:t>
            </w:r>
            <w:r>
              <w:rPr>
                <w:rFonts w:ascii="Arial" w:hAnsi="Arial" w:cs="Arial" w:eastAsia="Arial" w:hint="default"/>
                <w:spacing w:val="-8"/>
                <w:sz w:val="20"/>
                <w:szCs w:val="20"/>
              </w:rPr>
              <w:t> </w:t>
            </w:r>
            <w:r>
              <w:rPr>
                <w:rFonts w:ascii="黑体" w:hAnsi="黑体" w:cs="黑体" w:eastAsia="黑体" w:hint="default"/>
                <w:sz w:val="20"/>
                <w:szCs w:val="20"/>
              </w:rPr>
              <w:t>年</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02"/>
              <w:jc w:val="right"/>
              <w:rPr>
                <w:rFonts w:ascii="Arial" w:hAnsi="Arial" w:cs="Arial" w:eastAsia="Arial" w:hint="default"/>
                <w:sz w:val="20"/>
                <w:szCs w:val="20"/>
              </w:rPr>
            </w:pPr>
            <w:r>
              <w:rPr>
                <w:rFonts w:ascii="Arial"/>
                <w:w w:val="95"/>
                <w:sz w:val="20"/>
              </w:rPr>
              <w:t>33,555,595</w:t>
            </w:r>
            <w:r>
              <w:rPr>
                <w:rFonts w:ascii="Arial"/>
                <w:sz w:val="20"/>
              </w:rPr>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46"/>
              <w:jc w:val="right"/>
              <w:rPr>
                <w:rFonts w:ascii="Arial" w:hAnsi="Arial" w:cs="Arial" w:eastAsia="Arial" w:hint="default"/>
                <w:sz w:val="20"/>
                <w:szCs w:val="20"/>
              </w:rPr>
            </w:pPr>
            <w:r>
              <w:rPr>
                <w:rFonts w:ascii="Arial"/>
                <w:spacing w:val="-1"/>
                <w:w w:val="95"/>
                <w:sz w:val="20"/>
              </w:rPr>
              <w:t>88</w:t>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
              <w:jc w:val="right"/>
              <w:rPr>
                <w:rFonts w:ascii="Arial" w:hAnsi="Arial" w:cs="Arial" w:eastAsia="Arial" w:hint="default"/>
                <w:sz w:val="20"/>
                <w:szCs w:val="20"/>
              </w:rPr>
            </w:pPr>
            <w:r>
              <w:rPr>
                <w:rFonts w:ascii="Arial"/>
                <w:w w:val="95"/>
                <w:sz w:val="20"/>
              </w:rPr>
              <w:t>29,551,072</w:t>
            </w:r>
            <w:r>
              <w:rPr>
                <w:rFonts w:ascii="Arial"/>
                <w:sz w:val="20"/>
              </w:rPr>
            </w:r>
          </w:p>
        </w:tc>
      </w:tr>
      <w:tr>
        <w:trPr>
          <w:trHeight w:val="373" w:hRule="exact"/>
        </w:trPr>
        <w:tc>
          <w:tcPr>
            <w:tcW w:w="2096" w:type="dxa"/>
            <w:tcBorders>
              <w:top w:val="nil" w:sz="6" w:space="0" w:color="auto"/>
              <w:left w:val="nil" w:sz="6" w:space="0" w:color="auto"/>
              <w:bottom w:val="nil" w:sz="6" w:space="0" w:color="auto"/>
              <w:right w:val="nil" w:sz="6" w:space="0" w:color="auto"/>
            </w:tcBorders>
          </w:tcPr>
          <w:p>
            <w:pPr>
              <w:pStyle w:val="TableParagraph"/>
              <w:spacing w:line="234" w:lineRule="exact"/>
              <w:ind w:left="200" w:right="0"/>
              <w:jc w:val="left"/>
              <w:rPr>
                <w:rFonts w:ascii="黑体" w:hAnsi="黑体" w:cs="黑体" w:eastAsia="黑体" w:hint="default"/>
                <w:sz w:val="20"/>
                <w:szCs w:val="20"/>
              </w:rPr>
            </w:pPr>
            <w:r>
              <w:rPr>
                <w:rFonts w:ascii="Arial" w:hAnsi="Arial" w:cs="Arial" w:eastAsia="Arial" w:hint="default"/>
                <w:sz w:val="20"/>
                <w:szCs w:val="20"/>
              </w:rPr>
              <w:t>5</w:t>
            </w:r>
            <w:r>
              <w:rPr>
                <w:rFonts w:ascii="Arial" w:hAnsi="Arial" w:cs="Arial" w:eastAsia="Arial" w:hint="default"/>
                <w:spacing w:val="-7"/>
                <w:sz w:val="20"/>
                <w:szCs w:val="20"/>
              </w:rPr>
              <w:t> </w:t>
            </w:r>
            <w:r>
              <w:rPr>
                <w:rFonts w:ascii="黑体" w:hAnsi="黑体" w:cs="黑体" w:eastAsia="黑体" w:hint="default"/>
                <w:sz w:val="20"/>
                <w:szCs w:val="20"/>
              </w:rPr>
              <w:t>年以上</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02"/>
              <w:jc w:val="right"/>
              <w:rPr>
                <w:rFonts w:ascii="Arial" w:hAnsi="Arial" w:cs="Arial" w:eastAsia="Arial" w:hint="default"/>
                <w:sz w:val="20"/>
                <w:szCs w:val="20"/>
              </w:rPr>
            </w:pPr>
            <w:r>
              <w:rPr>
                <w:rFonts w:ascii="Arial"/>
                <w:w w:val="99"/>
                <w:sz w:val="20"/>
              </w:rPr>
            </w:r>
            <w:r>
              <w:rPr>
                <w:rFonts w:ascii="Arial"/>
                <w:spacing w:val="-1"/>
                <w:sz w:val="20"/>
                <w:u w:val="single" w:color="000000"/>
              </w:rPr>
              <w:t>107,603,474</w:t>
            </w:r>
            <w:r>
              <w:rPr>
                <w:rFonts w:ascii="Arial"/>
                <w:spacing w:val="-1"/>
                <w:sz w:val="20"/>
              </w:rPr>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46"/>
              <w:jc w:val="right"/>
              <w:rPr>
                <w:rFonts w:ascii="Arial" w:hAnsi="Arial" w:cs="Arial" w:eastAsia="Arial" w:hint="default"/>
                <w:sz w:val="20"/>
                <w:szCs w:val="20"/>
              </w:rPr>
            </w:pPr>
            <w:r>
              <w:rPr>
                <w:rFonts w:ascii="Arial"/>
                <w:w w:val="99"/>
                <w:sz w:val="20"/>
              </w:rPr>
            </w:r>
            <w:r>
              <w:rPr>
                <w:rFonts w:ascii="Arial"/>
                <w:spacing w:val="-1"/>
                <w:w w:val="95"/>
                <w:sz w:val="20"/>
                <w:u w:val="single" w:color="000000"/>
              </w:rPr>
              <w:t>100</w:t>
            </w:r>
            <w:r>
              <w:rPr>
                <w:rFonts w:ascii="Arial"/>
                <w:spacing w:val="-1"/>
                <w:w w:val="95"/>
                <w:sz w:val="20"/>
              </w:rPr>
            </w:r>
            <w:r>
              <w:rPr>
                <w:rFonts w:ascii="Arial"/>
                <w:sz w:val="20"/>
              </w:rPr>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7"/>
              <w:jc w:val="right"/>
              <w:rPr>
                <w:rFonts w:ascii="Arial" w:hAnsi="Arial" w:cs="Arial" w:eastAsia="Arial" w:hint="default"/>
                <w:sz w:val="20"/>
                <w:szCs w:val="20"/>
              </w:rPr>
            </w:pPr>
            <w:r>
              <w:rPr>
                <w:rFonts w:ascii="Arial"/>
                <w:w w:val="99"/>
                <w:sz w:val="20"/>
              </w:rPr>
            </w:r>
            <w:r>
              <w:rPr>
                <w:rFonts w:ascii="Arial"/>
                <w:spacing w:val="-1"/>
                <w:sz w:val="20"/>
                <w:u w:val="single" w:color="000000"/>
              </w:rPr>
              <w:t>107,603,474</w:t>
            </w:r>
            <w:r>
              <w:rPr>
                <w:rFonts w:ascii="Arial"/>
                <w:spacing w:val="-1"/>
                <w:sz w:val="20"/>
              </w:rPr>
            </w:r>
          </w:p>
        </w:tc>
      </w:tr>
      <w:tr>
        <w:trPr>
          <w:trHeight w:val="343" w:hRule="exact"/>
        </w:trPr>
        <w:tc>
          <w:tcPr>
            <w:tcW w:w="2096"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505"/>
              <w:jc w:val="right"/>
              <w:rPr>
                <w:rFonts w:ascii="Arial" w:hAnsi="Arial" w:cs="Arial" w:eastAsia="Arial" w:hint="default"/>
                <w:sz w:val="20"/>
                <w:szCs w:val="20"/>
              </w:rPr>
            </w:pPr>
            <w:r>
              <w:rPr>
                <w:rFonts w:ascii="Arial"/>
                <w:w w:val="99"/>
                <w:sz w:val="20"/>
              </w:rPr>
            </w:r>
            <w:r>
              <w:rPr>
                <w:rFonts w:ascii="Arial"/>
                <w:spacing w:val="-1"/>
                <w:sz w:val="20"/>
                <w:u w:val="thick" w:color="000000"/>
              </w:rPr>
              <w:t>789,757,324</w:t>
            </w:r>
            <w:r>
              <w:rPr>
                <w:rFonts w:ascii="Arial"/>
                <w:spacing w:val="-1"/>
                <w:sz w:val="20"/>
              </w:rPr>
            </w:r>
          </w:p>
        </w:tc>
        <w:tc>
          <w:tcPr>
            <w:tcW w:w="2350" w:type="dxa"/>
            <w:tcBorders>
              <w:top w:val="nil" w:sz="6" w:space="0" w:color="auto"/>
              <w:left w:val="nil" w:sz="6" w:space="0" w:color="auto"/>
              <w:bottom w:val="nil" w:sz="6" w:space="0" w:color="auto"/>
              <w:right w:val="nil" w:sz="6" w:space="0" w:color="auto"/>
            </w:tcBorders>
          </w:tcPr>
          <w:p>
            <w:pP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3"/>
              <w:jc w:val="right"/>
              <w:rPr>
                <w:rFonts w:ascii="Arial" w:hAnsi="Arial" w:cs="Arial" w:eastAsia="Arial" w:hint="default"/>
                <w:sz w:val="20"/>
                <w:szCs w:val="20"/>
              </w:rPr>
            </w:pPr>
            <w:r>
              <w:rPr>
                <w:rFonts w:ascii="Arial"/>
                <w:w w:val="99"/>
                <w:sz w:val="20"/>
              </w:rPr>
            </w:r>
            <w:r>
              <w:rPr>
                <w:rFonts w:ascii="Arial"/>
                <w:spacing w:val="-1"/>
                <w:sz w:val="20"/>
                <w:u w:val="thick" w:color="000000"/>
              </w:rPr>
              <w:t>276,176,165</w:t>
            </w:r>
            <w:r>
              <w:rPr>
                <w:rFonts w:ascii="Arial"/>
                <w:spacing w:val="-1"/>
                <w:sz w:val="20"/>
              </w:rPr>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9"/>
          <w:szCs w:val="19"/>
        </w:rPr>
      </w:pPr>
    </w:p>
    <w:p>
      <w:pPr>
        <w:spacing w:after="0" w:line="240" w:lineRule="auto"/>
        <w:rPr>
          <w:rFonts w:ascii="黑体" w:hAnsi="黑体" w:cs="黑体" w:eastAsia="黑体" w:hint="default"/>
          <w:sz w:val="19"/>
          <w:szCs w:val="19"/>
        </w:rPr>
        <w:sectPr>
          <w:pgSz w:w="11910" w:h="16840"/>
          <w:pgMar w:header="745" w:footer="1195" w:top="1080" w:bottom="1380" w:left="940" w:right="1560"/>
        </w:sectPr>
      </w:pPr>
    </w:p>
    <w:p>
      <w:pPr>
        <w:spacing w:before="37"/>
        <w:ind w:left="336" w:right="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pacing w:val="-81"/>
          <w:sz w:val="20"/>
          <w:szCs w:val="20"/>
        </w:rPr>
        <w:t> </w:t>
      </w:r>
      <w:r>
        <w:rPr>
          <w:rFonts w:ascii="宋体" w:hAnsi="宋体" w:cs="宋体" w:eastAsia="宋体" w:hint="default"/>
          <w:b/>
          <w:bCs/>
          <w:sz w:val="20"/>
          <w:szCs w:val="20"/>
        </w:rPr>
        <w:t>坏账准备的情况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3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6"/>
          <w:szCs w:val="26"/>
        </w:rPr>
      </w:pPr>
    </w:p>
    <w:p>
      <w:pPr>
        <w:pStyle w:val="BodyText"/>
        <w:tabs>
          <w:tab w:pos="1536" w:val="left" w:leader="none"/>
        </w:tabs>
        <w:spacing w:line="240" w:lineRule="auto"/>
        <w:ind w:left="336" w:right="0"/>
        <w:jc w:val="left"/>
      </w:pPr>
      <w:r>
        <w:rPr/>
        <w:t>单位：元</w:t>
        <w:tab/>
        <w:t>币种：人民币</w:t>
      </w:r>
    </w:p>
    <w:p>
      <w:pPr>
        <w:spacing w:after="0" w:line="240" w:lineRule="auto"/>
        <w:jc w:val="left"/>
        <w:sectPr>
          <w:type w:val="continuous"/>
          <w:pgSz w:w="11910" w:h="16840"/>
          <w:pgMar w:top="1120" w:bottom="1380" w:left="940" w:right="1560"/>
          <w:cols w:num="2" w:equalWidth="0">
            <w:col w:w="2269" w:space="3925"/>
            <w:col w:w="3216"/>
          </w:cols>
        </w:sectPr>
      </w:pPr>
    </w:p>
    <w:p>
      <w:pPr>
        <w:spacing w:line="240" w:lineRule="auto" w:before="12"/>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1392"/>
        <w:gridCol w:w="1465"/>
        <w:gridCol w:w="1342"/>
        <w:gridCol w:w="1217"/>
        <w:gridCol w:w="1022"/>
        <w:gridCol w:w="1159"/>
        <w:gridCol w:w="1465"/>
      </w:tblGrid>
      <w:tr>
        <w:trPr>
          <w:trHeight w:val="322" w:hRule="exact"/>
        </w:trPr>
        <w:tc>
          <w:tcPr>
            <w:tcW w:w="1392"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451" w:right="0"/>
              <w:jc w:val="left"/>
              <w:rPr>
                <w:rFonts w:ascii="宋体" w:hAnsi="宋体" w:cs="宋体" w:eastAsia="宋体" w:hint="default"/>
                <w:sz w:val="24"/>
                <w:szCs w:val="24"/>
              </w:rPr>
            </w:pPr>
            <w:r>
              <w:rPr>
                <w:rFonts w:ascii="宋体" w:hAnsi="宋体" w:cs="宋体" w:eastAsia="宋体" w:hint="default"/>
                <w:sz w:val="24"/>
                <w:szCs w:val="24"/>
              </w:rPr>
              <w:t>类别</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47"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47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本期变动金额</w:t>
            </w:r>
          </w:p>
        </w:tc>
        <w:tc>
          <w:tcPr>
            <w:tcW w:w="1465"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44"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632" w:hRule="exact"/>
        </w:trPr>
        <w:tc>
          <w:tcPr>
            <w:tcW w:w="1392" w:type="dxa"/>
            <w:vMerge/>
            <w:tcBorders>
              <w:left w:val="single" w:sz="4" w:space="0" w:color="000000"/>
              <w:bottom w:val="single" w:sz="4" w:space="0" w:color="000000"/>
              <w:right w:val="single" w:sz="4" w:space="0" w:color="000000"/>
            </w:tcBorders>
          </w:tcPr>
          <w:p>
            <w:pPr/>
          </w:p>
        </w:tc>
        <w:tc>
          <w:tcPr>
            <w:tcW w:w="1465" w:type="dxa"/>
            <w:vMerge/>
            <w:tcBorders>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4"/>
                <w:szCs w:val="24"/>
              </w:rPr>
            </w:pPr>
            <w:r>
              <w:rPr>
                <w:rFonts w:ascii="宋体" w:hAnsi="宋体" w:cs="宋体" w:eastAsia="宋体" w:hint="default"/>
                <w:sz w:val="24"/>
                <w:szCs w:val="24"/>
              </w:rPr>
              <w:t>计提</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5"/>
              <w:jc w:val="center"/>
              <w:rPr>
                <w:rFonts w:ascii="宋体" w:hAnsi="宋体" w:cs="宋体" w:eastAsia="宋体" w:hint="default"/>
                <w:sz w:val="24"/>
                <w:szCs w:val="24"/>
              </w:rPr>
            </w:pPr>
            <w:r>
              <w:rPr>
                <w:rFonts w:ascii="宋体" w:hAnsi="宋体" w:cs="宋体" w:eastAsia="宋体" w:hint="default"/>
                <w:sz w:val="24"/>
                <w:szCs w:val="24"/>
              </w:rPr>
              <w:t>收回或转</w:t>
            </w:r>
          </w:p>
          <w:p>
            <w:pPr>
              <w:pStyle w:val="TableParagraph"/>
              <w:spacing w:line="312" w:lineRule="exact"/>
              <w:ind w:right="5"/>
              <w:jc w:val="center"/>
              <w:rPr>
                <w:rFonts w:ascii="宋体" w:hAnsi="宋体" w:cs="宋体" w:eastAsia="宋体" w:hint="default"/>
                <w:sz w:val="24"/>
                <w:szCs w:val="24"/>
              </w:rPr>
            </w:pPr>
            <w:r>
              <w:rPr>
                <w:rFonts w:ascii="宋体" w:hAnsi="宋体" w:cs="宋体" w:eastAsia="宋体" w:hint="default"/>
                <w:sz w:val="24"/>
                <w:szCs w:val="24"/>
              </w:rPr>
              <w:t>回</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4"/>
                <w:szCs w:val="24"/>
              </w:rPr>
            </w:pPr>
            <w:r>
              <w:rPr>
                <w:rFonts w:ascii="宋体" w:hAnsi="宋体" w:cs="宋体" w:eastAsia="宋体" w:hint="default"/>
                <w:sz w:val="24"/>
                <w:szCs w:val="24"/>
              </w:rPr>
              <w:t>转销或</w:t>
            </w:r>
          </w:p>
          <w:p>
            <w:pPr>
              <w:pStyle w:val="TableParagraph"/>
              <w:spacing w:line="312" w:lineRule="exact"/>
              <w:ind w:right="0"/>
              <w:jc w:val="center"/>
              <w:rPr>
                <w:rFonts w:ascii="宋体" w:hAnsi="宋体" w:cs="宋体" w:eastAsia="宋体" w:hint="default"/>
                <w:sz w:val="24"/>
                <w:szCs w:val="24"/>
              </w:rPr>
            </w:pPr>
            <w:r>
              <w:rPr>
                <w:rFonts w:ascii="宋体" w:hAnsi="宋体" w:cs="宋体" w:eastAsia="宋体" w:hint="default"/>
                <w:sz w:val="24"/>
                <w:szCs w:val="24"/>
              </w:rPr>
              <w:t>核销</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08"/>
              <w:jc w:val="right"/>
              <w:rPr>
                <w:rFonts w:ascii="宋体" w:hAnsi="宋体" w:cs="宋体" w:eastAsia="宋体" w:hint="default"/>
                <w:sz w:val="24"/>
                <w:szCs w:val="24"/>
              </w:rPr>
            </w:pPr>
            <w:r>
              <w:rPr>
                <w:rFonts w:ascii="宋体" w:hAnsi="宋体" w:cs="宋体" w:eastAsia="宋体" w:hint="default"/>
                <w:sz w:val="24"/>
                <w:szCs w:val="24"/>
              </w:rPr>
              <w:t>其他变</w:t>
            </w:r>
          </w:p>
          <w:p>
            <w:pPr>
              <w:pStyle w:val="TableParagraph"/>
              <w:spacing w:line="312" w:lineRule="exact"/>
              <w:ind w:right="108"/>
              <w:jc w:val="right"/>
              <w:rPr>
                <w:rFonts w:ascii="宋体" w:hAnsi="宋体" w:cs="宋体" w:eastAsia="宋体" w:hint="default"/>
                <w:sz w:val="24"/>
                <w:szCs w:val="24"/>
              </w:rPr>
            </w:pPr>
            <w:r>
              <w:rPr>
                <w:rFonts w:ascii="宋体" w:hAnsi="宋体" w:cs="宋体" w:eastAsia="宋体" w:hint="default"/>
                <w:sz w:val="24"/>
                <w:szCs w:val="24"/>
              </w:rPr>
              <w:t>动</w:t>
            </w:r>
          </w:p>
        </w:tc>
        <w:tc>
          <w:tcPr>
            <w:tcW w:w="1465" w:type="dxa"/>
            <w:vMerge/>
            <w:tcBorders>
              <w:left w:val="single" w:sz="4" w:space="0" w:color="000000"/>
              <w:bottom w:val="single" w:sz="4" w:space="0" w:color="000000"/>
              <w:right w:val="single" w:sz="4" w:space="0" w:color="000000"/>
            </w:tcBorders>
          </w:tcPr>
          <w:p>
            <w:pPr/>
          </w:p>
        </w:tc>
      </w:tr>
      <w:tr>
        <w:trPr>
          <w:trHeight w:val="322" w:hRule="exact"/>
        </w:trPr>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应收帐款</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242,828,311</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6" w:right="0"/>
              <w:jc w:val="center"/>
              <w:rPr>
                <w:rFonts w:ascii="Times New Roman" w:hAnsi="Times New Roman" w:cs="Times New Roman" w:eastAsia="Times New Roman" w:hint="default"/>
                <w:sz w:val="24"/>
                <w:szCs w:val="24"/>
              </w:rPr>
            </w:pPr>
            <w:r>
              <w:rPr>
                <w:rFonts w:ascii="Times New Roman"/>
                <w:sz w:val="24"/>
              </w:rPr>
              <w:t>73,284,669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9,525,961</w:t>
            </w:r>
          </w:p>
        </w:tc>
        <w:tc>
          <w:tcPr>
            <w:tcW w:w="102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43" w:right="0"/>
              <w:jc w:val="left"/>
              <w:rPr>
                <w:rFonts w:ascii="Times New Roman" w:hAnsi="Times New Roman" w:cs="Times New Roman" w:eastAsia="Times New Roman" w:hint="default"/>
                <w:sz w:val="24"/>
                <w:szCs w:val="24"/>
              </w:rPr>
            </w:pPr>
            <w:r>
              <w:rPr>
                <w:rFonts w:ascii="Times New Roman"/>
                <w:sz w:val="24"/>
              </w:rPr>
              <w:t>306,587,019</w:t>
            </w:r>
          </w:p>
        </w:tc>
      </w:tr>
      <w:tr>
        <w:trPr>
          <w:trHeight w:val="286" w:hRule="exact"/>
        </w:trPr>
        <w:tc>
          <w:tcPr>
            <w:tcW w:w="1392"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51"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6"/>
              <w:jc w:val="right"/>
              <w:rPr>
                <w:rFonts w:ascii="Times New Roman" w:hAnsi="Times New Roman" w:cs="Times New Roman" w:eastAsia="Times New Roman" w:hint="default"/>
                <w:sz w:val="24"/>
                <w:szCs w:val="24"/>
              </w:rPr>
            </w:pPr>
            <w:r>
              <w:rPr>
                <w:rFonts w:ascii="Times New Roman"/>
                <w:sz w:val="24"/>
              </w:rPr>
              <w:t>242,828,311</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6" w:right="0"/>
              <w:jc w:val="center"/>
              <w:rPr>
                <w:rFonts w:ascii="Times New Roman" w:hAnsi="Times New Roman" w:cs="Times New Roman" w:eastAsia="Times New Roman" w:hint="default"/>
                <w:sz w:val="24"/>
                <w:szCs w:val="24"/>
              </w:rPr>
            </w:pPr>
            <w:r>
              <w:rPr>
                <w:rFonts w:ascii="Times New Roman"/>
                <w:sz w:val="24"/>
              </w:rPr>
              <w:t>73,284,669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8"/>
              <w:jc w:val="right"/>
              <w:rPr>
                <w:rFonts w:ascii="Times New Roman" w:hAnsi="Times New Roman" w:cs="Times New Roman" w:eastAsia="Times New Roman" w:hint="default"/>
                <w:sz w:val="24"/>
                <w:szCs w:val="24"/>
              </w:rPr>
            </w:pPr>
            <w:r>
              <w:rPr>
                <w:rFonts w:ascii="Times New Roman"/>
                <w:sz w:val="24"/>
              </w:rPr>
              <w:t>9,525,961</w:t>
            </w:r>
          </w:p>
        </w:tc>
        <w:tc>
          <w:tcPr>
            <w:tcW w:w="102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43" w:right="0"/>
              <w:jc w:val="left"/>
              <w:rPr>
                <w:rFonts w:ascii="Times New Roman" w:hAnsi="Times New Roman" w:cs="Times New Roman" w:eastAsia="Times New Roman" w:hint="default"/>
                <w:sz w:val="24"/>
                <w:szCs w:val="24"/>
              </w:rPr>
            </w:pPr>
            <w:r>
              <w:rPr>
                <w:rFonts w:ascii="Times New Roman"/>
                <w:sz w:val="24"/>
              </w:rPr>
              <w:t>306,587,019</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BodyText"/>
        <w:spacing w:line="313" w:lineRule="exact" w:before="26"/>
        <w:ind w:left="336" w:right="1850"/>
        <w:jc w:val="left"/>
      </w:pPr>
      <w:r>
        <w:rPr/>
        <w:t>其中本期坏账准备收回或转回金额重要的：</w:t>
      </w:r>
    </w:p>
    <w:p>
      <w:pPr>
        <w:pStyle w:val="BodyText"/>
        <w:spacing w:line="313" w:lineRule="exact"/>
        <w:ind w:left="336" w:right="1850"/>
        <w:jc w:val="left"/>
      </w:pPr>
      <w:r>
        <w:rPr/>
        <w:t>□适用 √不适用</w:t>
      </w:r>
    </w:p>
    <w:p>
      <w:pPr>
        <w:spacing w:after="0" w:line="313" w:lineRule="exact"/>
        <w:jc w:val="left"/>
        <w:sectPr>
          <w:type w:val="continuous"/>
          <w:pgSz w:w="11910" w:h="16840"/>
          <w:pgMar w:top="1120" w:bottom="1380" w:left="940" w:right="1560"/>
        </w:sectPr>
      </w:pPr>
    </w:p>
    <w:p>
      <w:pPr>
        <w:spacing w:line="240" w:lineRule="auto" w:before="1"/>
        <w:rPr>
          <w:rFonts w:ascii="宋体" w:hAnsi="宋体" w:cs="宋体" w:eastAsia="宋体" w:hint="default"/>
          <w:sz w:val="22"/>
          <w:szCs w:val="22"/>
        </w:rPr>
      </w:pPr>
    </w:p>
    <w:p>
      <w:pPr>
        <w:spacing w:before="37"/>
        <w:ind w:left="396" w:right="0"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pacing w:val="-21"/>
          <w:sz w:val="20"/>
          <w:szCs w:val="20"/>
        </w:rPr>
        <w:t> </w:t>
      </w:r>
      <w:r>
        <w:rPr>
          <w:rFonts w:ascii="宋体" w:hAnsi="宋体" w:cs="宋体" w:eastAsia="宋体" w:hint="default"/>
          <w:b/>
          <w:bCs/>
          <w:sz w:val="20"/>
          <w:szCs w:val="20"/>
        </w:rPr>
        <w:t>本期实际核销的应收账款情况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312" w:lineRule="exact" w:before="80"/>
        <w:ind w:left="396" w:right="5850"/>
        <w:jc w:val="left"/>
      </w:pPr>
      <w:r>
        <w:rPr/>
        <w:t>□适用 √不适用 其中重要的应收账款核销情况</w:t>
      </w:r>
    </w:p>
    <w:p>
      <w:pPr>
        <w:pStyle w:val="BodyText"/>
        <w:spacing w:line="281" w:lineRule="exact"/>
        <w:ind w:left="396" w:right="0"/>
        <w:jc w:val="left"/>
      </w:pPr>
      <w:r>
        <w:rPr/>
        <w:t>□适用 √不适用</w:t>
      </w:r>
    </w:p>
    <w:p>
      <w:pPr>
        <w:spacing w:line="240" w:lineRule="auto" w:before="2"/>
        <w:rPr>
          <w:rFonts w:ascii="宋体" w:hAnsi="宋体" w:cs="宋体" w:eastAsia="宋体" w:hint="default"/>
          <w:sz w:val="26"/>
          <w:szCs w:val="26"/>
        </w:rPr>
      </w:pPr>
    </w:p>
    <w:p>
      <w:pPr>
        <w:spacing w:before="0"/>
        <w:ind w:left="396" w:right="0"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pacing w:val="-23"/>
          <w:sz w:val="20"/>
          <w:szCs w:val="20"/>
        </w:rPr>
        <w:t> </w:t>
      </w:r>
      <w:r>
        <w:rPr>
          <w:rFonts w:ascii="宋体" w:hAnsi="宋体" w:cs="宋体" w:eastAsia="宋体" w:hint="default"/>
          <w:b/>
          <w:bCs/>
          <w:sz w:val="20"/>
          <w:szCs w:val="20"/>
        </w:rPr>
        <w:t>按欠款方归集的期末余额前五名的应收账款情况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357" w:val="left" w:leader="none"/>
        </w:tabs>
        <w:spacing w:line="240" w:lineRule="auto" w:before="49"/>
        <w:ind w:left="396" w:right="0"/>
        <w:jc w:val="left"/>
      </w:pPr>
      <w:r>
        <w:rPr/>
        <w:t>√适用</w:t>
        <w:tab/>
        <w:t>□不适用</w:t>
      </w:r>
    </w:p>
    <w:p>
      <w:pPr>
        <w:spacing w:line="240" w:lineRule="auto" w:before="11"/>
        <w:rPr>
          <w:rFonts w:ascii="宋体" w:hAnsi="宋体" w:cs="宋体" w:eastAsia="宋体" w:hint="default"/>
          <w:sz w:val="22"/>
          <w:szCs w:val="22"/>
        </w:rPr>
      </w:pPr>
    </w:p>
    <w:tbl>
      <w:tblPr>
        <w:tblW w:w="0" w:type="auto"/>
        <w:jc w:val="left"/>
        <w:tblInd w:w="108" w:type="dxa"/>
        <w:tblLayout w:type="fixed"/>
        <w:tblCellMar>
          <w:top w:w="0" w:type="dxa"/>
          <w:left w:w="0" w:type="dxa"/>
          <w:bottom w:w="0" w:type="dxa"/>
          <w:right w:w="0" w:type="dxa"/>
        </w:tblCellMar>
        <w:tblLook w:val="01E0"/>
      </w:tblPr>
      <w:tblGrid>
        <w:gridCol w:w="1904"/>
        <w:gridCol w:w="2582"/>
        <w:gridCol w:w="2213"/>
        <w:gridCol w:w="1996"/>
      </w:tblGrid>
      <w:tr>
        <w:trPr>
          <w:trHeight w:val="239" w:hRule="exact"/>
        </w:trPr>
        <w:tc>
          <w:tcPr>
            <w:tcW w:w="1904" w:type="dxa"/>
            <w:tcBorders>
              <w:top w:val="nil" w:sz="6" w:space="0" w:color="auto"/>
              <w:left w:val="nil" w:sz="6" w:space="0" w:color="auto"/>
              <w:bottom w:val="nil" w:sz="6" w:space="0" w:color="auto"/>
              <w:right w:val="nil" w:sz="6" w:space="0" w:color="auto"/>
            </w:tcBorders>
          </w:tcPr>
          <w:p>
            <w:pPr/>
          </w:p>
        </w:tc>
        <w:tc>
          <w:tcPr>
            <w:tcW w:w="2582" w:type="dxa"/>
            <w:tcBorders>
              <w:top w:val="nil" w:sz="6" w:space="0" w:color="auto"/>
              <w:left w:val="nil" w:sz="6" w:space="0" w:color="auto"/>
              <w:bottom w:val="nil" w:sz="6" w:space="0" w:color="auto"/>
              <w:right w:val="nil" w:sz="6" w:space="0" w:color="auto"/>
            </w:tcBorders>
          </w:tcPr>
          <w:p>
            <w:pPr>
              <w:pStyle w:val="TableParagraph"/>
              <w:spacing w:line="199" w:lineRule="exact"/>
              <w:ind w:right="415"/>
              <w:jc w:val="right"/>
              <w:rPr>
                <w:rFonts w:ascii="黑体" w:hAnsi="黑体" w:cs="黑体" w:eastAsia="黑体" w:hint="default"/>
                <w:sz w:val="20"/>
                <w:szCs w:val="20"/>
              </w:rPr>
            </w:pPr>
            <w:r>
              <w:rPr>
                <w:rFonts w:ascii="黑体" w:hAnsi="黑体" w:cs="黑体" w:eastAsia="黑体" w:hint="default"/>
                <w:w w:val="95"/>
                <w:sz w:val="20"/>
                <w:szCs w:val="20"/>
              </w:rPr>
              <w:t>应收账款年末余额</w:t>
            </w:r>
            <w:r>
              <w:rPr>
                <w:rFonts w:ascii="黑体" w:hAnsi="黑体" w:cs="黑体" w:eastAsia="黑体" w:hint="default"/>
                <w:sz w:val="20"/>
                <w:szCs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199" w:lineRule="exact"/>
              <w:ind w:right="194"/>
              <w:jc w:val="right"/>
              <w:rPr>
                <w:rFonts w:ascii="黑体" w:hAnsi="黑体" w:cs="黑体" w:eastAsia="黑体" w:hint="default"/>
                <w:sz w:val="20"/>
                <w:szCs w:val="20"/>
              </w:rPr>
            </w:pPr>
            <w:r>
              <w:rPr>
                <w:rFonts w:ascii="黑体" w:hAnsi="黑体" w:cs="黑体" w:eastAsia="黑体" w:hint="default"/>
                <w:w w:val="95"/>
                <w:sz w:val="20"/>
                <w:szCs w:val="20"/>
              </w:rPr>
              <w:t>应收账款年末余额</w:t>
            </w:r>
            <w:r>
              <w:rPr>
                <w:rFonts w:ascii="黑体" w:hAnsi="黑体" w:cs="黑体" w:eastAsia="黑体" w:hint="default"/>
                <w:sz w:val="20"/>
                <w:szCs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199" w:lineRule="exact"/>
              <w:ind w:right="198"/>
              <w:jc w:val="right"/>
              <w:rPr>
                <w:rFonts w:ascii="黑体" w:hAnsi="黑体" w:cs="黑体" w:eastAsia="黑体" w:hint="default"/>
                <w:sz w:val="20"/>
                <w:szCs w:val="20"/>
              </w:rPr>
            </w:pPr>
            <w:r>
              <w:rPr>
                <w:rFonts w:ascii="黑体" w:hAnsi="黑体" w:cs="黑体" w:eastAsia="黑体" w:hint="default"/>
                <w:w w:val="95"/>
                <w:sz w:val="20"/>
                <w:szCs w:val="20"/>
              </w:rPr>
              <w:t>坏账准备年末余额</w:t>
            </w:r>
            <w:r>
              <w:rPr>
                <w:rFonts w:ascii="黑体" w:hAnsi="黑体" w:cs="黑体" w:eastAsia="黑体" w:hint="default"/>
                <w:sz w:val="20"/>
                <w:szCs w:val="20"/>
              </w:rPr>
            </w:r>
          </w:p>
        </w:tc>
      </w:tr>
      <w:tr>
        <w:trPr>
          <w:trHeight w:val="535" w:hRule="exact"/>
        </w:trPr>
        <w:tc>
          <w:tcPr>
            <w:tcW w:w="1904" w:type="dxa"/>
            <w:tcBorders>
              <w:top w:val="nil" w:sz="6" w:space="0" w:color="auto"/>
              <w:left w:val="nil" w:sz="6" w:space="0" w:color="auto"/>
              <w:bottom w:val="nil" w:sz="6" w:space="0" w:color="auto"/>
              <w:right w:val="nil" w:sz="6" w:space="0" w:color="auto"/>
            </w:tcBorders>
          </w:tcPr>
          <w:p>
            <w:pPr/>
          </w:p>
        </w:tc>
        <w:tc>
          <w:tcPr>
            <w:tcW w:w="2582"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39" w:lineRule="exact"/>
              <w:ind w:left="-3" w:right="215"/>
              <w:jc w:val="right"/>
              <w:rPr>
                <w:rFonts w:ascii="黑体" w:hAnsi="黑体" w:cs="黑体" w:eastAsia="黑体" w:hint="default"/>
                <w:sz w:val="20"/>
                <w:szCs w:val="20"/>
              </w:rPr>
            </w:pPr>
            <w:r>
              <w:rPr>
                <w:rFonts w:ascii="黑体" w:hAnsi="黑体" w:cs="黑体" w:eastAsia="黑体" w:hint="default"/>
                <w:w w:val="95"/>
                <w:sz w:val="20"/>
                <w:szCs w:val="20"/>
              </w:rPr>
              <w:t>占应收账款余额的比例</w:t>
            </w:r>
            <w:r>
              <w:rPr>
                <w:rFonts w:ascii="黑体" w:hAnsi="黑体" w:cs="黑体" w:eastAsia="黑体" w:hint="default"/>
                <w:sz w:val="20"/>
                <w:szCs w:val="20"/>
              </w:rPr>
            </w:r>
          </w:p>
        </w:tc>
        <w:tc>
          <w:tcPr>
            <w:tcW w:w="1996" w:type="dxa"/>
            <w:tcBorders>
              <w:top w:val="nil" w:sz="6" w:space="0" w:color="auto"/>
              <w:left w:val="nil" w:sz="6" w:space="0" w:color="auto"/>
              <w:bottom w:val="nil" w:sz="6" w:space="0" w:color="auto"/>
              <w:right w:val="nil" w:sz="6" w:space="0" w:color="auto"/>
            </w:tcBorders>
          </w:tcPr>
          <w:p>
            <w:pPr/>
          </w:p>
        </w:tc>
      </w:tr>
      <w:tr>
        <w:trPr>
          <w:trHeight w:val="526"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1</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442"/>
              <w:jc w:val="right"/>
              <w:rPr>
                <w:rFonts w:ascii="Arial" w:hAnsi="Arial" w:cs="Arial" w:eastAsia="Arial" w:hint="default"/>
                <w:sz w:val="20"/>
                <w:szCs w:val="20"/>
              </w:rPr>
            </w:pPr>
            <w:r>
              <w:rPr>
                <w:rFonts w:ascii="Arial"/>
                <w:w w:val="95"/>
                <w:sz w:val="20"/>
              </w:rPr>
              <w:t>12,310,309</w:t>
            </w:r>
            <w:r>
              <w:rPr>
                <w:rFonts w:ascii="Arial"/>
                <w:sz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22"/>
              <w:jc w:val="right"/>
              <w:rPr>
                <w:rFonts w:ascii="Arial" w:hAnsi="Arial" w:cs="Arial" w:eastAsia="Arial" w:hint="default"/>
                <w:sz w:val="20"/>
                <w:szCs w:val="20"/>
              </w:rPr>
            </w:pPr>
            <w:r>
              <w:rPr>
                <w:rFonts w:ascii="Arial"/>
                <w:spacing w:val="-1"/>
                <w:w w:val="95"/>
                <w:sz w:val="20"/>
              </w:rPr>
              <w:t>2%</w:t>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26"/>
              <w:jc w:val="right"/>
              <w:rPr>
                <w:rFonts w:ascii="Arial" w:hAnsi="Arial" w:cs="Arial" w:eastAsia="Arial" w:hint="default"/>
                <w:sz w:val="20"/>
                <w:szCs w:val="20"/>
              </w:rPr>
            </w:pPr>
            <w:r>
              <w:rPr>
                <w:rFonts w:ascii="Arial"/>
                <w:w w:val="95"/>
                <w:sz w:val="20"/>
              </w:rPr>
              <w:t>2,156,871</w:t>
            </w:r>
            <w:r>
              <w:rPr>
                <w:rFonts w:ascii="Arial"/>
                <w:sz w:val="20"/>
              </w:rPr>
            </w:r>
          </w:p>
        </w:tc>
      </w:tr>
      <w:tr>
        <w:trPr>
          <w:trHeight w:val="252"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36" w:lineRule="exact"/>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2</w:t>
            </w:r>
          </w:p>
        </w:tc>
        <w:tc>
          <w:tcPr>
            <w:tcW w:w="2582" w:type="dxa"/>
            <w:tcBorders>
              <w:top w:val="nil" w:sz="6" w:space="0" w:color="auto"/>
              <w:left w:val="nil" w:sz="6" w:space="0" w:color="auto"/>
              <w:bottom w:val="nil" w:sz="6" w:space="0" w:color="auto"/>
              <w:right w:val="nil" w:sz="6" w:space="0" w:color="auto"/>
            </w:tcBorders>
          </w:tcPr>
          <w:p>
            <w:pPr>
              <w:pStyle w:val="TableParagraph"/>
              <w:spacing w:line="224" w:lineRule="exact"/>
              <w:ind w:right="442"/>
              <w:jc w:val="right"/>
              <w:rPr>
                <w:rFonts w:ascii="Arial" w:hAnsi="Arial" w:cs="Arial" w:eastAsia="Arial" w:hint="default"/>
                <w:sz w:val="20"/>
                <w:szCs w:val="20"/>
              </w:rPr>
            </w:pPr>
            <w:r>
              <w:rPr>
                <w:rFonts w:ascii="Arial"/>
                <w:w w:val="95"/>
                <w:sz w:val="20"/>
              </w:rPr>
              <w:t>10,029,502</w:t>
            </w:r>
            <w:r>
              <w:rPr>
                <w:rFonts w:ascii="Arial"/>
                <w:sz w:val="20"/>
              </w:rPr>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22"/>
              <w:jc w:val="right"/>
              <w:rPr>
                <w:rFonts w:ascii="Arial" w:hAnsi="Arial" w:cs="Arial" w:eastAsia="Arial" w:hint="default"/>
                <w:sz w:val="20"/>
                <w:szCs w:val="20"/>
              </w:rPr>
            </w:pPr>
            <w:r>
              <w:rPr>
                <w:rFonts w:ascii="Arial"/>
                <w:spacing w:val="-1"/>
                <w:w w:val="95"/>
                <w:sz w:val="20"/>
              </w:rPr>
              <w:t>1%</w:t>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26"/>
              <w:jc w:val="right"/>
              <w:rPr>
                <w:rFonts w:ascii="Arial" w:hAnsi="Arial" w:cs="Arial" w:eastAsia="Arial" w:hint="default"/>
                <w:sz w:val="20"/>
                <w:szCs w:val="20"/>
              </w:rPr>
            </w:pPr>
            <w:r>
              <w:rPr>
                <w:rFonts w:ascii="Arial"/>
                <w:spacing w:val="-1"/>
                <w:sz w:val="20"/>
              </w:rPr>
              <w:t>989,451</w:t>
            </w:r>
          </w:p>
        </w:tc>
      </w:tr>
      <w:tr>
        <w:trPr>
          <w:trHeight w:val="252"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36" w:lineRule="exact"/>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3</w:t>
            </w:r>
          </w:p>
        </w:tc>
        <w:tc>
          <w:tcPr>
            <w:tcW w:w="2582" w:type="dxa"/>
            <w:tcBorders>
              <w:top w:val="nil" w:sz="6" w:space="0" w:color="auto"/>
              <w:left w:val="nil" w:sz="6" w:space="0" w:color="auto"/>
              <w:bottom w:val="nil" w:sz="6" w:space="0" w:color="auto"/>
              <w:right w:val="nil" w:sz="6" w:space="0" w:color="auto"/>
            </w:tcBorders>
          </w:tcPr>
          <w:p>
            <w:pPr>
              <w:pStyle w:val="TableParagraph"/>
              <w:spacing w:line="224" w:lineRule="exact"/>
              <w:ind w:right="442"/>
              <w:jc w:val="right"/>
              <w:rPr>
                <w:rFonts w:ascii="Arial" w:hAnsi="Arial" w:cs="Arial" w:eastAsia="Arial" w:hint="default"/>
                <w:sz w:val="20"/>
                <w:szCs w:val="20"/>
              </w:rPr>
            </w:pPr>
            <w:r>
              <w:rPr>
                <w:rFonts w:ascii="Arial"/>
                <w:spacing w:val="-1"/>
                <w:sz w:val="20"/>
              </w:rPr>
              <w:t>6,513,958</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22"/>
              <w:jc w:val="right"/>
              <w:rPr>
                <w:rFonts w:ascii="Arial" w:hAnsi="Arial" w:cs="Arial" w:eastAsia="Arial" w:hint="default"/>
                <w:sz w:val="20"/>
                <w:szCs w:val="20"/>
              </w:rPr>
            </w:pPr>
            <w:r>
              <w:rPr>
                <w:rFonts w:ascii="Arial"/>
                <w:spacing w:val="-1"/>
                <w:w w:val="95"/>
                <w:sz w:val="20"/>
              </w:rPr>
              <w:t>1%</w:t>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26"/>
              <w:jc w:val="right"/>
              <w:rPr>
                <w:rFonts w:ascii="Arial" w:hAnsi="Arial" w:cs="Arial" w:eastAsia="Arial" w:hint="default"/>
                <w:sz w:val="20"/>
                <w:szCs w:val="20"/>
              </w:rPr>
            </w:pPr>
            <w:r>
              <w:rPr>
                <w:rFonts w:ascii="Arial"/>
                <w:spacing w:val="-1"/>
                <w:sz w:val="20"/>
              </w:rPr>
              <w:t>642,628</w:t>
            </w:r>
          </w:p>
        </w:tc>
      </w:tr>
      <w:tr>
        <w:trPr>
          <w:trHeight w:val="252"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36" w:lineRule="exact"/>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4</w:t>
            </w:r>
          </w:p>
        </w:tc>
        <w:tc>
          <w:tcPr>
            <w:tcW w:w="2582" w:type="dxa"/>
            <w:tcBorders>
              <w:top w:val="nil" w:sz="6" w:space="0" w:color="auto"/>
              <w:left w:val="nil" w:sz="6" w:space="0" w:color="auto"/>
              <w:bottom w:val="nil" w:sz="6" w:space="0" w:color="auto"/>
              <w:right w:val="nil" w:sz="6" w:space="0" w:color="auto"/>
            </w:tcBorders>
          </w:tcPr>
          <w:p>
            <w:pPr>
              <w:pStyle w:val="TableParagraph"/>
              <w:spacing w:line="224" w:lineRule="exact"/>
              <w:ind w:right="442"/>
              <w:jc w:val="right"/>
              <w:rPr>
                <w:rFonts w:ascii="Arial" w:hAnsi="Arial" w:cs="Arial" w:eastAsia="Arial" w:hint="default"/>
                <w:sz w:val="20"/>
                <w:szCs w:val="20"/>
              </w:rPr>
            </w:pPr>
            <w:r>
              <w:rPr>
                <w:rFonts w:ascii="Arial"/>
                <w:spacing w:val="-1"/>
                <w:sz w:val="20"/>
              </w:rPr>
              <w:t>6,511,676</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22"/>
              <w:jc w:val="right"/>
              <w:rPr>
                <w:rFonts w:ascii="Arial" w:hAnsi="Arial" w:cs="Arial" w:eastAsia="Arial" w:hint="default"/>
                <w:sz w:val="20"/>
                <w:szCs w:val="20"/>
              </w:rPr>
            </w:pPr>
            <w:r>
              <w:rPr>
                <w:rFonts w:ascii="Arial"/>
                <w:spacing w:val="-1"/>
                <w:w w:val="95"/>
                <w:sz w:val="20"/>
              </w:rPr>
              <w:t>1%</w:t>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23"/>
              <w:jc w:val="right"/>
              <w:rPr>
                <w:rFonts w:ascii="Arial" w:hAnsi="Arial" w:cs="Arial" w:eastAsia="Arial" w:hint="default"/>
                <w:sz w:val="20"/>
                <w:szCs w:val="20"/>
              </w:rPr>
            </w:pPr>
            <w:r>
              <w:rPr>
                <w:rFonts w:ascii="Arial"/>
                <w:spacing w:val="-1"/>
                <w:sz w:val="20"/>
              </w:rPr>
              <w:t>844,160</w:t>
            </w:r>
          </w:p>
        </w:tc>
      </w:tr>
      <w:tr>
        <w:trPr>
          <w:trHeight w:val="378"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36" w:lineRule="exact"/>
              <w:ind w:left="200" w:right="0"/>
              <w:jc w:val="left"/>
              <w:rPr>
                <w:rFonts w:ascii="Arial" w:hAnsi="Arial" w:cs="Arial" w:eastAsia="Arial" w:hint="default"/>
                <w:sz w:val="20"/>
                <w:szCs w:val="20"/>
              </w:rPr>
            </w:pPr>
            <w:r>
              <w:rPr>
                <w:rFonts w:ascii="黑体" w:hAnsi="黑体" w:cs="黑体" w:eastAsia="黑体" w:hint="default"/>
                <w:sz w:val="20"/>
                <w:szCs w:val="20"/>
              </w:rPr>
              <w:t>单位</w:t>
            </w:r>
            <w:r>
              <w:rPr>
                <w:rFonts w:ascii="黑体" w:hAnsi="黑体" w:cs="黑体" w:eastAsia="黑体" w:hint="default"/>
                <w:spacing w:val="-48"/>
                <w:sz w:val="20"/>
                <w:szCs w:val="20"/>
              </w:rPr>
              <w:t> </w:t>
            </w:r>
            <w:r>
              <w:rPr>
                <w:rFonts w:ascii="Arial" w:hAnsi="Arial" w:cs="Arial" w:eastAsia="Arial" w:hint="default"/>
                <w:sz w:val="20"/>
                <w:szCs w:val="20"/>
              </w:rPr>
              <w:t>5</w:t>
            </w:r>
          </w:p>
        </w:tc>
        <w:tc>
          <w:tcPr>
            <w:tcW w:w="2582" w:type="dxa"/>
            <w:tcBorders>
              <w:top w:val="nil" w:sz="6" w:space="0" w:color="auto"/>
              <w:left w:val="nil" w:sz="6" w:space="0" w:color="auto"/>
              <w:bottom w:val="nil" w:sz="6" w:space="0" w:color="auto"/>
              <w:right w:val="nil" w:sz="6" w:space="0" w:color="auto"/>
            </w:tcBorders>
          </w:tcPr>
          <w:p>
            <w:pPr>
              <w:pStyle w:val="TableParagraph"/>
              <w:spacing w:line="224" w:lineRule="exact"/>
              <w:ind w:right="442"/>
              <w:jc w:val="right"/>
              <w:rPr>
                <w:rFonts w:ascii="Arial" w:hAnsi="Arial" w:cs="Arial" w:eastAsia="Arial" w:hint="default"/>
                <w:sz w:val="20"/>
                <w:szCs w:val="20"/>
              </w:rPr>
            </w:pPr>
            <w:r>
              <w:rPr>
                <w:rFonts w:ascii="Arial"/>
                <w:spacing w:val="-1"/>
                <w:sz w:val="20"/>
              </w:rPr>
              <w:t>5,329,326</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22"/>
              <w:jc w:val="right"/>
              <w:rPr>
                <w:rFonts w:ascii="Arial" w:hAnsi="Arial" w:cs="Arial" w:eastAsia="Arial" w:hint="default"/>
                <w:sz w:val="20"/>
                <w:szCs w:val="20"/>
              </w:rPr>
            </w:pPr>
            <w:r>
              <w:rPr>
                <w:rFonts w:ascii="Arial"/>
                <w:w w:val="99"/>
                <w:sz w:val="20"/>
              </w:rPr>
            </w:r>
            <w:r>
              <w:rPr>
                <w:rFonts w:ascii="Arial"/>
                <w:spacing w:val="-1"/>
                <w:w w:val="95"/>
                <w:sz w:val="20"/>
                <w:u w:val="single" w:color="000000"/>
              </w:rPr>
              <w:t>1%</w:t>
            </w:r>
            <w:r>
              <w:rPr>
                <w:rFonts w:ascii="Arial"/>
                <w:spacing w:val="-1"/>
                <w:w w:val="95"/>
                <w:sz w:val="20"/>
              </w:rPr>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23"/>
              <w:jc w:val="right"/>
              <w:rPr>
                <w:rFonts w:ascii="Arial" w:hAnsi="Arial" w:cs="Arial" w:eastAsia="Arial" w:hint="default"/>
                <w:sz w:val="20"/>
                <w:szCs w:val="20"/>
              </w:rPr>
            </w:pPr>
            <w:r>
              <w:rPr>
                <w:rFonts w:ascii="Arial"/>
                <w:w w:val="99"/>
                <w:sz w:val="20"/>
              </w:rPr>
            </w:r>
            <w:r>
              <w:rPr>
                <w:rFonts w:ascii="Arial"/>
                <w:w w:val="95"/>
                <w:sz w:val="20"/>
                <w:u w:val="single" w:color="000000"/>
              </w:rPr>
              <w:t>2,592,858</w:t>
            </w:r>
            <w:r>
              <w:rPr>
                <w:rFonts w:ascii="Arial"/>
                <w:w w:val="95"/>
                <w:sz w:val="20"/>
              </w:rPr>
            </w:r>
            <w:r>
              <w:rPr>
                <w:rFonts w:ascii="Arial"/>
                <w:sz w:val="20"/>
              </w:rPr>
            </w:r>
          </w:p>
        </w:tc>
      </w:tr>
      <w:tr>
        <w:trPr>
          <w:trHeight w:val="358" w:hRule="exact"/>
        </w:trPr>
        <w:tc>
          <w:tcPr>
            <w:tcW w:w="1904" w:type="dxa"/>
            <w:tcBorders>
              <w:top w:val="nil" w:sz="6" w:space="0" w:color="auto"/>
              <w:left w:val="nil" w:sz="6" w:space="0" w:color="auto"/>
              <w:bottom w:val="nil" w:sz="6" w:space="0" w:color="auto"/>
              <w:right w:val="nil" w:sz="6" w:space="0" w:color="auto"/>
            </w:tcBorders>
          </w:tcPr>
          <w:p>
            <w:pP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442"/>
              <w:jc w:val="right"/>
              <w:rPr>
                <w:rFonts w:ascii="Arial" w:hAnsi="Arial" w:cs="Arial" w:eastAsia="Arial" w:hint="default"/>
                <w:sz w:val="20"/>
                <w:szCs w:val="20"/>
              </w:rPr>
            </w:pPr>
            <w:r>
              <w:rPr>
                <w:rFonts w:ascii="Arial"/>
                <w:spacing w:val="-1"/>
                <w:sz w:val="20"/>
              </w:rPr>
              <w:t>40,694,771</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222"/>
              <w:jc w:val="right"/>
              <w:rPr>
                <w:rFonts w:ascii="Arial" w:hAnsi="Arial" w:cs="Arial" w:eastAsia="Arial" w:hint="default"/>
                <w:sz w:val="20"/>
                <w:szCs w:val="20"/>
              </w:rPr>
            </w:pPr>
            <w:r>
              <w:rPr>
                <w:rFonts w:ascii="Arial"/>
                <w:w w:val="99"/>
                <w:sz w:val="20"/>
              </w:rPr>
            </w:r>
            <w:r>
              <w:rPr>
                <w:rFonts w:ascii="Arial"/>
                <w:w w:val="99"/>
                <w:sz w:val="20"/>
                <w:u w:val="thick" w:color="000000"/>
              </w:rPr>
              <w:t> </w:t>
            </w:r>
            <w:r>
              <w:rPr>
                <w:rFonts w:ascii="Arial"/>
                <w:sz w:val="20"/>
                <w:u w:val="thick" w:color="000000"/>
              </w:rPr>
              <w:t>  </w:t>
            </w:r>
            <w:r>
              <w:rPr>
                <w:rFonts w:ascii="Arial"/>
                <w:spacing w:val="-21"/>
                <w:sz w:val="20"/>
                <w:u w:val="thick" w:color="000000"/>
              </w:rPr>
              <w:t> </w:t>
            </w:r>
            <w:r>
              <w:rPr>
                <w:rFonts w:ascii="Arial"/>
                <w:spacing w:val="-1"/>
                <w:w w:val="95"/>
                <w:sz w:val="20"/>
                <w:u w:val="thick" w:color="000000"/>
              </w:rPr>
              <w:t>5%</w:t>
            </w:r>
            <w:r>
              <w:rPr>
                <w:rFonts w:ascii="Arial"/>
                <w:spacing w:val="-1"/>
                <w:w w:val="95"/>
                <w:sz w:val="20"/>
              </w:rPr>
            </w:r>
            <w:r>
              <w:rPr>
                <w:rFonts w:ascii="Arial"/>
                <w:sz w:val="20"/>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223"/>
              <w:jc w:val="right"/>
              <w:rPr>
                <w:rFonts w:ascii="Arial" w:hAnsi="Arial" w:cs="Arial" w:eastAsia="Arial" w:hint="default"/>
                <w:sz w:val="20"/>
                <w:szCs w:val="20"/>
              </w:rPr>
            </w:pPr>
            <w:r>
              <w:rPr>
                <w:rFonts w:ascii="Arial"/>
                <w:w w:val="99"/>
                <w:sz w:val="20"/>
              </w:rPr>
            </w:r>
            <w:r>
              <w:rPr>
                <w:rFonts w:ascii="Arial"/>
                <w:w w:val="95"/>
                <w:sz w:val="20"/>
                <w:u w:val="thick" w:color="000000"/>
              </w:rPr>
              <w:t>7,225,968</w:t>
            </w:r>
            <w:r>
              <w:rPr>
                <w:rFonts w:ascii="Arial"/>
                <w:w w:val="95"/>
                <w:sz w:val="20"/>
              </w:rPr>
            </w:r>
            <w:r>
              <w:rPr>
                <w:rFonts w:ascii="Arial"/>
                <w:sz w:val="20"/>
              </w:rPr>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37"/>
        <w:ind w:left="396" w:right="0" w:firstLine="0"/>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pacing w:val="-23"/>
          <w:sz w:val="20"/>
          <w:szCs w:val="20"/>
        </w:rPr>
        <w:t> </w:t>
      </w:r>
      <w:r>
        <w:rPr>
          <w:rFonts w:ascii="宋体" w:hAnsi="宋体" w:cs="宋体" w:eastAsia="宋体" w:hint="default"/>
          <w:b/>
          <w:bCs/>
          <w:sz w:val="20"/>
          <w:szCs w:val="20"/>
        </w:rPr>
        <w:t>因金融资产转移而终止确认的应收账款</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357" w:val="left" w:leader="none"/>
        </w:tabs>
        <w:spacing w:line="240" w:lineRule="auto" w:before="49"/>
        <w:ind w:left="396" w:right="0"/>
        <w:jc w:val="left"/>
      </w:pPr>
      <w:r>
        <w:rPr/>
        <w:t>□适用</w:t>
        <w:tab/>
        <w:t>√不适用</w:t>
      </w:r>
    </w:p>
    <w:p>
      <w:pPr>
        <w:spacing w:line="240" w:lineRule="auto" w:before="13"/>
        <w:rPr>
          <w:rFonts w:ascii="宋体" w:hAnsi="宋体" w:cs="宋体" w:eastAsia="宋体" w:hint="default"/>
          <w:sz w:val="25"/>
          <w:szCs w:val="25"/>
        </w:rPr>
      </w:pPr>
    </w:p>
    <w:p>
      <w:pPr>
        <w:spacing w:before="0"/>
        <w:ind w:left="396" w:right="0" w:firstLine="0"/>
        <w:jc w:val="left"/>
        <w:rPr>
          <w:rFonts w:ascii="宋体" w:hAnsi="宋体" w:cs="宋体" w:eastAsia="宋体" w:hint="default"/>
          <w:sz w:val="20"/>
          <w:szCs w:val="20"/>
        </w:rPr>
      </w:pPr>
      <w:r>
        <w:rPr>
          <w:rFonts w:ascii="宋体" w:hAnsi="宋体" w:cs="宋体" w:eastAsia="宋体" w:hint="default"/>
          <w:b/>
          <w:bCs/>
          <w:sz w:val="20"/>
          <w:szCs w:val="20"/>
        </w:rPr>
        <w:t>(7).</w:t>
      </w:r>
      <w:r>
        <w:rPr>
          <w:rFonts w:ascii="宋体" w:hAnsi="宋体" w:cs="宋体" w:eastAsia="宋体" w:hint="default"/>
          <w:b/>
          <w:bCs/>
          <w:spacing w:val="-23"/>
          <w:sz w:val="20"/>
          <w:szCs w:val="20"/>
        </w:rPr>
        <w:t> </w:t>
      </w:r>
      <w:r>
        <w:rPr>
          <w:rFonts w:ascii="宋体" w:hAnsi="宋体" w:cs="宋体" w:eastAsia="宋体" w:hint="default"/>
          <w:b/>
          <w:bCs/>
          <w:sz w:val="20"/>
          <w:szCs w:val="20"/>
        </w:rPr>
        <w:t>转移应收账款且继续涉入形成的资产、负债金额</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357" w:val="left" w:leader="none"/>
        </w:tabs>
        <w:spacing w:line="240" w:lineRule="auto" w:before="52"/>
        <w:ind w:left="396" w:right="0"/>
        <w:jc w:val="left"/>
      </w:pPr>
      <w:r>
        <w:rPr/>
        <w:t>□适用</w:t>
        <w:tab/>
        <w:t>√不适用</w:t>
      </w:r>
    </w:p>
    <w:p>
      <w:pPr>
        <w:spacing w:line="240" w:lineRule="auto" w:before="10"/>
        <w:rPr>
          <w:rFonts w:ascii="宋体" w:hAnsi="宋体" w:cs="宋体" w:eastAsia="宋体" w:hint="default"/>
          <w:sz w:val="20"/>
          <w:szCs w:val="20"/>
        </w:rPr>
      </w:pPr>
    </w:p>
    <w:p>
      <w:pPr>
        <w:pStyle w:val="BodyText"/>
        <w:spacing w:line="313" w:lineRule="exact"/>
        <w:ind w:left="396" w:right="0"/>
        <w:jc w:val="left"/>
      </w:pPr>
      <w:r>
        <w:rPr/>
        <w:t>其他说明：</w:t>
      </w:r>
    </w:p>
    <w:p>
      <w:pPr>
        <w:pStyle w:val="BodyText"/>
        <w:spacing w:line="313" w:lineRule="exact"/>
        <w:ind w:left="396" w:right="0"/>
        <w:jc w:val="left"/>
      </w:pPr>
      <w:r>
        <w:rPr/>
        <w:t>□适用 √不适用</w:t>
      </w:r>
    </w:p>
    <w:p>
      <w:pPr>
        <w:spacing w:line="240" w:lineRule="auto" w:before="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745" w:footer="1195" w:top="1080" w:bottom="1380" w:left="880" w:right="1640"/>
        </w:sectPr>
      </w:pPr>
    </w:p>
    <w:p>
      <w:pPr>
        <w:spacing w:line="288" w:lineRule="auto" w:before="36"/>
        <w:ind w:left="396" w:right="62" w:firstLine="0"/>
        <w:jc w:val="left"/>
        <w:rPr>
          <w:rFonts w:ascii="宋体" w:hAnsi="宋体" w:cs="宋体" w:eastAsia="宋体" w:hint="default"/>
          <w:sz w:val="20"/>
          <w:szCs w:val="20"/>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0"/>
          <w:szCs w:val="20"/>
        </w:rPr>
        <w:t>其他应收款</w:t>
      </w:r>
      <w:r>
        <w:rPr>
          <w:rFonts w:ascii="宋体" w:hAnsi="宋体" w:cs="宋体" w:eastAsia="宋体" w:hint="default"/>
          <w:b/>
          <w:bCs/>
          <w:w w:val="98"/>
          <w:sz w:val="20"/>
          <w:szCs w:val="20"/>
        </w:rPr>
        <w:t> </w:t>
      </w:r>
      <w:r>
        <w:rPr>
          <w:rFonts w:ascii="宋体" w:hAnsi="宋体" w:cs="宋体" w:eastAsia="宋体" w:hint="default"/>
          <w:b/>
          <w:bCs/>
          <w:sz w:val="20"/>
          <w:szCs w:val="20"/>
        </w:rPr>
        <w:t>项目列示</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9"/>
        <w:ind w:left="396"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7"/>
          <w:szCs w:val="27"/>
        </w:rPr>
      </w:pPr>
    </w:p>
    <w:p>
      <w:pPr>
        <w:pStyle w:val="BodyText"/>
        <w:tabs>
          <w:tab w:pos="1596" w:val="left" w:leader="none"/>
        </w:tabs>
        <w:spacing w:line="240" w:lineRule="auto"/>
        <w:ind w:left="396" w:right="0"/>
        <w:jc w:val="left"/>
      </w:pPr>
      <w:r>
        <w:rPr/>
        <w:t>单位：元</w:t>
        <w:tab/>
        <w:t>币种：人民币</w:t>
      </w:r>
    </w:p>
    <w:p>
      <w:pPr>
        <w:spacing w:after="0" w:line="240" w:lineRule="auto"/>
        <w:jc w:val="left"/>
        <w:sectPr>
          <w:type w:val="continuous"/>
          <w:pgSz w:w="11910" w:h="16840"/>
          <w:pgMar w:top="1120" w:bottom="1380" w:left="880" w:right="1640"/>
          <w:cols w:num="2" w:equalWidth="0">
            <w:col w:w="2102" w:space="4092"/>
            <w:col w:w="3196"/>
          </w:cols>
        </w:sectPr>
      </w:pPr>
    </w:p>
    <w:p>
      <w:pPr>
        <w:spacing w:line="240" w:lineRule="auto" w:before="10"/>
        <w:rPr>
          <w:rFonts w:ascii="宋体" w:hAnsi="宋体" w:cs="宋体" w:eastAsia="宋体" w:hint="default"/>
          <w:sz w:val="2"/>
          <w:szCs w:val="2"/>
        </w:rPr>
      </w:pPr>
    </w:p>
    <w:tbl>
      <w:tblPr>
        <w:tblW w:w="0" w:type="auto"/>
        <w:jc w:val="left"/>
        <w:tblInd w:w="360" w:type="dxa"/>
        <w:tblLayout w:type="fixed"/>
        <w:tblCellMar>
          <w:top w:w="0" w:type="dxa"/>
          <w:left w:w="0" w:type="dxa"/>
          <w:bottom w:w="0" w:type="dxa"/>
          <w:right w:w="0" w:type="dxa"/>
        </w:tblCellMar>
        <w:tblLook w:val="01E0"/>
      </w:tblPr>
      <w:tblGrid>
        <w:gridCol w:w="3140"/>
        <w:gridCol w:w="2885"/>
        <w:gridCol w:w="2871"/>
      </w:tblGrid>
      <w:tr>
        <w:trPr>
          <w:trHeight w:val="322"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23"/>
              <w:jc w:val="right"/>
              <w:rPr>
                <w:rFonts w:ascii="宋体" w:hAnsi="宋体" w:cs="宋体" w:eastAsia="宋体" w:hint="default"/>
                <w:sz w:val="24"/>
                <w:szCs w:val="24"/>
              </w:rPr>
            </w:pPr>
            <w:r>
              <w:rPr>
                <w:rFonts w:ascii="宋体" w:hAnsi="宋体" w:cs="宋体" w:eastAsia="宋体" w:hint="default"/>
                <w:sz w:val="24"/>
                <w:szCs w:val="24"/>
              </w:rPr>
              <w:t>项目</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55"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50" w:right="0"/>
              <w:jc w:val="left"/>
              <w:rPr>
                <w:rFonts w:ascii="宋体" w:hAnsi="宋体" w:cs="宋体" w:eastAsia="宋体" w:hint="default"/>
                <w:sz w:val="24"/>
                <w:szCs w:val="24"/>
              </w:rPr>
            </w:pPr>
            <w:r>
              <w:rPr>
                <w:rFonts w:ascii="宋体" w:hAnsi="宋体" w:cs="宋体" w:eastAsia="宋体" w:hint="default"/>
                <w:sz w:val="24"/>
                <w:szCs w:val="24"/>
              </w:rPr>
              <w:t>期初余额</w:t>
            </w:r>
          </w:p>
        </w:tc>
      </w:tr>
      <w:tr>
        <w:trPr>
          <w:trHeight w:val="322"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应收利息</w:t>
            </w:r>
          </w:p>
        </w:tc>
        <w:tc>
          <w:tcPr>
            <w:tcW w:w="2885" w:type="dxa"/>
            <w:tcBorders>
              <w:top w:val="single" w:sz="4" w:space="0" w:color="000000"/>
              <w:left w:val="single" w:sz="4" w:space="0" w:color="000000"/>
              <w:bottom w:val="single" w:sz="4" w:space="0" w:color="000000"/>
              <w:right w:val="single" w:sz="4" w:space="0" w:color="000000"/>
            </w:tcBorders>
          </w:tcPr>
          <w:p>
            <w:pPr/>
          </w:p>
        </w:tc>
        <w:tc>
          <w:tcPr>
            <w:tcW w:w="287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应收股利</w:t>
            </w:r>
          </w:p>
        </w:tc>
        <w:tc>
          <w:tcPr>
            <w:tcW w:w="2885" w:type="dxa"/>
            <w:tcBorders>
              <w:top w:val="single" w:sz="4" w:space="0" w:color="000000"/>
              <w:left w:val="single" w:sz="4" w:space="0" w:color="000000"/>
              <w:bottom w:val="single" w:sz="4" w:space="0" w:color="000000"/>
              <w:right w:val="single" w:sz="4" w:space="0" w:color="000000"/>
            </w:tcBorders>
          </w:tcPr>
          <w:p>
            <w:pPr/>
          </w:p>
        </w:tc>
        <w:tc>
          <w:tcPr>
            <w:tcW w:w="287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 w:right="0"/>
              <w:jc w:val="left"/>
              <w:rPr>
                <w:rFonts w:ascii="宋体" w:hAnsi="宋体" w:cs="宋体" w:eastAsia="宋体" w:hint="default"/>
                <w:sz w:val="24"/>
                <w:szCs w:val="24"/>
              </w:rPr>
            </w:pPr>
            <w:r>
              <w:rPr>
                <w:rFonts w:ascii="宋体" w:hAnsi="宋体" w:cs="宋体" w:eastAsia="宋体" w:hint="default"/>
                <w:sz w:val="24"/>
                <w:szCs w:val="24"/>
              </w:rPr>
              <w:t>其他应收款</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9"/>
              <w:jc w:val="right"/>
              <w:rPr>
                <w:rFonts w:ascii="Times New Roman" w:hAnsi="Times New Roman" w:cs="Times New Roman" w:eastAsia="Times New Roman" w:hint="default"/>
                <w:sz w:val="24"/>
                <w:szCs w:val="24"/>
              </w:rPr>
            </w:pPr>
            <w:r>
              <w:rPr>
                <w:rFonts w:ascii="Times New Roman"/>
                <w:sz w:val="24"/>
              </w:rPr>
              <w:t>1,251,362,117</w:t>
            </w:r>
          </w:p>
        </w:tc>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9"/>
              <w:jc w:val="right"/>
              <w:rPr>
                <w:rFonts w:ascii="Times New Roman" w:hAnsi="Times New Roman" w:cs="Times New Roman" w:eastAsia="Times New Roman" w:hint="default"/>
                <w:sz w:val="24"/>
                <w:szCs w:val="24"/>
              </w:rPr>
            </w:pPr>
            <w:r>
              <w:rPr>
                <w:rFonts w:ascii="Times New Roman"/>
                <w:sz w:val="24"/>
              </w:rPr>
              <w:t>920,038,562</w:t>
            </w:r>
          </w:p>
        </w:tc>
      </w:tr>
      <w:tr>
        <w:trPr>
          <w:trHeight w:val="322"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323"/>
              <w:jc w:val="right"/>
              <w:rPr>
                <w:rFonts w:ascii="宋体" w:hAnsi="宋体" w:cs="宋体" w:eastAsia="宋体" w:hint="default"/>
                <w:sz w:val="24"/>
                <w:szCs w:val="24"/>
              </w:rPr>
            </w:pPr>
            <w:r>
              <w:rPr>
                <w:rFonts w:ascii="宋体" w:hAnsi="宋体" w:cs="宋体" w:eastAsia="宋体" w:hint="default"/>
                <w:sz w:val="24"/>
                <w:szCs w:val="24"/>
              </w:rPr>
              <w:t>合计</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1,251,362,117</w:t>
            </w:r>
          </w:p>
        </w:tc>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6"/>
              <w:jc w:val="right"/>
              <w:rPr>
                <w:rFonts w:ascii="Times New Roman" w:hAnsi="Times New Roman" w:cs="Times New Roman" w:eastAsia="Times New Roman" w:hint="default"/>
                <w:sz w:val="24"/>
                <w:szCs w:val="24"/>
              </w:rPr>
            </w:pPr>
            <w:r>
              <w:rPr>
                <w:rFonts w:ascii="Times New Roman"/>
                <w:sz w:val="24"/>
              </w:rPr>
              <w:t>920,038,562</w:t>
            </w:r>
          </w:p>
        </w:tc>
      </w:tr>
    </w:tbl>
    <w:p>
      <w:pPr>
        <w:spacing w:line="240" w:lineRule="auto" w:before="0"/>
        <w:rPr>
          <w:rFonts w:ascii="宋体" w:hAnsi="宋体" w:cs="宋体" w:eastAsia="宋体" w:hint="default"/>
          <w:sz w:val="16"/>
          <w:szCs w:val="16"/>
        </w:rPr>
      </w:pPr>
    </w:p>
    <w:p>
      <w:pPr>
        <w:pStyle w:val="BodyText"/>
        <w:spacing w:line="312" w:lineRule="exact" w:before="26"/>
        <w:ind w:left="396" w:right="0"/>
        <w:jc w:val="left"/>
      </w:pPr>
      <w:r>
        <w:rPr/>
        <w:t>其他说明：</w:t>
      </w:r>
    </w:p>
    <w:p>
      <w:pPr>
        <w:pStyle w:val="BodyText"/>
        <w:spacing w:line="312" w:lineRule="exact"/>
        <w:ind w:left="396" w:right="0"/>
        <w:jc w:val="left"/>
      </w:pPr>
      <w:r>
        <w:rPr/>
        <w:t>□适用 √不适用</w:t>
      </w:r>
    </w:p>
    <w:p>
      <w:pPr>
        <w:spacing w:line="240" w:lineRule="auto" w:before="2"/>
        <w:rPr>
          <w:rFonts w:ascii="宋体" w:hAnsi="宋体" w:cs="宋体" w:eastAsia="宋体" w:hint="default"/>
          <w:sz w:val="26"/>
          <w:szCs w:val="26"/>
        </w:rPr>
      </w:pPr>
    </w:p>
    <w:p>
      <w:pPr>
        <w:spacing w:before="0"/>
        <w:ind w:left="396" w:right="0" w:firstLine="0"/>
        <w:jc w:val="left"/>
        <w:rPr>
          <w:rFonts w:ascii="宋体" w:hAnsi="宋体" w:cs="宋体" w:eastAsia="宋体" w:hint="default"/>
          <w:sz w:val="20"/>
          <w:szCs w:val="20"/>
        </w:rPr>
      </w:pPr>
      <w:r>
        <w:rPr>
          <w:rFonts w:ascii="宋体" w:hAnsi="宋体" w:cs="宋体" w:eastAsia="宋体" w:hint="default"/>
          <w:b/>
          <w:bCs/>
          <w:sz w:val="20"/>
          <w:szCs w:val="20"/>
        </w:rPr>
        <w:t>应收利息</w:t>
      </w:r>
      <w:r>
        <w:rPr>
          <w:rFonts w:ascii="宋体" w:hAnsi="宋体" w:cs="宋体" w:eastAsia="宋体" w:hint="default"/>
          <w:b/>
          <w:bCs/>
          <w:w w:val="98"/>
          <w:sz w:val="20"/>
          <w:szCs w:val="20"/>
        </w:rPr>
        <w:t> </w:t>
      </w:r>
      <w:r>
        <w:rPr>
          <w:rFonts w:ascii="宋体" w:hAnsi="宋体" w:cs="宋体" w:eastAsia="宋体" w:hint="default"/>
          <w:sz w:val="20"/>
          <w:szCs w:val="20"/>
        </w:rPr>
      </w:r>
    </w:p>
    <w:p>
      <w:pPr>
        <w:spacing w:before="57"/>
        <w:ind w:left="396" w:right="0"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pacing w:val="-80"/>
          <w:sz w:val="20"/>
          <w:szCs w:val="20"/>
        </w:rPr>
        <w:t> </w:t>
      </w:r>
      <w:r>
        <w:rPr>
          <w:rFonts w:ascii="宋体" w:hAnsi="宋体" w:cs="宋体" w:eastAsia="宋体" w:hint="default"/>
          <w:b/>
          <w:bCs/>
          <w:sz w:val="20"/>
          <w:szCs w:val="20"/>
        </w:rPr>
        <w:t>应收利息分类</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396" w:right="0"/>
        <w:jc w:val="left"/>
      </w:pPr>
      <w:r>
        <w:rPr/>
        <w:t>□适用 √不适用</w:t>
      </w:r>
    </w:p>
    <w:p>
      <w:pPr>
        <w:spacing w:after="0" w:line="240" w:lineRule="auto"/>
        <w:jc w:val="left"/>
        <w:sectPr>
          <w:type w:val="continuous"/>
          <w:pgSz w:w="11910" w:h="16840"/>
          <w:pgMar w:top="1120" w:bottom="1380" w:left="880" w:right="1640"/>
        </w:sectPr>
      </w:pPr>
    </w:p>
    <w:p>
      <w:pPr>
        <w:spacing w:line="240" w:lineRule="auto" w:before="1"/>
        <w:rPr>
          <w:rFonts w:ascii="宋体" w:hAnsi="宋体" w:cs="宋体" w:eastAsia="宋体" w:hint="default"/>
          <w:sz w:val="22"/>
          <w:szCs w:val="22"/>
        </w:rPr>
      </w:pPr>
    </w:p>
    <w:p>
      <w:pPr>
        <w:spacing w:before="37"/>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80"/>
          <w:sz w:val="20"/>
          <w:szCs w:val="20"/>
        </w:rPr>
        <w:t> </w:t>
      </w:r>
      <w:r>
        <w:rPr>
          <w:rFonts w:ascii="宋体" w:hAnsi="宋体" w:cs="宋体" w:eastAsia="宋体" w:hint="default"/>
          <w:b/>
          <w:bCs/>
          <w:sz w:val="20"/>
          <w:szCs w:val="20"/>
        </w:rPr>
        <w:t>重要逾期利息</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left"/>
      </w:pPr>
      <w:r>
        <w:rPr/>
        <w:t>□适用 √不适用</w:t>
      </w:r>
    </w:p>
    <w:p>
      <w:pPr>
        <w:spacing w:before="66"/>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pacing w:val="-81"/>
          <w:sz w:val="20"/>
          <w:szCs w:val="20"/>
        </w:rPr>
        <w:t> </w:t>
      </w:r>
      <w:r>
        <w:rPr>
          <w:rFonts w:ascii="宋体" w:hAnsi="宋体" w:cs="宋体" w:eastAsia="宋体" w:hint="default"/>
          <w:b/>
          <w:bCs/>
          <w:sz w:val="20"/>
          <w:szCs w:val="20"/>
        </w:rPr>
        <w:t>坏账准备计提情况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left"/>
      </w:pPr>
      <w:r>
        <w:rPr/>
        <w:t>□适用 √不适用</w:t>
      </w:r>
    </w:p>
    <w:p>
      <w:pPr>
        <w:spacing w:line="240" w:lineRule="auto" w:before="12"/>
        <w:rPr>
          <w:rFonts w:ascii="宋体" w:hAnsi="宋体" w:cs="宋体" w:eastAsia="宋体" w:hint="default"/>
          <w:sz w:val="20"/>
          <w:szCs w:val="20"/>
        </w:rPr>
      </w:pPr>
    </w:p>
    <w:p>
      <w:pPr>
        <w:pStyle w:val="BodyText"/>
        <w:spacing w:line="312" w:lineRule="exact"/>
        <w:ind w:right="0"/>
        <w:jc w:val="left"/>
      </w:pPr>
      <w:r>
        <w:rPr/>
        <w:t>其他说明：</w:t>
      </w:r>
    </w:p>
    <w:p>
      <w:pPr>
        <w:pStyle w:val="BodyText"/>
        <w:spacing w:line="312" w:lineRule="exact"/>
        <w:ind w:right="0"/>
        <w:jc w:val="left"/>
      </w:pPr>
      <w:r>
        <w:rPr/>
        <w:t>□适用 √不适用</w:t>
      </w:r>
    </w:p>
    <w:p>
      <w:pPr>
        <w:spacing w:line="240" w:lineRule="auto" w:before="2"/>
        <w:rPr>
          <w:rFonts w:ascii="宋体" w:hAnsi="宋体" w:cs="宋体" w:eastAsia="宋体" w:hint="default"/>
          <w:sz w:val="26"/>
          <w:szCs w:val="26"/>
        </w:rPr>
      </w:pPr>
    </w:p>
    <w:p>
      <w:pPr>
        <w:spacing w:before="0"/>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pacing w:val="-80"/>
          <w:sz w:val="20"/>
          <w:szCs w:val="20"/>
        </w:rPr>
        <w:t> </w:t>
      </w:r>
      <w:r>
        <w:rPr>
          <w:rFonts w:ascii="宋体" w:hAnsi="宋体" w:cs="宋体" w:eastAsia="宋体" w:hint="default"/>
          <w:b/>
          <w:bCs/>
          <w:sz w:val="20"/>
          <w:szCs w:val="20"/>
        </w:rPr>
        <w:t>应收股利</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left"/>
      </w:pPr>
      <w:r>
        <w:rPr/>
        <w:t>□适用 √不适用</w:t>
      </w:r>
    </w:p>
    <w:p>
      <w:pPr>
        <w:spacing w:before="66"/>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pacing w:val="-78"/>
          <w:sz w:val="20"/>
          <w:szCs w:val="20"/>
        </w:rPr>
        <w:t> </w:t>
      </w:r>
      <w:r>
        <w:rPr>
          <w:rFonts w:ascii="宋体" w:hAnsi="宋体" w:cs="宋体" w:eastAsia="宋体" w:hint="default"/>
          <w:b/>
          <w:bCs/>
          <w:sz w:val="20"/>
          <w:szCs w:val="20"/>
        </w:rPr>
        <w:t>重要的账龄超过</w:t>
      </w:r>
      <w:r>
        <w:rPr>
          <w:rFonts w:ascii="宋体" w:hAnsi="宋体" w:cs="宋体" w:eastAsia="宋体" w:hint="default"/>
          <w:b/>
          <w:bCs/>
          <w:spacing w:val="-53"/>
          <w:sz w:val="20"/>
          <w:szCs w:val="20"/>
        </w:rPr>
        <w:t> </w:t>
      </w:r>
      <w:r>
        <w:rPr>
          <w:rFonts w:ascii="宋体" w:hAnsi="宋体" w:cs="宋体" w:eastAsia="宋体" w:hint="default"/>
          <w:b/>
          <w:bCs/>
          <w:sz w:val="20"/>
          <w:szCs w:val="20"/>
        </w:rPr>
        <w:t>1</w:t>
      </w:r>
      <w:r>
        <w:rPr>
          <w:rFonts w:ascii="宋体" w:hAnsi="宋体" w:cs="宋体" w:eastAsia="宋体" w:hint="default"/>
          <w:b/>
          <w:bCs/>
          <w:spacing w:val="-53"/>
          <w:sz w:val="20"/>
          <w:szCs w:val="20"/>
        </w:rPr>
        <w:t> </w:t>
      </w:r>
      <w:r>
        <w:rPr>
          <w:rFonts w:ascii="宋体" w:hAnsi="宋体" w:cs="宋体" w:eastAsia="宋体" w:hint="default"/>
          <w:b/>
          <w:bCs/>
          <w:sz w:val="20"/>
          <w:szCs w:val="20"/>
        </w:rPr>
        <w:t>年的应收股利</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left"/>
      </w:pPr>
      <w:r>
        <w:rPr/>
        <w:t>□适用 √不适用</w:t>
      </w:r>
    </w:p>
    <w:p>
      <w:pPr>
        <w:spacing w:before="64"/>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pacing w:val="-81"/>
          <w:sz w:val="20"/>
          <w:szCs w:val="20"/>
        </w:rPr>
        <w:t> </w:t>
      </w:r>
      <w:r>
        <w:rPr>
          <w:rFonts w:ascii="宋体" w:hAnsi="宋体" w:cs="宋体" w:eastAsia="宋体" w:hint="default"/>
          <w:b/>
          <w:bCs/>
          <w:sz w:val="20"/>
          <w:szCs w:val="20"/>
        </w:rPr>
        <w:t>坏账准备计提情况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left"/>
      </w:pPr>
      <w:r>
        <w:rPr/>
        <w:t>□适用 √不适用</w:t>
      </w:r>
    </w:p>
    <w:p>
      <w:pPr>
        <w:spacing w:line="240" w:lineRule="auto" w:before="12"/>
        <w:rPr>
          <w:rFonts w:ascii="宋体" w:hAnsi="宋体" w:cs="宋体" w:eastAsia="宋体" w:hint="default"/>
          <w:sz w:val="20"/>
          <w:szCs w:val="20"/>
        </w:rPr>
      </w:pPr>
    </w:p>
    <w:p>
      <w:pPr>
        <w:pStyle w:val="BodyText"/>
        <w:spacing w:line="313" w:lineRule="exact"/>
        <w:ind w:right="0"/>
        <w:jc w:val="left"/>
      </w:pPr>
      <w:r>
        <w:rPr/>
        <w:t>其他说明：</w:t>
      </w:r>
    </w:p>
    <w:p>
      <w:pPr>
        <w:pStyle w:val="BodyText"/>
        <w:spacing w:line="313" w:lineRule="exact"/>
        <w:ind w:right="0"/>
        <w:jc w:val="left"/>
      </w:pPr>
      <w:r>
        <w:rPr/>
        <w:t>□适用 √不适用</w:t>
      </w:r>
    </w:p>
    <w:p>
      <w:pPr>
        <w:spacing w:line="240" w:lineRule="auto" w:before="4"/>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745" w:footer="1195" w:top="1080" w:bottom="1380" w:left="1140" w:right="1640"/>
        </w:sectPr>
      </w:pPr>
    </w:p>
    <w:p>
      <w:pPr>
        <w:spacing w:before="37"/>
        <w:ind w:left="136" w:right="-19" w:firstLine="0"/>
        <w:jc w:val="left"/>
        <w:rPr>
          <w:rFonts w:ascii="宋体" w:hAnsi="宋体" w:cs="宋体" w:eastAsia="宋体" w:hint="default"/>
          <w:sz w:val="20"/>
          <w:szCs w:val="20"/>
        </w:rPr>
      </w:pPr>
      <w:r>
        <w:rPr>
          <w:rFonts w:ascii="宋体" w:hAnsi="宋体" w:cs="宋体" w:eastAsia="宋体" w:hint="default"/>
          <w:b/>
          <w:bCs/>
          <w:sz w:val="20"/>
          <w:szCs w:val="20"/>
        </w:rPr>
        <w:t>其他应收款</w:t>
      </w:r>
      <w:r>
        <w:rPr>
          <w:rFonts w:ascii="宋体" w:hAnsi="宋体" w:cs="宋体" w:eastAsia="宋体" w:hint="default"/>
          <w:b/>
          <w:bCs/>
          <w:w w:val="98"/>
          <w:sz w:val="20"/>
          <w:szCs w:val="20"/>
        </w:rPr>
        <w:t> </w:t>
      </w:r>
      <w:r>
        <w:rPr>
          <w:rFonts w:ascii="宋体" w:hAnsi="宋体" w:cs="宋体" w:eastAsia="宋体" w:hint="default"/>
          <w:sz w:val="20"/>
          <w:szCs w:val="20"/>
        </w:rPr>
      </w:r>
    </w:p>
    <w:p>
      <w:pPr>
        <w:spacing w:before="57"/>
        <w:ind w:left="136" w:right="-19"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pacing w:val="-3"/>
          <w:sz w:val="20"/>
          <w:szCs w:val="20"/>
        </w:rPr>
        <w:t> </w:t>
      </w:r>
      <w:r>
        <w:rPr>
          <w:rFonts w:ascii="宋体" w:hAnsi="宋体" w:cs="宋体" w:eastAsia="宋体" w:hint="default"/>
          <w:b/>
          <w:bCs/>
          <w:sz w:val="20"/>
          <w:szCs w:val="20"/>
        </w:rPr>
        <w:t>按账龄披露</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6"/>
          <w:szCs w:val="26"/>
        </w:rPr>
      </w:pPr>
    </w:p>
    <w:p>
      <w:pPr>
        <w:pStyle w:val="BodyText"/>
        <w:tabs>
          <w:tab w:pos="1336" w:val="left" w:leader="none"/>
        </w:tabs>
        <w:spacing w:line="240" w:lineRule="auto"/>
        <w:ind w:right="0"/>
        <w:jc w:val="left"/>
      </w:pPr>
      <w:r>
        <w:rPr/>
        <w:t>单位：元</w:t>
        <w:tab/>
        <w:t>币种：人民币</w:t>
      </w:r>
    </w:p>
    <w:p>
      <w:pPr>
        <w:spacing w:after="0" w:line="240" w:lineRule="auto"/>
        <w:jc w:val="left"/>
        <w:sectPr>
          <w:type w:val="continuous"/>
          <w:pgSz w:w="11910" w:h="16840"/>
          <w:pgMar w:top="1120" w:bottom="1380" w:left="1140" w:right="1640"/>
          <w:cols w:num="2" w:equalWidth="0">
            <w:col w:w="1842" w:space="4352"/>
            <w:col w:w="2936"/>
          </w:cols>
        </w:sectPr>
      </w:pPr>
    </w:p>
    <w:p>
      <w:pPr>
        <w:spacing w:line="240" w:lineRule="auto" w:before="12"/>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4491"/>
        <w:gridCol w:w="4405"/>
      </w:tblGrid>
      <w:tr>
        <w:trPr>
          <w:trHeight w:val="322"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00"/>
              <w:jc w:val="right"/>
              <w:rPr>
                <w:rFonts w:ascii="宋体" w:hAnsi="宋体" w:cs="宋体" w:eastAsia="宋体" w:hint="default"/>
                <w:sz w:val="24"/>
                <w:szCs w:val="24"/>
              </w:rPr>
            </w:pPr>
            <w:r>
              <w:rPr>
                <w:rFonts w:ascii="宋体" w:hAnsi="宋体" w:cs="宋体" w:eastAsia="宋体" w:hint="default"/>
                <w:sz w:val="24"/>
                <w:szCs w:val="24"/>
              </w:rPr>
              <w:t>账龄</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 w:right="0"/>
              <w:jc w:val="center"/>
              <w:rPr>
                <w:rFonts w:ascii="宋体" w:hAnsi="宋体" w:cs="宋体" w:eastAsia="宋体" w:hint="default"/>
                <w:sz w:val="24"/>
                <w:szCs w:val="24"/>
              </w:rPr>
            </w:pPr>
            <w:r>
              <w:rPr>
                <w:rFonts w:ascii="宋体" w:hAnsi="宋体" w:cs="宋体" w:eastAsia="宋体" w:hint="default"/>
                <w:sz w:val="24"/>
                <w:szCs w:val="24"/>
              </w:rPr>
              <w:t>期末账面余额</w:t>
            </w:r>
          </w:p>
        </w:tc>
      </w:tr>
      <w:tr>
        <w:trPr>
          <w:trHeight w:val="322" w:hRule="exact"/>
        </w:trPr>
        <w:tc>
          <w:tcPr>
            <w:tcW w:w="8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r>
      <w:tr>
        <w:trPr>
          <w:trHeight w:val="322" w:hRule="exact"/>
        </w:trPr>
        <w:tc>
          <w:tcPr>
            <w:tcW w:w="8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宋体" w:hAnsi="宋体" w:cs="宋体" w:eastAsia="宋体" w:hint="default"/>
                <w:sz w:val="24"/>
                <w:szCs w:val="24"/>
              </w:rPr>
              <w:t>其中：</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年以内分项</w:t>
            </w:r>
          </w:p>
        </w:tc>
      </w:tr>
      <w:tr>
        <w:trPr>
          <w:trHeight w:val="319"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1,239,675,521</w:t>
            </w:r>
          </w:p>
        </w:tc>
      </w:tr>
      <w:tr>
        <w:trPr>
          <w:trHeight w:val="288" w:hRule="exact"/>
        </w:trPr>
        <w:tc>
          <w:tcPr>
            <w:tcW w:w="4491" w:type="dxa"/>
            <w:tcBorders>
              <w:top w:val="single" w:sz="4" w:space="0" w:color="000000"/>
              <w:left w:val="single" w:sz="4" w:space="0" w:color="000000"/>
              <w:bottom w:val="single" w:sz="4" w:space="0" w:color="000000"/>
              <w:right w:val="single" w:sz="4" w:space="0" w:color="000000"/>
            </w:tcBorders>
          </w:tcPr>
          <w:p>
            <w:pP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年以内小计</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1,239,675,521</w:t>
            </w:r>
          </w:p>
        </w:tc>
      </w:tr>
      <w:tr>
        <w:trPr>
          <w:trHeight w:val="322"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 </w:t>
            </w:r>
            <w:r>
              <w:rPr>
                <w:rFonts w:ascii="宋体" w:hAnsi="宋体" w:cs="宋体" w:eastAsia="宋体" w:hint="default"/>
                <w:sz w:val="24"/>
                <w:szCs w:val="24"/>
              </w:rPr>
              <w:t>年</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3"/>
              <w:jc w:val="right"/>
              <w:rPr>
                <w:rFonts w:ascii="Times New Roman" w:hAnsi="Times New Roman" w:cs="Times New Roman" w:eastAsia="Times New Roman" w:hint="default"/>
                <w:sz w:val="24"/>
                <w:szCs w:val="24"/>
              </w:rPr>
            </w:pPr>
            <w:r>
              <w:rPr>
                <w:rFonts w:ascii="Times New Roman"/>
                <w:sz w:val="24"/>
              </w:rPr>
              <w:t>7,192,953</w:t>
            </w:r>
          </w:p>
        </w:tc>
      </w:tr>
      <w:tr>
        <w:trPr>
          <w:trHeight w:val="322"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 </w:t>
            </w:r>
            <w:r>
              <w:rPr>
                <w:rFonts w:ascii="宋体" w:hAnsi="宋体" w:cs="宋体" w:eastAsia="宋体" w:hint="default"/>
                <w:sz w:val="24"/>
                <w:szCs w:val="24"/>
              </w:rPr>
              <w:t>年</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7,911,420</w:t>
            </w:r>
          </w:p>
        </w:tc>
      </w:tr>
      <w:tr>
        <w:trPr>
          <w:trHeight w:val="322"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年以上</w:t>
            </w: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 </w:t>
            </w:r>
            <w:r>
              <w:rPr>
                <w:rFonts w:ascii="宋体" w:hAnsi="宋体" w:cs="宋体" w:eastAsia="宋体" w:hint="default"/>
                <w:sz w:val="24"/>
                <w:szCs w:val="24"/>
              </w:rPr>
              <w:t>年</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4,922,031</w:t>
            </w:r>
          </w:p>
        </w:tc>
      </w:tr>
      <w:tr>
        <w:trPr>
          <w:trHeight w:val="322"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 </w:t>
            </w:r>
            <w:r>
              <w:rPr>
                <w:rFonts w:ascii="宋体" w:hAnsi="宋体" w:cs="宋体" w:eastAsia="宋体" w:hint="default"/>
                <w:sz w:val="24"/>
                <w:szCs w:val="24"/>
              </w:rPr>
              <w:t>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 </w:t>
            </w:r>
            <w:r>
              <w:rPr>
                <w:rFonts w:ascii="宋体" w:hAnsi="宋体" w:cs="宋体" w:eastAsia="宋体" w:hint="default"/>
                <w:sz w:val="24"/>
                <w:szCs w:val="24"/>
              </w:rPr>
              <w:t>年</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2,862,795</w:t>
            </w:r>
          </w:p>
        </w:tc>
      </w:tr>
      <w:tr>
        <w:trPr>
          <w:trHeight w:val="322"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93" w:lineRule="exact"/>
              <w:ind w:left="26"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5 </w:t>
            </w:r>
            <w:r>
              <w:rPr>
                <w:rFonts w:ascii="宋体" w:hAnsi="宋体" w:cs="宋体" w:eastAsia="宋体" w:hint="default"/>
                <w:sz w:val="24"/>
                <w:szCs w:val="24"/>
              </w:rPr>
              <w:t>年以上</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3"/>
              <w:jc w:val="right"/>
              <w:rPr>
                <w:rFonts w:ascii="Times New Roman" w:hAnsi="Times New Roman" w:cs="Times New Roman" w:eastAsia="Times New Roman" w:hint="default"/>
                <w:sz w:val="24"/>
                <w:szCs w:val="24"/>
              </w:rPr>
            </w:pPr>
            <w:r>
              <w:rPr>
                <w:rFonts w:ascii="Times New Roman"/>
                <w:sz w:val="24"/>
              </w:rPr>
              <w:t>6,541,037</w:t>
            </w:r>
          </w:p>
        </w:tc>
      </w:tr>
      <w:tr>
        <w:trPr>
          <w:trHeight w:val="286" w:hRule="exact"/>
        </w:trPr>
        <w:tc>
          <w:tcPr>
            <w:tcW w:w="4491" w:type="dxa"/>
            <w:tcBorders>
              <w:top w:val="single" w:sz="4" w:space="0" w:color="000000"/>
              <w:left w:val="single" w:sz="4" w:space="0" w:color="000000"/>
              <w:bottom w:val="single" w:sz="4" w:space="0" w:color="000000"/>
              <w:right w:val="single" w:sz="4" w:space="0" w:color="000000"/>
            </w:tcBorders>
          </w:tcPr>
          <w:p>
            <w:pP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4491" w:type="dxa"/>
            <w:tcBorders>
              <w:top w:val="single" w:sz="4" w:space="0" w:color="000000"/>
              <w:left w:val="single" w:sz="4" w:space="0" w:color="000000"/>
              <w:bottom w:val="single" w:sz="4" w:space="0" w:color="000000"/>
              <w:right w:val="single" w:sz="4" w:space="0" w:color="000000"/>
            </w:tcBorders>
          </w:tcPr>
          <w:p>
            <w:pP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00"/>
              <w:jc w:val="right"/>
              <w:rPr>
                <w:rFonts w:ascii="宋体" w:hAnsi="宋体" w:cs="宋体" w:eastAsia="宋体" w:hint="default"/>
                <w:sz w:val="24"/>
                <w:szCs w:val="24"/>
              </w:rPr>
            </w:pPr>
            <w:r>
              <w:rPr>
                <w:rFonts w:ascii="宋体" w:hAnsi="宋体" w:cs="宋体" w:eastAsia="宋体" w:hint="default"/>
                <w:sz w:val="24"/>
                <w:szCs w:val="24"/>
              </w:rPr>
              <w:t>合计</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2"/>
              <w:jc w:val="right"/>
              <w:rPr>
                <w:rFonts w:ascii="Times New Roman" w:hAnsi="Times New Roman" w:cs="Times New Roman" w:eastAsia="Times New Roman" w:hint="default"/>
                <w:sz w:val="24"/>
                <w:szCs w:val="24"/>
              </w:rPr>
            </w:pPr>
            <w:r>
              <w:rPr>
                <w:rFonts w:ascii="Times New Roman"/>
                <w:sz w:val="24"/>
              </w:rPr>
              <w:t>1,269,105,757</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120" w:bottom="1380" w:left="1140" w:right="1640"/>
        </w:sectPr>
      </w:pPr>
    </w:p>
    <w:p>
      <w:pPr>
        <w:spacing w:before="37"/>
        <w:ind w:left="136" w:right="0"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3"/>
          <w:sz w:val="20"/>
          <w:szCs w:val="20"/>
        </w:rPr>
        <w:t> </w:t>
      </w:r>
      <w:r>
        <w:rPr>
          <w:rFonts w:ascii="宋体" w:hAnsi="宋体" w:cs="宋体" w:eastAsia="宋体" w:hint="default"/>
          <w:b/>
          <w:bCs/>
          <w:sz w:val="20"/>
          <w:szCs w:val="20"/>
        </w:rPr>
        <w:t>按款项性质分类情况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6"/>
          <w:szCs w:val="26"/>
        </w:rPr>
      </w:pPr>
    </w:p>
    <w:p>
      <w:pPr>
        <w:pStyle w:val="BodyText"/>
        <w:tabs>
          <w:tab w:pos="1336" w:val="left" w:leader="none"/>
        </w:tabs>
        <w:spacing w:line="240" w:lineRule="auto"/>
        <w:ind w:right="0"/>
        <w:jc w:val="left"/>
      </w:pPr>
      <w:r>
        <w:rPr/>
        <w:t>单位：元</w:t>
        <w:tab/>
        <w:t>币种：人民币</w:t>
      </w:r>
    </w:p>
    <w:p>
      <w:pPr>
        <w:spacing w:after="0" w:line="240" w:lineRule="auto"/>
        <w:jc w:val="left"/>
        <w:sectPr>
          <w:type w:val="continuous"/>
          <w:pgSz w:w="11910" w:h="16840"/>
          <w:pgMar w:top="1120" w:bottom="1380" w:left="1140" w:right="1640"/>
          <w:cols w:num="2" w:equalWidth="0">
            <w:col w:w="2549" w:space="3645"/>
            <w:col w:w="2936"/>
          </w:cols>
        </w:sectPr>
      </w:pPr>
    </w:p>
    <w:p>
      <w:pPr>
        <w:spacing w:line="240" w:lineRule="auto" w:before="10"/>
        <w:rPr>
          <w:rFonts w:ascii="宋体" w:hAnsi="宋体" w:cs="宋体" w:eastAsia="宋体" w:hint="default"/>
          <w:sz w:val="2"/>
          <w:szCs w:val="2"/>
        </w:rPr>
      </w:pPr>
    </w:p>
    <w:tbl>
      <w:tblPr>
        <w:tblW w:w="0" w:type="auto"/>
        <w:jc w:val="left"/>
        <w:tblInd w:w="127" w:type="dxa"/>
        <w:tblLayout w:type="fixed"/>
        <w:tblCellMar>
          <w:top w:w="0" w:type="dxa"/>
          <w:left w:w="0" w:type="dxa"/>
          <w:bottom w:w="0" w:type="dxa"/>
          <w:right w:w="0" w:type="dxa"/>
        </w:tblCellMar>
        <w:tblLook w:val="01E0"/>
      </w:tblPr>
      <w:tblGrid>
        <w:gridCol w:w="3008"/>
        <w:gridCol w:w="2914"/>
        <w:gridCol w:w="2924"/>
      </w:tblGrid>
      <w:tr>
        <w:trPr>
          <w:trHeight w:val="322"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款项性质</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31" w:right="0"/>
              <w:jc w:val="left"/>
              <w:rPr>
                <w:rFonts w:ascii="宋体" w:hAnsi="宋体" w:cs="宋体" w:eastAsia="宋体" w:hint="default"/>
                <w:sz w:val="24"/>
                <w:szCs w:val="24"/>
              </w:rPr>
            </w:pPr>
            <w:r>
              <w:rPr>
                <w:rFonts w:ascii="宋体" w:hAnsi="宋体" w:cs="宋体" w:eastAsia="宋体" w:hint="default"/>
                <w:sz w:val="24"/>
                <w:szCs w:val="24"/>
              </w:rPr>
              <w:t>期末账面余额</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734" w:right="0"/>
              <w:jc w:val="left"/>
              <w:rPr>
                <w:rFonts w:ascii="宋体" w:hAnsi="宋体" w:cs="宋体" w:eastAsia="宋体" w:hint="default"/>
                <w:sz w:val="24"/>
                <w:szCs w:val="24"/>
              </w:rPr>
            </w:pPr>
            <w:r>
              <w:rPr>
                <w:rFonts w:ascii="宋体" w:hAnsi="宋体" w:cs="宋体" w:eastAsia="宋体" w:hint="default"/>
                <w:sz w:val="24"/>
                <w:szCs w:val="24"/>
              </w:rPr>
              <w:t>期初账面余额</w:t>
            </w:r>
          </w:p>
        </w:tc>
      </w:tr>
    </w:tbl>
    <w:p>
      <w:pPr>
        <w:spacing w:after="0" w:line="276" w:lineRule="exact"/>
        <w:jc w:val="left"/>
        <w:rPr>
          <w:rFonts w:ascii="宋体" w:hAnsi="宋体" w:cs="宋体" w:eastAsia="宋体" w:hint="default"/>
          <w:sz w:val="24"/>
          <w:szCs w:val="24"/>
        </w:rPr>
        <w:sectPr>
          <w:type w:val="continuous"/>
          <w:pgSz w:w="11910" w:h="16840"/>
          <w:pgMar w:top="1120" w:bottom="1380" w:left="1140" w:right="1640"/>
        </w:sectPr>
      </w:pPr>
    </w:p>
    <w:p>
      <w:pPr>
        <w:spacing w:line="240" w:lineRule="auto" w:before="5"/>
        <w:rPr>
          <w:rFonts w:ascii="宋体" w:hAnsi="宋体" w:cs="宋体" w:eastAsia="宋体" w:hint="default"/>
          <w:sz w:val="27"/>
          <w:szCs w:val="27"/>
        </w:rPr>
      </w:pPr>
    </w:p>
    <w:tbl>
      <w:tblPr>
        <w:tblW w:w="0" w:type="auto"/>
        <w:jc w:val="left"/>
        <w:tblInd w:w="227" w:type="dxa"/>
        <w:tblLayout w:type="fixed"/>
        <w:tblCellMar>
          <w:top w:w="0" w:type="dxa"/>
          <w:left w:w="0" w:type="dxa"/>
          <w:bottom w:w="0" w:type="dxa"/>
          <w:right w:w="0" w:type="dxa"/>
        </w:tblCellMar>
        <w:tblLook w:val="01E0"/>
      </w:tblPr>
      <w:tblGrid>
        <w:gridCol w:w="3008"/>
        <w:gridCol w:w="2914"/>
        <w:gridCol w:w="2924"/>
      </w:tblGrid>
      <w:tr>
        <w:trPr>
          <w:trHeight w:val="322"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left"/>
              <w:rPr>
                <w:rFonts w:ascii="宋体" w:hAnsi="宋体" w:cs="宋体" w:eastAsia="宋体" w:hint="default"/>
                <w:sz w:val="24"/>
                <w:szCs w:val="24"/>
              </w:rPr>
            </w:pPr>
            <w:r>
              <w:rPr>
                <w:rFonts w:ascii="宋体" w:hAnsi="宋体" w:cs="宋体" w:eastAsia="宋体" w:hint="default"/>
                <w:sz w:val="24"/>
                <w:szCs w:val="24"/>
              </w:rPr>
              <w:t>关联方借款</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right"/>
              <w:rPr>
                <w:rFonts w:ascii="Times New Roman" w:hAnsi="Times New Roman" w:cs="Times New Roman" w:eastAsia="Times New Roman" w:hint="default"/>
                <w:sz w:val="24"/>
                <w:szCs w:val="24"/>
              </w:rPr>
            </w:pPr>
            <w:r>
              <w:rPr>
                <w:rFonts w:ascii="Times New Roman"/>
                <w:sz w:val="24"/>
              </w:rPr>
              <w:t>1,136,912,814</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
              <w:jc w:val="right"/>
              <w:rPr>
                <w:rFonts w:ascii="Times New Roman" w:hAnsi="Times New Roman" w:cs="Times New Roman" w:eastAsia="Times New Roman" w:hint="default"/>
                <w:sz w:val="24"/>
                <w:szCs w:val="24"/>
              </w:rPr>
            </w:pPr>
            <w:r>
              <w:rPr>
                <w:rFonts w:ascii="Times New Roman"/>
                <w:sz w:val="24"/>
              </w:rPr>
              <w:t>870,139,131</w:t>
            </w:r>
          </w:p>
        </w:tc>
      </w:tr>
      <w:tr>
        <w:trPr>
          <w:trHeight w:val="322"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left"/>
              <w:rPr>
                <w:rFonts w:ascii="宋体" w:hAnsi="宋体" w:cs="宋体" w:eastAsia="宋体" w:hint="default"/>
                <w:sz w:val="24"/>
                <w:szCs w:val="24"/>
              </w:rPr>
            </w:pPr>
            <w:r>
              <w:rPr>
                <w:rFonts w:ascii="宋体" w:hAnsi="宋体" w:cs="宋体" w:eastAsia="宋体" w:hint="default"/>
                <w:sz w:val="24"/>
                <w:szCs w:val="24"/>
              </w:rPr>
              <w:t>押金及保证金</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right"/>
              <w:rPr>
                <w:rFonts w:ascii="Times New Roman" w:hAnsi="Times New Roman" w:cs="Times New Roman" w:eastAsia="Times New Roman" w:hint="default"/>
                <w:sz w:val="24"/>
                <w:szCs w:val="24"/>
              </w:rPr>
            </w:pPr>
            <w:r>
              <w:rPr>
                <w:rFonts w:ascii="Times New Roman"/>
                <w:sz w:val="24"/>
              </w:rPr>
              <w:t>82,240,196</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
              <w:jc w:val="right"/>
              <w:rPr>
                <w:rFonts w:ascii="Times New Roman" w:hAnsi="Times New Roman" w:cs="Times New Roman" w:eastAsia="Times New Roman" w:hint="default"/>
                <w:sz w:val="24"/>
                <w:szCs w:val="24"/>
              </w:rPr>
            </w:pPr>
            <w:r>
              <w:rPr>
                <w:rFonts w:ascii="Times New Roman"/>
                <w:sz w:val="24"/>
              </w:rPr>
              <w:t>69,699,048</w:t>
            </w:r>
          </w:p>
        </w:tc>
      </w:tr>
      <w:tr>
        <w:trPr>
          <w:trHeight w:val="322"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left"/>
              <w:rPr>
                <w:rFonts w:ascii="宋体" w:hAnsi="宋体" w:cs="宋体" w:eastAsia="宋体" w:hint="default"/>
                <w:sz w:val="24"/>
                <w:szCs w:val="24"/>
              </w:rPr>
            </w:pPr>
            <w:r>
              <w:rPr>
                <w:rFonts w:ascii="宋体" w:hAnsi="宋体" w:cs="宋体" w:eastAsia="宋体" w:hint="default"/>
                <w:sz w:val="24"/>
                <w:szCs w:val="24"/>
              </w:rPr>
              <w:t>员工备用金</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right"/>
              <w:rPr>
                <w:rFonts w:ascii="Times New Roman" w:hAnsi="Times New Roman" w:cs="Times New Roman" w:eastAsia="Times New Roman" w:hint="default"/>
                <w:sz w:val="24"/>
                <w:szCs w:val="24"/>
              </w:rPr>
            </w:pPr>
            <w:r>
              <w:rPr>
                <w:rFonts w:ascii="Times New Roman"/>
                <w:sz w:val="24"/>
              </w:rPr>
              <w:t>6,752,647</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right"/>
              <w:rPr>
                <w:rFonts w:ascii="Times New Roman" w:hAnsi="Times New Roman" w:cs="Times New Roman" w:eastAsia="Times New Roman" w:hint="default"/>
                <w:sz w:val="24"/>
                <w:szCs w:val="24"/>
              </w:rPr>
            </w:pPr>
            <w:r>
              <w:rPr>
                <w:rFonts w:ascii="Times New Roman"/>
                <w:sz w:val="24"/>
              </w:rPr>
              <w:t>4378670</w:t>
            </w:r>
          </w:p>
        </w:tc>
      </w:tr>
      <w:tr>
        <w:trPr>
          <w:trHeight w:val="319"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left"/>
              <w:rPr>
                <w:rFonts w:ascii="宋体" w:hAnsi="宋体" w:cs="宋体" w:eastAsia="宋体" w:hint="default"/>
                <w:sz w:val="24"/>
                <w:szCs w:val="24"/>
              </w:rPr>
            </w:pPr>
            <w:r>
              <w:rPr>
                <w:rFonts w:ascii="宋体" w:hAnsi="宋体" w:cs="宋体" w:eastAsia="宋体" w:hint="default"/>
                <w:sz w:val="24"/>
                <w:szCs w:val="24"/>
              </w:rPr>
              <w:t>增值税退税</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right"/>
              <w:rPr>
                <w:rFonts w:ascii="Times New Roman" w:hAnsi="Times New Roman" w:cs="Times New Roman" w:eastAsia="Times New Roman" w:hint="default"/>
                <w:sz w:val="24"/>
                <w:szCs w:val="24"/>
              </w:rPr>
            </w:pPr>
            <w:r>
              <w:rPr>
                <w:rFonts w:ascii="Times New Roman"/>
                <w:sz w:val="24"/>
              </w:rPr>
              <w:t>13,454,750</w:t>
            </w:r>
          </w:p>
        </w:tc>
        <w:tc>
          <w:tcPr>
            <w:tcW w:w="29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right"/>
              <w:rPr>
                <w:rFonts w:ascii="Times New Roman" w:hAnsi="Times New Roman" w:cs="Times New Roman" w:eastAsia="Times New Roman" w:hint="default"/>
                <w:sz w:val="24"/>
                <w:szCs w:val="24"/>
              </w:rPr>
            </w:pPr>
            <w:r>
              <w:rPr>
                <w:rFonts w:ascii="Times New Roman"/>
                <w:sz w:val="24"/>
              </w:rPr>
              <w:t>29,745,350</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
              <w:jc w:val="right"/>
              <w:rPr>
                <w:rFonts w:ascii="Times New Roman" w:hAnsi="Times New Roman" w:cs="Times New Roman" w:eastAsia="Times New Roman" w:hint="default"/>
                <w:sz w:val="24"/>
                <w:szCs w:val="24"/>
              </w:rPr>
            </w:pPr>
            <w:r>
              <w:rPr>
                <w:rFonts w:ascii="Times New Roman"/>
                <w:sz w:val="24"/>
              </w:rPr>
              <w:t>23,714,406</w:t>
            </w:r>
          </w:p>
        </w:tc>
      </w:tr>
      <w:tr>
        <w:trPr>
          <w:trHeight w:val="322"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right"/>
              <w:rPr>
                <w:rFonts w:ascii="Times New Roman" w:hAnsi="Times New Roman" w:cs="Times New Roman" w:eastAsia="Times New Roman" w:hint="default"/>
                <w:sz w:val="24"/>
                <w:szCs w:val="24"/>
              </w:rPr>
            </w:pPr>
            <w:r>
              <w:rPr>
                <w:rFonts w:ascii="Times New Roman"/>
                <w:sz w:val="24"/>
              </w:rPr>
              <w:t>1,269,105,757</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
              <w:jc w:val="right"/>
              <w:rPr>
                <w:rFonts w:ascii="Times New Roman" w:hAnsi="Times New Roman" w:cs="Times New Roman" w:eastAsia="Times New Roman" w:hint="default"/>
                <w:sz w:val="24"/>
                <w:szCs w:val="24"/>
              </w:rPr>
            </w:pPr>
            <w:r>
              <w:rPr>
                <w:rFonts w:ascii="Times New Roman"/>
                <w:sz w:val="24"/>
              </w:rPr>
              <w:t>967,931,255</w:t>
            </w:r>
          </w:p>
        </w:tc>
      </w:tr>
    </w:tbl>
    <w:p>
      <w:pPr>
        <w:spacing w:line="240" w:lineRule="auto" w:before="5"/>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45" w:footer="1195" w:top="1080" w:bottom="1380" w:left="1040" w:right="1560"/>
        </w:sectPr>
      </w:pPr>
    </w:p>
    <w:p>
      <w:pPr>
        <w:spacing w:before="37"/>
        <w:ind w:left="236" w:right="0"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pacing w:val="-4"/>
          <w:sz w:val="20"/>
          <w:szCs w:val="20"/>
        </w:rPr>
        <w:t> </w:t>
      </w:r>
      <w:r>
        <w:rPr>
          <w:rFonts w:ascii="宋体" w:hAnsi="宋体" w:cs="宋体" w:eastAsia="宋体" w:hint="default"/>
          <w:b/>
          <w:bCs/>
          <w:sz w:val="20"/>
          <w:szCs w:val="20"/>
        </w:rPr>
        <w:t>坏账准备计提情况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6"/>
          <w:szCs w:val="26"/>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447" w:space="3626"/>
            <w:col w:w="3237"/>
          </w:cols>
        </w:sectPr>
      </w:pPr>
    </w:p>
    <w:p>
      <w:pPr>
        <w:spacing w:line="240" w:lineRule="auto" w:before="12"/>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1812"/>
        <w:gridCol w:w="1561"/>
        <w:gridCol w:w="1985"/>
        <w:gridCol w:w="1985"/>
        <w:gridCol w:w="1707"/>
      </w:tblGrid>
      <w:tr>
        <w:trPr>
          <w:trHeight w:val="442" w:hRule="exact"/>
        </w:trPr>
        <w:tc>
          <w:tcPr>
            <w:tcW w:w="181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480"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5" w:right="0"/>
              <w:jc w:val="left"/>
              <w:rPr>
                <w:rFonts w:ascii="宋体" w:hAnsi="宋体" w:cs="宋体" w:eastAsia="宋体" w:hint="default"/>
                <w:sz w:val="21"/>
                <w:szCs w:val="21"/>
              </w:rPr>
            </w:pPr>
            <w:r>
              <w:rPr>
                <w:rFonts w:ascii="宋体" w:hAnsi="宋体" w:cs="宋体" w:eastAsia="宋体" w:hint="default"/>
                <w:sz w:val="21"/>
                <w:szCs w:val="21"/>
              </w:rPr>
              <w:t>第一阶段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第二阶段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第三阶段</w:t>
            </w:r>
            <w:r>
              <w:rPr>
                <w:rFonts w:ascii="宋体" w:hAnsi="宋体" w:cs="宋体" w:eastAsia="宋体" w:hint="default"/>
                <w:sz w:val="21"/>
                <w:szCs w:val="21"/>
              </w:rPr>
              <w:t> </w:t>
            </w:r>
          </w:p>
        </w:tc>
        <w:tc>
          <w:tcPr>
            <w:tcW w:w="170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638"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r>
      <w:tr>
        <w:trPr>
          <w:trHeight w:val="987" w:hRule="exact"/>
        </w:trPr>
        <w:tc>
          <w:tcPr>
            <w:tcW w:w="1812"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1"/>
              <w:ind w:left="249" w:right="143" w:hanging="106"/>
              <w:jc w:val="left"/>
              <w:rPr>
                <w:rFonts w:ascii="宋体" w:hAnsi="宋体" w:cs="宋体" w:eastAsia="宋体" w:hint="default"/>
                <w:sz w:val="21"/>
                <w:szCs w:val="21"/>
              </w:rPr>
            </w:pPr>
            <w:r>
              <w:rPr>
                <w:rFonts w:ascii="宋体" w:hAnsi="宋体" w:cs="宋体" w:eastAsia="宋体" w:hint="default"/>
                <w:sz w:val="21"/>
                <w:szCs w:val="21"/>
              </w:rPr>
              <w:t>未来</w:t>
            </w:r>
            <w:r>
              <w:rPr>
                <w:rFonts w:ascii="宋体" w:hAnsi="宋体" w:cs="宋体" w:eastAsia="宋体" w:hint="default"/>
                <w:sz w:val="21"/>
                <w:szCs w:val="21"/>
              </w:rPr>
              <w:t>12</w:t>
            </w:r>
            <w:r>
              <w:rPr>
                <w:rFonts w:ascii="宋体" w:hAnsi="宋体" w:cs="宋体" w:eastAsia="宋体" w:hint="default"/>
                <w:sz w:val="21"/>
                <w:szCs w:val="21"/>
              </w:rPr>
              <w:t>个月预</w:t>
            </w:r>
            <w:r>
              <w:rPr>
                <w:rFonts w:ascii="宋体" w:hAnsi="宋体" w:cs="宋体" w:eastAsia="宋体" w:hint="default"/>
                <w:w w:val="100"/>
                <w:sz w:val="21"/>
                <w:szCs w:val="21"/>
              </w:rPr>
              <w:t> </w:t>
            </w:r>
            <w:r>
              <w:rPr>
                <w:rFonts w:ascii="宋体" w:hAnsi="宋体" w:cs="宋体" w:eastAsia="宋体" w:hint="default"/>
                <w:sz w:val="21"/>
                <w:szCs w:val="21"/>
              </w:rPr>
              <w:t>期信用损失</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72" w:lineRule="exact" w:before="27"/>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未发生信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72" w:lineRule="exact" w:before="27"/>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已发生信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707" w:type="dxa"/>
            <w:vMerge/>
            <w:tcBorders>
              <w:left w:val="single" w:sz="4" w:space="0" w:color="000000"/>
              <w:bottom w:val="single" w:sz="4" w:space="0" w:color="000000"/>
              <w:right w:val="single" w:sz="4" w:space="0" w:color="000000"/>
            </w:tcBorders>
          </w:tcPr>
          <w:p>
            <w:pPr/>
          </w:p>
        </w:tc>
      </w:tr>
      <w:tr>
        <w:trPr>
          <w:trHeight w:val="55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2"/>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01"/>
              <w:jc w:val="right"/>
              <w:rPr>
                <w:rFonts w:ascii="Arial" w:hAnsi="Arial" w:cs="Arial" w:eastAsia="Arial" w:hint="default"/>
                <w:sz w:val="20"/>
                <w:szCs w:val="20"/>
              </w:rPr>
            </w:pPr>
            <w:r>
              <w:rPr>
                <w:rFonts w:ascii="Arial"/>
                <w:w w:val="95"/>
                <w:sz w:val="20"/>
              </w:rPr>
              <w:t>4,284,578</w:t>
            </w:r>
            <w:r>
              <w:rPr>
                <w:rFonts w:ascii="Arial"/>
                <w:sz w:val="20"/>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03"/>
              <w:jc w:val="right"/>
              <w:rPr>
                <w:rFonts w:ascii="Arial" w:hAnsi="Arial" w:cs="Arial" w:eastAsia="Arial" w:hint="default"/>
                <w:sz w:val="20"/>
                <w:szCs w:val="20"/>
              </w:rPr>
            </w:pPr>
            <w:r>
              <w:rPr>
                <w:rFonts w:ascii="Arial"/>
                <w:w w:val="95"/>
                <w:sz w:val="20"/>
              </w:rPr>
              <w:t>9,429,740</w:t>
            </w:r>
            <w:r>
              <w:rPr>
                <w:rFonts w:ascii="Arial"/>
                <w:sz w:val="20"/>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103"/>
              <w:jc w:val="right"/>
              <w:rPr>
                <w:rFonts w:ascii="Arial" w:hAnsi="Arial" w:cs="Arial" w:eastAsia="Arial" w:hint="default"/>
                <w:sz w:val="20"/>
                <w:szCs w:val="20"/>
              </w:rPr>
            </w:pPr>
            <w:r>
              <w:rPr>
                <w:rFonts w:ascii="Arial"/>
                <w:w w:val="95"/>
                <w:sz w:val="20"/>
              </w:rPr>
              <w:t>34,178,375</w:t>
            </w:r>
            <w:r>
              <w:rPr>
                <w:rFonts w:ascii="Arial"/>
                <w:sz w:val="20"/>
              </w:rPr>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01"/>
              <w:jc w:val="right"/>
              <w:rPr>
                <w:rFonts w:ascii="Times New Roman" w:hAnsi="Times New Roman" w:cs="Times New Roman" w:eastAsia="Times New Roman" w:hint="default"/>
                <w:sz w:val="20"/>
                <w:szCs w:val="20"/>
              </w:rPr>
            </w:pPr>
            <w:r>
              <w:rPr>
                <w:rFonts w:ascii="Times New Roman"/>
                <w:w w:val="95"/>
                <w:sz w:val="20"/>
              </w:rPr>
              <w:t>47,892,693</w:t>
            </w:r>
            <w:r>
              <w:rPr>
                <w:rFonts w:ascii="Times New Roman"/>
                <w:sz w:val="20"/>
              </w:rPr>
            </w:r>
          </w:p>
        </w:tc>
      </w:tr>
      <w:tr>
        <w:trPr>
          <w:trHeight w:val="557"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2"/>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额在本期</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转入第三阶段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转回第一阶段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本期计提</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42"/>
              <w:jc w:val="right"/>
              <w:rPr>
                <w:rFonts w:ascii="Times New Roman" w:hAnsi="Times New Roman" w:cs="Times New Roman" w:eastAsia="Times New Roman" w:hint="default"/>
                <w:sz w:val="20"/>
                <w:szCs w:val="20"/>
              </w:rPr>
            </w:pPr>
            <w:r>
              <w:rPr>
                <w:rFonts w:ascii="Times New Roman"/>
                <w:w w:val="95"/>
                <w:sz w:val="20"/>
              </w:rPr>
              <w:t>2,962,272</w:t>
            </w:r>
            <w:r>
              <w:rPr>
                <w:rFonts w:ascii="Times New Roman"/>
                <w:sz w:val="20"/>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42"/>
              <w:jc w:val="right"/>
              <w:rPr>
                <w:rFonts w:ascii="Times New Roman" w:hAnsi="Times New Roman" w:cs="Times New Roman" w:eastAsia="Times New Roman" w:hint="default"/>
                <w:sz w:val="20"/>
                <w:szCs w:val="20"/>
              </w:rPr>
            </w:pPr>
            <w:r>
              <w:rPr>
                <w:rFonts w:ascii="Times New Roman"/>
                <w:w w:val="95"/>
                <w:sz w:val="20"/>
              </w:rPr>
              <w:t>5,100,861</w:t>
            </w:r>
            <w:r>
              <w:rPr>
                <w:rFonts w:ascii="Times New Roman"/>
                <w:sz w:val="20"/>
              </w:rPr>
            </w: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left="595" w:right="0"/>
              <w:jc w:val="left"/>
              <w:rPr>
                <w:rFonts w:ascii="Times New Roman" w:hAnsi="Times New Roman" w:cs="Times New Roman" w:eastAsia="Times New Roman" w:hint="default"/>
                <w:sz w:val="20"/>
                <w:szCs w:val="20"/>
              </w:rPr>
            </w:pPr>
            <w:r>
              <w:rPr>
                <w:rFonts w:ascii="Times New Roman"/>
                <w:sz w:val="20"/>
              </w:rPr>
              <w:t>8,063,133</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本期转回</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right="101"/>
              <w:jc w:val="right"/>
              <w:rPr>
                <w:rFonts w:ascii="Times New Roman" w:hAnsi="Times New Roman" w:cs="Times New Roman" w:eastAsia="Times New Roman" w:hint="default"/>
                <w:sz w:val="20"/>
                <w:szCs w:val="20"/>
              </w:rPr>
            </w:pPr>
            <w:r>
              <w:rPr>
                <w:rFonts w:ascii="Times New Roman"/>
                <w:w w:val="95"/>
                <w:sz w:val="20"/>
              </w:rPr>
              <w:t>4,033,811</w:t>
            </w:r>
            <w:r>
              <w:rPr>
                <w:rFonts w:ascii="Times New Roman"/>
                <w:sz w:val="20"/>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right="101"/>
              <w:jc w:val="right"/>
              <w:rPr>
                <w:rFonts w:ascii="Times New Roman" w:hAnsi="Times New Roman" w:cs="Times New Roman" w:eastAsia="Times New Roman" w:hint="default"/>
                <w:sz w:val="20"/>
                <w:szCs w:val="20"/>
              </w:rPr>
            </w:pPr>
            <w:r>
              <w:rPr>
                <w:rFonts w:ascii="Times New Roman"/>
                <w:w w:val="95"/>
                <w:sz w:val="20"/>
              </w:rPr>
              <w:t>34,178,375</w:t>
            </w:r>
            <w:r>
              <w:rPr>
                <w:rFonts w:ascii="Times New Roman"/>
                <w:sz w:val="20"/>
              </w:rPr>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right="103"/>
              <w:jc w:val="right"/>
              <w:rPr>
                <w:rFonts w:ascii="Arial" w:hAnsi="Arial" w:cs="Arial" w:eastAsia="Arial" w:hint="default"/>
                <w:sz w:val="20"/>
                <w:szCs w:val="20"/>
              </w:rPr>
            </w:pPr>
            <w:r>
              <w:rPr>
                <w:rFonts w:ascii="Arial"/>
                <w:w w:val="95"/>
                <w:sz w:val="20"/>
              </w:rPr>
              <w:t>38,212,186</w:t>
            </w:r>
            <w:r>
              <w:rPr>
                <w:rFonts w:ascii="Arial"/>
                <w:sz w:val="20"/>
              </w:rPr>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本期核销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其他变动</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w:t>
            </w:r>
            <w:r>
              <w:rPr>
                <w:rFonts w:ascii="宋体" w:hAnsi="宋体" w:cs="宋体" w:eastAsia="宋体" w:hint="default"/>
                <w:sz w:val="21"/>
                <w:szCs w:val="21"/>
              </w:rPr>
              <w:t>12</w:t>
            </w:r>
            <w:r>
              <w:rPr>
                <w:rFonts w:ascii="宋体" w:hAnsi="宋体" w:cs="宋体" w:eastAsia="宋体" w:hint="default"/>
                <w:sz w:val="21"/>
                <w:szCs w:val="21"/>
              </w:rPr>
              <w:t>月</w:t>
            </w:r>
            <w:r>
              <w:rPr>
                <w:rFonts w:ascii="宋体" w:hAnsi="宋体" w:cs="宋体" w:eastAsia="宋体" w:hint="default"/>
                <w:sz w:val="21"/>
                <w:szCs w:val="21"/>
              </w:rPr>
              <w:t>31</w:t>
            </w:r>
            <w:r>
              <w:rPr>
                <w:rFonts w:ascii="宋体" w:hAnsi="宋体" w:cs="宋体" w:eastAsia="宋体" w:hint="default"/>
                <w:sz w:val="21"/>
                <w:szCs w:val="21"/>
              </w:rPr>
              <w:t>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余额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42"/>
              <w:jc w:val="right"/>
              <w:rPr>
                <w:rFonts w:ascii="Times New Roman" w:hAnsi="Times New Roman" w:cs="Times New Roman" w:eastAsia="Times New Roman" w:hint="default"/>
                <w:sz w:val="20"/>
                <w:szCs w:val="20"/>
              </w:rPr>
            </w:pPr>
            <w:r>
              <w:rPr>
                <w:rFonts w:ascii="Times New Roman"/>
                <w:w w:val="95"/>
                <w:sz w:val="20"/>
              </w:rPr>
              <w:t>7,246,850</w:t>
            </w:r>
            <w:r>
              <w:rPr>
                <w:rFonts w:ascii="Times New Roman"/>
                <w:sz w:val="20"/>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01"/>
              <w:jc w:val="right"/>
              <w:rPr>
                <w:rFonts w:ascii="Times New Roman" w:hAnsi="Times New Roman" w:cs="Times New Roman" w:eastAsia="Times New Roman" w:hint="default"/>
                <w:sz w:val="20"/>
                <w:szCs w:val="20"/>
              </w:rPr>
            </w:pPr>
            <w:r>
              <w:rPr>
                <w:rFonts w:ascii="Times New Roman"/>
                <w:w w:val="95"/>
                <w:sz w:val="20"/>
              </w:rPr>
              <w:t>16,802,649</w:t>
            </w:r>
            <w:r>
              <w:rPr>
                <w:rFonts w:ascii="Times New Roman"/>
                <w:sz w:val="20"/>
              </w:rPr>
            </w:r>
          </w:p>
        </w:tc>
        <w:tc>
          <w:tcPr>
            <w:tcW w:w="1985"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23" w:lineRule="exact"/>
              <w:ind w:right="101"/>
              <w:jc w:val="right"/>
              <w:rPr>
                <w:rFonts w:ascii="Times New Roman" w:hAnsi="Times New Roman" w:cs="Times New Roman" w:eastAsia="Times New Roman" w:hint="default"/>
                <w:sz w:val="20"/>
                <w:szCs w:val="20"/>
              </w:rPr>
            </w:pPr>
            <w:r>
              <w:rPr>
                <w:rFonts w:ascii="Times New Roman"/>
                <w:w w:val="95"/>
                <w:sz w:val="20"/>
              </w:rPr>
              <w:t>17,743,640</w:t>
            </w:r>
            <w:r>
              <w:rPr>
                <w:rFonts w:ascii="Times New Roman"/>
                <w:sz w:val="20"/>
              </w:rPr>
            </w:r>
          </w:p>
        </w:tc>
      </w:tr>
    </w:tbl>
    <w:p>
      <w:pPr>
        <w:spacing w:line="240" w:lineRule="auto" w:before="9"/>
        <w:rPr>
          <w:rFonts w:ascii="宋体" w:hAnsi="宋体" w:cs="宋体" w:eastAsia="宋体" w:hint="default"/>
          <w:sz w:val="15"/>
          <w:szCs w:val="15"/>
        </w:rPr>
      </w:pPr>
    </w:p>
    <w:p>
      <w:pPr>
        <w:spacing w:line="270" w:lineRule="exact" w:before="36"/>
        <w:ind w:left="236" w:right="0" w:firstLine="0"/>
        <w:jc w:val="left"/>
        <w:rPr>
          <w:rFonts w:ascii="宋体" w:hAnsi="宋体" w:cs="宋体" w:eastAsia="宋体" w:hint="default"/>
          <w:sz w:val="21"/>
          <w:szCs w:val="21"/>
        </w:rPr>
      </w:pPr>
      <w:r>
        <w:rPr>
          <w:rFonts w:ascii="宋体" w:hAnsi="宋体" w:cs="宋体" w:eastAsia="宋体" w:hint="default"/>
          <w:sz w:val="21"/>
          <w:szCs w:val="21"/>
        </w:rPr>
        <w:t>对本期发生损失准备变动的其他应收款账面余额显著变动的情况说明：</w:t>
      </w:r>
    </w:p>
    <w:p>
      <w:pPr>
        <w:pStyle w:val="BodyText"/>
        <w:spacing w:line="309" w:lineRule="exact"/>
        <w:ind w:left="236" w:right="4250"/>
        <w:jc w:val="left"/>
      </w:pPr>
      <w:r>
        <w:rPr/>
        <w:t>□适用 √不适用</w:t>
      </w:r>
    </w:p>
    <w:p>
      <w:pPr>
        <w:spacing w:line="240" w:lineRule="auto" w:before="12"/>
        <w:rPr>
          <w:rFonts w:ascii="宋体" w:hAnsi="宋体" w:cs="宋体" w:eastAsia="宋体" w:hint="default"/>
          <w:sz w:val="20"/>
          <w:szCs w:val="20"/>
        </w:rPr>
      </w:pPr>
    </w:p>
    <w:p>
      <w:pPr>
        <w:pStyle w:val="BodyText"/>
        <w:spacing w:line="312" w:lineRule="exact"/>
        <w:ind w:left="236" w:right="0"/>
        <w:jc w:val="left"/>
      </w:pPr>
      <w:r>
        <w:rPr/>
        <w:t>本期坏账准备计提金额以及评估金融工具的信用风险是否显著增加的采用依据：</w:t>
      </w:r>
    </w:p>
    <w:p>
      <w:pPr>
        <w:pStyle w:val="BodyText"/>
        <w:spacing w:line="312" w:lineRule="exact"/>
        <w:ind w:left="236" w:right="4250"/>
        <w:jc w:val="left"/>
      </w:pPr>
      <w:r>
        <w:rPr/>
        <w:t>□适用 √不适用</w:t>
      </w:r>
    </w:p>
    <w:p>
      <w:pPr>
        <w:spacing w:line="240" w:lineRule="auto" w:before="4"/>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40" w:right="1560"/>
        </w:sectPr>
      </w:pPr>
    </w:p>
    <w:p>
      <w:pPr>
        <w:spacing w:before="37"/>
        <w:ind w:left="236" w:right="0"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pacing w:val="-3"/>
          <w:sz w:val="20"/>
          <w:szCs w:val="20"/>
        </w:rPr>
        <w:t> </w:t>
      </w:r>
      <w:r>
        <w:rPr>
          <w:rFonts w:ascii="宋体" w:hAnsi="宋体" w:cs="宋体" w:eastAsia="宋体" w:hint="default"/>
          <w:b/>
          <w:bCs/>
          <w:sz w:val="20"/>
          <w:szCs w:val="20"/>
        </w:rPr>
        <w:t>坏账准备的情况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36" w:right="0"/>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tabs>
          <w:tab w:pos="1235" w:val="left" w:leader="none"/>
        </w:tabs>
        <w:spacing w:before="145"/>
        <w:ind w:left="236" w:right="0" w:firstLine="0"/>
        <w:jc w:val="left"/>
        <w:rPr>
          <w:rFonts w:ascii="宋体" w:hAnsi="宋体" w:cs="宋体" w:eastAsia="宋体" w:hint="default"/>
          <w:sz w:val="20"/>
          <w:szCs w:val="20"/>
        </w:rPr>
      </w:pPr>
      <w:r>
        <w:rPr>
          <w:rFonts w:ascii="宋体" w:hAnsi="宋体" w:cs="宋体" w:eastAsia="宋体" w:hint="default"/>
          <w:w w:val="95"/>
          <w:sz w:val="20"/>
          <w:szCs w:val="20"/>
        </w:rPr>
        <w:t>单位：元</w:t>
        <w:tab/>
      </w:r>
      <w:r>
        <w:rPr>
          <w:rFonts w:ascii="宋体" w:hAnsi="宋体" w:cs="宋体" w:eastAsia="宋体" w:hint="default"/>
          <w:sz w:val="20"/>
          <w:szCs w:val="20"/>
        </w:rPr>
        <w:t>币种：人民币</w:t>
      </w:r>
    </w:p>
    <w:p>
      <w:pPr>
        <w:spacing w:after="0"/>
        <w:jc w:val="left"/>
        <w:rPr>
          <w:rFonts w:ascii="宋体" w:hAnsi="宋体" w:cs="宋体" w:eastAsia="宋体" w:hint="default"/>
          <w:sz w:val="20"/>
          <w:szCs w:val="20"/>
        </w:rPr>
        <w:sectPr>
          <w:type w:val="continuous"/>
          <w:pgSz w:w="11910" w:h="16840"/>
          <w:pgMar w:top="1120" w:bottom="1380" w:left="1040" w:right="1560"/>
          <w:cols w:num="2" w:equalWidth="0">
            <w:col w:w="2248" w:space="4385"/>
            <w:col w:w="2677"/>
          </w:cols>
        </w:sectPr>
      </w:pPr>
    </w:p>
    <w:p>
      <w:pPr>
        <w:spacing w:line="240" w:lineRule="auto" w:before="3"/>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364"/>
        <w:gridCol w:w="1342"/>
        <w:gridCol w:w="1241"/>
        <w:gridCol w:w="1342"/>
        <w:gridCol w:w="1220"/>
        <w:gridCol w:w="1212"/>
        <w:gridCol w:w="1342"/>
      </w:tblGrid>
      <w:tr>
        <w:trPr>
          <w:trHeight w:val="322" w:hRule="exact"/>
        </w:trPr>
        <w:tc>
          <w:tcPr>
            <w:tcW w:w="1364"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437" w:right="0"/>
              <w:jc w:val="left"/>
              <w:rPr>
                <w:rFonts w:ascii="宋体" w:hAnsi="宋体" w:cs="宋体" w:eastAsia="宋体" w:hint="default"/>
                <w:sz w:val="24"/>
                <w:szCs w:val="24"/>
              </w:rPr>
            </w:pPr>
            <w:r>
              <w:rPr>
                <w:rFonts w:ascii="宋体" w:hAnsi="宋体" w:cs="宋体" w:eastAsia="宋体" w:hint="default"/>
                <w:sz w:val="24"/>
                <w:szCs w:val="24"/>
              </w:rPr>
              <w:t>类别</w:t>
            </w:r>
          </w:p>
        </w:tc>
        <w:tc>
          <w:tcPr>
            <w:tcW w:w="1342"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84"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5015" w:type="dxa"/>
            <w:gridSpan w:val="4"/>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本期变动金额</w:t>
            </w:r>
          </w:p>
        </w:tc>
        <w:tc>
          <w:tcPr>
            <w:tcW w:w="1342"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82" w:right="0"/>
              <w:jc w:val="left"/>
              <w:rPr>
                <w:rFonts w:ascii="宋体" w:hAnsi="宋体" w:cs="宋体" w:eastAsia="宋体" w:hint="default"/>
                <w:sz w:val="24"/>
                <w:szCs w:val="24"/>
              </w:rPr>
            </w:pPr>
            <w:r>
              <w:rPr>
                <w:rFonts w:ascii="宋体" w:hAnsi="宋体" w:cs="宋体" w:eastAsia="宋体" w:hint="default"/>
                <w:sz w:val="24"/>
                <w:szCs w:val="24"/>
              </w:rPr>
              <w:t>期末余额</w:t>
            </w:r>
          </w:p>
        </w:tc>
      </w:tr>
      <w:tr>
        <w:trPr>
          <w:trHeight w:val="631" w:hRule="exact"/>
        </w:trPr>
        <w:tc>
          <w:tcPr>
            <w:tcW w:w="1364" w:type="dxa"/>
            <w:vMerge/>
            <w:tcBorders>
              <w:left w:val="single" w:sz="4" w:space="0" w:color="000000"/>
              <w:bottom w:val="single" w:sz="4" w:space="0" w:color="000000"/>
              <w:right w:val="single" w:sz="4" w:space="0" w:color="000000"/>
            </w:tcBorders>
          </w:tcPr>
          <w:p>
            <w:pPr/>
          </w:p>
        </w:tc>
        <w:tc>
          <w:tcPr>
            <w:tcW w:w="1342" w:type="dxa"/>
            <w:vMerge/>
            <w:tcBorders>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1"/>
              <w:jc w:val="center"/>
              <w:rPr>
                <w:rFonts w:ascii="宋体" w:hAnsi="宋体" w:cs="宋体" w:eastAsia="宋体" w:hint="default"/>
                <w:sz w:val="24"/>
                <w:szCs w:val="24"/>
              </w:rPr>
            </w:pPr>
            <w:r>
              <w:rPr>
                <w:rFonts w:ascii="宋体" w:hAnsi="宋体" w:cs="宋体" w:eastAsia="宋体" w:hint="default"/>
                <w:sz w:val="24"/>
                <w:szCs w:val="24"/>
              </w:rPr>
              <w:t>计提</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收回或转</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回</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4"/>
                <w:szCs w:val="24"/>
              </w:rPr>
            </w:pPr>
            <w:r>
              <w:rPr>
                <w:rFonts w:ascii="宋体" w:hAnsi="宋体" w:cs="宋体" w:eastAsia="宋体" w:hint="default"/>
                <w:sz w:val="24"/>
                <w:szCs w:val="24"/>
              </w:rPr>
              <w:t>转销或核</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销</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31" w:right="0"/>
              <w:jc w:val="left"/>
              <w:rPr>
                <w:rFonts w:ascii="宋体" w:hAnsi="宋体" w:cs="宋体" w:eastAsia="宋体" w:hint="default"/>
                <w:sz w:val="24"/>
                <w:szCs w:val="24"/>
              </w:rPr>
            </w:pPr>
            <w:r>
              <w:rPr>
                <w:rFonts w:ascii="宋体" w:hAnsi="宋体" w:cs="宋体" w:eastAsia="宋体" w:hint="default"/>
                <w:sz w:val="24"/>
                <w:szCs w:val="24"/>
              </w:rPr>
              <w:t>其他变动</w:t>
            </w:r>
          </w:p>
        </w:tc>
        <w:tc>
          <w:tcPr>
            <w:tcW w:w="1342" w:type="dxa"/>
            <w:vMerge/>
            <w:tcBorders>
              <w:left w:val="single" w:sz="4" w:space="0" w:color="000000"/>
              <w:bottom w:val="single" w:sz="4" w:space="0" w:color="000000"/>
              <w:right w:val="single" w:sz="4" w:space="0" w:color="000000"/>
            </w:tcBorders>
          </w:tcPr>
          <w:p>
            <w:pPr/>
          </w:p>
        </w:tc>
      </w:tr>
      <w:tr>
        <w:trPr>
          <w:trHeight w:val="634"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8" w:right="0"/>
              <w:jc w:val="left"/>
              <w:rPr>
                <w:rFonts w:ascii="宋体" w:hAnsi="宋体" w:cs="宋体" w:eastAsia="宋体" w:hint="default"/>
                <w:sz w:val="24"/>
                <w:szCs w:val="24"/>
              </w:rPr>
            </w:pPr>
            <w:r>
              <w:rPr>
                <w:rFonts w:ascii="宋体" w:hAnsi="宋体" w:cs="宋体" w:eastAsia="宋体" w:hint="default"/>
                <w:sz w:val="24"/>
                <w:szCs w:val="24"/>
              </w:rPr>
              <w:t>其他应收</w:t>
            </w:r>
          </w:p>
          <w:p>
            <w:pPr>
              <w:pStyle w:val="TableParagraph"/>
              <w:spacing w:line="312" w:lineRule="exact"/>
              <w:ind w:left="108" w:right="0"/>
              <w:jc w:val="left"/>
              <w:rPr>
                <w:rFonts w:ascii="宋体" w:hAnsi="宋体" w:cs="宋体" w:eastAsia="宋体" w:hint="default"/>
                <w:sz w:val="24"/>
                <w:szCs w:val="24"/>
              </w:rPr>
            </w:pPr>
            <w:r>
              <w:rPr>
                <w:rFonts w:ascii="宋体" w:hAnsi="宋体" w:cs="宋体" w:eastAsia="宋体" w:hint="default"/>
                <w:sz w:val="24"/>
                <w:szCs w:val="24"/>
              </w:rPr>
              <w:t>款</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43" w:right="0"/>
              <w:jc w:val="left"/>
              <w:rPr>
                <w:rFonts w:ascii="Times New Roman" w:hAnsi="Times New Roman" w:cs="Times New Roman" w:eastAsia="Times New Roman" w:hint="default"/>
                <w:sz w:val="24"/>
                <w:szCs w:val="24"/>
              </w:rPr>
            </w:pPr>
            <w:r>
              <w:rPr>
                <w:rFonts w:ascii="Times New Roman"/>
                <w:sz w:val="24"/>
              </w:rPr>
              <w:t>47,892,693</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55" w:right="0"/>
              <w:jc w:val="center"/>
              <w:rPr>
                <w:rFonts w:ascii="Times New Roman" w:hAnsi="Times New Roman" w:cs="Times New Roman" w:eastAsia="Times New Roman" w:hint="default"/>
                <w:sz w:val="24"/>
                <w:szCs w:val="24"/>
              </w:rPr>
            </w:pPr>
            <w:r>
              <w:rPr>
                <w:rFonts w:ascii="Times New Roman"/>
                <w:sz w:val="24"/>
              </w:rPr>
              <w:t>8,063,133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44" w:right="0"/>
              <w:jc w:val="left"/>
              <w:rPr>
                <w:rFonts w:ascii="Times New Roman" w:hAnsi="Times New Roman" w:cs="Times New Roman" w:eastAsia="Times New Roman" w:hint="default"/>
                <w:sz w:val="24"/>
                <w:szCs w:val="24"/>
              </w:rPr>
            </w:pPr>
            <w:r>
              <w:rPr>
                <w:rFonts w:ascii="Times New Roman"/>
                <w:sz w:val="24"/>
              </w:rPr>
              <w:t>38,212,186</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41" w:right="0"/>
              <w:jc w:val="left"/>
              <w:rPr>
                <w:rFonts w:ascii="Times New Roman" w:hAnsi="Times New Roman" w:cs="Times New Roman" w:eastAsia="Times New Roman" w:hint="default"/>
                <w:sz w:val="24"/>
                <w:szCs w:val="24"/>
              </w:rPr>
            </w:pPr>
            <w:r>
              <w:rPr>
                <w:rFonts w:ascii="Times New Roman"/>
                <w:sz w:val="24"/>
              </w:rPr>
              <w:t>17,743,640</w:t>
            </w:r>
          </w:p>
        </w:tc>
      </w:tr>
      <w:tr>
        <w:trPr>
          <w:trHeight w:val="286" w:hRule="exact"/>
        </w:trPr>
        <w:tc>
          <w:tcPr>
            <w:tcW w:w="1364"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241"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40" w:right="1560"/>
        </w:sectPr>
      </w:pPr>
    </w:p>
    <w:p>
      <w:pPr>
        <w:spacing w:line="240" w:lineRule="auto" w:before="5"/>
        <w:rPr>
          <w:rFonts w:ascii="宋体" w:hAnsi="宋体" w:cs="宋体" w:eastAsia="宋体" w:hint="default"/>
          <w:sz w:val="27"/>
          <w:szCs w:val="27"/>
        </w:rPr>
      </w:pPr>
    </w:p>
    <w:tbl>
      <w:tblPr>
        <w:tblW w:w="0" w:type="auto"/>
        <w:jc w:val="left"/>
        <w:tblInd w:w="119" w:type="dxa"/>
        <w:tblLayout w:type="fixed"/>
        <w:tblCellMar>
          <w:top w:w="0" w:type="dxa"/>
          <w:left w:w="0" w:type="dxa"/>
          <w:bottom w:w="0" w:type="dxa"/>
          <w:right w:w="0" w:type="dxa"/>
        </w:tblCellMar>
        <w:tblLook w:val="01E0"/>
      </w:tblPr>
      <w:tblGrid>
        <w:gridCol w:w="1364"/>
        <w:gridCol w:w="1342"/>
        <w:gridCol w:w="1241"/>
        <w:gridCol w:w="1342"/>
        <w:gridCol w:w="1220"/>
        <w:gridCol w:w="1212"/>
        <w:gridCol w:w="1342"/>
      </w:tblGrid>
      <w:tr>
        <w:trPr>
          <w:trHeight w:val="322"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37"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43" w:right="0"/>
              <w:jc w:val="left"/>
              <w:rPr>
                <w:rFonts w:ascii="Times New Roman" w:hAnsi="Times New Roman" w:cs="Times New Roman" w:eastAsia="Times New Roman" w:hint="default"/>
                <w:sz w:val="24"/>
                <w:szCs w:val="24"/>
              </w:rPr>
            </w:pPr>
            <w:r>
              <w:rPr>
                <w:rFonts w:ascii="Times New Roman"/>
                <w:sz w:val="24"/>
              </w:rPr>
              <w:t>47,892,693</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63" w:right="0"/>
              <w:jc w:val="left"/>
              <w:rPr>
                <w:rFonts w:ascii="Times New Roman" w:hAnsi="Times New Roman" w:cs="Times New Roman" w:eastAsia="Times New Roman" w:hint="default"/>
                <w:sz w:val="24"/>
                <w:szCs w:val="24"/>
              </w:rPr>
            </w:pPr>
            <w:r>
              <w:rPr>
                <w:rFonts w:ascii="Times New Roman"/>
                <w:sz w:val="24"/>
              </w:rPr>
              <w:t>8,063,133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44" w:right="0"/>
              <w:jc w:val="left"/>
              <w:rPr>
                <w:rFonts w:ascii="Times New Roman" w:hAnsi="Times New Roman" w:cs="Times New Roman" w:eastAsia="Times New Roman" w:hint="default"/>
                <w:sz w:val="24"/>
                <w:szCs w:val="24"/>
              </w:rPr>
            </w:pPr>
            <w:r>
              <w:rPr>
                <w:rFonts w:ascii="Times New Roman"/>
                <w:sz w:val="24"/>
              </w:rPr>
              <w:t>38,212,186</w:t>
            </w:r>
          </w:p>
        </w:tc>
        <w:tc>
          <w:tcPr>
            <w:tcW w:w="1220"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41" w:right="0"/>
              <w:jc w:val="left"/>
              <w:rPr>
                <w:rFonts w:ascii="Times New Roman" w:hAnsi="Times New Roman" w:cs="Times New Roman" w:eastAsia="Times New Roman" w:hint="default"/>
                <w:sz w:val="24"/>
                <w:szCs w:val="24"/>
              </w:rPr>
            </w:pPr>
            <w:r>
              <w:rPr>
                <w:rFonts w:ascii="Times New Roman"/>
                <w:sz w:val="24"/>
              </w:rPr>
              <w:t>17,743,640</w:t>
            </w:r>
          </w:p>
        </w:tc>
      </w:tr>
    </w:tbl>
    <w:p>
      <w:pPr>
        <w:spacing w:line="240" w:lineRule="auto" w:before="0"/>
        <w:rPr>
          <w:rFonts w:ascii="宋体" w:hAnsi="宋体" w:cs="宋体" w:eastAsia="宋体" w:hint="default"/>
          <w:sz w:val="16"/>
          <w:szCs w:val="16"/>
        </w:rPr>
      </w:pPr>
    </w:p>
    <w:p>
      <w:pPr>
        <w:pStyle w:val="BodyText"/>
        <w:spacing w:line="313" w:lineRule="exact" w:before="26"/>
        <w:ind w:left="236" w:right="4250"/>
        <w:jc w:val="left"/>
      </w:pPr>
      <w:r>
        <w:rPr/>
        <w:t>其中本期坏账准备转回或收回金额重要的：</w:t>
      </w:r>
    </w:p>
    <w:p>
      <w:pPr>
        <w:pStyle w:val="BodyText"/>
        <w:spacing w:line="313" w:lineRule="exact"/>
        <w:ind w:left="236" w:right="4250"/>
        <w:jc w:val="left"/>
      </w:pPr>
      <w:r>
        <w:rPr/>
        <w:t>□适用 √不适用</w:t>
      </w:r>
    </w:p>
    <w:p>
      <w:pPr>
        <w:spacing w:before="64"/>
        <w:ind w:left="236" w:right="4250" w:firstLine="0"/>
        <w:jc w:val="left"/>
        <w:rPr>
          <w:rFonts w:ascii="宋体" w:hAnsi="宋体" w:cs="宋体" w:eastAsia="宋体" w:hint="default"/>
          <w:sz w:val="20"/>
          <w:szCs w:val="20"/>
        </w:rPr>
      </w:pPr>
      <w:r>
        <w:rPr>
          <w:rFonts w:ascii="宋体" w:hAnsi="宋体" w:cs="宋体" w:eastAsia="宋体" w:hint="default"/>
          <w:b/>
          <w:bCs/>
          <w:sz w:val="20"/>
          <w:szCs w:val="20"/>
        </w:rPr>
        <w:t>(5).</w:t>
      </w:r>
      <w:r>
        <w:rPr>
          <w:rFonts w:ascii="宋体" w:hAnsi="宋体" w:cs="宋体" w:eastAsia="宋体" w:hint="default"/>
          <w:b/>
          <w:bCs/>
          <w:spacing w:val="-4"/>
          <w:sz w:val="20"/>
          <w:szCs w:val="20"/>
        </w:rPr>
        <w:t> </w:t>
      </w:r>
      <w:r>
        <w:rPr>
          <w:rFonts w:ascii="宋体" w:hAnsi="宋体" w:cs="宋体" w:eastAsia="宋体" w:hint="default"/>
          <w:b/>
          <w:bCs/>
          <w:sz w:val="20"/>
          <w:szCs w:val="20"/>
        </w:rPr>
        <w:t>本期实际核销的其他应收款情况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36" w:right="4250"/>
        <w:jc w:val="left"/>
      </w:pPr>
      <w:r>
        <w:rPr/>
        <w:t>□适用 √不适用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745" w:footer="1195" w:top="1080" w:bottom="1380" w:left="1040" w:right="1560"/>
        </w:sectPr>
      </w:pPr>
    </w:p>
    <w:p>
      <w:pPr>
        <w:spacing w:before="37"/>
        <w:ind w:left="236" w:right="0" w:firstLine="0"/>
        <w:jc w:val="left"/>
        <w:rPr>
          <w:rFonts w:ascii="宋体" w:hAnsi="宋体" w:cs="宋体" w:eastAsia="宋体" w:hint="default"/>
          <w:sz w:val="20"/>
          <w:szCs w:val="20"/>
        </w:rPr>
      </w:pPr>
      <w:r>
        <w:rPr>
          <w:rFonts w:ascii="宋体" w:hAnsi="宋体" w:cs="宋体" w:eastAsia="宋体" w:hint="default"/>
          <w:b/>
          <w:bCs/>
          <w:sz w:val="20"/>
          <w:szCs w:val="20"/>
        </w:rPr>
        <w:t>(6).</w:t>
      </w:r>
      <w:r>
        <w:rPr>
          <w:rFonts w:ascii="宋体" w:hAnsi="宋体" w:cs="宋体" w:eastAsia="宋体" w:hint="default"/>
          <w:b/>
          <w:bCs/>
          <w:spacing w:val="-3"/>
          <w:sz w:val="20"/>
          <w:szCs w:val="20"/>
        </w:rPr>
        <w:t> </w:t>
      </w:r>
      <w:r>
        <w:rPr>
          <w:rFonts w:ascii="宋体" w:hAnsi="宋体" w:cs="宋体" w:eastAsia="宋体" w:hint="default"/>
          <w:b/>
          <w:bCs/>
          <w:sz w:val="20"/>
          <w:szCs w:val="20"/>
        </w:rPr>
        <w:t>按欠款方归集的期末余额前五名的其他应收款情况</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3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6"/>
          <w:szCs w:val="26"/>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5260" w:space="933"/>
            <w:col w:w="3117"/>
          </w:cols>
        </w:sectPr>
      </w:pPr>
    </w:p>
    <w:p>
      <w:pPr>
        <w:spacing w:line="240" w:lineRule="auto" w:before="12"/>
        <w:rPr>
          <w:rFonts w:ascii="宋体" w:hAnsi="宋体" w:cs="宋体" w:eastAsia="宋体" w:hint="default"/>
          <w:sz w:val="2"/>
          <w:szCs w:val="2"/>
        </w:rPr>
      </w:pPr>
    </w:p>
    <w:tbl>
      <w:tblPr>
        <w:tblW w:w="0" w:type="auto"/>
        <w:jc w:val="left"/>
        <w:tblInd w:w="200" w:type="dxa"/>
        <w:tblLayout w:type="fixed"/>
        <w:tblCellMar>
          <w:top w:w="0" w:type="dxa"/>
          <w:left w:w="0" w:type="dxa"/>
          <w:bottom w:w="0" w:type="dxa"/>
          <w:right w:w="0" w:type="dxa"/>
        </w:tblCellMar>
        <w:tblLook w:val="01E0"/>
      </w:tblPr>
      <w:tblGrid>
        <w:gridCol w:w="1539"/>
        <w:gridCol w:w="1357"/>
        <w:gridCol w:w="1226"/>
        <w:gridCol w:w="1332"/>
        <w:gridCol w:w="1764"/>
        <w:gridCol w:w="1678"/>
      </w:tblGrid>
      <w:tr>
        <w:trPr>
          <w:trHeight w:val="944"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230" w:right="0"/>
              <w:jc w:val="left"/>
              <w:rPr>
                <w:rFonts w:ascii="宋体" w:hAnsi="宋体" w:cs="宋体" w:eastAsia="宋体" w:hint="default"/>
                <w:sz w:val="24"/>
                <w:szCs w:val="24"/>
              </w:rPr>
            </w:pPr>
            <w:r>
              <w:rPr>
                <w:rFonts w:ascii="宋体" w:hAnsi="宋体" w:cs="宋体" w:eastAsia="宋体" w:hint="default"/>
                <w:sz w:val="24"/>
                <w:szCs w:val="24"/>
              </w:rPr>
              <w:t>单位名称</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74"/>
              <w:jc w:val="center"/>
              <w:rPr>
                <w:rFonts w:ascii="宋体" w:hAnsi="宋体" w:cs="宋体" w:eastAsia="宋体" w:hint="default"/>
                <w:sz w:val="24"/>
                <w:szCs w:val="24"/>
              </w:rPr>
            </w:pPr>
            <w:r>
              <w:rPr>
                <w:rFonts w:ascii="宋体" w:hAnsi="宋体" w:cs="宋体" w:eastAsia="宋体" w:hint="default"/>
                <w:sz w:val="24"/>
                <w:szCs w:val="24"/>
              </w:rPr>
              <w:t>款项的性质</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88"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72"/>
              <w:jc w:val="center"/>
              <w:rPr>
                <w:rFonts w:ascii="宋体" w:hAnsi="宋体" w:cs="宋体" w:eastAsia="宋体" w:hint="default"/>
                <w:sz w:val="24"/>
                <w:szCs w:val="24"/>
              </w:rPr>
            </w:pPr>
            <w:r>
              <w:rPr>
                <w:rFonts w:ascii="宋体" w:hAnsi="宋体" w:cs="宋体" w:eastAsia="宋体" w:hint="default"/>
                <w:sz w:val="24"/>
                <w:szCs w:val="24"/>
              </w:rPr>
              <w:t>账龄</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36" w:right="0"/>
              <w:jc w:val="left"/>
              <w:rPr>
                <w:rFonts w:ascii="宋体" w:hAnsi="宋体" w:cs="宋体" w:eastAsia="宋体" w:hint="default"/>
                <w:sz w:val="24"/>
                <w:szCs w:val="24"/>
              </w:rPr>
            </w:pPr>
            <w:r>
              <w:rPr>
                <w:rFonts w:ascii="宋体" w:hAnsi="宋体" w:cs="宋体" w:eastAsia="宋体" w:hint="default"/>
                <w:sz w:val="24"/>
                <w:szCs w:val="24"/>
              </w:rPr>
              <w:t>占其他应收款期</w:t>
            </w:r>
          </w:p>
          <w:p>
            <w:pPr>
              <w:pStyle w:val="TableParagraph"/>
              <w:spacing w:line="312" w:lineRule="exact" w:before="28"/>
              <w:ind w:left="456" w:right="36" w:hanging="420"/>
              <w:jc w:val="left"/>
              <w:rPr>
                <w:rFonts w:ascii="Times New Roman" w:hAnsi="Times New Roman" w:cs="Times New Roman" w:eastAsia="Times New Roman" w:hint="default"/>
                <w:sz w:val="24"/>
                <w:szCs w:val="24"/>
              </w:rPr>
            </w:pPr>
            <w:r>
              <w:rPr>
                <w:rFonts w:ascii="宋体" w:hAnsi="宋体" w:cs="宋体" w:eastAsia="宋体" w:hint="default"/>
                <w:sz w:val="24"/>
                <w:szCs w:val="24"/>
              </w:rPr>
              <w:t>末余额合计数的 比例</w:t>
            </w:r>
            <w:r>
              <w:rPr>
                <w:rFonts w:ascii="Times New Roman" w:hAnsi="Times New Roman" w:cs="Times New Roman" w:eastAsia="Times New Roman" w:hint="default"/>
                <w:sz w:val="24"/>
                <w:szCs w:val="24"/>
              </w:rPr>
              <w:t>(%)</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before="148"/>
              <w:ind w:left="352" w:right="353"/>
              <w:jc w:val="left"/>
              <w:rPr>
                <w:rFonts w:ascii="宋体" w:hAnsi="宋体" w:cs="宋体" w:eastAsia="宋体" w:hint="default"/>
                <w:sz w:val="24"/>
                <w:szCs w:val="24"/>
              </w:rPr>
            </w:pPr>
            <w:r>
              <w:rPr>
                <w:rFonts w:ascii="宋体" w:hAnsi="宋体" w:cs="宋体" w:eastAsia="宋体" w:hint="default"/>
                <w:sz w:val="24"/>
                <w:szCs w:val="24"/>
              </w:rPr>
              <w:t>坏账准备 期末余额</w:t>
            </w:r>
          </w:p>
        </w:tc>
      </w:tr>
      <w:tr>
        <w:trPr>
          <w:trHeight w:val="322"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4"/>
              <w:jc w:val="center"/>
              <w:rPr>
                <w:rFonts w:ascii="宋体" w:hAnsi="宋体" w:cs="宋体" w:eastAsia="宋体" w:hint="default"/>
                <w:sz w:val="24"/>
                <w:szCs w:val="24"/>
              </w:rPr>
            </w:pPr>
            <w:r>
              <w:rPr>
                <w:rFonts w:ascii="宋体" w:hAnsi="宋体" w:cs="宋体" w:eastAsia="宋体" w:hint="default"/>
                <w:sz w:val="24"/>
                <w:szCs w:val="24"/>
              </w:rPr>
              <w:t>房租、物业</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5" w:right="0"/>
              <w:jc w:val="left"/>
              <w:rPr>
                <w:rFonts w:ascii="Times New Roman" w:hAnsi="Times New Roman" w:cs="Times New Roman" w:eastAsia="Times New Roman" w:hint="default"/>
                <w:sz w:val="24"/>
                <w:szCs w:val="24"/>
              </w:rPr>
            </w:pPr>
            <w:r>
              <w:rPr>
                <w:rFonts w:ascii="Times New Roman"/>
                <w:sz w:val="24"/>
              </w:rPr>
              <w:t>11,644,008</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75"/>
              <w:jc w:val="center"/>
              <w:rPr>
                <w:rFonts w:ascii="宋体" w:hAnsi="宋体" w:cs="宋体" w:eastAsia="宋体" w:hint="default"/>
                <w:sz w:val="24"/>
                <w:szCs w:val="24"/>
              </w:rPr>
            </w:pPr>
            <w:r>
              <w:rPr>
                <w:rFonts w:ascii="Times New Roman" w:hAnsi="Times New Roman" w:cs="Times New Roman" w:eastAsia="Times New Roman" w:hint="default"/>
                <w:sz w:val="24"/>
                <w:szCs w:val="24"/>
              </w:rPr>
              <w:t>4 </w:t>
            </w:r>
            <w:r>
              <w:rPr>
                <w:rFonts w:ascii="宋体" w:hAnsi="宋体" w:cs="宋体" w:eastAsia="宋体" w:hint="default"/>
                <w:sz w:val="24"/>
                <w:szCs w:val="24"/>
              </w:rPr>
              <w:t>年以内</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3,046,621</w:t>
            </w:r>
          </w:p>
        </w:tc>
      </w:tr>
      <w:tr>
        <w:trPr>
          <w:trHeight w:val="322"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4"/>
              <w:jc w:val="center"/>
              <w:rPr>
                <w:rFonts w:ascii="宋体" w:hAnsi="宋体" w:cs="宋体" w:eastAsia="宋体" w:hint="default"/>
                <w:sz w:val="24"/>
                <w:szCs w:val="24"/>
              </w:rPr>
            </w:pPr>
            <w:r>
              <w:rPr>
                <w:rFonts w:ascii="宋体" w:hAnsi="宋体" w:cs="宋体" w:eastAsia="宋体" w:hint="default"/>
                <w:sz w:val="24"/>
                <w:szCs w:val="24"/>
              </w:rPr>
              <w:t>房租、物业</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7,455,492</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75"/>
              <w:jc w:val="center"/>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年以内</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790,573</w:t>
            </w:r>
          </w:p>
        </w:tc>
      </w:tr>
      <w:tr>
        <w:trPr>
          <w:trHeight w:val="319"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4"/>
              <w:jc w:val="center"/>
              <w:rPr>
                <w:rFonts w:ascii="宋体" w:hAnsi="宋体" w:cs="宋体" w:eastAsia="宋体" w:hint="default"/>
                <w:sz w:val="24"/>
                <w:szCs w:val="24"/>
              </w:rPr>
            </w:pPr>
            <w:r>
              <w:rPr>
                <w:rFonts w:ascii="宋体" w:hAnsi="宋体" w:cs="宋体" w:eastAsia="宋体" w:hint="default"/>
                <w:sz w:val="24"/>
                <w:szCs w:val="24"/>
              </w:rPr>
              <w:t>房租、物业</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1,879,699</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75"/>
              <w:jc w:val="center"/>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5"/>
              <w:jc w:val="right"/>
              <w:rPr>
                <w:rFonts w:ascii="Times New Roman" w:hAnsi="Times New Roman" w:cs="Times New Roman" w:eastAsia="Times New Roman" w:hint="default"/>
                <w:sz w:val="24"/>
                <w:szCs w:val="24"/>
              </w:rPr>
            </w:pPr>
            <w:r>
              <w:rPr>
                <w:rFonts w:ascii="Times New Roman"/>
                <w:spacing w:val="-1"/>
                <w:w w:val="95"/>
                <w:sz w:val="24"/>
              </w:rPr>
              <w:t>&lt;1</w:t>
            </w:r>
            <w:r>
              <w:rPr>
                <w:rFonts w:ascii="Times New Roman"/>
                <w:w w:val="95"/>
                <w:sz w:val="24"/>
              </w:rPr>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148,741</w:t>
            </w:r>
          </w:p>
        </w:tc>
      </w:tr>
      <w:tr>
        <w:trPr>
          <w:trHeight w:val="322"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4</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74"/>
              <w:jc w:val="center"/>
              <w:rPr>
                <w:rFonts w:ascii="宋体" w:hAnsi="宋体" w:cs="宋体" w:eastAsia="宋体" w:hint="default"/>
                <w:sz w:val="24"/>
                <w:szCs w:val="24"/>
              </w:rPr>
            </w:pPr>
            <w:r>
              <w:rPr>
                <w:rFonts w:ascii="宋体" w:hAnsi="宋体" w:cs="宋体" w:eastAsia="宋体" w:hint="default"/>
                <w:sz w:val="24"/>
                <w:szCs w:val="24"/>
              </w:rPr>
              <w:t>房租、物业</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98"/>
              <w:jc w:val="right"/>
              <w:rPr>
                <w:rFonts w:ascii="Times New Roman" w:hAnsi="Times New Roman" w:cs="Times New Roman" w:eastAsia="Times New Roman" w:hint="default"/>
                <w:sz w:val="24"/>
                <w:szCs w:val="24"/>
              </w:rPr>
            </w:pPr>
            <w:r>
              <w:rPr>
                <w:rFonts w:ascii="Times New Roman"/>
                <w:sz w:val="24"/>
              </w:rPr>
              <w:t>1,843,602</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right="75"/>
              <w:jc w:val="center"/>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5"/>
              <w:jc w:val="right"/>
              <w:rPr>
                <w:rFonts w:ascii="Times New Roman" w:hAnsi="Times New Roman" w:cs="Times New Roman" w:eastAsia="Times New Roman" w:hint="default"/>
                <w:sz w:val="24"/>
                <w:szCs w:val="24"/>
              </w:rPr>
            </w:pPr>
            <w:r>
              <w:rPr>
                <w:rFonts w:ascii="Times New Roman"/>
                <w:spacing w:val="-1"/>
                <w:w w:val="95"/>
                <w:sz w:val="24"/>
              </w:rPr>
              <w:t>&lt;1</w:t>
            </w:r>
            <w:r>
              <w:rPr>
                <w:rFonts w:ascii="Times New Roman"/>
                <w:w w:val="95"/>
                <w:sz w:val="24"/>
              </w:rPr>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4"/>
              <w:jc w:val="right"/>
              <w:rPr>
                <w:rFonts w:ascii="Times New Roman" w:hAnsi="Times New Roman" w:cs="Times New Roman" w:eastAsia="Times New Roman" w:hint="default"/>
                <w:sz w:val="24"/>
                <w:szCs w:val="24"/>
              </w:rPr>
            </w:pPr>
            <w:r>
              <w:rPr>
                <w:rFonts w:ascii="Times New Roman"/>
                <w:sz w:val="24"/>
              </w:rPr>
              <w:t>145,885</w:t>
            </w:r>
          </w:p>
        </w:tc>
      </w:tr>
      <w:tr>
        <w:trPr>
          <w:trHeight w:val="322"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6"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单位</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4"/>
              <w:jc w:val="center"/>
              <w:rPr>
                <w:rFonts w:ascii="宋体" w:hAnsi="宋体" w:cs="宋体" w:eastAsia="宋体" w:hint="default"/>
                <w:sz w:val="24"/>
                <w:szCs w:val="24"/>
              </w:rPr>
            </w:pPr>
            <w:r>
              <w:rPr>
                <w:rFonts w:ascii="宋体" w:hAnsi="宋体" w:cs="宋体" w:eastAsia="宋体" w:hint="default"/>
                <w:sz w:val="24"/>
                <w:szCs w:val="24"/>
              </w:rPr>
              <w:t>保证金</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98"/>
              <w:jc w:val="right"/>
              <w:rPr>
                <w:rFonts w:ascii="Times New Roman" w:hAnsi="Times New Roman" w:cs="Times New Roman" w:eastAsia="Times New Roman" w:hint="default"/>
                <w:sz w:val="24"/>
                <w:szCs w:val="24"/>
              </w:rPr>
            </w:pPr>
            <w:r>
              <w:rPr>
                <w:rFonts w:ascii="Times New Roman"/>
                <w:sz w:val="24"/>
              </w:rPr>
              <w:t>1,566,000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75"/>
              <w:jc w:val="center"/>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年以内</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pacing w:val="-1"/>
                <w:sz w:val="24"/>
              </w:rPr>
              <w:t>&lt;1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499,586</w:t>
            </w:r>
          </w:p>
        </w:tc>
      </w:tr>
      <w:tr>
        <w:trPr>
          <w:trHeight w:val="322" w:hRule="exact"/>
        </w:trPr>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70"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73"/>
              <w:jc w:val="center"/>
              <w:rPr>
                <w:rFonts w:ascii="Times New Roman" w:hAnsi="Times New Roman" w:cs="Times New Roman" w:eastAsia="Times New Roman" w:hint="default"/>
                <w:sz w:val="24"/>
                <w:szCs w:val="24"/>
              </w:rPr>
            </w:pPr>
            <w:r>
              <w:rPr>
                <w:rFonts w:ascii="Times New Roman"/>
                <w:sz w:val="24"/>
              </w:rPr>
              <w:t>/</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5" w:right="0"/>
              <w:jc w:val="left"/>
              <w:rPr>
                <w:rFonts w:ascii="Times New Roman" w:hAnsi="Times New Roman" w:cs="Times New Roman" w:eastAsia="Times New Roman" w:hint="default"/>
                <w:sz w:val="24"/>
                <w:szCs w:val="24"/>
              </w:rPr>
            </w:pPr>
            <w:r>
              <w:rPr>
                <w:rFonts w:ascii="Times New Roman"/>
                <w:sz w:val="24"/>
              </w:rPr>
              <w:t>24,388,801</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73"/>
              <w:jc w:val="center"/>
              <w:rPr>
                <w:rFonts w:ascii="Times New Roman" w:hAnsi="Times New Roman" w:cs="Times New Roman" w:eastAsia="Times New Roman" w:hint="default"/>
                <w:sz w:val="24"/>
                <w:szCs w:val="24"/>
              </w:rPr>
            </w:pPr>
            <w:r>
              <w:rPr>
                <w:rFonts w:ascii="Times New Roman"/>
                <w:sz w:val="24"/>
              </w:rPr>
              <w:t>/</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2</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24"/>
              <w:jc w:val="right"/>
              <w:rPr>
                <w:rFonts w:ascii="Times New Roman" w:hAnsi="Times New Roman" w:cs="Times New Roman" w:eastAsia="Times New Roman" w:hint="default"/>
                <w:sz w:val="24"/>
                <w:szCs w:val="24"/>
              </w:rPr>
            </w:pPr>
            <w:r>
              <w:rPr>
                <w:rFonts w:ascii="Times New Roman"/>
                <w:sz w:val="24"/>
              </w:rPr>
              <w:t>4,631,406</w:t>
            </w:r>
          </w:p>
        </w:tc>
      </w:tr>
    </w:tbl>
    <w:p>
      <w:pPr>
        <w:spacing w:line="240" w:lineRule="auto" w:before="5"/>
        <w:rPr>
          <w:rFonts w:ascii="宋体" w:hAnsi="宋体" w:cs="宋体" w:eastAsia="宋体" w:hint="default"/>
          <w:sz w:val="20"/>
          <w:szCs w:val="20"/>
        </w:rPr>
      </w:pPr>
    </w:p>
    <w:p>
      <w:pPr>
        <w:spacing w:before="37"/>
        <w:ind w:left="236" w:right="4250" w:firstLine="0"/>
        <w:jc w:val="left"/>
        <w:rPr>
          <w:rFonts w:ascii="宋体" w:hAnsi="宋体" w:cs="宋体" w:eastAsia="宋体" w:hint="default"/>
          <w:sz w:val="20"/>
          <w:szCs w:val="20"/>
        </w:rPr>
      </w:pPr>
      <w:r>
        <w:rPr>
          <w:rFonts w:ascii="宋体" w:hAnsi="宋体" w:cs="宋体" w:eastAsia="宋体" w:hint="default"/>
          <w:b/>
          <w:bCs/>
          <w:sz w:val="20"/>
          <w:szCs w:val="20"/>
        </w:rPr>
        <w:t>(7).</w:t>
      </w:r>
      <w:r>
        <w:rPr>
          <w:rFonts w:ascii="宋体" w:hAnsi="宋体" w:cs="宋体" w:eastAsia="宋体" w:hint="default"/>
          <w:b/>
          <w:bCs/>
          <w:spacing w:val="-3"/>
          <w:sz w:val="20"/>
          <w:szCs w:val="20"/>
        </w:rPr>
        <w:t> </w:t>
      </w:r>
      <w:r>
        <w:rPr>
          <w:rFonts w:ascii="宋体" w:hAnsi="宋体" w:cs="宋体" w:eastAsia="宋体" w:hint="default"/>
          <w:b/>
          <w:bCs/>
          <w:sz w:val="20"/>
          <w:szCs w:val="20"/>
        </w:rPr>
        <w:t>涉及政府补助的应收款项</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36" w:right="4250"/>
        <w:jc w:val="left"/>
      </w:pPr>
      <w:r>
        <w:rPr/>
        <w:t>□适用 √不适用</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spacing w:before="0"/>
        <w:ind w:left="236" w:right="4250" w:firstLine="0"/>
        <w:jc w:val="left"/>
        <w:rPr>
          <w:rFonts w:ascii="宋体" w:hAnsi="宋体" w:cs="宋体" w:eastAsia="宋体" w:hint="default"/>
          <w:sz w:val="20"/>
          <w:szCs w:val="20"/>
        </w:rPr>
      </w:pPr>
      <w:r>
        <w:rPr>
          <w:rFonts w:ascii="宋体" w:hAnsi="宋体" w:cs="宋体" w:eastAsia="宋体" w:hint="default"/>
          <w:b/>
          <w:bCs/>
          <w:sz w:val="20"/>
          <w:szCs w:val="20"/>
        </w:rPr>
        <w:t>(8).</w:t>
      </w:r>
      <w:r>
        <w:rPr>
          <w:rFonts w:ascii="宋体" w:hAnsi="宋体" w:cs="宋体" w:eastAsia="宋体" w:hint="default"/>
          <w:b/>
          <w:bCs/>
          <w:spacing w:val="-3"/>
          <w:sz w:val="20"/>
          <w:szCs w:val="20"/>
        </w:rPr>
        <w:t> </w:t>
      </w:r>
      <w:r>
        <w:rPr>
          <w:rFonts w:ascii="宋体" w:hAnsi="宋体" w:cs="宋体" w:eastAsia="宋体" w:hint="default"/>
          <w:b/>
          <w:bCs/>
          <w:sz w:val="20"/>
          <w:szCs w:val="20"/>
        </w:rPr>
        <w:t>因金融资产转移而终止确认的其他应收款</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97" w:val="left" w:leader="none"/>
        </w:tabs>
        <w:spacing w:line="240" w:lineRule="auto" w:before="49"/>
        <w:ind w:left="236" w:right="4250"/>
        <w:jc w:val="left"/>
      </w:pPr>
      <w:r>
        <w:rPr/>
        <w:t>□适用</w:t>
        <w:tab/>
        <w:t>√不适用</w:t>
      </w:r>
    </w:p>
    <w:p>
      <w:pPr>
        <w:spacing w:line="240" w:lineRule="auto" w:before="2"/>
        <w:rPr>
          <w:rFonts w:ascii="宋体" w:hAnsi="宋体" w:cs="宋体" w:eastAsia="宋体" w:hint="default"/>
          <w:sz w:val="26"/>
          <w:szCs w:val="26"/>
        </w:rPr>
      </w:pPr>
    </w:p>
    <w:p>
      <w:pPr>
        <w:spacing w:before="0"/>
        <w:ind w:left="236" w:right="0" w:firstLine="0"/>
        <w:jc w:val="left"/>
        <w:rPr>
          <w:rFonts w:ascii="宋体" w:hAnsi="宋体" w:cs="宋体" w:eastAsia="宋体" w:hint="default"/>
          <w:sz w:val="20"/>
          <w:szCs w:val="20"/>
        </w:rPr>
      </w:pPr>
      <w:r>
        <w:rPr>
          <w:rFonts w:ascii="宋体" w:hAnsi="宋体" w:cs="宋体" w:eastAsia="宋体" w:hint="default"/>
          <w:b/>
          <w:bCs/>
          <w:sz w:val="20"/>
          <w:szCs w:val="20"/>
        </w:rPr>
        <w:t>(9).</w:t>
      </w:r>
      <w:r>
        <w:rPr>
          <w:rFonts w:ascii="宋体" w:hAnsi="宋体" w:cs="宋体" w:eastAsia="宋体" w:hint="default"/>
          <w:b/>
          <w:bCs/>
          <w:spacing w:val="-3"/>
          <w:sz w:val="20"/>
          <w:szCs w:val="20"/>
        </w:rPr>
        <w:t> </w:t>
      </w:r>
      <w:r>
        <w:rPr>
          <w:rFonts w:ascii="宋体" w:hAnsi="宋体" w:cs="宋体" w:eastAsia="宋体" w:hint="default"/>
          <w:b/>
          <w:bCs/>
          <w:sz w:val="20"/>
          <w:szCs w:val="20"/>
        </w:rPr>
        <w:t>转移其他应收款且继续涉入形成的资产、负债金额</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97" w:val="left" w:leader="none"/>
        </w:tabs>
        <w:spacing w:line="240" w:lineRule="auto" w:before="49"/>
        <w:ind w:left="236" w:right="4250"/>
        <w:jc w:val="left"/>
      </w:pPr>
      <w:r>
        <w:rPr/>
        <w:t>□适用</w:t>
        <w:tab/>
        <w:t>√不适用</w:t>
      </w:r>
    </w:p>
    <w:p>
      <w:pPr>
        <w:spacing w:line="240" w:lineRule="auto" w:before="10"/>
        <w:rPr>
          <w:rFonts w:ascii="宋体" w:hAnsi="宋体" w:cs="宋体" w:eastAsia="宋体" w:hint="default"/>
          <w:sz w:val="20"/>
          <w:szCs w:val="20"/>
        </w:rPr>
      </w:pPr>
    </w:p>
    <w:p>
      <w:pPr>
        <w:pStyle w:val="BodyText"/>
        <w:spacing w:line="313" w:lineRule="exact"/>
        <w:ind w:left="236" w:right="4250"/>
        <w:jc w:val="left"/>
      </w:pPr>
      <w:r>
        <w:rPr/>
        <w:t>其他说明：</w:t>
      </w:r>
    </w:p>
    <w:p>
      <w:pPr>
        <w:pStyle w:val="BodyText"/>
        <w:tabs>
          <w:tab w:pos="1197" w:val="left" w:leader="none"/>
        </w:tabs>
        <w:spacing w:line="313" w:lineRule="exact"/>
        <w:ind w:left="236" w:right="4250"/>
        <w:jc w:val="left"/>
      </w:pPr>
      <w:r>
        <w:rPr/>
        <w:t>□适用</w:t>
        <w:tab/>
        <w:t>√不适用</w:t>
      </w:r>
    </w:p>
    <w:p>
      <w:pPr>
        <w:spacing w:line="240" w:lineRule="auto" w:before="4"/>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20" w:bottom="1380" w:left="1040" w:right="1560"/>
        </w:sectPr>
      </w:pPr>
    </w:p>
    <w:p>
      <w:pPr>
        <w:spacing w:before="36"/>
        <w:ind w:left="236" w:right="-19" w:firstLine="0"/>
        <w:jc w:val="left"/>
        <w:rPr>
          <w:rFonts w:ascii="宋体" w:hAnsi="宋体" w:cs="宋体" w:eastAsia="宋体" w:hint="default"/>
          <w:sz w:val="20"/>
          <w:szCs w:val="20"/>
        </w:rPr>
      </w:pPr>
      <w:r>
        <w:rPr>
          <w:rFonts w:ascii="宋体" w:hAnsi="宋体" w:cs="宋体" w:eastAsia="宋体" w:hint="default"/>
          <w:b/>
          <w:bCs/>
          <w:sz w:val="21"/>
          <w:szCs w:val="21"/>
        </w:rPr>
        <w:t>3</w:t>
      </w:r>
      <w:r>
        <w:rPr>
          <w:rFonts w:ascii="宋体" w:hAnsi="宋体" w:cs="宋体" w:eastAsia="宋体" w:hint="default"/>
          <w:b/>
          <w:bCs/>
          <w:sz w:val="21"/>
          <w:szCs w:val="21"/>
        </w:rPr>
        <w:t>、 </w:t>
      </w:r>
      <w:r>
        <w:rPr>
          <w:rFonts w:ascii="宋体" w:hAnsi="宋体" w:cs="宋体" w:eastAsia="宋体" w:hint="default"/>
          <w:b/>
          <w:bCs/>
          <w:sz w:val="20"/>
          <w:szCs w:val="20"/>
        </w:rPr>
        <w:t>长期股权投资</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7"/>
        <w:ind w:left="236" w:right="-19"/>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27"/>
          <w:szCs w:val="27"/>
        </w:rPr>
      </w:pPr>
    </w:p>
    <w:p>
      <w:pPr>
        <w:pStyle w:val="BodyText"/>
        <w:tabs>
          <w:tab w:pos="1436" w:val="left" w:leader="none"/>
        </w:tabs>
        <w:spacing w:line="240" w:lineRule="auto"/>
        <w:ind w:left="236" w:right="0"/>
        <w:jc w:val="left"/>
      </w:pPr>
      <w:r>
        <w:rPr/>
        <w:t>单位：元</w:t>
        <w:tab/>
        <w:t>币种：人民币</w:t>
      </w:r>
    </w:p>
    <w:p>
      <w:pPr>
        <w:spacing w:after="0" w:line="240" w:lineRule="auto"/>
        <w:jc w:val="left"/>
        <w:sectPr>
          <w:type w:val="continuous"/>
          <w:pgSz w:w="11910" w:h="16840"/>
          <w:pgMar w:top="1120" w:bottom="1380" w:left="1040" w:right="1560"/>
          <w:cols w:num="2" w:equalWidth="0">
            <w:col w:w="2038" w:space="4156"/>
            <w:col w:w="3116"/>
          </w:cols>
        </w:sectPr>
      </w:pPr>
    </w:p>
    <w:p>
      <w:pPr>
        <w:spacing w:line="240" w:lineRule="auto" w:before="10"/>
        <w:rPr>
          <w:rFonts w:ascii="宋体" w:hAnsi="宋体" w:cs="宋体" w:eastAsia="宋体" w:hint="default"/>
          <w:sz w:val="2"/>
          <w:szCs w:val="2"/>
        </w:rPr>
      </w:pPr>
    </w:p>
    <w:tbl>
      <w:tblPr>
        <w:tblW w:w="0" w:type="auto"/>
        <w:jc w:val="left"/>
        <w:tblInd w:w="200" w:type="dxa"/>
        <w:tblLayout w:type="fixed"/>
        <w:tblCellMar>
          <w:top w:w="0" w:type="dxa"/>
          <w:left w:w="0" w:type="dxa"/>
          <w:bottom w:w="0" w:type="dxa"/>
          <w:right w:w="0" w:type="dxa"/>
        </w:tblCellMar>
        <w:tblLook w:val="01E0"/>
      </w:tblPr>
      <w:tblGrid>
        <w:gridCol w:w="1282"/>
        <w:gridCol w:w="1426"/>
        <w:gridCol w:w="1145"/>
        <w:gridCol w:w="1291"/>
        <w:gridCol w:w="1284"/>
        <w:gridCol w:w="1147"/>
        <w:gridCol w:w="1321"/>
      </w:tblGrid>
      <w:tr>
        <w:trPr>
          <w:trHeight w:val="283" w:hRule="exact"/>
        </w:trPr>
        <w:tc>
          <w:tcPr>
            <w:tcW w:w="1282" w:type="dxa"/>
            <w:vMerge w:val="restart"/>
            <w:tcBorders>
              <w:top w:val="single" w:sz="4" w:space="0" w:color="000000"/>
              <w:left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86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75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r>
      <w:tr>
        <w:trPr>
          <w:trHeight w:val="283" w:hRule="exact"/>
        </w:trPr>
        <w:tc>
          <w:tcPr>
            <w:tcW w:w="1282" w:type="dxa"/>
            <w:vMerge/>
            <w:tcBorders>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85"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减值准备</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账面价值</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减值准备</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 w:right="0"/>
              <w:jc w:val="center"/>
              <w:rPr>
                <w:rFonts w:ascii="宋体" w:hAnsi="宋体" w:cs="宋体" w:eastAsia="宋体" w:hint="default"/>
                <w:sz w:val="21"/>
                <w:szCs w:val="21"/>
              </w:rPr>
            </w:pPr>
            <w:r>
              <w:rPr>
                <w:rFonts w:ascii="宋体" w:hAnsi="宋体" w:cs="宋体" w:eastAsia="宋体" w:hint="default"/>
                <w:sz w:val="21"/>
                <w:szCs w:val="21"/>
              </w:rPr>
              <w:t>账面价值</w:t>
            </w:r>
          </w:p>
        </w:tc>
      </w:tr>
      <w:tr>
        <w:trPr>
          <w:trHeight w:val="554" w:hRule="exact"/>
        </w:trPr>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对子公司投</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w w:val="100"/>
                <w:sz w:val="21"/>
                <w:szCs w:val="21"/>
              </w:rPr>
              <w:t>资</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pacing w:val="-1"/>
                <w:sz w:val="21"/>
              </w:rPr>
              <w:t>3,290,453,138</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3" w:right="0"/>
              <w:jc w:val="center"/>
              <w:rPr>
                <w:rFonts w:ascii="Times New Roman" w:hAnsi="Times New Roman" w:cs="Times New Roman" w:eastAsia="Times New Roman" w:hint="default"/>
                <w:sz w:val="21"/>
                <w:szCs w:val="21"/>
              </w:rPr>
            </w:pPr>
            <w:r>
              <w:rPr>
                <w:rFonts w:ascii="Times New Roman"/>
                <w:sz w:val="21"/>
              </w:rPr>
              <w:t>141,620,173</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4" w:right="0"/>
              <w:jc w:val="center"/>
              <w:rPr>
                <w:rFonts w:ascii="Times New Roman" w:hAnsi="Times New Roman" w:cs="Times New Roman" w:eastAsia="Times New Roman" w:hint="default"/>
                <w:sz w:val="21"/>
                <w:szCs w:val="21"/>
              </w:rPr>
            </w:pPr>
            <w:r>
              <w:rPr>
                <w:rFonts w:ascii="Times New Roman"/>
                <w:sz w:val="21"/>
              </w:rPr>
              <w:t>3,148,832,965</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6" w:right="0"/>
              <w:jc w:val="center"/>
              <w:rPr>
                <w:rFonts w:ascii="Times New Roman" w:hAnsi="Times New Roman" w:cs="Times New Roman" w:eastAsia="Times New Roman" w:hint="default"/>
                <w:sz w:val="21"/>
                <w:szCs w:val="21"/>
              </w:rPr>
            </w:pPr>
            <w:r>
              <w:rPr>
                <w:rFonts w:ascii="Times New Roman"/>
                <w:sz w:val="21"/>
              </w:rPr>
              <w:t>3,154,538,680</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6" w:right="0"/>
              <w:jc w:val="center"/>
              <w:rPr>
                <w:rFonts w:ascii="Times New Roman" w:hAnsi="Times New Roman" w:cs="Times New Roman" w:eastAsia="Times New Roman" w:hint="default"/>
                <w:sz w:val="21"/>
                <w:szCs w:val="21"/>
              </w:rPr>
            </w:pPr>
            <w:r>
              <w:rPr>
                <w:rFonts w:ascii="Times New Roman"/>
                <w:sz w:val="21"/>
              </w:rPr>
              <w:t>115,062,971</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52" w:right="0"/>
              <w:jc w:val="center"/>
              <w:rPr>
                <w:rFonts w:ascii="Times New Roman" w:hAnsi="Times New Roman" w:cs="Times New Roman" w:eastAsia="Times New Roman" w:hint="default"/>
                <w:sz w:val="21"/>
                <w:szCs w:val="21"/>
              </w:rPr>
            </w:pPr>
            <w:r>
              <w:rPr>
                <w:rFonts w:ascii="Times New Roman"/>
                <w:sz w:val="21"/>
              </w:rPr>
              <w:t>3,039,475,709</w:t>
            </w:r>
          </w:p>
        </w:tc>
      </w:tr>
      <w:tr>
        <w:trPr>
          <w:trHeight w:val="554" w:hRule="exact"/>
        </w:trPr>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pacing w:val="-8"/>
                <w:sz w:val="21"/>
                <w:szCs w:val="21"/>
              </w:rPr>
              <w:t>对联营、合营</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企业投资</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pacing w:val="-1"/>
                <w:sz w:val="21"/>
              </w:rPr>
              <w:t>1,585,918,886</w:t>
            </w:r>
          </w:p>
        </w:tc>
        <w:tc>
          <w:tcPr>
            <w:tcW w:w="1145"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4" w:right="0"/>
              <w:jc w:val="center"/>
              <w:rPr>
                <w:rFonts w:ascii="Times New Roman" w:hAnsi="Times New Roman" w:cs="Times New Roman" w:eastAsia="Times New Roman" w:hint="default"/>
                <w:sz w:val="21"/>
                <w:szCs w:val="21"/>
              </w:rPr>
            </w:pPr>
            <w:r>
              <w:rPr>
                <w:rFonts w:ascii="Times New Roman"/>
                <w:sz w:val="21"/>
              </w:rPr>
              <w:t>1,585,918,886</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6" w:right="0"/>
              <w:jc w:val="center"/>
              <w:rPr>
                <w:rFonts w:ascii="Times New Roman" w:hAnsi="Times New Roman" w:cs="Times New Roman" w:eastAsia="Times New Roman" w:hint="default"/>
                <w:sz w:val="21"/>
                <w:szCs w:val="21"/>
              </w:rPr>
            </w:pPr>
            <w:r>
              <w:rPr>
                <w:rFonts w:ascii="Times New Roman"/>
                <w:sz w:val="21"/>
              </w:rPr>
              <w:t>1,570,828,835</w:t>
            </w:r>
          </w:p>
        </w:tc>
        <w:tc>
          <w:tcPr>
            <w:tcW w:w="1147" w:type="dxa"/>
            <w:tcBorders>
              <w:top w:val="single" w:sz="4" w:space="0" w:color="000000"/>
              <w:left w:val="single" w:sz="4" w:space="0" w:color="000000"/>
              <w:bottom w:val="single" w:sz="4" w:space="0" w:color="000000"/>
              <w:right w:val="single" w:sz="4" w:space="0" w:color="000000"/>
            </w:tcBorders>
          </w:tcPr>
          <w:p>
            <w:pP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52" w:right="0"/>
              <w:jc w:val="center"/>
              <w:rPr>
                <w:rFonts w:ascii="Times New Roman" w:hAnsi="Times New Roman" w:cs="Times New Roman" w:eastAsia="Times New Roman" w:hint="default"/>
                <w:sz w:val="21"/>
                <w:szCs w:val="21"/>
              </w:rPr>
            </w:pPr>
            <w:r>
              <w:rPr>
                <w:rFonts w:ascii="Times New Roman"/>
                <w:sz w:val="21"/>
              </w:rPr>
              <w:t>1,570,828,835</w:t>
            </w:r>
          </w:p>
        </w:tc>
      </w:tr>
      <w:tr>
        <w:trPr>
          <w:trHeight w:val="283" w:hRule="exact"/>
        </w:trPr>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spacing w:val="-1"/>
                <w:sz w:val="21"/>
              </w:rPr>
              <w:t>4,876,372,024</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3" w:right="0"/>
              <w:jc w:val="center"/>
              <w:rPr>
                <w:rFonts w:ascii="Times New Roman" w:hAnsi="Times New Roman" w:cs="Times New Roman" w:eastAsia="Times New Roman" w:hint="default"/>
                <w:sz w:val="21"/>
                <w:szCs w:val="21"/>
              </w:rPr>
            </w:pPr>
            <w:r>
              <w:rPr>
                <w:rFonts w:ascii="Times New Roman"/>
                <w:sz w:val="21"/>
              </w:rPr>
              <w:t>141,620,173</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center"/>
              <w:rPr>
                <w:rFonts w:ascii="Times New Roman" w:hAnsi="Times New Roman" w:cs="Times New Roman" w:eastAsia="Times New Roman" w:hint="default"/>
                <w:sz w:val="21"/>
                <w:szCs w:val="21"/>
              </w:rPr>
            </w:pPr>
            <w:r>
              <w:rPr>
                <w:rFonts w:ascii="Times New Roman"/>
                <w:sz w:val="21"/>
              </w:rPr>
              <w:t>4,734,751,851</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6" w:right="0"/>
              <w:jc w:val="center"/>
              <w:rPr>
                <w:rFonts w:ascii="Times New Roman" w:hAnsi="Times New Roman" w:cs="Times New Roman" w:eastAsia="Times New Roman" w:hint="default"/>
                <w:sz w:val="21"/>
                <w:szCs w:val="21"/>
              </w:rPr>
            </w:pPr>
            <w:r>
              <w:rPr>
                <w:rFonts w:ascii="Times New Roman"/>
                <w:sz w:val="21"/>
              </w:rPr>
              <w:t>4,725,367,515</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6" w:right="0"/>
              <w:jc w:val="center"/>
              <w:rPr>
                <w:rFonts w:ascii="Times New Roman" w:hAnsi="Times New Roman" w:cs="Times New Roman" w:eastAsia="Times New Roman" w:hint="default"/>
                <w:sz w:val="21"/>
                <w:szCs w:val="21"/>
              </w:rPr>
            </w:pPr>
            <w:r>
              <w:rPr>
                <w:rFonts w:ascii="Times New Roman"/>
                <w:sz w:val="21"/>
              </w:rPr>
              <w:t>115,062,971</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2" w:right="0"/>
              <w:jc w:val="center"/>
              <w:rPr>
                <w:rFonts w:ascii="Times New Roman" w:hAnsi="Times New Roman" w:cs="Times New Roman" w:eastAsia="Times New Roman" w:hint="default"/>
                <w:sz w:val="21"/>
                <w:szCs w:val="21"/>
              </w:rPr>
            </w:pPr>
            <w:r>
              <w:rPr>
                <w:rFonts w:ascii="Times New Roman"/>
                <w:sz w:val="21"/>
              </w:rPr>
              <w:t>4,610,304,544</w:t>
            </w:r>
          </w:p>
        </w:tc>
      </w:tr>
    </w:tbl>
    <w:p>
      <w:pPr>
        <w:spacing w:after="0" w:line="240" w:lineRule="auto"/>
        <w:jc w:val="center"/>
        <w:rPr>
          <w:rFonts w:ascii="Times New Roman" w:hAnsi="Times New Roman" w:cs="Times New Roman" w:eastAsia="Times New Roman" w:hint="default"/>
          <w:sz w:val="21"/>
          <w:szCs w:val="21"/>
        </w:rPr>
        <w:sectPr>
          <w:type w:val="continuous"/>
          <w:pgSz w:w="11910" w:h="16840"/>
          <w:pgMar w:top="1120" w:bottom="1380" w:left="1040" w:right="156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1910" w:h="16840"/>
          <w:pgMar w:header="745" w:footer="1195" w:top="1080" w:bottom="1380" w:left="1060" w:right="1560"/>
        </w:sectPr>
      </w:pPr>
    </w:p>
    <w:p>
      <w:pPr>
        <w:spacing w:before="37"/>
        <w:ind w:left="216" w:right="-11"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pacing w:val="-3"/>
          <w:sz w:val="20"/>
          <w:szCs w:val="20"/>
        </w:rPr>
        <w:t> </w:t>
      </w:r>
      <w:r>
        <w:rPr>
          <w:rFonts w:ascii="宋体" w:hAnsi="宋体" w:cs="宋体" w:eastAsia="宋体" w:hint="default"/>
          <w:b/>
          <w:bCs/>
          <w:sz w:val="20"/>
          <w:szCs w:val="20"/>
        </w:rPr>
        <w:t>对子公司投资</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6" w:right="-11"/>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6"/>
          <w:szCs w:val="26"/>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026" w:space="4167"/>
            <w:col w:w="3097"/>
          </w:cols>
        </w:sectPr>
      </w:pPr>
    </w:p>
    <w:p>
      <w:pPr>
        <w:spacing w:line="240" w:lineRule="auto" w:before="10"/>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779"/>
        <w:gridCol w:w="1325"/>
        <w:gridCol w:w="1178"/>
        <w:gridCol w:w="1181"/>
        <w:gridCol w:w="1325"/>
        <w:gridCol w:w="1082"/>
        <w:gridCol w:w="1179"/>
      </w:tblGrid>
      <w:tr>
        <w:trPr>
          <w:trHeight w:val="946"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283" w:right="0"/>
              <w:jc w:val="left"/>
              <w:rPr>
                <w:rFonts w:ascii="宋体" w:hAnsi="宋体" w:cs="宋体" w:eastAsia="宋体" w:hint="default"/>
                <w:sz w:val="24"/>
                <w:szCs w:val="24"/>
              </w:rPr>
            </w:pPr>
            <w:r>
              <w:rPr>
                <w:rFonts w:ascii="宋体" w:hAnsi="宋体" w:cs="宋体" w:eastAsia="宋体" w:hint="default"/>
                <w:sz w:val="24"/>
                <w:szCs w:val="24"/>
              </w:rPr>
              <w:t>被投资单位</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75" w:right="0"/>
              <w:jc w:val="left"/>
              <w:rPr>
                <w:rFonts w:ascii="宋体" w:hAnsi="宋体" w:cs="宋体" w:eastAsia="宋体" w:hint="default"/>
                <w:sz w:val="24"/>
                <w:szCs w:val="24"/>
              </w:rPr>
            </w:pPr>
            <w:r>
              <w:rPr>
                <w:rFonts w:ascii="宋体" w:hAnsi="宋体" w:cs="宋体" w:eastAsia="宋体" w:hint="default"/>
                <w:sz w:val="24"/>
                <w:szCs w:val="24"/>
              </w:rPr>
              <w:t>期初余额</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24"/>
                <w:szCs w:val="24"/>
              </w:rPr>
            </w:pPr>
            <w:r>
              <w:rPr>
                <w:rFonts w:ascii="宋体" w:hAnsi="宋体" w:cs="宋体" w:eastAsia="宋体" w:hint="default"/>
                <w:sz w:val="24"/>
                <w:szCs w:val="24"/>
              </w:rPr>
              <w:t>本期增加</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05"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75" w:right="0"/>
              <w:jc w:val="left"/>
              <w:rPr>
                <w:rFonts w:ascii="宋体" w:hAnsi="宋体" w:cs="宋体" w:eastAsia="宋体" w:hint="default"/>
                <w:sz w:val="24"/>
                <w:szCs w:val="24"/>
              </w:rPr>
            </w:pPr>
            <w:r>
              <w:rPr>
                <w:rFonts w:ascii="宋体" w:hAnsi="宋体" w:cs="宋体" w:eastAsia="宋体" w:hint="default"/>
                <w:sz w:val="24"/>
                <w:szCs w:val="24"/>
              </w:rPr>
              <w:t>期末余额</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72" w:right="0"/>
              <w:jc w:val="left"/>
              <w:rPr>
                <w:rFonts w:ascii="宋体" w:hAnsi="宋体" w:cs="宋体" w:eastAsia="宋体" w:hint="default"/>
                <w:sz w:val="24"/>
                <w:szCs w:val="24"/>
              </w:rPr>
            </w:pPr>
            <w:r>
              <w:rPr>
                <w:rFonts w:ascii="宋体" w:hAnsi="宋体" w:cs="宋体" w:eastAsia="宋体" w:hint="default"/>
                <w:sz w:val="24"/>
                <w:szCs w:val="24"/>
              </w:rPr>
              <w:t>本期计</w:t>
            </w:r>
          </w:p>
          <w:p>
            <w:pPr>
              <w:pStyle w:val="TableParagraph"/>
              <w:spacing w:line="312" w:lineRule="exact" w:before="28"/>
              <w:ind w:left="292" w:right="179" w:hanging="120"/>
              <w:jc w:val="left"/>
              <w:rPr>
                <w:rFonts w:ascii="宋体" w:hAnsi="宋体" w:cs="宋体" w:eastAsia="宋体" w:hint="default"/>
                <w:sz w:val="24"/>
                <w:szCs w:val="24"/>
              </w:rPr>
            </w:pPr>
            <w:r>
              <w:rPr>
                <w:rFonts w:ascii="宋体" w:hAnsi="宋体" w:cs="宋体" w:eastAsia="宋体" w:hint="default"/>
                <w:sz w:val="24"/>
                <w:szCs w:val="24"/>
              </w:rPr>
              <w:t>提减值 准备</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46"/>
              <w:ind w:left="103" w:right="103"/>
              <w:jc w:val="left"/>
              <w:rPr>
                <w:rFonts w:ascii="宋体" w:hAnsi="宋体" w:cs="宋体" w:eastAsia="宋体" w:hint="default"/>
                <w:sz w:val="24"/>
                <w:szCs w:val="24"/>
              </w:rPr>
            </w:pPr>
            <w:r>
              <w:rPr>
                <w:rFonts w:ascii="宋体" w:hAnsi="宋体" w:cs="宋体" w:eastAsia="宋体" w:hint="default"/>
                <w:sz w:val="24"/>
                <w:szCs w:val="24"/>
              </w:rPr>
              <w:t>减值准备 期末余额</w:t>
            </w: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03" w:right="0"/>
              <w:jc w:val="left"/>
              <w:rPr>
                <w:rFonts w:ascii="宋体" w:hAnsi="宋体" w:cs="宋体" w:eastAsia="宋体" w:hint="default"/>
                <w:sz w:val="24"/>
                <w:szCs w:val="24"/>
              </w:rPr>
            </w:pPr>
            <w:r>
              <w:rPr>
                <w:rFonts w:ascii="宋体" w:hAnsi="宋体" w:cs="宋体" w:eastAsia="宋体" w:hint="default"/>
                <w:sz w:val="24"/>
                <w:szCs w:val="24"/>
              </w:rPr>
              <w:t>用友政务</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496,252,99</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2</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29" w:right="0"/>
              <w:jc w:val="left"/>
              <w:rPr>
                <w:rFonts w:ascii="Times New Roman" w:hAnsi="Times New Roman" w:cs="Times New Roman" w:eastAsia="Times New Roman" w:hint="default"/>
                <w:sz w:val="24"/>
                <w:szCs w:val="24"/>
              </w:rPr>
            </w:pPr>
            <w:r>
              <w:rPr>
                <w:rFonts w:ascii="Times New Roman"/>
                <w:sz w:val="24"/>
              </w:rPr>
              <w:t>496,252,9</w:t>
            </w:r>
          </w:p>
          <w:p>
            <w:pPr>
              <w:pStyle w:val="TableParagraph"/>
              <w:spacing w:line="240" w:lineRule="auto"/>
              <w:ind w:left="849" w:right="0"/>
              <w:jc w:val="left"/>
              <w:rPr>
                <w:rFonts w:ascii="Times New Roman" w:hAnsi="Times New Roman" w:cs="Times New Roman" w:eastAsia="Times New Roman" w:hint="default"/>
                <w:sz w:val="24"/>
                <w:szCs w:val="24"/>
              </w:rPr>
            </w:pPr>
            <w:r>
              <w:rPr>
                <w:rFonts w:ascii="Times New Roman"/>
                <w:sz w:val="24"/>
              </w:rPr>
              <w:t>92</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用友汽车</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486,090,00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486,090,00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畅捷支付</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276,485,84</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9</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276,485,84</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9</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创新投资</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227,700,00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227,700,0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00</w:t>
            </w:r>
          </w:p>
        </w:tc>
        <w:tc>
          <w:tcPr>
            <w:tcW w:w="1325"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畅捷通</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220,060,62</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3</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220,060,62</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3</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40"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用友优普</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200,000,00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200,000,00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秉钧网络</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175,000,00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175,000,00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26,557,2</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02</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70,228,20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2</w:t>
            </w: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三亚用友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100,000,00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100,000,00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用友医疗</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80,000,000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80,000,000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Times New Roman" w:hAnsi="Times New Roman" w:cs="Times New Roman" w:eastAsia="Times New Roman" w:hint="default"/>
                <w:sz w:val="24"/>
                <w:szCs w:val="24"/>
              </w:rPr>
            </w:pPr>
            <w:r>
              <w:rPr>
                <w:rFonts w:ascii="宋体" w:hAnsi="宋体" w:cs="宋体" w:eastAsia="宋体" w:hint="default"/>
                <w:sz w:val="24"/>
                <w:szCs w:val="24"/>
              </w:rPr>
              <w:t>用友</w:t>
            </w:r>
            <w:r>
              <w:rPr>
                <w:rFonts w:ascii="Times New Roman" w:hAnsi="Times New Roman" w:cs="Times New Roman" w:eastAsia="Times New Roman" w:hint="default"/>
                <w:sz w:val="24"/>
                <w:szCs w:val="24"/>
              </w:rPr>
              <w:t>(</w:t>
            </w:r>
            <w:r>
              <w:rPr>
                <w:rFonts w:ascii="宋体" w:hAnsi="宋体" w:cs="宋体" w:eastAsia="宋体" w:hint="default"/>
                <w:sz w:val="24"/>
                <w:szCs w:val="24"/>
              </w:rPr>
              <w:t>南昌</w:t>
            </w:r>
            <w:r>
              <w:rPr>
                <w:rFonts w:ascii="Times New Roman" w:hAnsi="Times New Roman" w:cs="Times New Roman" w:eastAsia="Times New Roman" w:hint="default"/>
                <w:sz w:val="24"/>
                <w:szCs w:val="24"/>
              </w:rPr>
              <w:t>)</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80,000,000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80,000,000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友太安保险</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79,680,000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79,680,000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深圳用友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63,000,000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63,000,000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40"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用友超客</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60,000,000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60,000,000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46,698,50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w:t>
            </w: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214"/>
              <w:jc w:val="left"/>
              <w:rPr>
                <w:rFonts w:ascii="Times New Roman" w:hAnsi="Times New Roman" w:cs="Times New Roman" w:eastAsia="Times New Roman" w:hint="default"/>
                <w:sz w:val="24"/>
                <w:szCs w:val="24"/>
              </w:rPr>
            </w:pPr>
            <w:r>
              <w:rPr>
                <w:rFonts w:ascii="Times New Roman"/>
                <w:sz w:val="24"/>
              </w:rPr>
              <w:t>YONYOU</w:t>
            </w:r>
            <w:r>
              <w:rPr>
                <w:rFonts w:ascii="Times New Roman"/>
                <w:spacing w:val="-1"/>
                <w:w w:val="99"/>
                <w:sz w:val="24"/>
              </w:rPr>
              <w:t> </w:t>
            </w:r>
            <w:r>
              <w:rPr>
                <w:rFonts w:ascii="Times New Roman"/>
                <w:sz w:val="24"/>
              </w:rPr>
              <w:t>INTERNATIO</w:t>
            </w:r>
            <w:r>
              <w:rPr>
                <w:rFonts w:ascii="Times New Roman"/>
                <w:w w:val="99"/>
                <w:sz w:val="24"/>
              </w:rPr>
              <w:t> </w:t>
            </w:r>
            <w:r>
              <w:rPr>
                <w:rFonts w:ascii="Times New Roman"/>
                <w:sz w:val="24"/>
              </w:rPr>
              <w:t>NAL</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59,260,659</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59,260,659</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06" w:right="0"/>
              <w:jc w:val="left"/>
              <w:rPr>
                <w:rFonts w:ascii="Times New Roman" w:hAnsi="Times New Roman" w:cs="Times New Roman" w:eastAsia="Times New Roman" w:hint="default"/>
                <w:sz w:val="24"/>
                <w:szCs w:val="24"/>
              </w:rPr>
            </w:pPr>
            <w:r>
              <w:rPr>
                <w:rFonts w:ascii="Times New Roman"/>
                <w:sz w:val="24"/>
              </w:rPr>
              <w:t>6,300,755</w:t>
            </w: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用友金融</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50,000,000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50,000,000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用友云创投</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50,000,000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60,000,00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29" w:right="0"/>
              <w:jc w:val="left"/>
              <w:rPr>
                <w:rFonts w:ascii="Times New Roman" w:hAnsi="Times New Roman" w:cs="Times New Roman" w:eastAsia="Times New Roman" w:hint="default"/>
                <w:sz w:val="24"/>
                <w:szCs w:val="24"/>
              </w:rPr>
            </w:pPr>
            <w:r>
              <w:rPr>
                <w:rFonts w:ascii="Times New Roman"/>
                <w:sz w:val="24"/>
              </w:rPr>
              <w:t>110,000,00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1779"/>
        <w:gridCol w:w="1325"/>
        <w:gridCol w:w="1178"/>
        <w:gridCol w:w="1181"/>
        <w:gridCol w:w="1325"/>
        <w:gridCol w:w="1082"/>
        <w:gridCol w:w="1179"/>
      </w:tblGrid>
      <w:tr>
        <w:trPr>
          <w:trHeight w:val="286" w:hRule="exact"/>
        </w:trPr>
        <w:tc>
          <w:tcPr>
            <w:tcW w:w="177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新道科技</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46,652,000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46,652,000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用友建筑</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44,000,000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44,000,000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4"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用友能源</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40,000,000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37,000,00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77,000,000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用友广信</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37,500,000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37,500,000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用友力合</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36,000,000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36,000,000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长伴咨询</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30,000,000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30,000,000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北京薪福社</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30,000,000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01"/>
              <w:jc w:val="right"/>
              <w:rPr>
                <w:rFonts w:ascii="Times New Roman" w:hAnsi="Times New Roman" w:cs="Times New Roman" w:eastAsia="Times New Roman" w:hint="default"/>
                <w:sz w:val="24"/>
                <w:szCs w:val="24"/>
              </w:rPr>
            </w:pPr>
            <w:r>
              <w:rPr>
                <w:rFonts w:ascii="Times New Roman"/>
                <w:sz w:val="24"/>
              </w:rPr>
              <w:t>30,000,00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w:t>
            </w:r>
          </w:p>
        </w:tc>
        <w:tc>
          <w:tcPr>
            <w:tcW w:w="1325"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用友薪福社</w:t>
            </w:r>
          </w:p>
        </w:tc>
        <w:tc>
          <w:tcPr>
            <w:tcW w:w="1325" w:type="dxa"/>
            <w:tcBorders>
              <w:top w:val="single" w:sz="4" w:space="0" w:color="000000"/>
              <w:left w:val="single" w:sz="4" w:space="0" w:color="000000"/>
              <w:bottom w:val="single" w:sz="4" w:space="0" w:color="000000"/>
              <w:right w:val="single" w:sz="4" w:space="0" w:color="000000"/>
            </w:tcBorders>
          </w:tcPr>
          <w:p>
            <w:pP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37,500,00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37,500,000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红火台</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27,500,000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11,000,00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38,500,000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4"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江西用友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20,000,000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20,000,000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用友移动</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15,100,000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15,100,000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厦门烟草</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14,600,000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14,600,000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用友审计</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13,685,542</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13,685,54</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2</w:t>
            </w:r>
          </w:p>
        </w:tc>
        <w:tc>
          <w:tcPr>
            <w:tcW w:w="1325"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用友云达</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10,000,000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18,600,00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28,600,000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10,000,00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w:t>
            </w: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用友工业互联</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4"/>
              <w:jc w:val="right"/>
              <w:rPr>
                <w:rFonts w:ascii="Times New Roman" w:hAnsi="Times New Roman" w:cs="Times New Roman" w:eastAsia="Times New Roman" w:hint="default"/>
                <w:sz w:val="24"/>
                <w:szCs w:val="24"/>
              </w:rPr>
            </w:pPr>
            <w:r>
              <w:rPr>
                <w:rFonts w:ascii="Times New Roman"/>
                <w:sz w:val="24"/>
              </w:rPr>
              <w:t>10,000,000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10,000,000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用友产投</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8,750,000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5" w:right="0"/>
              <w:jc w:val="left"/>
              <w:rPr>
                <w:rFonts w:ascii="Times New Roman" w:hAnsi="Times New Roman" w:cs="Times New Roman" w:eastAsia="Times New Roman" w:hint="default"/>
                <w:sz w:val="24"/>
                <w:szCs w:val="24"/>
              </w:rPr>
            </w:pPr>
            <w:r>
              <w:rPr>
                <w:rFonts w:ascii="Times New Roman"/>
                <w:sz w:val="24"/>
              </w:rPr>
              <w:t>7,000,000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15,750,000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5"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用友艾福斯</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8,392,716</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8,392,716</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left="106" w:right="0"/>
              <w:jc w:val="left"/>
              <w:rPr>
                <w:rFonts w:ascii="Times New Roman" w:hAnsi="Times New Roman" w:cs="Times New Roman" w:eastAsia="Times New Roman" w:hint="default"/>
                <w:sz w:val="24"/>
                <w:szCs w:val="24"/>
              </w:rPr>
            </w:pPr>
            <w:r>
              <w:rPr>
                <w:rFonts w:ascii="Times New Roman"/>
                <w:sz w:val="24"/>
              </w:rPr>
              <w:t>8,392,716</w:t>
            </w:r>
          </w:p>
        </w:tc>
      </w:tr>
      <w:tr>
        <w:trPr>
          <w:trHeight w:val="319"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幸福云创</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8,217,300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8,217,300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广东用友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7,890,000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7,890,000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天津用友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7,019,999</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7,019,999</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宁波用友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5,000,000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5,000,000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浙江用友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4,500,000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4,500,000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山东用友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4,500,000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4,500,000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幸福投资</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3,750,000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3,750,000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沈阳用友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2,700,000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2,700,000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大连用友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2,700,000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2,700,000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1195" w:top="1080" w:bottom="1380" w:left="1060" w:right="156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1779"/>
        <w:gridCol w:w="1325"/>
        <w:gridCol w:w="1178"/>
        <w:gridCol w:w="1181"/>
        <w:gridCol w:w="1325"/>
        <w:gridCol w:w="1082"/>
        <w:gridCol w:w="1179"/>
      </w:tblGrid>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广西用友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2,700,000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2,700,000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湖南用友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2,700,000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2,700,000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内蒙古用友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2,700,000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2,700,000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滨海用友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1,800,000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7" w:right="0"/>
              <w:jc w:val="left"/>
              <w:rPr>
                <w:rFonts w:ascii="Times New Roman" w:hAnsi="Times New Roman" w:cs="Times New Roman" w:eastAsia="Times New Roman" w:hint="default"/>
                <w:sz w:val="24"/>
                <w:szCs w:val="24"/>
              </w:rPr>
            </w:pPr>
            <w:r>
              <w:rPr>
                <w:rFonts w:ascii="Times New Roman"/>
                <w:sz w:val="24"/>
              </w:rPr>
              <w:t>1,800,000</w:t>
            </w:r>
          </w:p>
        </w:tc>
        <w:tc>
          <w:tcPr>
            <w:tcW w:w="1325"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灏麓梵科技</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4"/>
              <w:jc w:val="right"/>
              <w:rPr>
                <w:rFonts w:ascii="Times New Roman" w:hAnsi="Times New Roman" w:cs="Times New Roman" w:eastAsia="Times New Roman" w:hint="default"/>
                <w:sz w:val="24"/>
                <w:szCs w:val="24"/>
              </w:rPr>
            </w:pPr>
            <w:r>
              <w:rPr>
                <w:rFonts w:ascii="Times New Roman"/>
                <w:sz w:val="24"/>
              </w:rPr>
              <w:t>1,000,000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3"/>
              <w:jc w:val="right"/>
              <w:rPr>
                <w:rFonts w:ascii="Times New Roman" w:hAnsi="Times New Roman" w:cs="Times New Roman" w:eastAsia="Times New Roman" w:hint="default"/>
                <w:sz w:val="24"/>
                <w:szCs w:val="24"/>
              </w:rPr>
            </w:pPr>
            <w:r>
              <w:rPr>
                <w:rFonts w:ascii="Times New Roman"/>
                <w:sz w:val="24"/>
              </w:rPr>
              <w:t>1,000,000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安徽用友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876,000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876,000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重庆用友</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675,000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675,000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点点亮科技</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4"/>
              <w:jc w:val="right"/>
              <w:rPr>
                <w:rFonts w:ascii="Times New Roman" w:hAnsi="Times New Roman" w:cs="Times New Roman" w:eastAsia="Times New Roman" w:hint="default"/>
                <w:sz w:val="24"/>
                <w:szCs w:val="24"/>
              </w:rPr>
            </w:pPr>
            <w:r>
              <w:rPr>
                <w:rFonts w:ascii="Times New Roman"/>
                <w:sz w:val="24"/>
              </w:rPr>
              <w:t>100,000</w:t>
            </w:r>
          </w:p>
        </w:tc>
        <w:tc>
          <w:tcPr>
            <w:tcW w:w="1178"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青岛用友云创</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投</w:t>
            </w:r>
          </w:p>
        </w:tc>
        <w:tc>
          <w:tcPr>
            <w:tcW w:w="1325" w:type="dxa"/>
            <w:tcBorders>
              <w:top w:val="single" w:sz="4" w:space="0" w:color="000000"/>
              <w:left w:val="single" w:sz="4" w:space="0" w:color="000000"/>
              <w:bottom w:val="single" w:sz="4" w:space="0" w:color="000000"/>
              <w:right w:val="single" w:sz="4" w:space="0" w:color="000000"/>
            </w:tcBorders>
          </w:tcPr>
          <w:p>
            <w:pP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40,000,00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40,000,000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03" w:right="0"/>
              <w:jc w:val="left"/>
              <w:rPr>
                <w:rFonts w:ascii="宋体" w:hAnsi="宋体" w:cs="宋体" w:eastAsia="宋体" w:hint="default"/>
                <w:sz w:val="24"/>
                <w:szCs w:val="24"/>
              </w:rPr>
            </w:pPr>
            <w:r>
              <w:rPr>
                <w:rFonts w:ascii="宋体" w:hAnsi="宋体" w:cs="宋体" w:eastAsia="宋体" w:hint="default"/>
                <w:sz w:val="24"/>
                <w:szCs w:val="24"/>
              </w:rPr>
              <w:t>幸福创新二期</w:t>
            </w:r>
          </w:p>
        </w:tc>
        <w:tc>
          <w:tcPr>
            <w:tcW w:w="1325" w:type="dxa"/>
            <w:tcBorders>
              <w:top w:val="single" w:sz="4" w:space="0" w:color="000000"/>
              <w:left w:val="single" w:sz="4" w:space="0" w:color="000000"/>
              <w:bottom w:val="single" w:sz="4" w:space="0" w:color="000000"/>
              <w:right w:val="single" w:sz="4" w:space="0" w:color="000000"/>
            </w:tcBorders>
          </w:tcPr>
          <w:p>
            <w:pP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198,000,0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00</w:t>
            </w:r>
          </w:p>
        </w:tc>
        <w:tc>
          <w:tcPr>
            <w:tcW w:w="1181"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198,000,00</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w:t>
            </w:r>
          </w:p>
        </w:tc>
        <w:tc>
          <w:tcPr>
            <w:tcW w:w="1082"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r>
      <w:tr>
        <w:trPr>
          <w:trHeight w:val="562" w:hRule="exact"/>
        </w:trPr>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宋体" w:hAnsi="宋体" w:cs="宋体" w:eastAsia="宋体" w:hint="default"/>
                <w:sz w:val="24"/>
                <w:szCs w:val="24"/>
              </w:rPr>
            </w:pPr>
            <w:r>
              <w:rPr>
                <w:rFonts w:ascii="宋体" w:hAnsi="宋体" w:cs="宋体" w:eastAsia="宋体" w:hint="default"/>
                <w:sz w:val="24"/>
                <w:szCs w:val="24"/>
              </w:rPr>
              <w:t>合计</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89" w:right="0"/>
              <w:jc w:val="left"/>
              <w:rPr>
                <w:rFonts w:ascii="Times New Roman" w:hAnsi="Times New Roman" w:cs="Times New Roman" w:eastAsia="Times New Roman" w:hint="default"/>
                <w:sz w:val="24"/>
                <w:szCs w:val="24"/>
              </w:rPr>
            </w:pPr>
            <w:r>
              <w:rPr>
                <w:rFonts w:ascii="Times New Roman"/>
                <w:sz w:val="24"/>
              </w:rPr>
              <w:t>3,154,538,</w:t>
            </w:r>
          </w:p>
          <w:p>
            <w:pPr>
              <w:pStyle w:val="TableParagraph"/>
              <w:spacing w:line="240" w:lineRule="auto"/>
              <w:ind w:left="849" w:right="0"/>
              <w:jc w:val="left"/>
              <w:rPr>
                <w:rFonts w:ascii="Times New Roman" w:hAnsi="Times New Roman" w:cs="Times New Roman" w:eastAsia="Times New Roman" w:hint="default"/>
                <w:sz w:val="24"/>
                <w:szCs w:val="24"/>
              </w:rPr>
            </w:pPr>
            <w:r>
              <w:rPr>
                <w:rFonts w:ascii="Times New Roman"/>
                <w:sz w:val="24"/>
              </w:rPr>
              <w:t>680</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409,100,0</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273,185,5</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42</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89" w:right="0"/>
              <w:jc w:val="left"/>
              <w:rPr>
                <w:rFonts w:ascii="Times New Roman" w:hAnsi="Times New Roman" w:cs="Times New Roman" w:eastAsia="Times New Roman" w:hint="default"/>
                <w:sz w:val="24"/>
                <w:szCs w:val="24"/>
              </w:rPr>
            </w:pPr>
            <w:r>
              <w:rPr>
                <w:rFonts w:ascii="Times New Roman"/>
                <w:sz w:val="24"/>
              </w:rPr>
              <w:t>3,290,453,</w:t>
            </w:r>
          </w:p>
          <w:p>
            <w:pPr>
              <w:pStyle w:val="TableParagraph"/>
              <w:spacing w:line="240" w:lineRule="auto"/>
              <w:ind w:left="849" w:right="0"/>
              <w:jc w:val="left"/>
              <w:rPr>
                <w:rFonts w:ascii="Times New Roman" w:hAnsi="Times New Roman" w:cs="Times New Roman" w:eastAsia="Times New Roman" w:hint="default"/>
                <w:sz w:val="24"/>
                <w:szCs w:val="24"/>
              </w:rPr>
            </w:pPr>
            <w:r>
              <w:rPr>
                <w:rFonts w:ascii="Times New Roman"/>
                <w:sz w:val="24"/>
              </w:rPr>
              <w:t>138</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3"/>
              <w:jc w:val="right"/>
              <w:rPr>
                <w:rFonts w:ascii="Times New Roman" w:hAnsi="Times New Roman" w:cs="Times New Roman" w:eastAsia="Times New Roman" w:hint="default"/>
                <w:sz w:val="24"/>
                <w:szCs w:val="24"/>
              </w:rPr>
            </w:pPr>
            <w:r>
              <w:rPr>
                <w:rFonts w:ascii="Times New Roman"/>
                <w:sz w:val="24"/>
              </w:rPr>
              <w:t>26,557,2</w:t>
            </w:r>
          </w:p>
          <w:p>
            <w:pPr>
              <w:pStyle w:val="TableParagraph"/>
              <w:spacing w:line="240" w:lineRule="auto"/>
              <w:ind w:right="103"/>
              <w:jc w:val="right"/>
              <w:rPr>
                <w:rFonts w:ascii="Times New Roman" w:hAnsi="Times New Roman" w:cs="Times New Roman" w:eastAsia="Times New Roman" w:hint="default"/>
                <w:sz w:val="24"/>
                <w:szCs w:val="24"/>
              </w:rPr>
            </w:pPr>
            <w:r>
              <w:rPr>
                <w:rFonts w:ascii="Times New Roman"/>
                <w:sz w:val="24"/>
              </w:rPr>
              <w:t>02</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141,620,1</w:t>
            </w: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73</w:t>
            </w:r>
          </w:p>
        </w:tc>
      </w:tr>
    </w:tbl>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7"/>
          <w:szCs w:val="27"/>
        </w:rPr>
      </w:pPr>
    </w:p>
    <w:p>
      <w:pPr>
        <w:spacing w:after="0" w:line="240" w:lineRule="auto"/>
        <w:rPr>
          <w:rFonts w:ascii="Times New Roman" w:hAnsi="Times New Roman" w:cs="Times New Roman" w:eastAsia="Times New Roman" w:hint="default"/>
          <w:sz w:val="27"/>
          <w:szCs w:val="27"/>
        </w:rPr>
        <w:sectPr>
          <w:pgSz w:w="11910" w:h="16840"/>
          <w:pgMar w:header="745" w:footer="1195" w:top="1080" w:bottom="1380" w:left="1060" w:right="1560"/>
        </w:sectPr>
      </w:pPr>
    </w:p>
    <w:p>
      <w:pPr>
        <w:spacing w:before="37"/>
        <w:ind w:left="216" w:right="0" w:firstLine="0"/>
        <w:jc w:val="left"/>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pacing w:val="-2"/>
          <w:sz w:val="20"/>
          <w:szCs w:val="20"/>
        </w:rPr>
        <w:t> </w:t>
      </w:r>
      <w:r>
        <w:rPr>
          <w:rFonts w:ascii="宋体" w:hAnsi="宋体" w:cs="宋体" w:eastAsia="宋体" w:hint="default"/>
          <w:b/>
          <w:bCs/>
          <w:sz w:val="20"/>
          <w:szCs w:val="20"/>
        </w:rPr>
        <w:t>对联营、合营企业投资</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6" w:right="0"/>
        <w:jc w:val="left"/>
      </w:pPr>
      <w:r>
        <w:rPr/>
        <w:t>√适用 □不适用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6"/>
        <w:rPr>
          <w:rFonts w:ascii="宋体" w:hAnsi="宋体" w:cs="宋体" w:eastAsia="宋体" w:hint="default"/>
          <w:sz w:val="26"/>
          <w:szCs w:val="26"/>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830" w:space="3363"/>
            <w:col w:w="3097"/>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826"/>
        <w:gridCol w:w="758"/>
        <w:gridCol w:w="758"/>
        <w:gridCol w:w="670"/>
        <w:gridCol w:w="787"/>
        <w:gridCol w:w="708"/>
        <w:gridCol w:w="708"/>
        <w:gridCol w:w="785"/>
        <w:gridCol w:w="775"/>
        <w:gridCol w:w="756"/>
        <w:gridCol w:w="771"/>
        <w:gridCol w:w="737"/>
      </w:tblGrid>
      <w:tr>
        <w:trPr>
          <w:trHeight w:val="322" w:hRule="exact"/>
        </w:trPr>
        <w:tc>
          <w:tcPr>
            <w:tcW w:w="8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68" w:right="167"/>
              <w:jc w:val="left"/>
              <w:rPr>
                <w:rFonts w:ascii="宋体" w:hAnsi="宋体" w:cs="宋体" w:eastAsia="宋体" w:hint="default"/>
                <w:sz w:val="24"/>
                <w:szCs w:val="24"/>
              </w:rPr>
            </w:pPr>
            <w:r>
              <w:rPr>
                <w:rFonts w:ascii="宋体" w:hAnsi="宋体" w:cs="宋体" w:eastAsia="宋体" w:hint="default"/>
                <w:sz w:val="24"/>
                <w:szCs w:val="24"/>
              </w:rPr>
              <w:t>投资 单位</w:t>
            </w:r>
          </w:p>
        </w:tc>
        <w:tc>
          <w:tcPr>
            <w:tcW w:w="75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31" w:right="134"/>
              <w:jc w:val="left"/>
              <w:rPr>
                <w:rFonts w:ascii="宋体" w:hAnsi="宋体" w:cs="宋体" w:eastAsia="宋体" w:hint="default"/>
                <w:sz w:val="24"/>
                <w:szCs w:val="24"/>
              </w:rPr>
            </w:pPr>
            <w:r>
              <w:rPr>
                <w:rFonts w:ascii="宋体" w:hAnsi="宋体" w:cs="宋体" w:eastAsia="宋体" w:hint="default"/>
                <w:sz w:val="24"/>
                <w:szCs w:val="24"/>
              </w:rPr>
              <w:t>期初 余额</w:t>
            </w:r>
          </w:p>
        </w:tc>
        <w:tc>
          <w:tcPr>
            <w:tcW w:w="5948" w:type="dxa"/>
            <w:gridSpan w:val="8"/>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宋体" w:hAnsi="宋体" w:cs="宋体" w:eastAsia="宋体" w:hint="default"/>
                <w:sz w:val="24"/>
                <w:szCs w:val="24"/>
              </w:rPr>
            </w:pPr>
            <w:r>
              <w:rPr>
                <w:rFonts w:ascii="宋体" w:hAnsi="宋体" w:cs="宋体" w:eastAsia="宋体" w:hint="default"/>
                <w:sz w:val="24"/>
                <w:szCs w:val="24"/>
              </w:rPr>
              <w:t>本期增减变动</w:t>
            </w:r>
          </w:p>
        </w:tc>
        <w:tc>
          <w:tcPr>
            <w:tcW w:w="77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39" w:right="140"/>
              <w:jc w:val="left"/>
              <w:rPr>
                <w:rFonts w:ascii="宋体" w:hAnsi="宋体" w:cs="宋体" w:eastAsia="宋体" w:hint="default"/>
                <w:sz w:val="24"/>
                <w:szCs w:val="24"/>
              </w:rPr>
            </w:pPr>
            <w:r>
              <w:rPr>
                <w:rFonts w:ascii="宋体" w:hAnsi="宋体" w:cs="宋体" w:eastAsia="宋体" w:hint="default"/>
                <w:sz w:val="24"/>
                <w:szCs w:val="24"/>
              </w:rPr>
              <w:t>期末 余额</w:t>
            </w:r>
          </w:p>
        </w:tc>
        <w:tc>
          <w:tcPr>
            <w:tcW w:w="737"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33"/>
                <w:szCs w:val="33"/>
              </w:rPr>
            </w:pPr>
          </w:p>
          <w:p>
            <w:pPr>
              <w:pStyle w:val="TableParagraph"/>
              <w:spacing w:line="237" w:lineRule="auto"/>
              <w:ind w:left="122" w:right="122"/>
              <w:jc w:val="both"/>
              <w:rPr>
                <w:rFonts w:ascii="宋体" w:hAnsi="宋体" w:cs="宋体" w:eastAsia="宋体" w:hint="default"/>
                <w:sz w:val="24"/>
                <w:szCs w:val="24"/>
              </w:rPr>
            </w:pPr>
            <w:r>
              <w:rPr>
                <w:rFonts w:ascii="宋体" w:hAnsi="宋体" w:cs="宋体" w:eastAsia="宋体" w:hint="default"/>
                <w:sz w:val="24"/>
                <w:szCs w:val="24"/>
              </w:rPr>
              <w:t>减值 准备 期末 余额</w:t>
            </w:r>
          </w:p>
        </w:tc>
      </w:tr>
      <w:tr>
        <w:trPr>
          <w:trHeight w:val="1877" w:hRule="exact"/>
        </w:trPr>
        <w:tc>
          <w:tcPr>
            <w:tcW w:w="826" w:type="dxa"/>
            <w:vMerge/>
            <w:tcBorders>
              <w:left w:val="single" w:sz="4" w:space="0" w:color="000000"/>
              <w:bottom w:val="single" w:sz="4" w:space="0" w:color="000000"/>
              <w:right w:val="single" w:sz="4" w:space="0" w:color="000000"/>
            </w:tcBorders>
          </w:tcPr>
          <w:p>
            <w:pPr/>
          </w:p>
        </w:tc>
        <w:tc>
          <w:tcPr>
            <w:tcW w:w="758" w:type="dxa"/>
            <w:vMerge/>
            <w:tcBorders>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31" w:right="134"/>
              <w:jc w:val="left"/>
              <w:rPr>
                <w:rFonts w:ascii="宋体" w:hAnsi="宋体" w:cs="宋体" w:eastAsia="宋体" w:hint="default"/>
                <w:sz w:val="24"/>
                <w:szCs w:val="24"/>
              </w:rPr>
            </w:pPr>
            <w:r>
              <w:rPr>
                <w:rFonts w:ascii="宋体" w:hAnsi="宋体" w:cs="宋体" w:eastAsia="宋体" w:hint="default"/>
                <w:sz w:val="24"/>
                <w:szCs w:val="24"/>
              </w:rPr>
              <w:t>追加 投资</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37" w:lineRule="auto"/>
              <w:ind w:left="208" w:right="209"/>
              <w:jc w:val="both"/>
              <w:rPr>
                <w:rFonts w:ascii="宋体" w:hAnsi="宋体" w:cs="宋体" w:eastAsia="宋体" w:hint="default"/>
                <w:sz w:val="24"/>
                <w:szCs w:val="24"/>
              </w:rPr>
            </w:pPr>
            <w:r>
              <w:rPr>
                <w:rFonts w:ascii="宋体" w:hAnsi="宋体" w:cs="宋体" w:eastAsia="宋体" w:hint="default"/>
                <w:sz w:val="24"/>
                <w:szCs w:val="24"/>
              </w:rPr>
              <w:t>减 少 投 资</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48" w:right="0"/>
              <w:jc w:val="both"/>
              <w:rPr>
                <w:rFonts w:ascii="宋体" w:hAnsi="宋体" w:cs="宋体" w:eastAsia="宋体" w:hint="default"/>
                <w:sz w:val="24"/>
                <w:szCs w:val="24"/>
              </w:rPr>
            </w:pPr>
            <w:r>
              <w:rPr>
                <w:rFonts w:ascii="宋体" w:hAnsi="宋体" w:cs="宋体" w:eastAsia="宋体" w:hint="default"/>
                <w:sz w:val="24"/>
                <w:szCs w:val="24"/>
              </w:rPr>
              <w:t>权益</w:t>
            </w:r>
          </w:p>
          <w:p>
            <w:pPr>
              <w:pStyle w:val="TableParagraph"/>
              <w:spacing w:line="237" w:lineRule="auto" w:before="1"/>
              <w:ind w:left="148" w:right="146"/>
              <w:jc w:val="both"/>
              <w:rPr>
                <w:rFonts w:ascii="宋体" w:hAnsi="宋体" w:cs="宋体" w:eastAsia="宋体" w:hint="default"/>
                <w:sz w:val="24"/>
                <w:szCs w:val="24"/>
              </w:rPr>
            </w:pPr>
            <w:r>
              <w:rPr>
                <w:rFonts w:ascii="宋体" w:hAnsi="宋体" w:cs="宋体" w:eastAsia="宋体" w:hint="default"/>
                <w:sz w:val="24"/>
                <w:szCs w:val="24"/>
              </w:rPr>
              <w:t>法下 确认 的投 资损 益</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37" w:lineRule="auto"/>
              <w:ind w:left="108" w:right="108"/>
              <w:jc w:val="both"/>
              <w:rPr>
                <w:rFonts w:ascii="宋体" w:hAnsi="宋体" w:cs="宋体" w:eastAsia="宋体" w:hint="default"/>
                <w:sz w:val="24"/>
                <w:szCs w:val="24"/>
              </w:rPr>
            </w:pPr>
            <w:r>
              <w:rPr>
                <w:rFonts w:ascii="宋体" w:hAnsi="宋体" w:cs="宋体" w:eastAsia="宋体" w:hint="default"/>
                <w:sz w:val="24"/>
                <w:szCs w:val="24"/>
              </w:rPr>
              <w:t>其他 综合 收益 调整</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37" w:lineRule="auto"/>
              <w:ind w:left="107" w:right="108"/>
              <w:jc w:val="both"/>
              <w:rPr>
                <w:rFonts w:ascii="宋体" w:hAnsi="宋体" w:cs="宋体" w:eastAsia="宋体" w:hint="default"/>
                <w:sz w:val="24"/>
                <w:szCs w:val="24"/>
              </w:rPr>
            </w:pPr>
            <w:r>
              <w:rPr>
                <w:rFonts w:ascii="宋体" w:hAnsi="宋体" w:cs="宋体" w:eastAsia="宋体" w:hint="default"/>
                <w:sz w:val="24"/>
                <w:szCs w:val="24"/>
              </w:rPr>
              <w:t>其他 权益 变动</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46" w:right="0"/>
              <w:jc w:val="both"/>
              <w:rPr>
                <w:rFonts w:ascii="宋体" w:hAnsi="宋体" w:cs="宋体" w:eastAsia="宋体" w:hint="default"/>
                <w:sz w:val="24"/>
                <w:szCs w:val="24"/>
              </w:rPr>
            </w:pPr>
            <w:r>
              <w:rPr>
                <w:rFonts w:ascii="宋体" w:hAnsi="宋体" w:cs="宋体" w:eastAsia="宋体" w:hint="default"/>
                <w:sz w:val="24"/>
                <w:szCs w:val="24"/>
              </w:rPr>
              <w:t>宣告</w:t>
            </w:r>
          </w:p>
          <w:p>
            <w:pPr>
              <w:pStyle w:val="TableParagraph"/>
              <w:spacing w:line="237" w:lineRule="auto" w:before="1"/>
              <w:ind w:left="146" w:right="146"/>
              <w:jc w:val="both"/>
              <w:rPr>
                <w:rFonts w:ascii="宋体" w:hAnsi="宋体" w:cs="宋体" w:eastAsia="宋体" w:hint="default"/>
                <w:sz w:val="24"/>
                <w:szCs w:val="24"/>
              </w:rPr>
            </w:pPr>
            <w:r>
              <w:rPr>
                <w:rFonts w:ascii="宋体" w:hAnsi="宋体" w:cs="宋体" w:eastAsia="宋体" w:hint="default"/>
                <w:sz w:val="24"/>
                <w:szCs w:val="24"/>
              </w:rPr>
              <w:t>发放 现金 股利 或利 润</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37" w:lineRule="auto"/>
              <w:ind w:left="141" w:right="143"/>
              <w:jc w:val="both"/>
              <w:rPr>
                <w:rFonts w:ascii="宋体" w:hAnsi="宋体" w:cs="宋体" w:eastAsia="宋体" w:hint="default"/>
                <w:sz w:val="24"/>
                <w:szCs w:val="24"/>
              </w:rPr>
            </w:pPr>
            <w:r>
              <w:rPr>
                <w:rFonts w:ascii="宋体" w:hAnsi="宋体" w:cs="宋体" w:eastAsia="宋体" w:hint="default"/>
                <w:sz w:val="24"/>
                <w:szCs w:val="24"/>
              </w:rPr>
              <w:t>计提 减值 准备</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5"/>
              <w:ind w:right="0"/>
              <w:jc w:val="left"/>
              <w:rPr>
                <w:rFonts w:ascii="宋体" w:hAnsi="宋体" w:cs="宋体" w:eastAsia="宋体" w:hint="default"/>
                <w:sz w:val="32"/>
                <w:szCs w:val="32"/>
              </w:rPr>
            </w:pPr>
          </w:p>
          <w:p>
            <w:pPr>
              <w:pStyle w:val="TableParagraph"/>
              <w:spacing w:line="240" w:lineRule="auto"/>
              <w:ind w:left="132"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771" w:type="dxa"/>
            <w:vMerge/>
            <w:tcBorders>
              <w:left w:val="single" w:sz="4" w:space="0" w:color="000000"/>
              <w:bottom w:val="single" w:sz="4" w:space="0" w:color="000000"/>
              <w:right w:val="single" w:sz="4" w:space="0" w:color="000000"/>
            </w:tcBorders>
          </w:tcPr>
          <w:p>
            <w:pPr/>
          </w:p>
        </w:tc>
        <w:tc>
          <w:tcPr>
            <w:tcW w:w="737" w:type="dxa"/>
            <w:vMerge/>
            <w:tcBorders>
              <w:left w:val="single" w:sz="4" w:space="0" w:color="000000"/>
              <w:bottom w:val="single" w:sz="4" w:space="0" w:color="000000"/>
              <w:right w:val="single" w:sz="4" w:space="0" w:color="000000"/>
            </w:tcBorders>
          </w:tcPr>
          <w:p>
            <w:pPr/>
          </w:p>
        </w:tc>
      </w:tr>
      <w:tr>
        <w:trPr>
          <w:trHeight w:val="322" w:hRule="exact"/>
        </w:trPr>
        <w:tc>
          <w:tcPr>
            <w:tcW w:w="904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一、合营企业</w:t>
            </w:r>
          </w:p>
        </w:tc>
      </w:tr>
      <w:tr>
        <w:trPr>
          <w:trHeight w:val="286" w:hRule="exact"/>
        </w:trPr>
        <w:tc>
          <w:tcPr>
            <w:tcW w:w="826"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826"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小计</w:t>
            </w:r>
          </w:p>
        </w:tc>
        <w:tc>
          <w:tcPr>
            <w:tcW w:w="758" w:type="dxa"/>
            <w:tcBorders>
              <w:top w:val="single" w:sz="4" w:space="0" w:color="000000"/>
              <w:left w:val="single" w:sz="4" w:space="0" w:color="000000"/>
              <w:bottom w:val="single" w:sz="4" w:space="0" w:color="000000"/>
              <w:right w:val="single" w:sz="4" w:space="0" w:color="000000"/>
            </w:tcBorders>
          </w:tcPr>
          <w:p>
            <w:pP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9040" w:type="dxa"/>
            <w:gridSpan w:val="1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二、联营企业</w:t>
            </w:r>
          </w:p>
        </w:tc>
      </w:tr>
      <w:tr>
        <w:trPr>
          <w:trHeight w:val="943"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中关</w:t>
            </w:r>
          </w:p>
          <w:p>
            <w:pPr>
              <w:pStyle w:val="TableParagraph"/>
              <w:spacing w:line="310" w:lineRule="exact" w:before="31"/>
              <w:ind w:left="103" w:right="231"/>
              <w:jc w:val="left"/>
              <w:rPr>
                <w:rFonts w:ascii="宋体" w:hAnsi="宋体" w:cs="宋体" w:eastAsia="宋体" w:hint="default"/>
                <w:sz w:val="24"/>
                <w:szCs w:val="24"/>
              </w:rPr>
            </w:pPr>
            <w:r>
              <w:rPr>
                <w:rFonts w:ascii="宋体" w:hAnsi="宋体" w:cs="宋体" w:eastAsia="宋体" w:hint="default"/>
                <w:sz w:val="24"/>
                <w:szCs w:val="24"/>
              </w:rPr>
              <w:t>村银 行</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4"/>
                <w:szCs w:val="24"/>
              </w:rPr>
            </w:pPr>
            <w:r>
              <w:rPr>
                <w:rFonts w:ascii="Times New Roman"/>
                <w:sz w:val="24"/>
              </w:rPr>
              <w:t>1,220</w:t>
            </w:r>
          </w:p>
          <w:p>
            <w:pPr>
              <w:pStyle w:val="TableParagraph"/>
              <w:spacing w:line="240" w:lineRule="auto"/>
              <w:ind w:left="57" w:right="0"/>
              <w:jc w:val="center"/>
              <w:rPr>
                <w:rFonts w:ascii="Times New Roman" w:hAnsi="Times New Roman" w:cs="Times New Roman" w:eastAsia="Times New Roman" w:hint="default"/>
                <w:sz w:val="24"/>
                <w:szCs w:val="24"/>
              </w:rPr>
            </w:pPr>
            <w:r>
              <w:rPr>
                <w:rFonts w:ascii="Times New Roman"/>
                <w:sz w:val="24"/>
              </w:rPr>
              <w:t>,682,</w:t>
            </w:r>
          </w:p>
          <w:p>
            <w:pPr>
              <w:pStyle w:val="TableParagraph"/>
              <w:spacing w:line="240" w:lineRule="auto"/>
              <w:ind w:left="177" w:right="0"/>
              <w:jc w:val="center"/>
              <w:rPr>
                <w:rFonts w:ascii="Times New Roman" w:hAnsi="Times New Roman" w:cs="Times New Roman" w:eastAsia="Times New Roman" w:hint="default"/>
                <w:sz w:val="24"/>
                <w:szCs w:val="24"/>
              </w:rPr>
            </w:pPr>
            <w:r>
              <w:rPr>
                <w:rFonts w:ascii="Times New Roman"/>
                <w:sz w:val="24"/>
              </w:rPr>
              <w:t>547</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left="134" w:right="0"/>
              <w:jc w:val="left"/>
              <w:rPr>
                <w:rFonts w:ascii="Times New Roman" w:hAnsi="Times New Roman" w:cs="Times New Roman" w:eastAsia="Times New Roman" w:hint="default"/>
                <w:sz w:val="24"/>
                <w:szCs w:val="24"/>
              </w:rPr>
            </w:pPr>
            <w:r>
              <w:rPr>
                <w:rFonts w:ascii="Times New Roman"/>
                <w:sz w:val="24"/>
              </w:rPr>
              <w:t>13,42</w:t>
            </w:r>
          </w:p>
          <w:p>
            <w:pPr>
              <w:pStyle w:val="TableParagraph"/>
              <w:spacing w:line="240" w:lineRule="auto"/>
              <w:ind w:left="134" w:right="0"/>
              <w:jc w:val="left"/>
              <w:rPr>
                <w:rFonts w:ascii="Times New Roman" w:hAnsi="Times New Roman" w:cs="Times New Roman" w:eastAsia="Times New Roman" w:hint="default"/>
                <w:sz w:val="24"/>
                <w:szCs w:val="24"/>
              </w:rPr>
            </w:pPr>
            <w:r>
              <w:rPr>
                <w:rFonts w:ascii="Times New Roman"/>
                <w:sz w:val="24"/>
              </w:rPr>
              <w:t>3,956</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3" w:right="0"/>
              <w:jc w:val="center"/>
              <w:rPr>
                <w:rFonts w:ascii="Times New Roman" w:hAnsi="Times New Roman" w:cs="Times New Roman" w:eastAsia="Times New Roman" w:hint="default"/>
                <w:sz w:val="24"/>
                <w:szCs w:val="24"/>
              </w:rPr>
            </w:pPr>
            <w:r>
              <w:rPr>
                <w:rFonts w:ascii="Times New Roman"/>
                <w:sz w:val="24"/>
              </w:rPr>
              <w:t>1,234</w:t>
            </w:r>
          </w:p>
          <w:p>
            <w:pPr>
              <w:pStyle w:val="TableParagraph"/>
              <w:spacing w:line="240" w:lineRule="auto"/>
              <w:ind w:left="73" w:right="0"/>
              <w:jc w:val="center"/>
              <w:rPr>
                <w:rFonts w:ascii="Times New Roman" w:hAnsi="Times New Roman" w:cs="Times New Roman" w:eastAsia="Times New Roman" w:hint="default"/>
                <w:sz w:val="24"/>
                <w:szCs w:val="24"/>
              </w:rPr>
            </w:pPr>
            <w:r>
              <w:rPr>
                <w:rFonts w:ascii="Times New Roman"/>
                <w:sz w:val="24"/>
              </w:rPr>
              <w:t>,106,</w:t>
            </w:r>
          </w:p>
          <w:p>
            <w:pPr>
              <w:pStyle w:val="TableParagraph"/>
              <w:spacing w:line="240" w:lineRule="auto"/>
              <w:ind w:left="193" w:right="0"/>
              <w:jc w:val="center"/>
              <w:rPr>
                <w:rFonts w:ascii="Times New Roman" w:hAnsi="Times New Roman" w:cs="Times New Roman" w:eastAsia="Times New Roman" w:hint="default"/>
                <w:sz w:val="24"/>
                <w:szCs w:val="24"/>
              </w:rPr>
            </w:pPr>
            <w:r>
              <w:rPr>
                <w:rFonts w:ascii="Times New Roman"/>
                <w:sz w:val="24"/>
              </w:rPr>
              <w:t>503</w:t>
            </w: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汉唐</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信通</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Times New Roman" w:hAnsi="Times New Roman" w:cs="Times New Roman" w:eastAsia="Times New Roman" w:hint="default"/>
                <w:sz w:val="24"/>
                <w:szCs w:val="24"/>
              </w:rPr>
            </w:pPr>
            <w:r>
              <w:rPr>
                <w:rFonts w:ascii="Times New Roman"/>
                <w:sz w:val="24"/>
              </w:rPr>
              <w:t>79,93</w:t>
            </w: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2,533</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34" w:right="0"/>
              <w:jc w:val="left"/>
              <w:rPr>
                <w:rFonts w:ascii="Times New Roman" w:hAnsi="Times New Roman" w:cs="Times New Roman" w:eastAsia="Times New Roman" w:hint="default"/>
                <w:sz w:val="24"/>
                <w:szCs w:val="24"/>
              </w:rPr>
            </w:pPr>
            <w:r>
              <w:rPr>
                <w:rFonts w:ascii="Times New Roman"/>
                <w:sz w:val="24"/>
              </w:rPr>
              <w:t>677,1</w:t>
            </w:r>
          </w:p>
          <w:p>
            <w:pPr>
              <w:pStyle w:val="TableParagraph"/>
              <w:spacing w:line="240" w:lineRule="auto"/>
              <w:ind w:left="434" w:right="0"/>
              <w:jc w:val="left"/>
              <w:rPr>
                <w:rFonts w:ascii="Times New Roman" w:hAnsi="Times New Roman" w:cs="Times New Roman" w:eastAsia="Times New Roman" w:hint="default"/>
                <w:sz w:val="24"/>
                <w:szCs w:val="24"/>
              </w:rPr>
            </w:pPr>
            <w:r>
              <w:rPr>
                <w:rFonts w:ascii="Times New Roman"/>
                <w:sz w:val="24"/>
              </w:rPr>
              <w:t>66</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7" w:right="0"/>
              <w:jc w:val="left"/>
              <w:rPr>
                <w:rFonts w:ascii="Times New Roman" w:hAnsi="Times New Roman" w:cs="Times New Roman" w:eastAsia="Times New Roman" w:hint="default"/>
                <w:sz w:val="24"/>
                <w:szCs w:val="24"/>
              </w:rPr>
            </w:pPr>
            <w:r>
              <w:rPr>
                <w:rFonts w:ascii="Times New Roman"/>
                <w:sz w:val="24"/>
              </w:rPr>
              <w:t>80,60</w:t>
            </w:r>
          </w:p>
          <w:p>
            <w:pPr>
              <w:pStyle w:val="TableParagraph"/>
              <w:spacing w:line="240" w:lineRule="auto"/>
              <w:ind w:left="117" w:right="0"/>
              <w:jc w:val="left"/>
              <w:rPr>
                <w:rFonts w:ascii="Times New Roman" w:hAnsi="Times New Roman" w:cs="Times New Roman" w:eastAsia="Times New Roman" w:hint="default"/>
                <w:sz w:val="24"/>
                <w:szCs w:val="24"/>
              </w:rPr>
            </w:pPr>
            <w:r>
              <w:rPr>
                <w:rFonts w:ascii="Times New Roman"/>
                <w:sz w:val="24"/>
              </w:rPr>
              <w:t>9,699</w:t>
            </w: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大易</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云</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Times New Roman" w:hAnsi="Times New Roman" w:cs="Times New Roman" w:eastAsia="Times New Roman" w:hint="default"/>
                <w:sz w:val="24"/>
                <w:szCs w:val="24"/>
              </w:rPr>
            </w:pPr>
            <w:r>
              <w:rPr>
                <w:rFonts w:ascii="Times New Roman"/>
                <w:sz w:val="24"/>
              </w:rPr>
              <w:t>65,55</w:t>
            </w: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5,810</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75" w:right="0"/>
              <w:jc w:val="left"/>
              <w:rPr>
                <w:rFonts w:ascii="Times New Roman" w:hAnsi="Times New Roman" w:cs="Times New Roman" w:eastAsia="Times New Roman" w:hint="default"/>
                <w:sz w:val="24"/>
                <w:szCs w:val="24"/>
              </w:rPr>
            </w:pPr>
            <w:r>
              <w:rPr>
                <w:rFonts w:ascii="Times New Roman"/>
                <w:sz w:val="24"/>
              </w:rPr>
              <w:t>-3,49</w:t>
            </w:r>
          </w:p>
          <w:p>
            <w:pPr>
              <w:pStyle w:val="TableParagraph"/>
              <w:spacing w:line="240" w:lineRule="auto"/>
              <w:ind w:left="134" w:right="0"/>
              <w:jc w:val="left"/>
              <w:rPr>
                <w:rFonts w:ascii="Times New Roman" w:hAnsi="Times New Roman" w:cs="Times New Roman" w:eastAsia="Times New Roman" w:hint="default"/>
                <w:sz w:val="24"/>
                <w:szCs w:val="24"/>
              </w:rPr>
            </w:pPr>
            <w:r>
              <w:rPr>
                <w:rFonts w:ascii="Times New Roman"/>
                <w:sz w:val="24"/>
              </w:rPr>
              <w:t>1,910</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7" w:right="0"/>
              <w:jc w:val="left"/>
              <w:rPr>
                <w:rFonts w:ascii="Times New Roman" w:hAnsi="Times New Roman" w:cs="Times New Roman" w:eastAsia="Times New Roman" w:hint="default"/>
                <w:sz w:val="24"/>
                <w:szCs w:val="24"/>
              </w:rPr>
            </w:pPr>
            <w:r>
              <w:rPr>
                <w:rFonts w:ascii="Times New Roman"/>
                <w:sz w:val="24"/>
              </w:rPr>
              <w:t>62,06</w:t>
            </w:r>
          </w:p>
          <w:p>
            <w:pPr>
              <w:pStyle w:val="TableParagraph"/>
              <w:spacing w:line="240" w:lineRule="auto"/>
              <w:ind w:left="117" w:right="0"/>
              <w:jc w:val="left"/>
              <w:rPr>
                <w:rFonts w:ascii="Times New Roman" w:hAnsi="Times New Roman" w:cs="Times New Roman" w:eastAsia="Times New Roman" w:hint="default"/>
                <w:sz w:val="24"/>
                <w:szCs w:val="24"/>
              </w:rPr>
            </w:pPr>
            <w:r>
              <w:rPr>
                <w:rFonts w:ascii="Times New Roman"/>
                <w:sz w:val="24"/>
              </w:rPr>
              <w:t>3,900</w:t>
            </w: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幸福</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联创</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Times New Roman" w:hAnsi="Times New Roman" w:cs="Times New Roman" w:eastAsia="Times New Roman" w:hint="default"/>
                <w:sz w:val="24"/>
                <w:szCs w:val="24"/>
              </w:rPr>
            </w:pPr>
            <w:r>
              <w:rPr>
                <w:rFonts w:ascii="Times New Roman"/>
                <w:sz w:val="24"/>
              </w:rPr>
              <w:t>63,69</w:t>
            </w: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1,690</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2" w:right="0"/>
              <w:jc w:val="center"/>
              <w:rPr>
                <w:rFonts w:ascii="Times New Roman" w:hAnsi="Times New Roman" w:cs="Times New Roman" w:eastAsia="Times New Roman" w:hint="default"/>
                <w:sz w:val="24"/>
                <w:szCs w:val="24"/>
              </w:rPr>
            </w:pPr>
            <w:r>
              <w:rPr>
                <w:rFonts w:ascii="Times New Roman"/>
                <w:sz w:val="24"/>
              </w:rPr>
              <w:t>-779,</w:t>
            </w:r>
          </w:p>
          <w:p>
            <w:pPr>
              <w:pStyle w:val="TableParagraph"/>
              <w:spacing w:line="240" w:lineRule="auto"/>
              <w:ind w:left="211" w:right="0"/>
              <w:jc w:val="center"/>
              <w:rPr>
                <w:rFonts w:ascii="Times New Roman" w:hAnsi="Times New Roman" w:cs="Times New Roman" w:eastAsia="Times New Roman" w:hint="default"/>
                <w:sz w:val="24"/>
                <w:szCs w:val="24"/>
              </w:rPr>
            </w:pPr>
            <w:r>
              <w:rPr>
                <w:rFonts w:ascii="Times New Roman"/>
                <w:sz w:val="24"/>
              </w:rPr>
              <w:t>710</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7" w:right="0"/>
              <w:jc w:val="left"/>
              <w:rPr>
                <w:rFonts w:ascii="Times New Roman" w:hAnsi="Times New Roman" w:cs="Times New Roman" w:eastAsia="Times New Roman" w:hint="default"/>
                <w:sz w:val="24"/>
                <w:szCs w:val="24"/>
              </w:rPr>
            </w:pPr>
            <w:r>
              <w:rPr>
                <w:rFonts w:ascii="Times New Roman"/>
                <w:sz w:val="24"/>
              </w:rPr>
              <w:t>62,91</w:t>
            </w:r>
          </w:p>
          <w:p>
            <w:pPr>
              <w:pStyle w:val="TableParagraph"/>
              <w:spacing w:line="240" w:lineRule="auto"/>
              <w:ind w:left="117" w:right="0"/>
              <w:jc w:val="left"/>
              <w:rPr>
                <w:rFonts w:ascii="Times New Roman" w:hAnsi="Times New Roman" w:cs="Times New Roman" w:eastAsia="Times New Roman" w:hint="default"/>
                <w:sz w:val="24"/>
                <w:szCs w:val="24"/>
              </w:rPr>
            </w:pPr>
            <w:r>
              <w:rPr>
                <w:rFonts w:ascii="Times New Roman"/>
                <w:sz w:val="24"/>
              </w:rPr>
              <w:t>1,980</w:t>
            </w: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民太</w:t>
            </w:r>
          </w:p>
          <w:p>
            <w:pPr>
              <w:pStyle w:val="TableParagraph"/>
              <w:spacing w:line="310" w:lineRule="exact" w:before="31"/>
              <w:ind w:left="103" w:right="231"/>
              <w:jc w:val="left"/>
              <w:rPr>
                <w:rFonts w:ascii="宋体" w:hAnsi="宋体" w:cs="宋体" w:eastAsia="宋体" w:hint="default"/>
                <w:sz w:val="24"/>
                <w:szCs w:val="24"/>
              </w:rPr>
            </w:pPr>
            <w:r>
              <w:rPr>
                <w:rFonts w:ascii="宋体" w:hAnsi="宋体" w:cs="宋体" w:eastAsia="宋体" w:hint="default"/>
                <w:sz w:val="24"/>
                <w:szCs w:val="24"/>
              </w:rPr>
              <w:t>安公 估</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1"/>
              <w:ind w:left="103" w:right="0"/>
              <w:jc w:val="left"/>
              <w:rPr>
                <w:rFonts w:ascii="Times New Roman" w:hAnsi="Times New Roman" w:cs="Times New Roman" w:eastAsia="Times New Roman" w:hint="default"/>
                <w:sz w:val="24"/>
                <w:szCs w:val="24"/>
              </w:rPr>
            </w:pPr>
            <w:r>
              <w:rPr>
                <w:rFonts w:ascii="Times New Roman"/>
                <w:sz w:val="24"/>
              </w:rPr>
              <w:t>53,81</w:t>
            </w: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2,660</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1"/>
              <w:ind w:right="0"/>
              <w:jc w:val="center"/>
              <w:rPr>
                <w:rFonts w:ascii="Times New Roman" w:hAnsi="Times New Roman" w:cs="Times New Roman" w:eastAsia="Times New Roman" w:hint="default"/>
                <w:sz w:val="24"/>
                <w:szCs w:val="24"/>
              </w:rPr>
            </w:pPr>
            <w:r>
              <w:rPr>
                <w:rFonts w:ascii="Times New Roman"/>
                <w:sz w:val="24"/>
              </w:rPr>
              <w:t>9,781</w:t>
            </w:r>
          </w:p>
          <w:p>
            <w:pPr>
              <w:pStyle w:val="TableParagraph"/>
              <w:spacing w:line="240" w:lineRule="auto"/>
              <w:ind w:left="117" w:right="0"/>
              <w:jc w:val="center"/>
              <w:rPr>
                <w:rFonts w:ascii="Times New Roman" w:hAnsi="Times New Roman" w:cs="Times New Roman" w:eastAsia="Times New Roman" w:hint="default"/>
                <w:sz w:val="24"/>
                <w:szCs w:val="24"/>
              </w:rPr>
            </w:pPr>
            <w:r>
              <w:rPr>
                <w:rFonts w:ascii="Times New Roman"/>
                <w:sz w:val="24"/>
              </w:rPr>
              <w:t>,239</w:t>
            </w: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1"/>
              <w:ind w:left="31" w:right="0"/>
              <w:jc w:val="center"/>
              <w:rPr>
                <w:rFonts w:ascii="Times New Roman" w:hAnsi="Times New Roman" w:cs="Times New Roman" w:eastAsia="Times New Roman" w:hint="default"/>
                <w:sz w:val="24"/>
                <w:szCs w:val="24"/>
              </w:rPr>
            </w:pPr>
            <w:r>
              <w:rPr>
                <w:rFonts w:ascii="Times New Roman"/>
                <w:sz w:val="24"/>
              </w:rPr>
              <w:t>1,410</w:t>
            </w:r>
          </w:p>
          <w:p>
            <w:pPr>
              <w:pStyle w:val="TableParagraph"/>
              <w:spacing w:line="240" w:lineRule="auto"/>
              <w:ind w:left="151" w:right="0"/>
              <w:jc w:val="center"/>
              <w:rPr>
                <w:rFonts w:ascii="Times New Roman" w:hAnsi="Times New Roman" w:cs="Times New Roman" w:eastAsia="Times New Roman" w:hint="default"/>
                <w:sz w:val="24"/>
                <w:szCs w:val="24"/>
              </w:rPr>
            </w:pPr>
            <w:r>
              <w:rPr>
                <w:rFonts w:ascii="Times New Roman"/>
                <w:sz w:val="24"/>
              </w:rPr>
              <w:t>,486</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1"/>
              <w:ind w:left="117" w:right="0"/>
              <w:jc w:val="left"/>
              <w:rPr>
                <w:rFonts w:ascii="Times New Roman" w:hAnsi="Times New Roman" w:cs="Times New Roman" w:eastAsia="Times New Roman" w:hint="default"/>
                <w:sz w:val="24"/>
                <w:szCs w:val="24"/>
              </w:rPr>
            </w:pPr>
            <w:r>
              <w:rPr>
                <w:rFonts w:ascii="Times New Roman"/>
                <w:sz w:val="24"/>
              </w:rPr>
              <w:t>65,00</w:t>
            </w:r>
          </w:p>
          <w:p>
            <w:pPr>
              <w:pStyle w:val="TableParagraph"/>
              <w:spacing w:line="240" w:lineRule="auto"/>
              <w:ind w:left="117" w:right="0"/>
              <w:jc w:val="left"/>
              <w:rPr>
                <w:rFonts w:ascii="Times New Roman" w:hAnsi="Times New Roman" w:cs="Times New Roman" w:eastAsia="Times New Roman" w:hint="default"/>
                <w:sz w:val="24"/>
                <w:szCs w:val="24"/>
              </w:rPr>
            </w:pPr>
            <w:r>
              <w:rPr>
                <w:rFonts w:ascii="Times New Roman"/>
                <w:sz w:val="24"/>
              </w:rPr>
              <w:t>4,385</w:t>
            </w:r>
          </w:p>
        </w:tc>
        <w:tc>
          <w:tcPr>
            <w:tcW w:w="737"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826"/>
        <w:gridCol w:w="758"/>
        <w:gridCol w:w="758"/>
        <w:gridCol w:w="670"/>
        <w:gridCol w:w="787"/>
        <w:gridCol w:w="708"/>
        <w:gridCol w:w="708"/>
        <w:gridCol w:w="785"/>
        <w:gridCol w:w="775"/>
        <w:gridCol w:w="756"/>
        <w:gridCol w:w="771"/>
        <w:gridCol w:w="737"/>
      </w:tblGrid>
      <w:tr>
        <w:trPr>
          <w:trHeight w:val="944"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用友</w:t>
            </w:r>
          </w:p>
          <w:p>
            <w:pPr>
              <w:pStyle w:val="TableParagraph"/>
              <w:spacing w:line="312" w:lineRule="exact" w:before="30"/>
              <w:ind w:left="103" w:right="231"/>
              <w:jc w:val="left"/>
              <w:rPr>
                <w:rFonts w:ascii="宋体" w:hAnsi="宋体" w:cs="宋体" w:eastAsia="宋体" w:hint="default"/>
                <w:sz w:val="24"/>
                <w:szCs w:val="24"/>
              </w:rPr>
            </w:pPr>
            <w:r>
              <w:rPr>
                <w:rFonts w:ascii="宋体" w:hAnsi="宋体" w:cs="宋体" w:eastAsia="宋体" w:hint="default"/>
                <w:sz w:val="24"/>
                <w:szCs w:val="24"/>
              </w:rPr>
              <w:t>商业 保理</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left="103" w:right="0"/>
              <w:jc w:val="left"/>
              <w:rPr>
                <w:rFonts w:ascii="Times New Roman" w:hAnsi="Times New Roman" w:cs="Times New Roman" w:eastAsia="Times New Roman" w:hint="default"/>
                <w:sz w:val="24"/>
                <w:szCs w:val="24"/>
              </w:rPr>
            </w:pPr>
            <w:r>
              <w:rPr>
                <w:rFonts w:ascii="Times New Roman"/>
                <w:sz w:val="24"/>
              </w:rPr>
              <w:t>43,40</w:t>
            </w: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6,387</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left="31" w:right="0"/>
              <w:jc w:val="center"/>
              <w:rPr>
                <w:rFonts w:ascii="Times New Roman" w:hAnsi="Times New Roman" w:cs="Times New Roman" w:eastAsia="Times New Roman" w:hint="default"/>
                <w:sz w:val="24"/>
                <w:szCs w:val="24"/>
              </w:rPr>
            </w:pPr>
            <w:r>
              <w:rPr>
                <w:rFonts w:ascii="Times New Roman"/>
                <w:sz w:val="24"/>
              </w:rPr>
              <w:t>1,356</w:t>
            </w:r>
          </w:p>
          <w:p>
            <w:pPr>
              <w:pStyle w:val="TableParagraph"/>
              <w:spacing w:line="240" w:lineRule="auto"/>
              <w:ind w:left="151" w:right="0"/>
              <w:jc w:val="center"/>
              <w:rPr>
                <w:rFonts w:ascii="Times New Roman" w:hAnsi="Times New Roman" w:cs="Times New Roman" w:eastAsia="Times New Roman" w:hint="default"/>
                <w:sz w:val="24"/>
                <w:szCs w:val="24"/>
              </w:rPr>
            </w:pPr>
            <w:r>
              <w:rPr>
                <w:rFonts w:ascii="Times New Roman"/>
                <w:sz w:val="24"/>
              </w:rPr>
              <w:t>,078</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left="117" w:right="0"/>
              <w:jc w:val="left"/>
              <w:rPr>
                <w:rFonts w:ascii="Times New Roman" w:hAnsi="Times New Roman" w:cs="Times New Roman" w:eastAsia="Times New Roman" w:hint="default"/>
                <w:sz w:val="24"/>
                <w:szCs w:val="24"/>
              </w:rPr>
            </w:pPr>
            <w:r>
              <w:rPr>
                <w:rFonts w:ascii="Times New Roman"/>
                <w:sz w:val="24"/>
              </w:rPr>
              <w:t>44,76</w:t>
            </w:r>
          </w:p>
          <w:p>
            <w:pPr>
              <w:pStyle w:val="TableParagraph"/>
              <w:spacing w:line="240" w:lineRule="auto"/>
              <w:ind w:left="117" w:right="0"/>
              <w:jc w:val="left"/>
              <w:rPr>
                <w:rFonts w:ascii="Times New Roman" w:hAnsi="Times New Roman" w:cs="Times New Roman" w:eastAsia="Times New Roman" w:hint="default"/>
                <w:sz w:val="24"/>
                <w:szCs w:val="24"/>
              </w:rPr>
            </w:pPr>
            <w:r>
              <w:rPr>
                <w:rFonts w:ascii="Times New Roman"/>
                <w:sz w:val="24"/>
              </w:rPr>
              <w:t>2,465</w:t>
            </w: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上海</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画龙</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Times New Roman" w:hAnsi="Times New Roman" w:cs="Times New Roman" w:eastAsia="Times New Roman" w:hint="default"/>
                <w:sz w:val="24"/>
                <w:szCs w:val="24"/>
              </w:rPr>
            </w:pPr>
            <w:r>
              <w:rPr>
                <w:rFonts w:ascii="Times New Roman"/>
                <w:sz w:val="24"/>
              </w:rPr>
              <w:t>19,20</w:t>
            </w:r>
          </w:p>
          <w:p>
            <w:pPr>
              <w:pStyle w:val="TableParagraph"/>
              <w:spacing w:line="240" w:lineRule="auto"/>
              <w:ind w:left="103" w:right="0"/>
              <w:jc w:val="left"/>
              <w:rPr>
                <w:rFonts w:ascii="Times New Roman" w:hAnsi="Times New Roman" w:cs="Times New Roman" w:eastAsia="Times New Roman" w:hint="default"/>
                <w:sz w:val="24"/>
                <w:szCs w:val="24"/>
              </w:rPr>
            </w:pPr>
            <w:r>
              <w:rPr>
                <w:rFonts w:ascii="Times New Roman"/>
                <w:sz w:val="24"/>
              </w:rPr>
              <w:t>2,139</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75" w:right="0"/>
              <w:jc w:val="left"/>
              <w:rPr>
                <w:rFonts w:ascii="Times New Roman" w:hAnsi="Times New Roman" w:cs="Times New Roman" w:eastAsia="Times New Roman" w:hint="default"/>
                <w:sz w:val="24"/>
                <w:szCs w:val="24"/>
              </w:rPr>
            </w:pPr>
            <w:r>
              <w:rPr>
                <w:rFonts w:ascii="Times New Roman"/>
                <w:sz w:val="24"/>
              </w:rPr>
              <w:t>-1,35</w:t>
            </w:r>
          </w:p>
          <w:p>
            <w:pPr>
              <w:pStyle w:val="TableParagraph"/>
              <w:spacing w:line="240" w:lineRule="auto"/>
              <w:ind w:left="134" w:right="0"/>
              <w:jc w:val="left"/>
              <w:rPr>
                <w:rFonts w:ascii="Times New Roman" w:hAnsi="Times New Roman" w:cs="Times New Roman" w:eastAsia="Times New Roman" w:hint="default"/>
                <w:sz w:val="24"/>
                <w:szCs w:val="24"/>
              </w:rPr>
            </w:pPr>
            <w:r>
              <w:rPr>
                <w:rFonts w:ascii="Times New Roman"/>
                <w:sz w:val="24"/>
              </w:rPr>
              <w:t>4,727</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7" w:right="0"/>
              <w:jc w:val="left"/>
              <w:rPr>
                <w:rFonts w:ascii="Times New Roman" w:hAnsi="Times New Roman" w:cs="Times New Roman" w:eastAsia="Times New Roman" w:hint="default"/>
                <w:sz w:val="24"/>
                <w:szCs w:val="24"/>
              </w:rPr>
            </w:pPr>
            <w:r>
              <w:rPr>
                <w:rFonts w:ascii="Times New Roman"/>
                <w:sz w:val="24"/>
              </w:rPr>
              <w:t>17,84</w:t>
            </w:r>
          </w:p>
          <w:p>
            <w:pPr>
              <w:pStyle w:val="TableParagraph"/>
              <w:spacing w:line="240" w:lineRule="auto"/>
              <w:ind w:left="117" w:right="0"/>
              <w:jc w:val="left"/>
              <w:rPr>
                <w:rFonts w:ascii="Times New Roman" w:hAnsi="Times New Roman" w:cs="Times New Roman" w:eastAsia="Times New Roman" w:hint="default"/>
                <w:sz w:val="24"/>
                <w:szCs w:val="24"/>
              </w:rPr>
            </w:pPr>
            <w:r>
              <w:rPr>
                <w:rFonts w:ascii="Times New Roman"/>
                <w:sz w:val="24"/>
              </w:rPr>
              <w:t>7,412</w:t>
            </w: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西玛</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国正</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24"/>
                <w:szCs w:val="24"/>
              </w:rPr>
            </w:pPr>
            <w:r>
              <w:rPr>
                <w:rFonts w:ascii="Times New Roman"/>
                <w:sz w:val="24"/>
              </w:rPr>
              <w:t>8,979</w:t>
            </w:r>
          </w:p>
          <w:p>
            <w:pPr>
              <w:pStyle w:val="TableParagraph"/>
              <w:spacing w:line="240" w:lineRule="auto"/>
              <w:ind w:left="117" w:right="0"/>
              <w:jc w:val="center"/>
              <w:rPr>
                <w:rFonts w:ascii="Times New Roman" w:hAnsi="Times New Roman" w:cs="Times New Roman" w:eastAsia="Times New Roman" w:hint="default"/>
                <w:sz w:val="24"/>
                <w:szCs w:val="24"/>
              </w:rPr>
            </w:pPr>
            <w:r>
              <w:rPr>
                <w:rFonts w:ascii="Times New Roman"/>
                <w:sz w:val="24"/>
              </w:rPr>
              <w:t>,327</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36" w:right="0"/>
              <w:jc w:val="left"/>
              <w:rPr>
                <w:rFonts w:ascii="Times New Roman" w:hAnsi="Times New Roman" w:cs="Times New Roman" w:eastAsia="Times New Roman" w:hint="default"/>
                <w:sz w:val="24"/>
                <w:szCs w:val="24"/>
              </w:rPr>
            </w:pPr>
            <w:r>
              <w:rPr>
                <w:rFonts w:ascii="Times New Roman"/>
                <w:sz w:val="24"/>
              </w:rPr>
              <w:t>3,49</w:t>
            </w:r>
          </w:p>
          <w:p>
            <w:pPr>
              <w:pStyle w:val="TableParagraph"/>
              <w:spacing w:line="240" w:lineRule="auto"/>
              <w:ind w:left="136" w:right="0"/>
              <w:jc w:val="left"/>
              <w:rPr>
                <w:rFonts w:ascii="Times New Roman" w:hAnsi="Times New Roman" w:cs="Times New Roman" w:eastAsia="Times New Roman" w:hint="default"/>
                <w:sz w:val="24"/>
                <w:szCs w:val="24"/>
              </w:rPr>
            </w:pPr>
            <w:r>
              <w:rPr>
                <w:rFonts w:ascii="Times New Roman"/>
                <w:sz w:val="24"/>
              </w:rPr>
              <w:t>0,75</w:t>
            </w:r>
          </w:p>
          <w:p>
            <w:pPr>
              <w:pStyle w:val="TableParagraph"/>
              <w:spacing w:line="240" w:lineRule="auto"/>
              <w:ind w:left="437" w:right="0"/>
              <w:jc w:val="left"/>
              <w:rPr>
                <w:rFonts w:ascii="Times New Roman" w:hAnsi="Times New Roman" w:cs="Times New Roman" w:eastAsia="Times New Roman" w:hint="default"/>
                <w:sz w:val="24"/>
                <w:szCs w:val="24"/>
              </w:rPr>
            </w:pPr>
            <w:r>
              <w:rPr>
                <w:rFonts w:ascii="Times New Roman"/>
                <w:sz w:val="24"/>
              </w:rPr>
              <w:t>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34" w:right="0"/>
              <w:jc w:val="left"/>
              <w:rPr>
                <w:rFonts w:ascii="Times New Roman" w:hAnsi="Times New Roman" w:cs="Times New Roman" w:eastAsia="Times New Roman" w:hint="default"/>
                <w:sz w:val="24"/>
                <w:szCs w:val="24"/>
              </w:rPr>
            </w:pPr>
            <w:r>
              <w:rPr>
                <w:rFonts w:ascii="Times New Roman"/>
                <w:sz w:val="24"/>
              </w:rPr>
              <w:t>909,4</w:t>
            </w:r>
          </w:p>
          <w:p>
            <w:pPr>
              <w:pStyle w:val="TableParagraph"/>
              <w:spacing w:line="240" w:lineRule="auto"/>
              <w:ind w:left="434" w:right="0"/>
              <w:jc w:val="left"/>
              <w:rPr>
                <w:rFonts w:ascii="Times New Roman" w:hAnsi="Times New Roman" w:cs="Times New Roman" w:eastAsia="Times New Roman" w:hint="default"/>
                <w:sz w:val="24"/>
                <w:szCs w:val="24"/>
              </w:rPr>
            </w:pPr>
            <w:r>
              <w:rPr>
                <w:rFonts w:ascii="Times New Roman"/>
                <w:sz w:val="24"/>
              </w:rPr>
              <w:t>75</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3" w:right="0"/>
              <w:jc w:val="center"/>
              <w:rPr>
                <w:rFonts w:ascii="Times New Roman" w:hAnsi="Times New Roman" w:cs="Times New Roman" w:eastAsia="Times New Roman" w:hint="default"/>
                <w:sz w:val="24"/>
                <w:szCs w:val="24"/>
              </w:rPr>
            </w:pPr>
            <w:r>
              <w:rPr>
                <w:rFonts w:ascii="Times New Roman"/>
                <w:sz w:val="24"/>
              </w:rPr>
              <w:t>6,398</w:t>
            </w:r>
          </w:p>
          <w:p>
            <w:pPr>
              <w:pStyle w:val="TableParagraph"/>
              <w:spacing w:line="240" w:lineRule="auto"/>
              <w:ind w:left="133" w:right="0"/>
              <w:jc w:val="center"/>
              <w:rPr>
                <w:rFonts w:ascii="Times New Roman" w:hAnsi="Times New Roman" w:cs="Times New Roman" w:eastAsia="Times New Roman" w:hint="default"/>
                <w:sz w:val="24"/>
                <w:szCs w:val="24"/>
              </w:rPr>
            </w:pPr>
            <w:r>
              <w:rPr>
                <w:rFonts w:ascii="Times New Roman"/>
                <w:sz w:val="24"/>
              </w:rPr>
              <w:t>,051</w:t>
            </w: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北京</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博晨</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24"/>
                <w:szCs w:val="24"/>
              </w:rPr>
            </w:pPr>
            <w:r>
              <w:rPr>
                <w:rFonts w:ascii="Times New Roman"/>
                <w:sz w:val="24"/>
              </w:rPr>
              <w:t>7,556</w:t>
            </w:r>
          </w:p>
          <w:p>
            <w:pPr>
              <w:pStyle w:val="TableParagraph"/>
              <w:spacing w:line="240" w:lineRule="auto"/>
              <w:ind w:left="117" w:right="0"/>
              <w:jc w:val="center"/>
              <w:rPr>
                <w:rFonts w:ascii="Times New Roman" w:hAnsi="Times New Roman" w:cs="Times New Roman" w:eastAsia="Times New Roman" w:hint="default"/>
                <w:sz w:val="24"/>
                <w:szCs w:val="24"/>
              </w:rPr>
            </w:pPr>
            <w:r>
              <w:rPr>
                <w:rFonts w:ascii="Times New Roman"/>
                <w:sz w:val="24"/>
              </w:rPr>
              <w:t>,730</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36" w:right="0"/>
              <w:jc w:val="left"/>
              <w:rPr>
                <w:rFonts w:ascii="Times New Roman" w:hAnsi="Times New Roman" w:cs="Times New Roman" w:eastAsia="Times New Roman" w:hint="default"/>
                <w:sz w:val="24"/>
                <w:szCs w:val="24"/>
              </w:rPr>
            </w:pPr>
            <w:r>
              <w:rPr>
                <w:rFonts w:ascii="Times New Roman"/>
                <w:sz w:val="24"/>
              </w:rPr>
              <w:t>7,55</w:t>
            </w:r>
          </w:p>
          <w:p>
            <w:pPr>
              <w:pStyle w:val="TableParagraph"/>
              <w:spacing w:line="240" w:lineRule="auto"/>
              <w:ind w:left="136" w:right="0"/>
              <w:jc w:val="left"/>
              <w:rPr>
                <w:rFonts w:ascii="Times New Roman" w:hAnsi="Times New Roman" w:cs="Times New Roman" w:eastAsia="Times New Roman" w:hint="default"/>
                <w:sz w:val="24"/>
                <w:szCs w:val="24"/>
              </w:rPr>
            </w:pPr>
            <w:r>
              <w:rPr>
                <w:rFonts w:ascii="Times New Roman"/>
                <w:sz w:val="24"/>
              </w:rPr>
              <w:t>6,73</w:t>
            </w:r>
          </w:p>
          <w:p>
            <w:pPr>
              <w:pStyle w:val="TableParagraph"/>
              <w:spacing w:line="240" w:lineRule="auto"/>
              <w:ind w:left="437" w:right="0"/>
              <w:jc w:val="left"/>
              <w:rPr>
                <w:rFonts w:ascii="Times New Roman" w:hAnsi="Times New Roman" w:cs="Times New Roman" w:eastAsia="Times New Roman" w:hint="default"/>
                <w:sz w:val="24"/>
                <w:szCs w:val="24"/>
              </w:rPr>
            </w:pPr>
            <w:r>
              <w:rPr>
                <w:rFonts w:ascii="Times New Roman"/>
                <w:sz w:val="24"/>
              </w:rPr>
              <w:t>0</w:t>
            </w:r>
          </w:p>
        </w:tc>
        <w:tc>
          <w:tcPr>
            <w:tcW w:w="78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24"/>
                <w:szCs w:val="24"/>
              </w:rPr>
            </w:pPr>
            <w:r>
              <w:rPr>
                <w:rFonts w:ascii="Times New Roman"/>
                <w:sz w:val="24"/>
              </w:rPr>
              <w:t>8,009</w:t>
            </w:r>
          </w:p>
          <w:p>
            <w:pPr>
              <w:pStyle w:val="TableParagraph"/>
              <w:spacing w:line="240" w:lineRule="auto"/>
              <w:ind w:left="117" w:right="0"/>
              <w:jc w:val="center"/>
              <w:rPr>
                <w:rFonts w:ascii="Times New Roman" w:hAnsi="Times New Roman" w:cs="Times New Roman" w:eastAsia="Times New Roman" w:hint="default"/>
                <w:sz w:val="24"/>
                <w:szCs w:val="24"/>
              </w:rPr>
            </w:pPr>
            <w:r>
              <w:rPr>
                <w:rFonts w:ascii="Times New Roman"/>
                <w:sz w:val="24"/>
              </w:rPr>
              <w:t>,012</w:t>
            </w:r>
          </w:p>
        </w:tc>
        <w:tc>
          <w:tcPr>
            <w:tcW w:w="758" w:type="dxa"/>
            <w:tcBorders>
              <w:top w:val="single" w:sz="4" w:space="0" w:color="000000"/>
              <w:left w:val="single" w:sz="4" w:space="0" w:color="000000"/>
              <w:bottom w:val="single" w:sz="4" w:space="0" w:color="000000"/>
              <w:right w:val="single" w:sz="4" w:space="0" w:color="000000"/>
            </w:tcBorders>
          </w:tcPr>
          <w:p>
            <w:pPr/>
          </w:p>
        </w:tc>
        <w:tc>
          <w:tcPr>
            <w:tcW w:w="670" w:type="dxa"/>
            <w:tcBorders>
              <w:top w:val="single" w:sz="4" w:space="0" w:color="000000"/>
              <w:left w:val="single" w:sz="4" w:space="0" w:color="000000"/>
              <w:bottom w:val="single" w:sz="4" w:space="0" w:color="000000"/>
              <w:right w:val="single" w:sz="4" w:space="0" w:color="000000"/>
            </w:tcBorders>
          </w:tcPr>
          <w:p>
            <w:pP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31" w:right="0"/>
              <w:jc w:val="center"/>
              <w:rPr>
                <w:rFonts w:ascii="Times New Roman" w:hAnsi="Times New Roman" w:cs="Times New Roman" w:eastAsia="Times New Roman" w:hint="default"/>
                <w:sz w:val="24"/>
                <w:szCs w:val="24"/>
              </w:rPr>
            </w:pPr>
            <w:r>
              <w:rPr>
                <w:rFonts w:ascii="Times New Roman"/>
                <w:sz w:val="24"/>
              </w:rPr>
              <w:t>4,397</w:t>
            </w:r>
          </w:p>
          <w:p>
            <w:pPr>
              <w:pStyle w:val="TableParagraph"/>
              <w:spacing w:line="240" w:lineRule="auto"/>
              <w:ind w:left="151" w:right="0"/>
              <w:jc w:val="center"/>
              <w:rPr>
                <w:rFonts w:ascii="Times New Roman" w:hAnsi="Times New Roman" w:cs="Times New Roman" w:eastAsia="Times New Roman" w:hint="default"/>
                <w:sz w:val="24"/>
                <w:szCs w:val="24"/>
              </w:rPr>
            </w:pPr>
            <w:r>
              <w:rPr>
                <w:rFonts w:ascii="Times New Roman"/>
                <w:sz w:val="24"/>
              </w:rPr>
              <w:t>,601</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32" w:right="0"/>
              <w:jc w:val="left"/>
              <w:rPr>
                <w:rFonts w:ascii="Times New Roman" w:hAnsi="Times New Roman" w:cs="Times New Roman" w:eastAsia="Times New Roman" w:hint="default"/>
                <w:sz w:val="24"/>
                <w:szCs w:val="24"/>
              </w:rPr>
            </w:pPr>
            <w:r>
              <w:rPr>
                <w:rFonts w:ascii="Times New Roman"/>
                <w:sz w:val="24"/>
              </w:rPr>
              <w:t>192,1</w:t>
            </w:r>
          </w:p>
          <w:p>
            <w:pPr>
              <w:pStyle w:val="TableParagraph"/>
              <w:spacing w:line="240" w:lineRule="auto"/>
              <w:ind w:left="432" w:right="0"/>
              <w:jc w:val="left"/>
              <w:rPr>
                <w:rFonts w:ascii="Times New Roman" w:hAnsi="Times New Roman" w:cs="Times New Roman" w:eastAsia="Times New Roman" w:hint="default"/>
                <w:sz w:val="24"/>
                <w:szCs w:val="24"/>
              </w:rPr>
            </w:pPr>
            <w:r>
              <w:rPr>
                <w:rFonts w:ascii="Times New Roman"/>
                <w:sz w:val="24"/>
              </w:rPr>
              <w:t>22</w:t>
            </w: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17" w:right="0"/>
              <w:jc w:val="left"/>
              <w:rPr>
                <w:rFonts w:ascii="Times New Roman" w:hAnsi="Times New Roman" w:cs="Times New Roman" w:eastAsia="Times New Roman" w:hint="default"/>
                <w:sz w:val="24"/>
                <w:szCs w:val="24"/>
              </w:rPr>
            </w:pPr>
            <w:r>
              <w:rPr>
                <w:rFonts w:ascii="Times New Roman"/>
                <w:sz w:val="24"/>
              </w:rPr>
              <w:t>12,21</w:t>
            </w:r>
          </w:p>
          <w:p>
            <w:pPr>
              <w:pStyle w:val="TableParagraph"/>
              <w:spacing w:line="240" w:lineRule="auto"/>
              <w:ind w:left="117" w:right="0"/>
              <w:jc w:val="left"/>
              <w:rPr>
                <w:rFonts w:ascii="Times New Roman" w:hAnsi="Times New Roman" w:cs="Times New Roman" w:eastAsia="Times New Roman" w:hint="default"/>
                <w:sz w:val="24"/>
                <w:szCs w:val="24"/>
              </w:rPr>
            </w:pPr>
            <w:r>
              <w:rPr>
                <w:rFonts w:ascii="Times New Roman"/>
                <w:sz w:val="24"/>
              </w:rPr>
              <w:t>4,491</w:t>
            </w: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838"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小计</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1,570</w:t>
            </w:r>
          </w:p>
          <w:p>
            <w:pPr>
              <w:pStyle w:val="TableParagraph"/>
              <w:spacing w:line="240" w:lineRule="auto"/>
              <w:ind w:left="57" w:right="0"/>
              <w:jc w:val="center"/>
              <w:rPr>
                <w:rFonts w:ascii="Times New Roman" w:hAnsi="Times New Roman" w:cs="Times New Roman" w:eastAsia="Times New Roman" w:hint="default"/>
                <w:sz w:val="24"/>
                <w:szCs w:val="24"/>
              </w:rPr>
            </w:pPr>
            <w:r>
              <w:rPr>
                <w:rFonts w:ascii="Times New Roman"/>
                <w:sz w:val="24"/>
              </w:rPr>
              <w:t>,828,</w:t>
            </w:r>
          </w:p>
          <w:p>
            <w:pPr>
              <w:pStyle w:val="TableParagraph"/>
              <w:spacing w:line="240" w:lineRule="auto"/>
              <w:ind w:left="177" w:right="0"/>
              <w:jc w:val="center"/>
              <w:rPr>
                <w:rFonts w:ascii="Times New Roman" w:hAnsi="Times New Roman" w:cs="Times New Roman" w:eastAsia="Times New Roman" w:hint="default"/>
                <w:sz w:val="24"/>
                <w:szCs w:val="24"/>
              </w:rPr>
            </w:pPr>
            <w:r>
              <w:rPr>
                <w:rFonts w:ascii="Times New Roman"/>
                <w:sz w:val="24"/>
              </w:rPr>
              <w:t>835</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24"/>
                <w:szCs w:val="24"/>
              </w:rPr>
            </w:pPr>
            <w:r>
              <w:rPr>
                <w:rFonts w:ascii="Times New Roman"/>
                <w:sz w:val="24"/>
              </w:rPr>
              <w:t>9,781</w:t>
            </w:r>
          </w:p>
          <w:p>
            <w:pPr>
              <w:pStyle w:val="TableParagraph"/>
              <w:spacing w:line="240" w:lineRule="auto"/>
              <w:ind w:left="117" w:right="0"/>
              <w:jc w:val="center"/>
              <w:rPr>
                <w:rFonts w:ascii="Times New Roman" w:hAnsi="Times New Roman" w:cs="Times New Roman" w:eastAsia="Times New Roman" w:hint="default"/>
                <w:sz w:val="24"/>
                <w:szCs w:val="24"/>
              </w:rPr>
            </w:pPr>
            <w:r>
              <w:rPr>
                <w:rFonts w:ascii="Times New Roman"/>
                <w:sz w:val="24"/>
              </w:rPr>
              <w:t>,239</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2" w:right="0"/>
              <w:jc w:val="center"/>
              <w:rPr>
                <w:rFonts w:ascii="Times New Roman" w:hAnsi="Times New Roman" w:cs="Times New Roman" w:eastAsia="Times New Roman" w:hint="default"/>
                <w:sz w:val="24"/>
                <w:szCs w:val="24"/>
              </w:rPr>
            </w:pPr>
            <w:r>
              <w:rPr>
                <w:rFonts w:ascii="Times New Roman"/>
                <w:sz w:val="24"/>
              </w:rPr>
              <w:t>11,0</w:t>
            </w:r>
          </w:p>
          <w:p>
            <w:pPr>
              <w:pStyle w:val="TableParagraph"/>
              <w:spacing w:line="240" w:lineRule="auto"/>
              <w:ind w:left="32" w:right="0"/>
              <w:jc w:val="center"/>
              <w:rPr>
                <w:rFonts w:ascii="Times New Roman" w:hAnsi="Times New Roman" w:cs="Times New Roman" w:eastAsia="Times New Roman" w:hint="default"/>
                <w:sz w:val="24"/>
                <w:szCs w:val="24"/>
              </w:rPr>
            </w:pPr>
            <w:r>
              <w:rPr>
                <w:rFonts w:ascii="Times New Roman"/>
                <w:sz w:val="24"/>
              </w:rPr>
              <w:t>47,4</w:t>
            </w:r>
          </w:p>
          <w:p>
            <w:pPr>
              <w:pStyle w:val="TableParagraph"/>
              <w:spacing w:line="240" w:lineRule="auto"/>
              <w:ind w:left="212" w:right="0"/>
              <w:jc w:val="center"/>
              <w:rPr>
                <w:rFonts w:ascii="Times New Roman" w:hAnsi="Times New Roman" w:cs="Times New Roman" w:eastAsia="Times New Roman" w:hint="default"/>
                <w:sz w:val="24"/>
                <w:szCs w:val="24"/>
              </w:rPr>
            </w:pPr>
            <w:r>
              <w:rPr>
                <w:rFonts w:ascii="Times New Roman"/>
                <w:sz w:val="24"/>
              </w:rPr>
              <w:t>81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34" w:right="0"/>
              <w:jc w:val="left"/>
              <w:rPr>
                <w:rFonts w:ascii="Times New Roman" w:hAnsi="Times New Roman" w:cs="Times New Roman" w:eastAsia="Times New Roman" w:hint="default"/>
                <w:sz w:val="24"/>
                <w:szCs w:val="24"/>
              </w:rPr>
            </w:pPr>
            <w:r>
              <w:rPr>
                <w:rFonts w:ascii="Times New Roman"/>
                <w:sz w:val="24"/>
              </w:rPr>
              <w:t>16,54</w:t>
            </w:r>
          </w:p>
          <w:p>
            <w:pPr>
              <w:pStyle w:val="TableParagraph"/>
              <w:spacing w:line="240" w:lineRule="auto"/>
              <w:ind w:left="134" w:right="0"/>
              <w:jc w:val="left"/>
              <w:rPr>
                <w:rFonts w:ascii="Times New Roman" w:hAnsi="Times New Roman" w:cs="Times New Roman" w:eastAsia="Times New Roman" w:hint="default"/>
                <w:sz w:val="24"/>
                <w:szCs w:val="24"/>
              </w:rPr>
            </w:pPr>
            <w:r>
              <w:rPr>
                <w:rFonts w:ascii="Times New Roman"/>
                <w:sz w:val="24"/>
              </w:rPr>
              <w:t>8,415</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32" w:right="0"/>
              <w:jc w:val="left"/>
              <w:rPr>
                <w:rFonts w:ascii="Times New Roman" w:hAnsi="Times New Roman" w:cs="Times New Roman" w:eastAsia="Times New Roman" w:hint="default"/>
                <w:sz w:val="24"/>
                <w:szCs w:val="24"/>
              </w:rPr>
            </w:pPr>
            <w:r>
              <w:rPr>
                <w:rFonts w:ascii="Times New Roman"/>
                <w:sz w:val="24"/>
              </w:rPr>
              <w:t>192,1</w:t>
            </w:r>
          </w:p>
          <w:p>
            <w:pPr>
              <w:pStyle w:val="TableParagraph"/>
              <w:spacing w:line="240" w:lineRule="auto"/>
              <w:ind w:left="432" w:right="0"/>
              <w:jc w:val="left"/>
              <w:rPr>
                <w:rFonts w:ascii="Times New Roman" w:hAnsi="Times New Roman" w:cs="Times New Roman" w:eastAsia="Times New Roman" w:hint="default"/>
                <w:sz w:val="24"/>
                <w:szCs w:val="24"/>
              </w:rPr>
            </w:pPr>
            <w:r>
              <w:rPr>
                <w:rFonts w:ascii="Times New Roman"/>
                <w:sz w:val="24"/>
              </w:rPr>
              <w:t>22</w:t>
            </w: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3" w:right="0"/>
              <w:jc w:val="center"/>
              <w:rPr>
                <w:rFonts w:ascii="Times New Roman" w:hAnsi="Times New Roman" w:cs="Times New Roman" w:eastAsia="Times New Roman" w:hint="default"/>
                <w:sz w:val="24"/>
                <w:szCs w:val="24"/>
              </w:rPr>
            </w:pPr>
            <w:r>
              <w:rPr>
                <w:rFonts w:ascii="Times New Roman"/>
                <w:sz w:val="24"/>
              </w:rPr>
              <w:t>1,585</w:t>
            </w:r>
          </w:p>
          <w:p>
            <w:pPr>
              <w:pStyle w:val="TableParagraph"/>
              <w:spacing w:line="240" w:lineRule="auto"/>
              <w:ind w:left="73" w:right="0"/>
              <w:jc w:val="center"/>
              <w:rPr>
                <w:rFonts w:ascii="Times New Roman" w:hAnsi="Times New Roman" w:cs="Times New Roman" w:eastAsia="Times New Roman" w:hint="default"/>
                <w:sz w:val="24"/>
                <w:szCs w:val="24"/>
              </w:rPr>
            </w:pPr>
            <w:r>
              <w:rPr>
                <w:rFonts w:ascii="Times New Roman"/>
                <w:sz w:val="24"/>
              </w:rPr>
              <w:t>,918,</w:t>
            </w:r>
          </w:p>
          <w:p>
            <w:pPr>
              <w:pStyle w:val="TableParagraph"/>
              <w:spacing w:line="240" w:lineRule="auto"/>
              <w:ind w:left="193" w:right="0"/>
              <w:jc w:val="center"/>
              <w:rPr>
                <w:rFonts w:ascii="Times New Roman" w:hAnsi="Times New Roman" w:cs="Times New Roman" w:eastAsia="Times New Roman" w:hint="default"/>
                <w:sz w:val="24"/>
                <w:szCs w:val="24"/>
              </w:rPr>
            </w:pPr>
            <w:r>
              <w:rPr>
                <w:rFonts w:ascii="Times New Roman"/>
                <w:sz w:val="24"/>
              </w:rPr>
              <w:t>886</w:t>
            </w: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840"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68"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1,570</w:t>
            </w:r>
          </w:p>
          <w:p>
            <w:pPr>
              <w:pStyle w:val="TableParagraph"/>
              <w:spacing w:line="240" w:lineRule="auto"/>
              <w:ind w:left="57" w:right="0"/>
              <w:jc w:val="center"/>
              <w:rPr>
                <w:rFonts w:ascii="Times New Roman" w:hAnsi="Times New Roman" w:cs="Times New Roman" w:eastAsia="Times New Roman" w:hint="default"/>
                <w:sz w:val="24"/>
                <w:szCs w:val="24"/>
              </w:rPr>
            </w:pPr>
            <w:r>
              <w:rPr>
                <w:rFonts w:ascii="Times New Roman"/>
                <w:sz w:val="24"/>
              </w:rPr>
              <w:t>,828,</w:t>
            </w:r>
          </w:p>
          <w:p>
            <w:pPr>
              <w:pStyle w:val="TableParagraph"/>
              <w:spacing w:line="240" w:lineRule="auto"/>
              <w:ind w:left="177" w:right="0"/>
              <w:jc w:val="center"/>
              <w:rPr>
                <w:rFonts w:ascii="Times New Roman" w:hAnsi="Times New Roman" w:cs="Times New Roman" w:eastAsia="Times New Roman" w:hint="default"/>
                <w:sz w:val="24"/>
                <w:szCs w:val="24"/>
              </w:rPr>
            </w:pPr>
            <w:r>
              <w:rPr>
                <w:rFonts w:ascii="Times New Roman"/>
                <w:sz w:val="24"/>
              </w:rPr>
              <w:t>835</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Times New Roman" w:hAnsi="Times New Roman" w:cs="Times New Roman" w:eastAsia="Times New Roman" w:hint="default"/>
                <w:sz w:val="24"/>
                <w:szCs w:val="24"/>
              </w:rPr>
            </w:pPr>
            <w:r>
              <w:rPr>
                <w:rFonts w:ascii="Times New Roman"/>
                <w:sz w:val="24"/>
              </w:rPr>
              <w:t>9,781</w:t>
            </w:r>
          </w:p>
          <w:p>
            <w:pPr>
              <w:pStyle w:val="TableParagraph"/>
              <w:spacing w:line="240" w:lineRule="auto"/>
              <w:ind w:left="117" w:right="0"/>
              <w:jc w:val="center"/>
              <w:rPr>
                <w:rFonts w:ascii="Times New Roman" w:hAnsi="Times New Roman" w:cs="Times New Roman" w:eastAsia="Times New Roman" w:hint="default"/>
                <w:sz w:val="24"/>
                <w:szCs w:val="24"/>
              </w:rPr>
            </w:pPr>
            <w:r>
              <w:rPr>
                <w:rFonts w:ascii="Times New Roman"/>
                <w:sz w:val="24"/>
              </w:rPr>
              <w:t>,239</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2" w:right="0"/>
              <w:jc w:val="center"/>
              <w:rPr>
                <w:rFonts w:ascii="Times New Roman" w:hAnsi="Times New Roman" w:cs="Times New Roman" w:eastAsia="Times New Roman" w:hint="default"/>
                <w:sz w:val="24"/>
                <w:szCs w:val="24"/>
              </w:rPr>
            </w:pPr>
            <w:r>
              <w:rPr>
                <w:rFonts w:ascii="Times New Roman"/>
                <w:sz w:val="24"/>
              </w:rPr>
              <w:t>11,0</w:t>
            </w:r>
          </w:p>
          <w:p>
            <w:pPr>
              <w:pStyle w:val="TableParagraph"/>
              <w:spacing w:line="240" w:lineRule="auto"/>
              <w:ind w:left="32" w:right="0"/>
              <w:jc w:val="center"/>
              <w:rPr>
                <w:rFonts w:ascii="Times New Roman" w:hAnsi="Times New Roman" w:cs="Times New Roman" w:eastAsia="Times New Roman" w:hint="default"/>
                <w:sz w:val="24"/>
                <w:szCs w:val="24"/>
              </w:rPr>
            </w:pPr>
            <w:r>
              <w:rPr>
                <w:rFonts w:ascii="Times New Roman"/>
                <w:sz w:val="24"/>
              </w:rPr>
              <w:t>47,4</w:t>
            </w:r>
          </w:p>
          <w:p>
            <w:pPr>
              <w:pStyle w:val="TableParagraph"/>
              <w:spacing w:line="240" w:lineRule="auto"/>
              <w:ind w:left="212" w:right="0"/>
              <w:jc w:val="center"/>
              <w:rPr>
                <w:rFonts w:ascii="Times New Roman" w:hAnsi="Times New Roman" w:cs="Times New Roman" w:eastAsia="Times New Roman" w:hint="default"/>
                <w:sz w:val="24"/>
                <w:szCs w:val="24"/>
              </w:rPr>
            </w:pPr>
            <w:r>
              <w:rPr>
                <w:rFonts w:ascii="Times New Roman"/>
                <w:sz w:val="24"/>
              </w:rPr>
              <w:t>81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34" w:right="0"/>
              <w:jc w:val="left"/>
              <w:rPr>
                <w:rFonts w:ascii="Times New Roman" w:hAnsi="Times New Roman" w:cs="Times New Roman" w:eastAsia="Times New Roman" w:hint="default"/>
                <w:sz w:val="24"/>
                <w:szCs w:val="24"/>
              </w:rPr>
            </w:pPr>
            <w:r>
              <w:rPr>
                <w:rFonts w:ascii="Times New Roman"/>
                <w:sz w:val="24"/>
              </w:rPr>
              <w:t>16,54</w:t>
            </w:r>
          </w:p>
          <w:p>
            <w:pPr>
              <w:pStyle w:val="TableParagraph"/>
              <w:spacing w:line="240" w:lineRule="auto"/>
              <w:ind w:left="134" w:right="0"/>
              <w:jc w:val="left"/>
              <w:rPr>
                <w:rFonts w:ascii="Times New Roman" w:hAnsi="Times New Roman" w:cs="Times New Roman" w:eastAsia="Times New Roman" w:hint="default"/>
                <w:sz w:val="24"/>
                <w:szCs w:val="24"/>
              </w:rPr>
            </w:pPr>
            <w:r>
              <w:rPr>
                <w:rFonts w:ascii="Times New Roman"/>
                <w:sz w:val="24"/>
              </w:rPr>
              <w:t>8,415</w:t>
            </w: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32" w:right="0"/>
              <w:jc w:val="left"/>
              <w:rPr>
                <w:rFonts w:ascii="Times New Roman" w:hAnsi="Times New Roman" w:cs="Times New Roman" w:eastAsia="Times New Roman" w:hint="default"/>
                <w:sz w:val="24"/>
                <w:szCs w:val="24"/>
              </w:rPr>
            </w:pPr>
            <w:r>
              <w:rPr>
                <w:rFonts w:ascii="Times New Roman"/>
                <w:sz w:val="24"/>
              </w:rPr>
              <w:t>192,1</w:t>
            </w:r>
          </w:p>
          <w:p>
            <w:pPr>
              <w:pStyle w:val="TableParagraph"/>
              <w:spacing w:line="240" w:lineRule="auto"/>
              <w:ind w:left="432" w:right="0"/>
              <w:jc w:val="left"/>
              <w:rPr>
                <w:rFonts w:ascii="Times New Roman" w:hAnsi="Times New Roman" w:cs="Times New Roman" w:eastAsia="Times New Roman" w:hint="default"/>
                <w:sz w:val="24"/>
                <w:szCs w:val="24"/>
              </w:rPr>
            </w:pPr>
            <w:r>
              <w:rPr>
                <w:rFonts w:ascii="Times New Roman"/>
                <w:sz w:val="24"/>
              </w:rPr>
              <w:t>22</w:t>
            </w:r>
          </w:p>
        </w:tc>
        <w:tc>
          <w:tcPr>
            <w:tcW w:w="775"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3" w:right="0"/>
              <w:jc w:val="center"/>
              <w:rPr>
                <w:rFonts w:ascii="Times New Roman" w:hAnsi="Times New Roman" w:cs="Times New Roman" w:eastAsia="Times New Roman" w:hint="default"/>
                <w:sz w:val="24"/>
                <w:szCs w:val="24"/>
              </w:rPr>
            </w:pPr>
            <w:r>
              <w:rPr>
                <w:rFonts w:ascii="Times New Roman"/>
                <w:sz w:val="24"/>
              </w:rPr>
              <w:t>1,585</w:t>
            </w:r>
          </w:p>
          <w:p>
            <w:pPr>
              <w:pStyle w:val="TableParagraph"/>
              <w:spacing w:line="240" w:lineRule="auto"/>
              <w:ind w:left="73" w:right="0"/>
              <w:jc w:val="center"/>
              <w:rPr>
                <w:rFonts w:ascii="Times New Roman" w:hAnsi="Times New Roman" w:cs="Times New Roman" w:eastAsia="Times New Roman" w:hint="default"/>
                <w:sz w:val="24"/>
                <w:szCs w:val="24"/>
              </w:rPr>
            </w:pPr>
            <w:r>
              <w:rPr>
                <w:rFonts w:ascii="Times New Roman"/>
                <w:sz w:val="24"/>
              </w:rPr>
              <w:t>,918,</w:t>
            </w:r>
          </w:p>
          <w:p>
            <w:pPr>
              <w:pStyle w:val="TableParagraph"/>
              <w:spacing w:line="240" w:lineRule="auto"/>
              <w:ind w:left="193" w:right="0"/>
              <w:jc w:val="center"/>
              <w:rPr>
                <w:rFonts w:ascii="Times New Roman" w:hAnsi="Times New Roman" w:cs="Times New Roman" w:eastAsia="Times New Roman" w:hint="default"/>
                <w:sz w:val="24"/>
                <w:szCs w:val="24"/>
              </w:rPr>
            </w:pPr>
            <w:r>
              <w:rPr>
                <w:rFonts w:ascii="Times New Roman"/>
                <w:sz w:val="24"/>
              </w:rPr>
              <w:t>886</w:t>
            </w:r>
          </w:p>
        </w:tc>
        <w:tc>
          <w:tcPr>
            <w:tcW w:w="73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BodyText"/>
        <w:spacing w:line="310" w:lineRule="exact" w:before="58"/>
        <w:ind w:left="216" w:right="7850"/>
        <w:jc w:val="left"/>
      </w:pPr>
      <w:r>
        <w:rPr/>
        <w:t>其他说明： 无。</w:t>
      </w:r>
    </w:p>
    <w:p>
      <w:pPr>
        <w:spacing w:line="240" w:lineRule="auto" w:before="1"/>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footerReference w:type="default" r:id="rId100"/>
          <w:pgSz w:w="11910" w:h="16840"/>
          <w:pgMar w:footer="1195" w:header="745" w:top="1080" w:bottom="1380" w:left="1060" w:right="1560"/>
        </w:sectPr>
      </w:pPr>
    </w:p>
    <w:p>
      <w:pPr>
        <w:spacing w:before="36"/>
        <w:ind w:left="216" w:right="0" w:firstLine="0"/>
        <w:jc w:val="left"/>
        <w:rPr>
          <w:rFonts w:ascii="宋体" w:hAnsi="宋体" w:cs="宋体" w:eastAsia="宋体" w:hint="default"/>
          <w:sz w:val="20"/>
          <w:szCs w:val="20"/>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0"/>
          <w:szCs w:val="20"/>
        </w:rPr>
        <w:t>营业收入和营业成本</w:t>
      </w:r>
      <w:r>
        <w:rPr>
          <w:rFonts w:ascii="宋体" w:hAnsi="宋体" w:cs="宋体" w:eastAsia="宋体" w:hint="default"/>
          <w:sz w:val="20"/>
          <w:szCs w:val="20"/>
        </w:rPr>
      </w:r>
    </w:p>
    <w:p>
      <w:pPr>
        <w:spacing w:before="56"/>
        <w:ind w:left="216" w:right="0"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pacing w:val="-3"/>
          <w:sz w:val="20"/>
          <w:szCs w:val="20"/>
        </w:rPr>
        <w:t> </w:t>
      </w:r>
      <w:r>
        <w:rPr>
          <w:rFonts w:ascii="宋体" w:hAnsi="宋体" w:cs="宋体" w:eastAsia="宋体" w:hint="default"/>
          <w:b/>
          <w:bCs/>
          <w:sz w:val="20"/>
          <w:szCs w:val="20"/>
        </w:rPr>
        <w:t>营业收入和营业成本情况</w:t>
      </w:r>
      <w:r>
        <w:rPr>
          <w:rFonts w:ascii="宋体" w:hAnsi="宋体" w:cs="宋体" w:eastAsia="宋体" w:hint="default"/>
          <w:b/>
          <w:bCs/>
          <w:w w:val="98"/>
          <w:sz w:val="20"/>
          <w:szCs w:val="20"/>
        </w:rPr>
        <w:t> </w:t>
      </w:r>
      <w:r>
        <w:rPr>
          <w:rFonts w:ascii="宋体" w:hAnsi="宋体" w:cs="宋体" w:eastAsia="宋体" w:hint="default"/>
          <w:sz w:val="20"/>
          <w:szCs w:val="20"/>
        </w:rPr>
      </w:r>
    </w:p>
    <w:p>
      <w:pPr>
        <w:spacing w:before="57"/>
        <w:ind w:left="216" w:right="0" w:firstLine="0"/>
        <w:jc w:val="left"/>
        <w:rPr>
          <w:rFonts w:ascii="宋体" w:hAnsi="宋体" w:cs="宋体" w:eastAsia="宋体" w:hint="default"/>
          <w:sz w:val="20"/>
          <w:szCs w:val="20"/>
        </w:rPr>
      </w:pPr>
      <w:r>
        <w:rPr>
          <w:rFonts w:ascii="宋体" w:hAnsi="宋体" w:cs="宋体" w:eastAsia="宋体" w:hint="default"/>
          <w:sz w:val="20"/>
          <w:szCs w:val="20"/>
        </w:rPr>
        <w:t>√适用</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□不适用</w:t>
      </w:r>
      <w:r>
        <w:rPr>
          <w:rFonts w:ascii="宋体" w:hAnsi="宋体" w:cs="宋体" w:eastAsia="宋体" w:hint="default"/>
          <w:spacing w:val="1"/>
          <w:sz w:val="20"/>
          <w:szCs w:val="20"/>
        </w:rPr>
        <w:t> </w:t>
      </w:r>
      <w:r>
        <w:rPr>
          <w:rFonts w:ascii="宋体" w:hAnsi="宋体" w:cs="宋体" w:eastAsia="宋体" w:hint="default"/>
          <w:sz w:val="20"/>
          <w:szCs w:val="20"/>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0"/>
        <w:ind w:left="216" w:right="0" w:firstLine="0"/>
        <w:jc w:val="left"/>
        <w:rPr>
          <w:rFonts w:ascii="宋体" w:hAnsi="宋体" w:cs="宋体" w:eastAsia="宋体" w:hint="default"/>
          <w:sz w:val="20"/>
          <w:szCs w:val="20"/>
        </w:rPr>
      </w:pPr>
      <w:r>
        <w:rPr>
          <w:rFonts w:ascii="宋体" w:hAnsi="宋体" w:cs="宋体" w:eastAsia="宋体" w:hint="default"/>
          <w:sz w:val="20"/>
          <w:szCs w:val="20"/>
        </w:rPr>
        <w:t>单位：元</w:t>
      </w:r>
      <w:r>
        <w:rPr>
          <w:rFonts w:ascii="宋体" w:hAnsi="宋体" w:cs="宋体" w:eastAsia="宋体" w:hint="default"/>
          <w:spacing w:val="99"/>
          <w:sz w:val="20"/>
          <w:szCs w:val="20"/>
        </w:rPr>
        <w:t> </w:t>
      </w:r>
      <w:r>
        <w:rPr>
          <w:rFonts w:ascii="宋体" w:hAnsi="宋体" w:cs="宋体" w:eastAsia="宋体" w:hint="default"/>
          <w:spacing w:val="99"/>
          <w:sz w:val="20"/>
          <w:szCs w:val="20"/>
        </w:rPr>
      </w:r>
      <w:r>
        <w:rPr>
          <w:rFonts w:ascii="宋体" w:hAnsi="宋体" w:cs="宋体" w:eastAsia="宋体" w:hint="default"/>
          <w:sz w:val="20"/>
          <w:szCs w:val="20"/>
        </w:rPr>
        <w:t>币种：人民币</w:t>
      </w:r>
      <w:r>
        <w:rPr>
          <w:rFonts w:ascii="宋体" w:hAnsi="宋体" w:cs="宋体" w:eastAsia="宋体" w:hint="default"/>
          <w:sz w:val="20"/>
          <w:szCs w:val="20"/>
        </w:rPr>
        <w:t> </w:t>
      </w:r>
    </w:p>
    <w:p>
      <w:pPr>
        <w:spacing w:after="0"/>
        <w:jc w:val="left"/>
        <w:rPr>
          <w:rFonts w:ascii="宋体" w:hAnsi="宋体" w:cs="宋体" w:eastAsia="宋体" w:hint="default"/>
          <w:sz w:val="20"/>
          <w:szCs w:val="20"/>
        </w:rPr>
        <w:sectPr>
          <w:type w:val="continuous"/>
          <w:pgSz w:w="11910" w:h="16840"/>
          <w:pgMar w:top="1120" w:bottom="1380" w:left="1060" w:right="1560"/>
          <w:cols w:num="2" w:equalWidth="0">
            <w:col w:w="3030" w:space="3603"/>
            <w:col w:w="2657"/>
          </w:cols>
        </w:sectPr>
      </w:pPr>
    </w:p>
    <w:p>
      <w:pPr>
        <w:spacing w:line="240" w:lineRule="auto" w:before="3"/>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790"/>
        <w:gridCol w:w="1615"/>
        <w:gridCol w:w="1613"/>
        <w:gridCol w:w="1615"/>
        <w:gridCol w:w="1417"/>
      </w:tblGrid>
      <w:tr>
        <w:trPr>
          <w:trHeight w:val="322" w:hRule="exact"/>
        </w:trPr>
        <w:tc>
          <w:tcPr>
            <w:tcW w:w="2790" w:type="dxa"/>
            <w:vMerge w:val="restart"/>
            <w:tcBorders>
              <w:top w:val="single" w:sz="4" w:space="0" w:color="000000"/>
              <w:left w:val="single" w:sz="4" w:space="0" w:color="000000"/>
              <w:right w:val="single" w:sz="4" w:space="0" w:color="000000"/>
            </w:tcBorders>
          </w:tcPr>
          <w:p>
            <w:pPr>
              <w:pStyle w:val="TableParagraph"/>
              <w:spacing w:line="240" w:lineRule="auto" w:before="123"/>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32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07"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303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909"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2790" w:type="dxa"/>
            <w:vMerge/>
            <w:tcBorders>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收入</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成本</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收入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63" w:right="0"/>
              <w:jc w:val="left"/>
              <w:rPr>
                <w:rFonts w:ascii="宋体" w:hAnsi="宋体" w:cs="宋体" w:eastAsia="宋体" w:hint="default"/>
                <w:sz w:val="24"/>
                <w:szCs w:val="24"/>
              </w:rPr>
            </w:pPr>
            <w:r>
              <w:rPr>
                <w:rFonts w:ascii="宋体" w:hAnsi="宋体" w:cs="宋体" w:eastAsia="宋体" w:hint="default"/>
                <w:sz w:val="24"/>
                <w:szCs w:val="24"/>
              </w:rPr>
              <w:t>成本</w:t>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主营业务</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3,060,067,057</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906,448,326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2,753,109,835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809,409,571</w:t>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其他业务</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311,918,707</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24,332,300</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304,547,927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33,699,945</w:t>
            </w:r>
          </w:p>
        </w:tc>
      </w:tr>
      <w:tr>
        <w:trPr>
          <w:trHeight w:val="322" w:hRule="exact"/>
        </w:trPr>
        <w:tc>
          <w:tcPr>
            <w:tcW w:w="279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3,371,985,764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930,780,626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3,057,657,762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843109516</w:t>
            </w:r>
          </w:p>
        </w:tc>
      </w:tr>
    </w:tbl>
    <w:p>
      <w:pPr>
        <w:spacing w:line="240" w:lineRule="auto" w:before="8"/>
        <w:rPr>
          <w:rFonts w:ascii="宋体" w:hAnsi="宋体" w:cs="宋体" w:eastAsia="宋体" w:hint="default"/>
          <w:sz w:val="20"/>
          <w:szCs w:val="20"/>
        </w:rPr>
      </w:pPr>
    </w:p>
    <w:p>
      <w:pPr>
        <w:pStyle w:val="BodyText"/>
        <w:spacing w:line="285" w:lineRule="auto" w:before="26"/>
        <w:ind w:left="216" w:right="7850"/>
        <w:jc w:val="left"/>
      </w:pPr>
      <w:r>
        <w:rPr/>
        <w:t>其他说明： 无。</w:t>
      </w:r>
    </w:p>
    <w:p>
      <w:pPr>
        <w:spacing w:line="240" w:lineRule="auto" w:before="7"/>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120" w:bottom="1380" w:left="1060" w:right="1560"/>
        </w:sectPr>
      </w:pPr>
    </w:p>
    <w:p>
      <w:pPr>
        <w:spacing w:before="36"/>
        <w:ind w:left="216" w:right="-19" w:firstLine="0"/>
        <w:jc w:val="left"/>
        <w:rPr>
          <w:rFonts w:ascii="宋体" w:hAnsi="宋体" w:cs="宋体" w:eastAsia="宋体" w:hint="default"/>
          <w:sz w:val="20"/>
          <w:szCs w:val="20"/>
        </w:rPr>
      </w:pPr>
      <w:r>
        <w:rPr>
          <w:rFonts w:ascii="宋体" w:hAnsi="宋体" w:cs="宋体" w:eastAsia="宋体" w:hint="default"/>
          <w:b/>
          <w:bCs/>
          <w:sz w:val="21"/>
          <w:szCs w:val="21"/>
        </w:rPr>
        <w:t>5</w:t>
      </w:r>
      <w:r>
        <w:rPr>
          <w:rFonts w:ascii="宋体" w:hAnsi="宋体" w:cs="宋体" w:eastAsia="宋体" w:hint="default"/>
          <w:b/>
          <w:bCs/>
          <w:sz w:val="21"/>
          <w:szCs w:val="21"/>
        </w:rPr>
        <w:t>、 </w:t>
      </w:r>
      <w:r>
        <w:rPr>
          <w:rFonts w:ascii="宋体" w:hAnsi="宋体" w:cs="宋体" w:eastAsia="宋体" w:hint="default"/>
          <w:b/>
          <w:bCs/>
          <w:sz w:val="20"/>
          <w:szCs w:val="20"/>
        </w:rPr>
        <w:t>投资收益</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50"/>
        <w:ind w:left="216" w:right="-19"/>
        <w:jc w:val="left"/>
      </w:pPr>
      <w:r>
        <w:rPr/>
        <w:t>√适用</w:t>
      </w:r>
      <w:r>
        <w:rPr>
          <w:spacing w:val="-1"/>
        </w:rPr>
        <w:t> </w:t>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3"/>
        <w:rPr>
          <w:rFonts w:ascii="宋体" w:hAnsi="宋体" w:cs="宋体" w:eastAsia="宋体" w:hint="default"/>
          <w:sz w:val="27"/>
          <w:szCs w:val="27"/>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1922" w:space="4272"/>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654"/>
        <w:gridCol w:w="2693"/>
        <w:gridCol w:w="2703"/>
      </w:tblGrid>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39" w:right="0"/>
              <w:jc w:val="left"/>
              <w:rPr>
                <w:rFonts w:ascii="宋体" w:hAnsi="宋体" w:cs="宋体" w:eastAsia="宋体" w:hint="default"/>
                <w:sz w:val="24"/>
                <w:szCs w:val="24"/>
              </w:rPr>
            </w:pPr>
            <w:r>
              <w:rPr>
                <w:rFonts w:ascii="宋体" w:hAnsi="宋体" w:cs="宋体" w:eastAsia="宋体" w:hint="default"/>
                <w:sz w:val="24"/>
                <w:szCs w:val="24"/>
              </w:rPr>
              <w:t>本期发生额</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43" w:right="0"/>
              <w:jc w:val="left"/>
              <w:rPr>
                <w:rFonts w:ascii="宋体" w:hAnsi="宋体" w:cs="宋体" w:eastAsia="宋体" w:hint="default"/>
                <w:sz w:val="24"/>
                <w:szCs w:val="24"/>
              </w:rPr>
            </w:pPr>
            <w:r>
              <w:rPr>
                <w:rFonts w:ascii="宋体" w:hAnsi="宋体" w:cs="宋体" w:eastAsia="宋体" w:hint="default"/>
                <w:sz w:val="24"/>
                <w:szCs w:val="24"/>
              </w:rPr>
              <w:t>上期发生额</w:t>
            </w:r>
          </w:p>
        </w:tc>
      </w:tr>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5"/>
              <w:jc w:val="center"/>
              <w:rPr>
                <w:rFonts w:ascii="宋体" w:hAnsi="宋体" w:cs="宋体" w:eastAsia="宋体" w:hint="default"/>
                <w:sz w:val="24"/>
                <w:szCs w:val="24"/>
              </w:rPr>
            </w:pPr>
            <w:r>
              <w:rPr>
                <w:rFonts w:ascii="宋体" w:hAnsi="宋体" w:cs="宋体" w:eastAsia="宋体" w:hint="default"/>
                <w:sz w:val="24"/>
                <w:szCs w:val="24"/>
              </w:rPr>
              <w:t>成本法核算的长期股权投资收益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418,135,707</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353,538,350</w:t>
            </w:r>
          </w:p>
        </w:tc>
      </w:tr>
      <w:tr>
        <w:trPr>
          <w:trHeight w:val="319"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75"/>
              <w:jc w:val="center"/>
              <w:rPr>
                <w:rFonts w:ascii="宋体" w:hAnsi="宋体" w:cs="宋体" w:eastAsia="宋体" w:hint="default"/>
                <w:sz w:val="24"/>
                <w:szCs w:val="24"/>
              </w:rPr>
            </w:pPr>
            <w:r>
              <w:rPr>
                <w:rFonts w:ascii="宋体" w:hAnsi="宋体" w:cs="宋体" w:eastAsia="宋体" w:hint="default"/>
                <w:sz w:val="24"/>
                <w:szCs w:val="24"/>
              </w:rPr>
              <w:t>权益法核算的长期股权投资收益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16,548,415</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27,857,604</w:t>
            </w:r>
          </w:p>
        </w:tc>
      </w:tr>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right="75"/>
              <w:jc w:val="center"/>
              <w:rPr>
                <w:rFonts w:ascii="宋体" w:hAnsi="宋体" w:cs="宋体" w:eastAsia="宋体" w:hint="default"/>
                <w:sz w:val="24"/>
                <w:szCs w:val="24"/>
              </w:rPr>
            </w:pPr>
            <w:r>
              <w:rPr>
                <w:rFonts w:ascii="宋体" w:hAnsi="宋体" w:cs="宋体" w:eastAsia="宋体" w:hint="default"/>
                <w:sz w:val="24"/>
                <w:szCs w:val="24"/>
              </w:rPr>
              <w:t>处置长期股权投资产生的投资收</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5"/>
              <w:jc w:val="right"/>
              <w:rPr>
                <w:rFonts w:ascii="Times New Roman" w:hAnsi="Times New Roman" w:cs="Times New Roman" w:eastAsia="Times New Roman" w:hint="default"/>
                <w:sz w:val="24"/>
                <w:szCs w:val="24"/>
              </w:rPr>
            </w:pPr>
            <w:r>
              <w:rPr>
                <w:rFonts w:ascii="Times New Roman"/>
                <w:sz w:val="24"/>
              </w:rPr>
              <w:t>13,270,585</w:t>
            </w:r>
          </w:p>
        </w:tc>
        <w:tc>
          <w:tcPr>
            <w:tcW w:w="2703"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3654"/>
        <w:gridCol w:w="2693"/>
        <w:gridCol w:w="2703"/>
      </w:tblGrid>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以公允价值计量且其变动计入当</w:t>
            </w:r>
          </w:p>
          <w:p>
            <w:pPr>
              <w:pStyle w:val="TableParagraph"/>
              <w:spacing w:line="310" w:lineRule="exact" w:before="31"/>
              <w:ind w:left="103" w:right="180"/>
              <w:jc w:val="left"/>
              <w:rPr>
                <w:rFonts w:ascii="宋体" w:hAnsi="宋体" w:cs="宋体" w:eastAsia="宋体" w:hint="default"/>
                <w:sz w:val="24"/>
                <w:szCs w:val="24"/>
              </w:rPr>
            </w:pPr>
            <w:r>
              <w:rPr>
                <w:rFonts w:ascii="宋体" w:hAnsi="宋体" w:cs="宋体" w:eastAsia="宋体" w:hint="default"/>
                <w:sz w:val="24"/>
                <w:szCs w:val="24"/>
              </w:rPr>
              <w:t>期损益的金融资产在持有期间的 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处置以公允价值计量且其变动计</w:t>
            </w:r>
          </w:p>
          <w:p>
            <w:pPr>
              <w:pStyle w:val="TableParagraph"/>
              <w:spacing w:line="312" w:lineRule="exact" w:before="29"/>
              <w:ind w:left="103" w:right="180"/>
              <w:jc w:val="left"/>
              <w:rPr>
                <w:rFonts w:ascii="宋体" w:hAnsi="宋体" w:cs="宋体" w:eastAsia="宋体" w:hint="default"/>
                <w:sz w:val="24"/>
                <w:szCs w:val="24"/>
              </w:rPr>
            </w:pPr>
            <w:r>
              <w:rPr>
                <w:rFonts w:ascii="宋体" w:hAnsi="宋体" w:cs="宋体" w:eastAsia="宋体" w:hint="default"/>
                <w:sz w:val="24"/>
                <w:szCs w:val="24"/>
              </w:rPr>
              <w:t>入当期损益的金融资产取得的投 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持有至到期投资在持有期间的投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处置持有至到期投资取得的投资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可供出售金融资产在持有期间取</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得的投资收益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101"/>
              <w:jc w:val="right"/>
              <w:rPr>
                <w:rFonts w:ascii="Times New Roman" w:hAnsi="Times New Roman" w:cs="Times New Roman" w:eastAsia="Times New Roman" w:hint="default"/>
                <w:sz w:val="24"/>
                <w:szCs w:val="24"/>
              </w:rPr>
            </w:pPr>
            <w:r>
              <w:rPr>
                <w:rFonts w:ascii="Times New Roman"/>
                <w:sz w:val="24"/>
              </w:rPr>
              <w:t>1,301,475</w:t>
            </w:r>
          </w:p>
        </w:tc>
      </w:tr>
      <w:tr>
        <w:trPr>
          <w:trHeight w:val="63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处置可供出售金融资产取得的投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交易性金融资产在持有期间的投</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其他权益工具投资在持有期间取</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得的股利收入</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债权投资在持有期间取得的利息</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收入</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其他债权投资在持有期间取得的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利息收入</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处置交易性金融资产取得的投资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处置其他权益工具投资取得的投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处置债权投资取得的投资收益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处置其他债权投资取得的投资收</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处置子公司取得的投资收益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17,118,734</w:t>
            </w: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金融资产在持有期间取得的投资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收益</w:t>
            </w:r>
          </w:p>
        </w:tc>
        <w:tc>
          <w:tcPr>
            <w:tcW w:w="2693" w:type="dxa"/>
            <w:tcBorders>
              <w:top w:val="single" w:sz="4" w:space="0" w:color="000000"/>
              <w:left w:val="single" w:sz="4" w:space="0" w:color="000000"/>
              <w:bottom w:val="single" w:sz="4" w:space="0" w:color="000000"/>
              <w:right w:val="single" w:sz="4" w:space="0" w:color="000000"/>
            </w:tcBorders>
          </w:tcPr>
          <w:p>
            <w:pP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12,921,104</w:t>
            </w:r>
          </w:p>
        </w:tc>
      </w:tr>
      <w:tr>
        <w:trPr>
          <w:trHeight w:val="63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其他非流动金融资产在持有期间</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取得的投资收益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2,073,647</w:t>
            </w:r>
          </w:p>
        </w:tc>
        <w:tc>
          <w:tcPr>
            <w:tcW w:w="270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5"/>
              <w:jc w:val="right"/>
              <w:rPr>
                <w:rFonts w:ascii="Times New Roman" w:hAnsi="Times New Roman" w:cs="Times New Roman" w:eastAsia="Times New Roman" w:hint="default"/>
                <w:sz w:val="24"/>
                <w:szCs w:val="24"/>
              </w:rPr>
            </w:pPr>
            <w:r>
              <w:rPr>
                <w:rFonts w:ascii="Times New Roman"/>
                <w:sz w:val="24"/>
              </w:rPr>
              <w:t>467,147,088</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395,618,533</w:t>
            </w:r>
          </w:p>
        </w:tc>
      </w:tr>
    </w:tbl>
    <w:p>
      <w:pPr>
        <w:pStyle w:val="BodyText"/>
        <w:spacing w:line="312" w:lineRule="exact" w:before="38"/>
        <w:ind w:left="216" w:right="7850"/>
        <w:jc w:val="left"/>
      </w:pPr>
      <w:r>
        <w:rPr/>
        <w:t>其他说明： 无。</w:t>
      </w:r>
    </w:p>
    <w:p>
      <w:pPr>
        <w:spacing w:line="240" w:lineRule="auto" w:before="11"/>
        <w:rPr>
          <w:rFonts w:ascii="宋体" w:hAnsi="宋体" w:cs="宋体" w:eastAsia="宋体" w:hint="default"/>
          <w:sz w:val="23"/>
          <w:szCs w:val="23"/>
        </w:rPr>
      </w:pPr>
    </w:p>
    <w:p>
      <w:pPr>
        <w:spacing w:before="0"/>
        <w:ind w:left="216" w:right="0" w:firstLine="0"/>
        <w:jc w:val="left"/>
        <w:rPr>
          <w:rFonts w:ascii="宋体" w:hAnsi="宋体" w:cs="宋体" w:eastAsia="宋体" w:hint="default"/>
          <w:sz w:val="20"/>
          <w:szCs w:val="20"/>
        </w:rPr>
      </w:pPr>
      <w:r>
        <w:rPr>
          <w:rFonts w:ascii="宋体" w:hAnsi="宋体" w:cs="宋体" w:eastAsia="宋体" w:hint="default"/>
          <w:b/>
          <w:bCs/>
          <w:sz w:val="21"/>
          <w:szCs w:val="21"/>
        </w:rPr>
        <w:t>6</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0"/>
          <w:szCs w:val="20"/>
        </w:rPr>
        <w:t>其他</w:t>
      </w:r>
      <w:r>
        <w:rPr>
          <w:rFonts w:ascii="宋体" w:hAnsi="宋体" w:cs="宋体" w:eastAsia="宋体" w:hint="default"/>
          <w:sz w:val="20"/>
          <w:szCs w:val="20"/>
        </w:rPr>
      </w:r>
    </w:p>
    <w:p>
      <w:pPr>
        <w:pStyle w:val="BodyText"/>
        <w:tabs>
          <w:tab w:pos="1177" w:val="left" w:leader="none"/>
        </w:tabs>
        <w:spacing w:line="240" w:lineRule="auto" w:before="47"/>
        <w:ind w:left="216" w:right="0"/>
        <w:jc w:val="left"/>
      </w:pPr>
      <w:r>
        <w:rPr/>
        <w:t>□适用</w:t>
        <w:tab/>
        <w:t>√不适用</w:t>
      </w:r>
    </w:p>
    <w:p>
      <w:pPr>
        <w:spacing w:after="0" w:line="240" w:lineRule="auto"/>
        <w:jc w:val="left"/>
        <w:sectPr>
          <w:footerReference w:type="default" r:id="rId101"/>
          <w:pgSz w:w="11910" w:h="16840"/>
          <w:pgMar w:footer="1195" w:header="745" w:top="1080" w:bottom="1380" w:left="1060" w:right="1560"/>
          <w:pgNumType w:start="191"/>
        </w:sectPr>
      </w:pPr>
    </w:p>
    <w:p>
      <w:pPr>
        <w:spacing w:line="240" w:lineRule="auto" w:before="1"/>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745" w:footer="1195" w:top="1080" w:bottom="1380" w:left="1060" w:right="1560"/>
        </w:sectPr>
      </w:pPr>
    </w:p>
    <w:p>
      <w:pPr>
        <w:spacing w:before="37"/>
        <w:ind w:left="216" w:right="0" w:firstLine="0"/>
        <w:jc w:val="left"/>
        <w:rPr>
          <w:rFonts w:ascii="宋体" w:hAnsi="宋体" w:cs="宋体" w:eastAsia="宋体" w:hint="default"/>
          <w:sz w:val="20"/>
          <w:szCs w:val="20"/>
        </w:rPr>
      </w:pPr>
      <w:r>
        <w:rPr>
          <w:rFonts w:ascii="宋体" w:hAnsi="宋体" w:cs="宋体" w:eastAsia="宋体" w:hint="default"/>
          <w:b/>
          <w:bCs/>
          <w:sz w:val="20"/>
          <w:szCs w:val="20"/>
        </w:rPr>
        <w:t>十八、 </w:t>
      </w:r>
      <w:r>
        <w:rPr>
          <w:rFonts w:ascii="宋体" w:hAnsi="宋体" w:cs="宋体" w:eastAsia="宋体" w:hint="default"/>
          <w:b/>
          <w:bCs/>
          <w:spacing w:val="34"/>
          <w:sz w:val="20"/>
          <w:szCs w:val="20"/>
        </w:rPr>
        <w:t> </w:t>
      </w:r>
      <w:r>
        <w:rPr>
          <w:rFonts w:ascii="宋体" w:hAnsi="宋体" w:cs="宋体" w:eastAsia="宋体" w:hint="default"/>
          <w:b/>
          <w:bCs/>
          <w:spacing w:val="34"/>
          <w:sz w:val="20"/>
          <w:szCs w:val="20"/>
        </w:rPr>
      </w:r>
      <w:r>
        <w:rPr>
          <w:rFonts w:ascii="宋体" w:hAnsi="宋体" w:cs="宋体" w:eastAsia="宋体" w:hint="default"/>
          <w:b/>
          <w:bCs/>
          <w:sz w:val="20"/>
          <w:szCs w:val="20"/>
        </w:rPr>
        <w:t>补充资料</w:t>
      </w:r>
      <w:r>
        <w:rPr>
          <w:rFonts w:ascii="宋体" w:hAnsi="宋体" w:cs="宋体" w:eastAsia="宋体" w:hint="default"/>
          <w:b/>
          <w:bCs/>
          <w:w w:val="98"/>
          <w:sz w:val="20"/>
          <w:szCs w:val="20"/>
        </w:rPr>
        <w:t> </w:t>
      </w:r>
      <w:r>
        <w:rPr>
          <w:rFonts w:ascii="宋体" w:hAnsi="宋体" w:cs="宋体" w:eastAsia="宋体" w:hint="default"/>
          <w:sz w:val="20"/>
          <w:szCs w:val="20"/>
        </w:rPr>
      </w:r>
    </w:p>
    <w:p>
      <w:pPr>
        <w:spacing w:before="58"/>
        <w:ind w:left="216" w:right="0" w:firstLine="0"/>
        <w:jc w:val="left"/>
        <w:rPr>
          <w:rFonts w:ascii="宋体" w:hAnsi="宋体" w:cs="宋体" w:eastAsia="宋体" w:hint="default"/>
          <w:sz w:val="20"/>
          <w:szCs w:val="20"/>
        </w:rPr>
      </w:pPr>
      <w:r>
        <w:rPr>
          <w:rFonts w:ascii="宋体" w:hAnsi="宋体" w:cs="宋体" w:eastAsia="宋体" w:hint="default"/>
          <w:b/>
          <w:bCs/>
          <w:sz w:val="20"/>
          <w:szCs w:val="20"/>
        </w:rPr>
        <w:t>1</w:t>
      </w:r>
      <w:r>
        <w:rPr>
          <w:rFonts w:ascii="宋体" w:hAnsi="宋体" w:cs="宋体" w:eastAsia="宋体" w:hint="default"/>
          <w:b/>
          <w:bCs/>
          <w:sz w:val="20"/>
          <w:szCs w:val="20"/>
        </w:rPr>
        <w:t>、</w:t>
      </w:r>
      <w:r>
        <w:rPr>
          <w:rFonts w:ascii="宋体" w:hAnsi="宋体" w:cs="宋体" w:eastAsia="宋体" w:hint="default"/>
          <w:b/>
          <w:bCs/>
          <w:spacing w:val="-4"/>
          <w:sz w:val="20"/>
          <w:szCs w:val="20"/>
        </w:rPr>
        <w:t> </w:t>
      </w:r>
      <w:r>
        <w:rPr>
          <w:rFonts w:ascii="宋体" w:hAnsi="宋体" w:cs="宋体" w:eastAsia="宋体" w:hint="default"/>
          <w:b/>
          <w:bCs/>
          <w:spacing w:val="-4"/>
          <w:sz w:val="20"/>
          <w:szCs w:val="20"/>
        </w:rPr>
      </w:r>
      <w:r>
        <w:rPr>
          <w:rFonts w:ascii="宋体" w:hAnsi="宋体" w:cs="宋体" w:eastAsia="宋体" w:hint="default"/>
          <w:b/>
          <w:bCs/>
          <w:sz w:val="20"/>
          <w:szCs w:val="20"/>
        </w:rPr>
        <w:t>当期非经常性损益明细表</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tabs>
          <w:tab w:pos="1177" w:val="left" w:leader="none"/>
        </w:tabs>
        <w:spacing w:line="240" w:lineRule="auto" w:before="49"/>
        <w:ind w:left="216" w:right="0"/>
        <w:jc w:val="left"/>
      </w:pPr>
      <w:r>
        <w:rPr/>
        <w:t>√适用</w:t>
        <w:tab/>
      </w:r>
      <w:r>
        <w:rPr>
          <w:rFonts w:ascii="Times New Roman" w:hAnsi="Times New Roman" w:cs="Times New Roman" w:eastAsia="Times New Roman" w:hint="default"/>
        </w:rPr>
        <w:t>□</w:t>
      </w:r>
      <w:r>
        <w:rPr/>
        <w:t>不适用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6"/>
          <w:szCs w:val="26"/>
        </w:rPr>
      </w:pPr>
    </w:p>
    <w:p>
      <w:pPr>
        <w:pStyle w:val="BodyText"/>
        <w:tabs>
          <w:tab w:pos="1416" w:val="left" w:leader="none"/>
        </w:tabs>
        <w:spacing w:line="240" w:lineRule="auto"/>
        <w:ind w:left="216" w:right="0"/>
        <w:jc w:val="left"/>
      </w:pPr>
      <w:r>
        <w:rPr/>
        <w:t>单位：元</w:t>
        <w:tab/>
        <w:t>币种：人民币</w:t>
      </w:r>
    </w:p>
    <w:p>
      <w:pPr>
        <w:spacing w:after="0" w:line="240" w:lineRule="auto"/>
        <w:jc w:val="left"/>
        <w:sectPr>
          <w:type w:val="continuous"/>
          <w:pgSz w:w="11910" w:h="16840"/>
          <w:pgMar w:top="1120" w:bottom="1380" w:left="1060" w:right="1560"/>
          <w:cols w:num="2" w:equalWidth="0">
            <w:col w:w="2927" w:space="3267"/>
            <w:col w:w="3096"/>
          </w:cols>
        </w:sectPr>
      </w:pPr>
    </w:p>
    <w:p>
      <w:pPr>
        <w:spacing w:line="240" w:lineRule="auto" w:before="12"/>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4059"/>
        <w:gridCol w:w="2489"/>
        <w:gridCol w:w="2501"/>
      </w:tblGrid>
      <w:tr>
        <w:trPr>
          <w:trHeight w:val="319"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5"/>
              <w:jc w:val="center"/>
              <w:rPr>
                <w:rFonts w:ascii="宋体" w:hAnsi="宋体" w:cs="宋体" w:eastAsia="宋体" w:hint="default"/>
                <w:sz w:val="24"/>
                <w:szCs w:val="24"/>
              </w:rPr>
            </w:pPr>
            <w:r>
              <w:rPr>
                <w:rFonts w:ascii="宋体" w:hAnsi="宋体" w:cs="宋体" w:eastAsia="宋体" w:hint="default"/>
                <w:sz w:val="24"/>
                <w:szCs w:val="24"/>
              </w:rPr>
              <w:t>金额</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说明</w:t>
            </w: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非流动资产处置损益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593" w:right="0"/>
              <w:jc w:val="left"/>
              <w:rPr>
                <w:rFonts w:ascii="Times New Roman" w:hAnsi="Times New Roman" w:cs="Times New Roman" w:eastAsia="Times New Roman" w:hint="default"/>
                <w:sz w:val="24"/>
                <w:szCs w:val="24"/>
              </w:rPr>
            </w:pPr>
            <w:r>
              <w:rPr>
                <w:rFonts w:ascii="Times New Roman"/>
                <w:sz w:val="24"/>
              </w:rPr>
              <w:t>905,946</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越权审批或无正式批准文件的税收返</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还、减免</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94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计入当期损益的政府补助（与企业业</w:t>
            </w:r>
          </w:p>
          <w:p>
            <w:pPr>
              <w:pStyle w:val="TableParagraph"/>
              <w:spacing w:line="310" w:lineRule="exact" w:before="31"/>
              <w:ind w:left="103" w:right="104"/>
              <w:jc w:val="left"/>
              <w:rPr>
                <w:rFonts w:ascii="宋体" w:hAnsi="宋体" w:cs="宋体" w:eastAsia="宋体" w:hint="default"/>
                <w:sz w:val="24"/>
                <w:szCs w:val="24"/>
              </w:rPr>
            </w:pPr>
            <w:r>
              <w:rPr>
                <w:rFonts w:ascii="宋体" w:hAnsi="宋体" w:cs="宋体" w:eastAsia="宋体" w:hint="default"/>
                <w:sz w:val="24"/>
                <w:szCs w:val="24"/>
              </w:rPr>
              <w:t>务密切相关，按照国家统一标准定额 或定量享受的政府补助除外）</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293" w:right="0"/>
              <w:jc w:val="left"/>
              <w:rPr>
                <w:rFonts w:ascii="Times New Roman" w:hAnsi="Times New Roman" w:cs="Times New Roman" w:eastAsia="Times New Roman" w:hint="default"/>
                <w:sz w:val="24"/>
                <w:szCs w:val="24"/>
              </w:rPr>
            </w:pPr>
            <w:r>
              <w:rPr>
                <w:rFonts w:ascii="Times New Roman"/>
                <w:sz w:val="24"/>
              </w:rPr>
              <w:t>41,076,344</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计入当期损益的对非金融企业收取的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资金占用费</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125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both"/>
              <w:rPr>
                <w:rFonts w:ascii="宋体" w:hAnsi="宋体" w:cs="宋体" w:eastAsia="宋体" w:hint="default"/>
                <w:sz w:val="24"/>
                <w:szCs w:val="24"/>
              </w:rPr>
            </w:pPr>
            <w:r>
              <w:rPr>
                <w:rFonts w:ascii="宋体" w:hAnsi="宋体" w:cs="宋体" w:eastAsia="宋体" w:hint="default"/>
                <w:sz w:val="24"/>
                <w:szCs w:val="24"/>
              </w:rPr>
              <w:t>企业取得子公司、联营企业及合营企</w:t>
            </w:r>
          </w:p>
          <w:p>
            <w:pPr>
              <w:pStyle w:val="TableParagraph"/>
              <w:spacing w:line="312" w:lineRule="exact" w:before="28"/>
              <w:ind w:left="103" w:right="104"/>
              <w:jc w:val="both"/>
              <w:rPr>
                <w:rFonts w:ascii="宋体" w:hAnsi="宋体" w:cs="宋体" w:eastAsia="宋体" w:hint="default"/>
                <w:sz w:val="24"/>
                <w:szCs w:val="24"/>
              </w:rPr>
            </w:pPr>
            <w:r>
              <w:rPr>
                <w:rFonts w:ascii="宋体" w:hAnsi="宋体" w:cs="宋体" w:eastAsia="宋体" w:hint="default"/>
                <w:sz w:val="24"/>
                <w:szCs w:val="24"/>
              </w:rPr>
              <w:t>业的投资成本小于取得投资时应享有 被投资单位可辨认净资产公允价值产 生的收益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32"/>
                <w:szCs w:val="32"/>
              </w:rPr>
            </w:pPr>
          </w:p>
          <w:p>
            <w:pPr>
              <w:pStyle w:val="TableParagraph"/>
              <w:spacing w:line="240" w:lineRule="auto"/>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非货币性资产交换损益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委托他人投资或管理资产的损益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因不可抗力因素，如遭受自然灾害而</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计提的各项资产减值准备</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债务重组损益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企业重组费用，如安置职工的支出、</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整合费用等</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交易价格显失公允的交易产生的超过</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公允价值部分的损益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同一控制下企业合并产生的子公司期</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初至合并日的当期净损益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与公司正常经营业务无关的或有事项</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产生的损益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2499"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16"/>
              <w:jc w:val="left"/>
              <w:rPr>
                <w:rFonts w:ascii="宋体" w:hAnsi="宋体" w:cs="宋体" w:eastAsia="宋体" w:hint="default"/>
                <w:sz w:val="24"/>
                <w:szCs w:val="24"/>
              </w:rPr>
            </w:pPr>
            <w:r>
              <w:rPr>
                <w:rFonts w:ascii="宋体" w:hAnsi="宋体" w:cs="宋体" w:eastAsia="宋体" w:hint="default"/>
                <w:sz w:val="24"/>
                <w:szCs w:val="24"/>
              </w:rPr>
              <w:t>除同公司正常经营业务相关的有效套</w:t>
            </w:r>
          </w:p>
          <w:p>
            <w:pPr>
              <w:pStyle w:val="TableParagraph"/>
              <w:spacing w:line="237" w:lineRule="auto" w:before="1"/>
              <w:ind w:left="103" w:right="-16"/>
              <w:jc w:val="left"/>
              <w:rPr>
                <w:rFonts w:ascii="宋体" w:hAnsi="宋体" w:cs="宋体" w:eastAsia="宋体" w:hint="default"/>
                <w:sz w:val="24"/>
                <w:szCs w:val="24"/>
              </w:rPr>
            </w:pPr>
            <w:r>
              <w:rPr>
                <w:rFonts w:ascii="宋体" w:hAnsi="宋体" w:cs="宋体" w:eastAsia="宋体" w:hint="default"/>
                <w:spacing w:val="-7"/>
                <w:sz w:val="24"/>
                <w:szCs w:val="24"/>
              </w:rPr>
              <w:t>期保值业务外，持有交易性金融资产、</w:t>
            </w:r>
            <w:r>
              <w:rPr>
                <w:rFonts w:ascii="宋体" w:hAnsi="宋体" w:cs="宋体" w:eastAsia="宋体" w:hint="default"/>
                <w:sz w:val="24"/>
                <w:szCs w:val="24"/>
              </w:rPr>
              <w:t> 衍生金融资产、交易性金融负债、衍 生金融负债产生的公允价值变动损 益，以及处置交易性金融资产、衍生 金融资产、交易性金融负债、衍生金 融负债和其他债权投资取得的投资收 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3"/>
              <w:ind w:right="0"/>
              <w:jc w:val="left"/>
              <w:rPr>
                <w:rFonts w:ascii="宋体" w:hAnsi="宋体" w:cs="宋体" w:eastAsia="宋体" w:hint="default"/>
                <w:sz w:val="35"/>
                <w:szCs w:val="35"/>
              </w:rPr>
            </w:pPr>
          </w:p>
          <w:p>
            <w:pPr>
              <w:pStyle w:val="TableParagraph"/>
              <w:spacing w:line="240" w:lineRule="auto"/>
              <w:ind w:left="1173" w:right="0"/>
              <w:jc w:val="left"/>
              <w:rPr>
                <w:rFonts w:ascii="Times New Roman" w:hAnsi="Times New Roman" w:cs="Times New Roman" w:eastAsia="Times New Roman" w:hint="default"/>
                <w:sz w:val="24"/>
                <w:szCs w:val="24"/>
              </w:rPr>
            </w:pPr>
            <w:r>
              <w:rPr>
                <w:rFonts w:ascii="Times New Roman"/>
                <w:sz w:val="24"/>
              </w:rPr>
              <w:t>246,877,964</w:t>
            </w: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单独进行减值测试的应收款项减值准</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备转回</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对外委托贷款取得的损益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采用公允价值模式进行后续计量的投</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资性房地产公允价值变动产生的损益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bl>
    <w:p>
      <w:pPr>
        <w:spacing w:after="0" w:line="250" w:lineRule="exact"/>
        <w:jc w:val="left"/>
        <w:rPr>
          <w:rFonts w:ascii="宋体" w:hAnsi="宋体" w:cs="宋体" w:eastAsia="宋体" w:hint="default"/>
          <w:sz w:val="24"/>
          <w:szCs w:val="24"/>
        </w:rPr>
        <w:sectPr>
          <w:type w:val="continuous"/>
          <w:pgSz w:w="11910" w:h="16840"/>
          <w:pgMar w:top="1120" w:bottom="1380" w:left="1060" w:right="1560"/>
        </w:sectPr>
      </w:pPr>
    </w:p>
    <w:p>
      <w:pPr>
        <w:spacing w:line="240" w:lineRule="auto" w:before="5"/>
        <w:rPr>
          <w:rFonts w:ascii="宋体" w:hAnsi="宋体" w:cs="宋体" w:eastAsia="宋体" w:hint="default"/>
          <w:sz w:val="27"/>
          <w:szCs w:val="27"/>
        </w:rPr>
      </w:pPr>
    </w:p>
    <w:tbl>
      <w:tblPr>
        <w:tblW w:w="0" w:type="auto"/>
        <w:jc w:val="left"/>
        <w:tblInd w:w="103" w:type="dxa"/>
        <w:tblLayout w:type="fixed"/>
        <w:tblCellMar>
          <w:top w:w="0" w:type="dxa"/>
          <w:left w:w="0" w:type="dxa"/>
          <w:bottom w:w="0" w:type="dxa"/>
          <w:right w:w="0" w:type="dxa"/>
        </w:tblCellMar>
        <w:tblLook w:val="01E0"/>
      </w:tblPr>
      <w:tblGrid>
        <w:gridCol w:w="4059"/>
        <w:gridCol w:w="2489"/>
        <w:gridCol w:w="2501"/>
      </w:tblGrid>
      <w:tr>
        <w:trPr>
          <w:trHeight w:val="94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根据税收、会计等法律、法规的要求</w:t>
            </w:r>
          </w:p>
          <w:p>
            <w:pPr>
              <w:pStyle w:val="TableParagraph"/>
              <w:spacing w:line="312" w:lineRule="exact" w:before="30"/>
              <w:ind w:left="103" w:right="104"/>
              <w:jc w:val="left"/>
              <w:rPr>
                <w:rFonts w:ascii="宋体" w:hAnsi="宋体" w:cs="宋体" w:eastAsia="宋体" w:hint="default"/>
                <w:sz w:val="24"/>
                <w:szCs w:val="24"/>
              </w:rPr>
            </w:pPr>
            <w:r>
              <w:rPr>
                <w:rFonts w:ascii="宋体" w:hAnsi="宋体" w:cs="宋体" w:eastAsia="宋体" w:hint="default"/>
                <w:sz w:val="24"/>
                <w:szCs w:val="24"/>
              </w:rPr>
              <w:t>对当期损益进行一次性调整对当期损 益的影响</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受托经营取得的托管费收入</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除上述各项之外的其他营业外收入和</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支出</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1334" w:right="0"/>
              <w:jc w:val="left"/>
              <w:rPr>
                <w:rFonts w:ascii="Times New Roman" w:hAnsi="Times New Roman" w:cs="Times New Roman" w:eastAsia="Times New Roman" w:hint="default"/>
                <w:sz w:val="24"/>
                <w:szCs w:val="24"/>
              </w:rPr>
            </w:pPr>
            <w:r>
              <w:rPr>
                <w:rFonts w:ascii="Times New Roman"/>
                <w:sz w:val="24"/>
              </w:rPr>
              <w:t>-5,701,551</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63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4"/>
                <w:szCs w:val="24"/>
              </w:rPr>
            </w:pPr>
            <w:r>
              <w:rPr>
                <w:rFonts w:ascii="宋体" w:hAnsi="宋体" w:cs="宋体" w:eastAsia="宋体" w:hint="default"/>
                <w:sz w:val="24"/>
                <w:szCs w:val="24"/>
              </w:rPr>
              <w:t>其他符合非经常性损益定义的损益项</w:t>
            </w:r>
          </w:p>
          <w:p>
            <w:pPr>
              <w:pStyle w:val="TableParagraph"/>
              <w:spacing w:line="312" w:lineRule="exact"/>
              <w:ind w:left="103" w:right="0"/>
              <w:jc w:val="left"/>
              <w:rPr>
                <w:rFonts w:ascii="宋体" w:hAnsi="宋体" w:cs="宋体" w:eastAsia="宋体" w:hint="default"/>
                <w:sz w:val="24"/>
                <w:szCs w:val="24"/>
              </w:rPr>
            </w:pPr>
            <w:r>
              <w:rPr>
                <w:rFonts w:ascii="宋体" w:hAnsi="宋体" w:cs="宋体" w:eastAsia="宋体" w:hint="default"/>
                <w:sz w:val="24"/>
                <w:szCs w:val="24"/>
              </w:rPr>
              <w:t>目</w:t>
            </w: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处置长期股权投资取得的投资收益</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173" w:right="0"/>
              <w:jc w:val="left"/>
              <w:rPr>
                <w:rFonts w:ascii="Times New Roman" w:hAnsi="Times New Roman" w:cs="Times New Roman" w:eastAsia="Times New Roman" w:hint="default"/>
                <w:sz w:val="24"/>
                <w:szCs w:val="24"/>
              </w:rPr>
            </w:pPr>
            <w:r>
              <w:rPr>
                <w:rFonts w:ascii="Times New Roman"/>
                <w:sz w:val="24"/>
              </w:rPr>
              <w:t>256,797,787</w:t>
            </w: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4059" w:type="dxa"/>
            <w:tcBorders>
              <w:top w:val="single" w:sz="4" w:space="0" w:color="000000"/>
              <w:left w:val="single" w:sz="4" w:space="0" w:color="000000"/>
              <w:bottom w:val="single" w:sz="4" w:space="0" w:color="000000"/>
              <w:right w:val="single" w:sz="4" w:space="0" w:color="000000"/>
            </w:tcBorders>
          </w:tcPr>
          <w:p>
            <w:pPr/>
          </w:p>
        </w:tc>
        <w:tc>
          <w:tcPr>
            <w:tcW w:w="2489" w:type="dxa"/>
            <w:tcBorders>
              <w:top w:val="single" w:sz="4" w:space="0" w:color="000000"/>
              <w:left w:val="single" w:sz="4" w:space="0" w:color="000000"/>
              <w:bottom w:val="single" w:sz="4" w:space="0" w:color="000000"/>
              <w:right w:val="single" w:sz="4" w:space="0" w:color="000000"/>
            </w:tcBorders>
          </w:tcPr>
          <w:p>
            <w:pP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所得税影响额</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214" w:right="0"/>
              <w:jc w:val="left"/>
              <w:rPr>
                <w:rFonts w:ascii="Times New Roman" w:hAnsi="Times New Roman" w:cs="Times New Roman" w:eastAsia="Times New Roman" w:hint="default"/>
                <w:sz w:val="24"/>
                <w:szCs w:val="24"/>
              </w:rPr>
            </w:pPr>
            <w:r>
              <w:rPr>
                <w:rFonts w:ascii="Times New Roman"/>
                <w:sz w:val="24"/>
              </w:rPr>
              <w:t>-34,417,995</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4"/>
                <w:szCs w:val="24"/>
              </w:rPr>
            </w:pPr>
            <w:r>
              <w:rPr>
                <w:rFonts w:ascii="宋体" w:hAnsi="宋体" w:cs="宋体" w:eastAsia="宋体" w:hint="default"/>
                <w:sz w:val="24"/>
                <w:szCs w:val="24"/>
              </w:rPr>
              <w:t>少数股东权益影响额</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5"/>
              <w:jc w:val="right"/>
              <w:rPr>
                <w:rFonts w:ascii="宋体" w:hAnsi="宋体" w:cs="宋体" w:eastAsia="宋体" w:hint="default"/>
                <w:sz w:val="24"/>
                <w:szCs w:val="24"/>
              </w:rPr>
            </w:pPr>
            <w:r>
              <w:rPr>
                <w:rFonts w:ascii="宋体"/>
                <w:color w:val="0000FF"/>
                <w:sz w:val="24"/>
              </w:rPr>
              <w:t> </w:t>
            </w:r>
            <w:r>
              <w:rPr>
                <w:rFonts w:ascii="宋体"/>
                <w:sz w:val="24"/>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r>
        <w:trPr>
          <w:trHeight w:val="322"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173" w:right="0"/>
              <w:jc w:val="left"/>
              <w:rPr>
                <w:rFonts w:ascii="Times New Roman" w:hAnsi="Times New Roman" w:cs="Times New Roman" w:eastAsia="Times New Roman" w:hint="default"/>
                <w:sz w:val="24"/>
                <w:szCs w:val="24"/>
              </w:rPr>
            </w:pPr>
            <w:r>
              <w:rPr>
                <w:rFonts w:ascii="Times New Roman"/>
                <w:sz w:val="24"/>
              </w:rPr>
              <w:t>505,538,495</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03" w:right="0"/>
              <w:jc w:val="left"/>
              <w:rPr>
                <w:rFonts w:ascii="宋体" w:hAnsi="宋体" w:cs="宋体" w:eastAsia="宋体" w:hint="default"/>
                <w:sz w:val="24"/>
                <w:szCs w:val="24"/>
              </w:rPr>
            </w:pPr>
            <w:r>
              <w:rPr>
                <w:rFonts w:ascii="宋体"/>
                <w:color w:val="0000FF"/>
                <w:sz w:val="24"/>
              </w:rPr>
              <w:t> </w:t>
            </w:r>
            <w:r>
              <w:rPr>
                <w:rFonts w:ascii="宋体"/>
                <w:sz w:val="24"/>
              </w:rPr>
            </w:r>
          </w:p>
        </w:tc>
      </w:tr>
    </w:tbl>
    <w:p>
      <w:pPr>
        <w:spacing w:line="240" w:lineRule="auto" w:before="0"/>
        <w:rPr>
          <w:rFonts w:ascii="宋体" w:hAnsi="宋体" w:cs="宋体" w:eastAsia="宋体" w:hint="default"/>
          <w:sz w:val="16"/>
          <w:szCs w:val="16"/>
        </w:rPr>
      </w:pPr>
    </w:p>
    <w:p>
      <w:pPr>
        <w:pStyle w:val="BodyText"/>
        <w:spacing w:line="322" w:lineRule="exact" w:before="26"/>
        <w:ind w:left="216" w:right="0"/>
        <w:jc w:val="both"/>
      </w:pPr>
      <w:r>
        <w:rPr/>
        <w:t>对公司根据《公开发行证券的公司信息披露解释性公告第</w:t>
      </w:r>
      <w:r>
        <w:rPr>
          <w:spacing w:val="-67"/>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spacing w:val="-3"/>
        </w:rPr>
        <w:t>号</w:t>
      </w:r>
      <w:r>
        <w:rPr>
          <w:rFonts w:ascii="Times New Roman" w:hAnsi="Times New Roman" w:cs="Times New Roman" w:eastAsia="Times New Roman" w:hint="default"/>
          <w:spacing w:val="-3"/>
        </w:rPr>
        <w:t>——</w:t>
      </w:r>
      <w:r>
        <w:rPr>
          <w:spacing w:val="-3"/>
        </w:rPr>
        <w:t>非经常性损益》定</w:t>
      </w:r>
    </w:p>
    <w:p>
      <w:pPr>
        <w:pStyle w:val="BodyText"/>
        <w:spacing w:line="225" w:lineRule="auto" w:before="6"/>
        <w:ind w:left="216" w:right="395"/>
        <w:jc w:val="both"/>
      </w:pPr>
      <w:r>
        <w:rPr/>
        <w:t>义界定的非经常性损益项目，以及把《公开发行证券的公司信息披露解释性公告第</w:t>
      </w:r>
      <w:r>
        <w:rPr>
          <w:spacing w:val="-58"/>
        </w:rPr>
        <w:t> </w:t>
      </w:r>
      <w:r>
        <w:rPr>
          <w:rFonts w:ascii="Times New Roman" w:hAnsi="Times New Roman" w:cs="Times New Roman" w:eastAsia="Times New Roman" w:hint="default"/>
        </w:rPr>
        <w:t>1 </w:t>
      </w:r>
      <w:r>
        <w:rPr>
          <w:spacing w:val="-2"/>
        </w:rPr>
        <w:t>号</w:t>
      </w:r>
      <w:r>
        <w:rPr>
          <w:rFonts w:ascii="Times New Roman" w:hAnsi="Times New Roman" w:cs="Times New Roman" w:eastAsia="Times New Roman" w:hint="default"/>
          <w:spacing w:val="-2"/>
        </w:rPr>
        <w:t>——</w:t>
      </w:r>
      <w:r>
        <w:rPr>
          <w:spacing w:val="-2"/>
        </w:rPr>
        <w:t>非经常性损益》中列举的非经常性损益项目界定为经常性损益的项目，应说明</w:t>
      </w:r>
      <w:r>
        <w:rPr>
          <w:spacing w:val="-94"/>
        </w:rPr>
        <w:t> </w:t>
      </w:r>
      <w:r>
        <w:rPr>
          <w:spacing w:val="-94"/>
        </w:rPr>
      </w:r>
      <w:r>
        <w:rPr/>
        <w:t>原因。</w:t>
      </w:r>
    </w:p>
    <w:p>
      <w:pPr>
        <w:pStyle w:val="BodyText"/>
        <w:spacing w:line="240" w:lineRule="auto"/>
        <w:ind w:left="216" w:right="0"/>
        <w:jc w:val="both"/>
      </w:pPr>
      <w:r>
        <w:rPr/>
        <w:t>□适用 √不适用</w:t>
      </w:r>
    </w:p>
    <w:p>
      <w:pPr>
        <w:spacing w:before="64"/>
        <w:ind w:left="216" w:right="0" w:firstLine="0"/>
        <w:jc w:val="both"/>
        <w:rPr>
          <w:rFonts w:ascii="宋体" w:hAnsi="宋体" w:cs="宋体" w:eastAsia="宋体" w:hint="default"/>
          <w:sz w:val="20"/>
          <w:szCs w:val="20"/>
        </w:rPr>
      </w:pPr>
      <w:r>
        <w:rPr>
          <w:rFonts w:ascii="宋体" w:hAnsi="宋体" w:cs="宋体" w:eastAsia="宋体" w:hint="default"/>
          <w:b/>
          <w:bCs/>
          <w:sz w:val="20"/>
          <w:szCs w:val="20"/>
        </w:rPr>
        <w:t>2</w:t>
      </w:r>
      <w:r>
        <w:rPr>
          <w:rFonts w:ascii="宋体" w:hAnsi="宋体" w:cs="宋体" w:eastAsia="宋体" w:hint="default"/>
          <w:b/>
          <w:bCs/>
          <w:sz w:val="20"/>
          <w:szCs w:val="20"/>
        </w:rPr>
        <w:t>、</w:t>
      </w:r>
      <w:r>
        <w:rPr>
          <w:rFonts w:ascii="宋体" w:hAnsi="宋体" w:cs="宋体" w:eastAsia="宋体" w:hint="default"/>
          <w:b/>
          <w:bCs/>
          <w:spacing w:val="-6"/>
          <w:sz w:val="20"/>
          <w:szCs w:val="20"/>
        </w:rPr>
        <w:t> </w:t>
      </w:r>
      <w:r>
        <w:rPr>
          <w:rFonts w:ascii="宋体" w:hAnsi="宋体" w:cs="宋体" w:eastAsia="宋体" w:hint="default"/>
          <w:b/>
          <w:bCs/>
          <w:spacing w:val="-6"/>
          <w:sz w:val="20"/>
          <w:szCs w:val="20"/>
        </w:rPr>
      </w:r>
      <w:r>
        <w:rPr>
          <w:rFonts w:ascii="宋体" w:hAnsi="宋体" w:cs="宋体" w:eastAsia="宋体" w:hint="default"/>
          <w:b/>
          <w:bCs/>
          <w:sz w:val="20"/>
          <w:szCs w:val="20"/>
        </w:rPr>
        <w:t>净资产收益率及每股收益</w:t>
      </w:r>
      <w:r>
        <w:rPr>
          <w:rFonts w:ascii="宋体" w:hAnsi="宋体" w:cs="宋体" w:eastAsia="宋体" w:hint="default"/>
          <w:sz w:val="20"/>
          <w:szCs w:val="20"/>
        </w:rPr>
      </w:r>
    </w:p>
    <w:p>
      <w:pPr>
        <w:pStyle w:val="BodyText"/>
        <w:spacing w:line="240" w:lineRule="auto" w:before="49"/>
        <w:ind w:left="216" w:right="0"/>
        <w:jc w:val="both"/>
      </w:pPr>
      <w:r>
        <w:rPr/>
        <w:t>√适用</w:t>
      </w:r>
      <w:r>
        <w:rPr>
          <w:spacing w:val="-1"/>
        </w:rPr>
        <w:t> </w:t>
      </w:r>
      <w:r>
        <w:rPr>
          <w:rFonts w:ascii="Times New Roman" w:hAnsi="Times New Roman" w:cs="Times New Roman" w:eastAsia="Times New Roman" w:hint="default"/>
        </w:rPr>
        <w:t>□</w:t>
      </w:r>
      <w:r>
        <w:rPr/>
        <w:t>不适用</w:t>
      </w:r>
    </w:p>
    <w:tbl>
      <w:tblPr>
        <w:tblW w:w="0" w:type="auto"/>
        <w:jc w:val="left"/>
        <w:tblInd w:w="103" w:type="dxa"/>
        <w:tblLayout w:type="fixed"/>
        <w:tblCellMar>
          <w:top w:w="0" w:type="dxa"/>
          <w:left w:w="0" w:type="dxa"/>
          <w:bottom w:w="0" w:type="dxa"/>
          <w:right w:w="0" w:type="dxa"/>
        </w:tblCellMar>
        <w:tblLook w:val="01E0"/>
      </w:tblPr>
      <w:tblGrid>
        <w:gridCol w:w="2915"/>
        <w:gridCol w:w="1841"/>
        <w:gridCol w:w="2146"/>
        <w:gridCol w:w="2149"/>
      </w:tblGrid>
      <w:tr>
        <w:trPr>
          <w:trHeight w:val="322" w:hRule="exact"/>
        </w:trPr>
        <w:tc>
          <w:tcPr>
            <w:tcW w:w="2915" w:type="dxa"/>
            <w:vMerge w:val="restart"/>
            <w:tcBorders>
              <w:top w:val="single" w:sz="4" w:space="0" w:color="000000"/>
              <w:left w:val="single" w:sz="4" w:space="0" w:color="000000"/>
              <w:right w:val="single" w:sz="4" w:space="0" w:color="000000"/>
            </w:tcBorders>
          </w:tcPr>
          <w:p>
            <w:pPr>
              <w:pStyle w:val="TableParagraph"/>
              <w:spacing w:line="240" w:lineRule="auto" w:before="144"/>
              <w:ind w:left="852" w:right="0"/>
              <w:jc w:val="left"/>
              <w:rPr>
                <w:rFonts w:ascii="宋体" w:hAnsi="宋体" w:cs="宋体" w:eastAsia="宋体" w:hint="default"/>
                <w:sz w:val="24"/>
                <w:szCs w:val="24"/>
              </w:rPr>
            </w:pPr>
            <w:r>
              <w:rPr>
                <w:rFonts w:ascii="宋体" w:hAnsi="宋体" w:cs="宋体" w:eastAsia="宋体" w:hint="default"/>
                <w:sz w:val="24"/>
                <w:szCs w:val="24"/>
              </w:rPr>
              <w:t>报告期利润</w:t>
            </w:r>
          </w:p>
        </w:tc>
        <w:tc>
          <w:tcPr>
            <w:tcW w:w="1841" w:type="dxa"/>
            <w:vMerge w:val="restart"/>
            <w:tcBorders>
              <w:top w:val="single" w:sz="4" w:space="0" w:color="000000"/>
              <w:left w:val="single" w:sz="4" w:space="0" w:color="000000"/>
              <w:right w:val="single" w:sz="4" w:space="0" w:color="000000"/>
            </w:tcBorders>
          </w:tcPr>
          <w:p>
            <w:pPr>
              <w:pStyle w:val="TableParagraph"/>
              <w:spacing w:line="310" w:lineRule="exact" w:before="23"/>
              <w:ind w:left="103" w:right="86" w:firstLine="91"/>
              <w:jc w:val="left"/>
              <w:rPr>
                <w:rFonts w:ascii="宋体" w:hAnsi="宋体" w:cs="宋体" w:eastAsia="宋体" w:hint="default"/>
                <w:sz w:val="24"/>
                <w:szCs w:val="24"/>
              </w:rPr>
            </w:pPr>
            <w:r>
              <w:rPr>
                <w:rFonts w:ascii="宋体" w:hAnsi="宋体" w:cs="宋体" w:eastAsia="宋体" w:hint="default"/>
                <w:sz w:val="24"/>
                <w:szCs w:val="24"/>
              </w:rPr>
              <w:t>加权平均净资 产收益率（</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c>
          <w:tcPr>
            <w:tcW w:w="4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每股收益</w:t>
            </w:r>
          </w:p>
        </w:tc>
      </w:tr>
      <w:tr>
        <w:trPr>
          <w:trHeight w:val="370" w:hRule="exact"/>
        </w:trPr>
        <w:tc>
          <w:tcPr>
            <w:tcW w:w="2915" w:type="dxa"/>
            <w:vMerge/>
            <w:tcBorders>
              <w:left w:val="single" w:sz="4" w:space="0" w:color="000000"/>
              <w:bottom w:val="single" w:sz="4" w:space="0" w:color="000000"/>
              <w:right w:val="single" w:sz="4" w:space="0" w:color="000000"/>
            </w:tcBorders>
          </w:tcPr>
          <w:p>
            <w:pPr/>
          </w:p>
        </w:tc>
        <w:tc>
          <w:tcPr>
            <w:tcW w:w="1841" w:type="dxa"/>
            <w:vMerge/>
            <w:tcBorders>
              <w:left w:val="single" w:sz="4" w:space="0" w:color="000000"/>
              <w:bottom w:val="single" w:sz="4" w:space="0" w:color="000000"/>
              <w:right w:val="single" w:sz="4" w:space="0" w:color="000000"/>
            </w:tcBorders>
          </w:tcPr>
          <w:p>
            <w:pP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348" w:right="0"/>
              <w:jc w:val="left"/>
              <w:rPr>
                <w:rFonts w:ascii="宋体" w:hAnsi="宋体" w:cs="宋体" w:eastAsia="宋体" w:hint="default"/>
                <w:sz w:val="24"/>
                <w:szCs w:val="24"/>
              </w:rPr>
            </w:pPr>
            <w:r>
              <w:rPr>
                <w:rFonts w:ascii="宋体" w:hAnsi="宋体" w:cs="宋体" w:eastAsia="宋体" w:hint="default"/>
                <w:sz w:val="24"/>
                <w:szCs w:val="24"/>
              </w:rPr>
              <w:t>基本每股收益</w:t>
            </w:r>
          </w:p>
        </w:tc>
        <w:tc>
          <w:tcPr>
            <w:tcW w:w="2149" w:type="dxa"/>
            <w:tcBorders>
              <w:top w:val="single" w:sz="4" w:space="0" w:color="000000"/>
              <w:left w:val="single" w:sz="4" w:space="0" w:color="000000"/>
              <w:bottom w:val="single" w:sz="4" w:space="0" w:color="000000"/>
              <w:right w:val="single" w:sz="4" w:space="0" w:color="000000"/>
            </w:tcBorders>
          </w:tcPr>
          <w:p>
            <w:pPr>
              <w:pStyle w:val="TableParagraph"/>
              <w:spacing w:line="298" w:lineRule="exact"/>
              <w:ind w:left="347" w:right="0"/>
              <w:jc w:val="left"/>
              <w:rPr>
                <w:rFonts w:ascii="宋体" w:hAnsi="宋体" w:cs="宋体" w:eastAsia="宋体" w:hint="default"/>
                <w:sz w:val="24"/>
                <w:szCs w:val="24"/>
              </w:rPr>
            </w:pPr>
            <w:r>
              <w:rPr>
                <w:rFonts w:ascii="宋体" w:hAnsi="宋体" w:cs="宋体" w:eastAsia="宋体" w:hint="default"/>
                <w:sz w:val="24"/>
                <w:szCs w:val="24"/>
              </w:rPr>
              <w:t>稀释每股收益</w:t>
            </w:r>
          </w:p>
        </w:tc>
      </w:tr>
      <w:tr>
        <w:trPr>
          <w:trHeight w:val="634" w:hRule="exact"/>
        </w:trPr>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归属于公司普通股股东的</w:t>
            </w:r>
          </w:p>
          <w:p>
            <w:pPr>
              <w:pStyle w:val="TableParagraph"/>
              <w:spacing w:line="313" w:lineRule="exact"/>
              <w:ind w:left="103" w:right="0"/>
              <w:jc w:val="left"/>
              <w:rPr>
                <w:rFonts w:ascii="宋体" w:hAnsi="宋体" w:cs="宋体" w:eastAsia="宋体" w:hint="default"/>
                <w:sz w:val="24"/>
                <w:szCs w:val="24"/>
              </w:rPr>
            </w:pPr>
            <w:r>
              <w:rPr>
                <w:rFonts w:ascii="宋体" w:hAnsi="宋体" w:cs="宋体" w:eastAsia="宋体" w:hint="default"/>
                <w:sz w:val="24"/>
                <w:szCs w:val="24"/>
              </w:rPr>
              <w:t>净利润</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03"/>
              <w:jc w:val="right"/>
              <w:rPr>
                <w:rFonts w:ascii="Arial" w:hAnsi="Arial" w:cs="Arial" w:eastAsia="Arial" w:hint="default"/>
                <w:sz w:val="20"/>
                <w:szCs w:val="20"/>
              </w:rPr>
            </w:pPr>
            <w:r>
              <w:rPr>
                <w:rFonts w:ascii="Arial"/>
                <w:w w:val="95"/>
                <w:sz w:val="20"/>
              </w:rPr>
              <w:t>18.35</w:t>
            </w:r>
            <w:r>
              <w:rPr>
                <w:rFonts w:ascii="Arial"/>
                <w:sz w:val="20"/>
              </w:rPr>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03"/>
              <w:jc w:val="right"/>
              <w:rPr>
                <w:rFonts w:ascii="Arial" w:hAnsi="Arial" w:cs="Arial" w:eastAsia="Arial" w:hint="default"/>
                <w:sz w:val="20"/>
                <w:szCs w:val="20"/>
              </w:rPr>
            </w:pPr>
            <w:r>
              <w:rPr>
                <w:rFonts w:ascii="Arial"/>
                <w:spacing w:val="-1"/>
                <w:w w:val="95"/>
                <w:sz w:val="20"/>
              </w:rPr>
              <w:t>0.48</w:t>
            </w:r>
            <w:r>
              <w:rPr>
                <w:rFonts w:ascii="Arial"/>
                <w:sz w:val="20"/>
              </w:rPr>
            </w:r>
          </w:p>
        </w:tc>
        <w:tc>
          <w:tcPr>
            <w:tcW w:w="214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0.48</w:t>
            </w:r>
          </w:p>
        </w:tc>
      </w:tr>
      <w:tr>
        <w:trPr>
          <w:trHeight w:val="943" w:hRule="exact"/>
        </w:trPr>
        <w:tc>
          <w:tcPr>
            <w:tcW w:w="291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4"/>
                <w:szCs w:val="24"/>
              </w:rPr>
            </w:pPr>
            <w:r>
              <w:rPr>
                <w:rFonts w:ascii="宋体" w:hAnsi="宋体" w:cs="宋体" w:eastAsia="宋体" w:hint="default"/>
                <w:sz w:val="24"/>
                <w:szCs w:val="24"/>
              </w:rPr>
              <w:t>扣除非经常性损益后归属</w:t>
            </w:r>
          </w:p>
          <w:p>
            <w:pPr>
              <w:pStyle w:val="TableParagraph"/>
              <w:spacing w:line="310" w:lineRule="exact" w:before="31"/>
              <w:ind w:left="103" w:right="159"/>
              <w:jc w:val="left"/>
              <w:rPr>
                <w:rFonts w:ascii="宋体" w:hAnsi="宋体" w:cs="宋体" w:eastAsia="宋体" w:hint="default"/>
                <w:sz w:val="24"/>
                <w:szCs w:val="24"/>
              </w:rPr>
            </w:pPr>
            <w:r>
              <w:rPr>
                <w:rFonts w:ascii="宋体" w:hAnsi="宋体" w:cs="宋体" w:eastAsia="宋体" w:hint="default"/>
                <w:sz w:val="24"/>
                <w:szCs w:val="24"/>
              </w:rPr>
              <w:t>于公司普通股股东的净利 润</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03"/>
              <w:jc w:val="right"/>
              <w:rPr>
                <w:rFonts w:ascii="Arial" w:hAnsi="Arial" w:cs="Arial" w:eastAsia="Arial" w:hint="default"/>
                <w:sz w:val="20"/>
                <w:szCs w:val="20"/>
              </w:rPr>
            </w:pPr>
            <w:r>
              <w:rPr>
                <w:rFonts w:ascii="Arial"/>
                <w:w w:val="95"/>
                <w:sz w:val="20"/>
              </w:rPr>
              <w:t>10.47</w:t>
            </w:r>
            <w:r>
              <w:rPr>
                <w:rFonts w:ascii="Arial"/>
                <w:sz w:val="20"/>
              </w:rPr>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103"/>
              <w:jc w:val="right"/>
              <w:rPr>
                <w:rFonts w:ascii="Arial" w:hAnsi="Arial" w:cs="Arial" w:eastAsia="Arial" w:hint="default"/>
                <w:sz w:val="20"/>
                <w:szCs w:val="20"/>
              </w:rPr>
            </w:pPr>
            <w:r>
              <w:rPr>
                <w:rFonts w:ascii="Arial"/>
                <w:spacing w:val="-1"/>
                <w:w w:val="95"/>
                <w:sz w:val="20"/>
              </w:rPr>
              <w:t>0.27</w:t>
            </w:r>
            <w:r>
              <w:rPr>
                <w:rFonts w:ascii="Arial"/>
                <w:sz w:val="20"/>
              </w:rPr>
            </w:r>
          </w:p>
        </w:tc>
        <w:tc>
          <w:tcPr>
            <w:tcW w:w="214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01"/>
              <w:jc w:val="right"/>
              <w:rPr>
                <w:rFonts w:ascii="Times New Roman" w:hAnsi="Times New Roman" w:cs="Times New Roman" w:eastAsia="Times New Roman" w:hint="default"/>
                <w:sz w:val="24"/>
                <w:szCs w:val="24"/>
              </w:rPr>
            </w:pPr>
            <w:r>
              <w:rPr>
                <w:rFonts w:ascii="Times New Roman"/>
                <w:sz w:val="24"/>
              </w:rPr>
              <w:t>0.27</w:t>
            </w:r>
          </w:p>
        </w:tc>
      </w:tr>
    </w:tbl>
    <w:p>
      <w:pPr>
        <w:spacing w:line="240" w:lineRule="auto" w:before="12"/>
        <w:rPr>
          <w:rFonts w:ascii="宋体" w:hAnsi="宋体" w:cs="宋体" w:eastAsia="宋体" w:hint="default"/>
          <w:sz w:val="21"/>
          <w:szCs w:val="21"/>
        </w:rPr>
      </w:pPr>
    </w:p>
    <w:p>
      <w:pPr>
        <w:spacing w:before="37"/>
        <w:ind w:left="216" w:right="216" w:firstLine="0"/>
        <w:jc w:val="left"/>
        <w:rPr>
          <w:rFonts w:ascii="宋体" w:hAnsi="宋体" w:cs="宋体" w:eastAsia="宋体" w:hint="default"/>
          <w:sz w:val="20"/>
          <w:szCs w:val="20"/>
        </w:rPr>
      </w:pPr>
      <w:r>
        <w:rPr>
          <w:rFonts w:ascii="宋体" w:hAnsi="宋体" w:cs="宋体" w:eastAsia="宋体" w:hint="default"/>
          <w:b/>
          <w:bCs/>
          <w:sz w:val="20"/>
          <w:szCs w:val="20"/>
        </w:rPr>
        <w:t>3</w:t>
      </w:r>
      <w:r>
        <w:rPr>
          <w:rFonts w:ascii="宋体" w:hAnsi="宋体" w:cs="宋体" w:eastAsia="宋体" w:hint="default"/>
          <w:b/>
          <w:bCs/>
          <w:sz w:val="20"/>
          <w:szCs w:val="20"/>
        </w:rPr>
        <w:t>、</w:t>
      </w:r>
      <w:r>
        <w:rPr>
          <w:rFonts w:ascii="宋体" w:hAnsi="宋体" w:cs="宋体" w:eastAsia="宋体" w:hint="default"/>
          <w:b/>
          <w:bCs/>
          <w:spacing w:val="-5"/>
          <w:sz w:val="20"/>
          <w:szCs w:val="20"/>
        </w:rPr>
        <w:t> </w:t>
      </w:r>
      <w:r>
        <w:rPr>
          <w:rFonts w:ascii="宋体" w:hAnsi="宋体" w:cs="宋体" w:eastAsia="宋体" w:hint="default"/>
          <w:b/>
          <w:bCs/>
          <w:spacing w:val="-5"/>
          <w:sz w:val="20"/>
          <w:szCs w:val="20"/>
        </w:rPr>
      </w:r>
      <w:r>
        <w:rPr>
          <w:rFonts w:ascii="宋体" w:hAnsi="宋体" w:cs="宋体" w:eastAsia="宋体" w:hint="default"/>
          <w:b/>
          <w:bCs/>
          <w:sz w:val="20"/>
          <w:szCs w:val="20"/>
        </w:rPr>
        <w:t>境内外会计准则下会计数据差异</w:t>
      </w:r>
      <w:r>
        <w:rPr>
          <w:rFonts w:ascii="宋体" w:hAnsi="宋体" w:cs="宋体" w:eastAsia="宋体" w:hint="default"/>
          <w:b/>
          <w:bCs/>
          <w:w w:val="98"/>
          <w:sz w:val="20"/>
          <w:szCs w:val="20"/>
        </w:rPr>
        <w:t> </w:t>
      </w:r>
      <w:r>
        <w:rPr>
          <w:rFonts w:ascii="宋体" w:hAnsi="宋体" w:cs="宋体" w:eastAsia="宋体" w:hint="default"/>
          <w:sz w:val="20"/>
          <w:szCs w:val="20"/>
        </w:rPr>
      </w:r>
    </w:p>
    <w:p>
      <w:pPr>
        <w:pStyle w:val="BodyText"/>
        <w:spacing w:line="240" w:lineRule="auto" w:before="49"/>
        <w:ind w:left="216" w:right="216"/>
        <w:jc w:val="left"/>
      </w:pPr>
      <w:r>
        <w:rPr/>
        <w:t>□适用 √不适用</w:t>
      </w:r>
    </w:p>
    <w:p>
      <w:pPr>
        <w:spacing w:line="240" w:lineRule="auto" w:before="2"/>
        <w:rPr>
          <w:rFonts w:ascii="宋体" w:hAnsi="宋体" w:cs="宋体" w:eastAsia="宋体" w:hint="default"/>
          <w:sz w:val="26"/>
          <w:szCs w:val="26"/>
        </w:rPr>
      </w:pPr>
    </w:p>
    <w:p>
      <w:pPr>
        <w:spacing w:before="0"/>
        <w:ind w:left="216" w:right="216" w:firstLine="0"/>
        <w:jc w:val="left"/>
        <w:rPr>
          <w:rFonts w:ascii="宋体" w:hAnsi="宋体" w:cs="宋体" w:eastAsia="宋体" w:hint="default"/>
          <w:sz w:val="20"/>
          <w:szCs w:val="20"/>
        </w:rPr>
      </w:pPr>
      <w:r>
        <w:rPr>
          <w:rFonts w:ascii="宋体" w:hAnsi="宋体" w:cs="宋体" w:eastAsia="宋体" w:hint="default"/>
          <w:b/>
          <w:bCs/>
          <w:sz w:val="20"/>
          <w:szCs w:val="20"/>
        </w:rPr>
        <w:t>4</w:t>
      </w:r>
      <w:r>
        <w:rPr>
          <w:rFonts w:ascii="宋体" w:hAnsi="宋体" w:cs="宋体" w:eastAsia="宋体" w:hint="default"/>
          <w:b/>
          <w:bCs/>
          <w:sz w:val="20"/>
          <w:szCs w:val="20"/>
        </w:rPr>
        <w:t>、</w:t>
      </w:r>
      <w:r>
        <w:rPr>
          <w:rFonts w:ascii="宋体" w:hAnsi="宋体" w:cs="宋体" w:eastAsia="宋体" w:hint="default"/>
          <w:b/>
          <w:bCs/>
          <w:spacing w:val="-2"/>
          <w:sz w:val="20"/>
          <w:szCs w:val="20"/>
        </w:rPr>
        <w:t> </w:t>
      </w:r>
      <w:r>
        <w:rPr>
          <w:rFonts w:ascii="宋体" w:hAnsi="宋体" w:cs="宋体" w:eastAsia="宋体" w:hint="default"/>
          <w:b/>
          <w:bCs/>
          <w:spacing w:val="-2"/>
          <w:sz w:val="20"/>
          <w:szCs w:val="20"/>
        </w:rPr>
      </w:r>
      <w:r>
        <w:rPr>
          <w:rFonts w:ascii="宋体" w:hAnsi="宋体" w:cs="宋体" w:eastAsia="宋体" w:hint="default"/>
          <w:b/>
          <w:bCs/>
          <w:sz w:val="20"/>
          <w:szCs w:val="20"/>
        </w:rPr>
        <w:t>其他</w:t>
      </w:r>
      <w:r>
        <w:rPr>
          <w:rFonts w:ascii="宋体" w:hAnsi="宋体" w:cs="宋体" w:eastAsia="宋体" w:hint="default"/>
          <w:sz w:val="20"/>
          <w:szCs w:val="20"/>
        </w:rPr>
      </w:r>
    </w:p>
    <w:p>
      <w:pPr>
        <w:pStyle w:val="BodyText"/>
        <w:tabs>
          <w:tab w:pos="1177" w:val="left" w:leader="none"/>
        </w:tabs>
        <w:spacing w:line="240" w:lineRule="auto" w:before="49"/>
        <w:ind w:left="216" w:right="216"/>
        <w:jc w:val="left"/>
      </w:pPr>
      <w:r>
        <w:rPr/>
        <w:t>□适用</w:t>
        <w:tab/>
        <w:t>√不适用</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2"/>
          <w:szCs w:val="22"/>
        </w:rPr>
      </w:pPr>
    </w:p>
    <w:p>
      <w:pPr>
        <w:pStyle w:val="Heading1"/>
        <w:tabs>
          <w:tab w:pos="4628" w:val="left" w:leader="none"/>
        </w:tabs>
        <w:spacing w:line="240" w:lineRule="auto" w:before="0"/>
        <w:ind w:left="3090" w:right="216"/>
        <w:jc w:val="left"/>
        <w:rPr>
          <w:rFonts w:ascii="宋体" w:hAnsi="宋体" w:cs="宋体" w:eastAsia="宋体" w:hint="default"/>
          <w:b w:val="0"/>
          <w:bCs w:val="0"/>
        </w:rPr>
      </w:pPr>
      <w:bookmarkStart w:name="_bookmark11" w:id="23"/>
      <w:bookmarkEnd w:id="23"/>
      <w:r>
        <w:rPr>
          <w:b w:val="0"/>
          <w:bCs w:val="0"/>
        </w:rPr>
      </w:r>
      <w:r>
        <w:rPr>
          <w:rFonts w:ascii="宋体" w:hAnsi="宋体" w:cs="宋体" w:eastAsia="宋体" w:hint="default"/>
          <w:spacing w:val="-1"/>
        </w:rPr>
        <w:t>第十二节</w:t>
      </w:r>
      <w:r>
        <w:rPr>
          <w:rFonts w:ascii="宋体" w:hAnsi="宋体" w:cs="宋体" w:eastAsia="宋体" w:hint="default"/>
          <w:spacing w:val="-1"/>
        </w:rPr>
        <w:tab/>
      </w:r>
      <w:r>
        <w:rPr>
          <w:rFonts w:ascii="宋体" w:hAnsi="宋体" w:cs="宋体" w:eastAsia="宋体" w:hint="default"/>
        </w:rPr>
        <w:t>备查文件目录</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9"/>
          <w:szCs w:val="29"/>
        </w:rPr>
      </w:pPr>
    </w:p>
    <w:tbl>
      <w:tblPr>
        <w:tblW w:w="0" w:type="auto"/>
        <w:jc w:val="left"/>
        <w:tblInd w:w="180" w:type="dxa"/>
        <w:tblLayout w:type="fixed"/>
        <w:tblCellMar>
          <w:top w:w="0" w:type="dxa"/>
          <w:left w:w="0" w:type="dxa"/>
          <w:bottom w:w="0" w:type="dxa"/>
          <w:right w:w="0" w:type="dxa"/>
        </w:tblCellMar>
        <w:tblLook w:val="01E0"/>
      </w:tblPr>
      <w:tblGrid>
        <w:gridCol w:w="1997"/>
        <w:gridCol w:w="7144"/>
      </w:tblGrid>
      <w:tr>
        <w:trPr>
          <w:trHeight w:val="322"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74" w:right="0"/>
              <w:jc w:val="left"/>
              <w:rPr>
                <w:rFonts w:ascii="宋体" w:hAnsi="宋体" w:cs="宋体" w:eastAsia="宋体" w:hint="default"/>
                <w:sz w:val="24"/>
                <w:szCs w:val="24"/>
              </w:rPr>
            </w:pPr>
            <w:r>
              <w:rPr>
                <w:rFonts w:ascii="宋体" w:hAnsi="宋体" w:cs="宋体" w:eastAsia="宋体" w:hint="default"/>
                <w:sz w:val="24"/>
                <w:szCs w:val="24"/>
              </w:rPr>
              <w:t>备查文件目录</w:t>
            </w:r>
          </w:p>
        </w:tc>
        <w:tc>
          <w:tcPr>
            <w:tcW w:w="7144"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left="24" w:right="0"/>
              <w:jc w:val="left"/>
              <w:rPr>
                <w:rFonts w:ascii="宋体" w:hAnsi="宋体" w:cs="宋体" w:eastAsia="宋体" w:hint="default"/>
                <w:sz w:val="24"/>
                <w:szCs w:val="24"/>
              </w:rPr>
            </w:pPr>
            <w:r>
              <w:rPr>
                <w:rFonts w:ascii="宋体" w:hAnsi="宋体" w:cs="宋体" w:eastAsia="宋体" w:hint="default"/>
                <w:sz w:val="24"/>
                <w:szCs w:val="24"/>
              </w:rPr>
              <w:t>经公司现任法定代表人签字和公司盖章的</w:t>
            </w:r>
            <w:r>
              <w:rPr>
                <w:rFonts w:ascii="Times New Roman" w:hAnsi="Times New Roman" w:cs="Times New Roman" w:eastAsia="Times New Roman" w:hint="default"/>
                <w:sz w:val="24"/>
                <w:szCs w:val="24"/>
              </w:rPr>
              <w:t>2019</w:t>
            </w:r>
            <w:r>
              <w:rPr>
                <w:rFonts w:ascii="宋体" w:hAnsi="宋体" w:cs="宋体" w:eastAsia="宋体" w:hint="default"/>
                <w:sz w:val="24"/>
                <w:szCs w:val="24"/>
              </w:rPr>
              <w:t>年年报全文和摘要</w:t>
            </w:r>
          </w:p>
        </w:tc>
      </w:tr>
      <w:tr>
        <w:trPr>
          <w:trHeight w:val="322"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74" w:right="0"/>
              <w:jc w:val="left"/>
              <w:rPr>
                <w:rFonts w:ascii="宋体" w:hAnsi="宋体" w:cs="宋体" w:eastAsia="宋体" w:hint="default"/>
                <w:sz w:val="24"/>
                <w:szCs w:val="24"/>
              </w:rPr>
            </w:pPr>
            <w:r>
              <w:rPr>
                <w:rFonts w:ascii="宋体" w:hAnsi="宋体" w:cs="宋体" w:eastAsia="宋体" w:hint="default"/>
                <w:sz w:val="24"/>
                <w:szCs w:val="24"/>
              </w:rPr>
              <w:t>备查文件目录</w:t>
            </w:r>
          </w:p>
        </w:tc>
        <w:tc>
          <w:tcPr>
            <w:tcW w:w="7144"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4" w:right="0"/>
              <w:jc w:val="left"/>
              <w:rPr>
                <w:rFonts w:ascii="宋体" w:hAnsi="宋体" w:cs="宋体" w:eastAsia="宋体" w:hint="default"/>
                <w:sz w:val="24"/>
                <w:szCs w:val="24"/>
              </w:rPr>
            </w:pPr>
            <w:r>
              <w:rPr>
                <w:rFonts w:ascii="宋体" w:hAnsi="宋体" w:cs="宋体" w:eastAsia="宋体" w:hint="default"/>
                <w:sz w:val="24"/>
                <w:szCs w:val="24"/>
              </w:rPr>
              <w:t>公司第七届董事会第四十六次会议决议</w:t>
            </w:r>
          </w:p>
        </w:tc>
      </w:tr>
      <w:tr>
        <w:trPr>
          <w:trHeight w:val="322"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74" w:right="0"/>
              <w:jc w:val="left"/>
              <w:rPr>
                <w:rFonts w:ascii="宋体" w:hAnsi="宋体" w:cs="宋体" w:eastAsia="宋体" w:hint="default"/>
                <w:sz w:val="24"/>
                <w:szCs w:val="24"/>
              </w:rPr>
            </w:pPr>
            <w:r>
              <w:rPr>
                <w:rFonts w:ascii="宋体" w:hAnsi="宋体" w:cs="宋体" w:eastAsia="宋体" w:hint="default"/>
                <w:sz w:val="24"/>
                <w:szCs w:val="24"/>
              </w:rPr>
              <w:t>备查文件目录</w:t>
            </w:r>
          </w:p>
        </w:tc>
        <w:tc>
          <w:tcPr>
            <w:tcW w:w="714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4" w:right="0"/>
              <w:jc w:val="left"/>
              <w:rPr>
                <w:rFonts w:ascii="宋体" w:hAnsi="宋体" w:cs="宋体" w:eastAsia="宋体" w:hint="default"/>
                <w:sz w:val="24"/>
                <w:szCs w:val="24"/>
              </w:rPr>
            </w:pPr>
            <w:r>
              <w:rPr>
                <w:rFonts w:ascii="宋体" w:hAnsi="宋体" w:cs="宋体" w:eastAsia="宋体" w:hint="default"/>
                <w:sz w:val="24"/>
                <w:szCs w:val="24"/>
              </w:rPr>
              <w:t>公司董事、高级管理人员签署的对公司</w:t>
            </w:r>
            <w:r>
              <w:rPr>
                <w:rFonts w:ascii="Times New Roman" w:hAnsi="Times New Roman" w:cs="Times New Roman" w:eastAsia="Times New Roman" w:hint="default"/>
                <w:sz w:val="24"/>
                <w:szCs w:val="24"/>
              </w:rPr>
              <w:t>2019</w:t>
            </w:r>
            <w:r>
              <w:rPr>
                <w:rFonts w:ascii="宋体" w:hAnsi="宋体" w:cs="宋体" w:eastAsia="宋体" w:hint="default"/>
                <w:sz w:val="24"/>
                <w:szCs w:val="24"/>
              </w:rPr>
              <w:t>年年报的书面确认意见</w:t>
            </w:r>
          </w:p>
        </w:tc>
      </w:tr>
      <w:tr>
        <w:trPr>
          <w:trHeight w:val="322"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74" w:right="0"/>
              <w:jc w:val="left"/>
              <w:rPr>
                <w:rFonts w:ascii="宋体" w:hAnsi="宋体" w:cs="宋体" w:eastAsia="宋体" w:hint="default"/>
                <w:sz w:val="24"/>
                <w:szCs w:val="24"/>
              </w:rPr>
            </w:pPr>
            <w:r>
              <w:rPr>
                <w:rFonts w:ascii="宋体" w:hAnsi="宋体" w:cs="宋体" w:eastAsia="宋体" w:hint="default"/>
                <w:sz w:val="24"/>
                <w:szCs w:val="24"/>
              </w:rPr>
              <w:t>备查文件目录</w:t>
            </w:r>
          </w:p>
        </w:tc>
        <w:tc>
          <w:tcPr>
            <w:tcW w:w="714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4" w:right="0"/>
              <w:jc w:val="left"/>
              <w:rPr>
                <w:rFonts w:ascii="宋体" w:hAnsi="宋体" w:cs="宋体" w:eastAsia="宋体" w:hint="default"/>
                <w:sz w:val="24"/>
                <w:szCs w:val="24"/>
              </w:rPr>
            </w:pPr>
            <w:r>
              <w:rPr>
                <w:rFonts w:ascii="宋体" w:hAnsi="宋体" w:cs="宋体" w:eastAsia="宋体" w:hint="default"/>
                <w:sz w:val="24"/>
                <w:szCs w:val="24"/>
              </w:rPr>
              <w:t>公司第七届监事会第二十七次会议决议</w:t>
            </w:r>
          </w:p>
        </w:tc>
      </w:tr>
    </w:tbl>
    <w:p>
      <w:pPr>
        <w:spacing w:after="0" w:line="274" w:lineRule="exact"/>
        <w:jc w:val="left"/>
        <w:rPr>
          <w:rFonts w:ascii="宋体" w:hAnsi="宋体" w:cs="宋体" w:eastAsia="宋体" w:hint="default"/>
          <w:sz w:val="24"/>
          <w:szCs w:val="24"/>
        </w:rPr>
        <w:sectPr>
          <w:pgSz w:w="11910" w:h="16840"/>
          <w:pgMar w:header="745" w:footer="1195" w:top="1080" w:bottom="1380" w:left="1060" w:right="1400"/>
        </w:sectPr>
      </w:pPr>
    </w:p>
    <w:p>
      <w:pPr>
        <w:spacing w:line="240" w:lineRule="auto" w:before="5"/>
        <w:rPr>
          <w:rFonts w:ascii="宋体" w:hAnsi="宋体" w:cs="宋体" w:eastAsia="宋体" w:hint="default"/>
          <w:b/>
          <w:bCs/>
          <w:sz w:val="27"/>
          <w:szCs w:val="27"/>
        </w:rPr>
      </w:pPr>
    </w:p>
    <w:tbl>
      <w:tblPr>
        <w:tblW w:w="0" w:type="auto"/>
        <w:jc w:val="left"/>
        <w:tblInd w:w="100" w:type="dxa"/>
        <w:tblLayout w:type="fixed"/>
        <w:tblCellMar>
          <w:top w:w="0" w:type="dxa"/>
          <w:left w:w="0" w:type="dxa"/>
          <w:bottom w:w="0" w:type="dxa"/>
          <w:right w:w="0" w:type="dxa"/>
        </w:tblCellMar>
        <w:tblLook w:val="01E0"/>
      </w:tblPr>
      <w:tblGrid>
        <w:gridCol w:w="1997"/>
        <w:gridCol w:w="7144"/>
      </w:tblGrid>
      <w:tr>
        <w:trPr>
          <w:trHeight w:val="322"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74" w:right="0"/>
              <w:jc w:val="left"/>
              <w:rPr>
                <w:rFonts w:ascii="宋体" w:hAnsi="宋体" w:cs="宋体" w:eastAsia="宋体" w:hint="default"/>
                <w:sz w:val="24"/>
                <w:szCs w:val="24"/>
              </w:rPr>
            </w:pPr>
            <w:r>
              <w:rPr>
                <w:rFonts w:ascii="宋体" w:hAnsi="宋体" w:cs="宋体" w:eastAsia="宋体" w:hint="default"/>
                <w:sz w:val="24"/>
                <w:szCs w:val="24"/>
              </w:rPr>
              <w:t>备查文件目录</w:t>
            </w:r>
          </w:p>
        </w:tc>
        <w:tc>
          <w:tcPr>
            <w:tcW w:w="714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4" w:right="0"/>
              <w:jc w:val="left"/>
              <w:rPr>
                <w:rFonts w:ascii="宋体" w:hAnsi="宋体" w:cs="宋体" w:eastAsia="宋体" w:hint="default"/>
                <w:sz w:val="24"/>
                <w:szCs w:val="24"/>
              </w:rPr>
            </w:pPr>
            <w:r>
              <w:rPr>
                <w:rFonts w:ascii="宋体" w:hAnsi="宋体" w:cs="宋体" w:eastAsia="宋体" w:hint="default"/>
                <w:sz w:val="24"/>
                <w:szCs w:val="24"/>
              </w:rPr>
              <w:t>公司</w:t>
            </w:r>
            <w:r>
              <w:rPr>
                <w:rFonts w:ascii="Times New Roman" w:hAnsi="Times New Roman" w:cs="Times New Roman" w:eastAsia="Times New Roman" w:hint="default"/>
                <w:sz w:val="24"/>
                <w:szCs w:val="24"/>
              </w:rPr>
              <w:t>2019</w:t>
            </w:r>
            <w:r>
              <w:rPr>
                <w:rFonts w:ascii="宋体" w:hAnsi="宋体" w:cs="宋体" w:eastAsia="宋体" w:hint="default"/>
                <w:sz w:val="24"/>
                <w:szCs w:val="24"/>
              </w:rPr>
              <w:t>年度审计报告</w:t>
            </w:r>
          </w:p>
        </w:tc>
      </w:tr>
    </w:tbl>
    <w:p>
      <w:pPr>
        <w:spacing w:line="240" w:lineRule="auto" w:before="9"/>
        <w:rPr>
          <w:rFonts w:ascii="宋体" w:hAnsi="宋体" w:cs="宋体" w:eastAsia="宋体" w:hint="default"/>
          <w:b/>
          <w:bCs/>
          <w:sz w:val="19"/>
          <w:szCs w:val="19"/>
        </w:rPr>
      </w:pPr>
    </w:p>
    <w:p>
      <w:pPr>
        <w:pStyle w:val="BodyText"/>
        <w:spacing w:line="276" w:lineRule="auto" w:before="26"/>
        <w:ind w:left="4705" w:right="381" w:firstLine="2580"/>
        <w:jc w:val="left"/>
      </w:pPr>
      <w:r>
        <w:rPr/>
        <w:t>董事长：王文京 董事会批准报送日期：</w:t>
      </w:r>
      <w:r>
        <w:rPr>
          <w:rFonts w:ascii="Times New Roman" w:hAnsi="Times New Roman" w:cs="Times New Roman" w:eastAsia="Times New Roman" w:hint="default"/>
        </w:rPr>
        <w:t>2020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27 </w:t>
      </w:r>
      <w:r>
        <w:rPr/>
        <w:t>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313" w:lineRule="exact" w:before="184"/>
        <w:ind w:left="136" w:right="0"/>
        <w:jc w:val="left"/>
        <w:rPr>
          <w:b w:val="0"/>
          <w:bCs w:val="0"/>
        </w:rPr>
      </w:pPr>
      <w:r>
        <w:rPr/>
        <w:t>修订信息</w:t>
      </w:r>
      <w:r>
        <w:rPr>
          <w:b w:val="0"/>
          <w:bCs w:val="0"/>
        </w:rPr>
      </w:r>
    </w:p>
    <w:p>
      <w:pPr>
        <w:pStyle w:val="BodyText"/>
        <w:spacing w:line="313" w:lineRule="exact"/>
        <w:ind w:right="0"/>
        <w:jc w:val="left"/>
      </w:pPr>
      <w:r>
        <w:rPr/>
        <w:t>□适用 √不适用</w:t>
      </w:r>
    </w:p>
    <w:sectPr>
      <w:pgSz w:w="11910" w:h="16840"/>
      <w:pgMar w:header="745" w:footer="1195" w:top="1080" w:bottom="1380" w:left="1140" w:right="1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Calibri">
    <w:altName w:val="Calibri"/>
    <w:charset w:val="0"/>
    <w:family w:val="swiss"/>
    <w:pitch w:val="variable"/>
  </w:font>
  <w:font w:name="宋体">
    <w:altName w:val="宋体"/>
    <w:charset w:val="86"/>
    <w:family w:val="auto"/>
    <w:pitch w:val="variable"/>
  </w:font>
  <w:font w:name="黑体">
    <w:altName w:val="黑体"/>
    <w:charset w:val="86"/>
    <w:family w:val="modern"/>
    <w:pitch w:val="fixed"/>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71.145996pt;width:28.8pt;height:11pt;mso-position-horizontal-relative:page;mso-position-vertical-relative:page;z-index:-13413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34099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40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3409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809998pt;margin-top:524.546021pt;width:33.4pt;height:11pt;mso-position-horizontal-relative:page;mso-position-vertical-relative:page;z-index:-13408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47</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809998pt;margin-top:524.546021pt;width:32.4pt;height:11pt;mso-position-horizontal-relative:page;mso-position-vertical-relative:page;z-index:-134087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50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809998pt;margin-top:524.546021pt;width:33.4pt;height:11pt;mso-position-horizontal-relative:page;mso-position-vertical-relative:page;z-index:-134084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51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809998pt;margin-top:524.546021pt;width:32.4pt;height:11pt;mso-position-horizontal-relative:page;mso-position-vertical-relative:page;z-index:-134082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60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34075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61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809998pt;margin-top:784.969971pt;width:28.8pt;height:11pt;mso-position-horizontal-relative:page;mso-position-vertical-relative:page;z-index:-13407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71.145996pt;width:28.8pt;height:11pt;mso-position-horizontal-relative:page;mso-position-vertical-relative:page;z-index:-13406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34063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9.730011pt;margin-top:771.145996pt;width:28.8pt;height:11pt;mso-position-horizontal-relative:page;mso-position-vertical-relative:page;z-index:-13412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5</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34060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34058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20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3405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809998pt;margin-top:524.546021pt;width:33.4pt;height:11pt;mso-position-horizontal-relative:page;mso-position-vertical-relative:page;z-index:-134048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23</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809998pt;margin-top:524.546021pt;width:32.4pt;height:11pt;mso-position-horizontal-relative:page;mso-position-vertical-relative:page;z-index:-134046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30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809998pt;margin-top:524.546021pt;width:33.4pt;height:11pt;mso-position-horizontal-relative:page;mso-position-vertical-relative:page;z-index:-134044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31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3403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35</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3403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40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3403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34029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50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34120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3402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51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34024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60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3402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61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34020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70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3401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71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34015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80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3401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81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34010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90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34008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91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34005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100 </w:t>
                </w:r>
                <w:r>
                  <w:rPr>
                    <w:rFonts w:ascii="Calibri"/>
                    <w:sz w:val="18"/>
                  </w:rPr>
                  <w:t>/</w:t>
                </w:r>
                <w:r>
                  <w:rPr>
                    <w:rFonts w:ascii="Calibri"/>
                    <w:spacing w:val="-5"/>
                    <w:sz w:val="18"/>
                  </w:rPr>
                  <w:t> </w:t>
                </w:r>
                <w:r>
                  <w:rPr>
                    <w:rFonts w:ascii="Calibri"/>
                    <w:b/>
                    <w:sz w:val="18"/>
                  </w:rPr>
                  <w:t>260</w:t>
                </w:r>
                <w:r>
                  <w:rPr>
                    <w:rFonts w:ascii="Calibri"/>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34118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3400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101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34000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110 </w:t>
                </w:r>
                <w:r>
                  <w:rPr>
                    <w:rFonts w:ascii="Calibri"/>
                    <w:sz w:val="18"/>
                  </w:rPr>
                  <w:t>/</w:t>
                </w:r>
                <w:r>
                  <w:rPr>
                    <w:rFonts w:ascii="Calibri"/>
                    <w:spacing w:val="-5"/>
                    <w:sz w:val="18"/>
                  </w:rPr>
                  <w:t> </w:t>
                </w:r>
                <w:r>
                  <w:rPr>
                    <w:rFonts w:ascii="Calibri"/>
                    <w:b/>
                    <w:sz w:val="18"/>
                  </w:rPr>
                  <w:t>260</w:t>
                </w:r>
                <w:r>
                  <w:rPr>
                    <w:rFonts w:ascii="Calibri"/>
                    <w:sz w:val="18"/>
                  </w:rPr>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33998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33996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120 </w:t>
                </w:r>
                <w:r>
                  <w:rPr>
                    <w:rFonts w:ascii="Calibri"/>
                    <w:sz w:val="18"/>
                  </w:rPr>
                  <w:t>/</w:t>
                </w:r>
                <w:r>
                  <w:rPr>
                    <w:rFonts w:ascii="Calibri"/>
                    <w:spacing w:val="-5"/>
                    <w:sz w:val="18"/>
                  </w:rPr>
                  <w:t> </w:t>
                </w:r>
                <w:r>
                  <w:rPr>
                    <w:rFonts w:ascii="Calibri"/>
                    <w:b/>
                    <w:sz w:val="18"/>
                  </w:rPr>
                  <w:t>260</w:t>
                </w:r>
                <w:r>
                  <w:rPr>
                    <w:rFonts w:ascii="Calibri"/>
                    <w:sz w:val="18"/>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3399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121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33991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130 </w:t>
                </w:r>
                <w:r>
                  <w:rPr>
                    <w:rFonts w:ascii="Calibri"/>
                    <w:sz w:val="18"/>
                  </w:rPr>
                  <w:t>/</w:t>
                </w:r>
                <w:r>
                  <w:rPr>
                    <w:rFonts w:ascii="Calibri"/>
                    <w:spacing w:val="-5"/>
                    <w:sz w:val="18"/>
                  </w:rPr>
                  <w:t> </w:t>
                </w:r>
                <w:r>
                  <w:rPr>
                    <w:rFonts w:ascii="Calibri"/>
                    <w:b/>
                    <w:sz w:val="18"/>
                  </w:rPr>
                  <w:t>260</w:t>
                </w:r>
                <w:r>
                  <w:rPr>
                    <w:rFonts w:ascii="Calibri"/>
                    <w:sz w:val="18"/>
                  </w:rPr>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33988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131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9.329987pt;margin-top:524.546021pt;width:37.950pt;height:11pt;mso-position-horizontal-relative:page;mso-position-vertical-relative:page;z-index:-133981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134</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25pt;margin-top:784.969971pt;width:37.950pt;height:11pt;mso-position-horizontal-relative:page;mso-position-vertical-relative:page;z-index:-133974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138</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34116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20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25pt;margin-top:784.969971pt;width:36.950pt;height:11pt;mso-position-horizontal-relative:page;mso-position-vertical-relative:page;z-index:-133972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140 </w:t>
                </w:r>
                <w:r>
                  <w:rPr>
                    <w:rFonts w:ascii="Calibri"/>
                    <w:sz w:val="18"/>
                  </w:rPr>
                  <w:t>/</w:t>
                </w:r>
                <w:r>
                  <w:rPr>
                    <w:rFonts w:ascii="Calibri"/>
                    <w:spacing w:val="-5"/>
                    <w:sz w:val="18"/>
                  </w:rPr>
                  <w:t> </w:t>
                </w:r>
                <w:r>
                  <w:rPr>
                    <w:rFonts w:ascii="Calibri"/>
                    <w:b/>
                    <w:sz w:val="18"/>
                  </w:rPr>
                  <w:t>260</w:t>
                </w:r>
                <w:r>
                  <w:rPr>
                    <w:rFonts w:ascii="Calibri"/>
                    <w:sz w:val="18"/>
                  </w:rPr>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25pt;margin-top:784.969971pt;width:37.950pt;height:11pt;mso-position-horizontal-relative:page;mso-position-vertical-relative:page;z-index:-13396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141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25pt;margin-top:784.969971pt;width:36.950pt;height:11pt;mso-position-horizontal-relative:page;mso-position-vertical-relative:page;z-index:-133967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150 </w:t>
                </w:r>
                <w:r>
                  <w:rPr>
                    <w:rFonts w:ascii="Calibri"/>
                    <w:sz w:val="18"/>
                  </w:rPr>
                  <w:t>/</w:t>
                </w:r>
                <w:r>
                  <w:rPr>
                    <w:rFonts w:ascii="Calibri"/>
                    <w:spacing w:val="-5"/>
                    <w:sz w:val="18"/>
                  </w:rPr>
                  <w:t> </w:t>
                </w:r>
                <w:r>
                  <w:rPr>
                    <w:rFonts w:ascii="Calibri"/>
                    <w:b/>
                    <w:sz w:val="18"/>
                  </w:rPr>
                  <w:t>260</w:t>
                </w:r>
                <w:r>
                  <w:rPr>
                    <w:rFonts w:ascii="Calibri"/>
                    <w:sz w:val="18"/>
                  </w:rPr>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25pt;margin-top:784.969971pt;width:37.950pt;height:11pt;mso-position-horizontal-relative:page;mso-position-vertical-relative:page;z-index:-133964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151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9.25pt;margin-top:784.969971pt;width:36.950pt;height:11pt;mso-position-horizontal-relative:page;mso-position-vertical-relative:page;z-index:-133962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160 </w:t>
                </w:r>
                <w:r>
                  <w:rPr>
                    <w:rFonts w:ascii="Calibri"/>
                    <w:sz w:val="18"/>
                  </w:rPr>
                  <w:t>/</w:t>
                </w:r>
                <w:r>
                  <w:rPr>
                    <w:rFonts w:ascii="Calibri"/>
                    <w:spacing w:val="-5"/>
                    <w:sz w:val="18"/>
                  </w:rPr>
                  <w:t> </w:t>
                </w:r>
                <w:r>
                  <w:rPr>
                    <w:rFonts w:ascii="Calibri"/>
                    <w:b/>
                    <w:sz w:val="18"/>
                  </w:rPr>
                  <w:t>260</w:t>
                </w:r>
                <w:r>
                  <w:rPr>
                    <w:rFonts w:ascii="Calibri"/>
                    <w:sz w:val="18"/>
                  </w:rPr>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25pt;margin-top:784.969971pt;width:37.950pt;height:11pt;mso-position-horizontal-relative:page;mso-position-vertical-relative:page;z-index:-13396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161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3411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25pt;margin-top:784.969971pt;width:37.950pt;height:11pt;mso-position-horizontal-relative:page;mso-position-vertical-relative:page;z-index:-13393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173</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33928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178</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33926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180 </w:t>
                </w:r>
                <w:r>
                  <w:rPr>
                    <w:rFonts w:ascii="Calibri"/>
                    <w:sz w:val="18"/>
                  </w:rPr>
                  <w:t>/</w:t>
                </w:r>
                <w:r>
                  <w:rPr>
                    <w:rFonts w:ascii="Calibri"/>
                    <w:spacing w:val="-5"/>
                    <w:sz w:val="18"/>
                  </w:rPr>
                  <w:t> </w:t>
                </w:r>
                <w:r>
                  <w:rPr>
                    <w:rFonts w:ascii="Calibri"/>
                    <w:b/>
                    <w:sz w:val="18"/>
                  </w:rPr>
                  <w:t>260</w:t>
                </w:r>
                <w:r>
                  <w:rPr>
                    <w:rFonts w:ascii="Calibri"/>
                    <w:sz w:val="18"/>
                  </w:rPr>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33924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181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33921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190 </w:t>
                </w:r>
                <w:r>
                  <w:rPr>
                    <w:rFonts w:ascii="Calibri"/>
                    <w:sz w:val="18"/>
                  </w:rPr>
                  <w:t>/</w:t>
                </w:r>
                <w:r>
                  <w:rPr>
                    <w:rFonts w:ascii="Calibri"/>
                    <w:spacing w:val="-5"/>
                    <w:sz w:val="18"/>
                  </w:rPr>
                  <w:t> </w:t>
                </w:r>
                <w:r>
                  <w:rPr>
                    <w:rFonts w:ascii="Calibri"/>
                    <w:b/>
                    <w:sz w:val="18"/>
                  </w:rPr>
                  <w:t>260</w:t>
                </w:r>
                <w:r>
                  <w:rPr>
                    <w:rFonts w:ascii="Calibri"/>
                    <w:sz w:val="18"/>
                  </w:rPr>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3391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191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3410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25</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34104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30 </w:t>
                </w:r>
                <w:r>
                  <w:rPr>
                    <w:rFonts w:ascii="Calibri"/>
                    <w:sz w:val="18"/>
                  </w:rPr>
                  <w:t>/</w:t>
                </w:r>
                <w:r>
                  <w:rPr>
                    <w:rFonts w:ascii="Calibri"/>
                    <w:spacing w:val="-4"/>
                    <w:sz w:val="18"/>
                  </w:rPr>
                  <w:t> </w:t>
                </w:r>
                <w:r>
                  <w:rPr>
                    <w:rFonts w:ascii="Calibri"/>
                    <w:b/>
                    <w:sz w:val="18"/>
                  </w:rPr>
                  <w:t>260</w:t>
                </w:r>
                <w:r>
                  <w:rPr>
                    <w:rFonts w:ascii="Calibri"/>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34101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31</w:t>
                </w:r>
                <w:r>
                  <w:rPr/>
                  <w:fldChar w:fldCharType="end"/>
                </w:r>
                <w:r>
                  <w:rPr>
                    <w:rFonts w:ascii="Calibri"/>
                    <w:b/>
                    <w:sz w:val="18"/>
                  </w:rPr>
                  <w:t> </w:t>
                </w:r>
                <w:r>
                  <w:rPr>
                    <w:rFonts w:ascii="Calibri"/>
                    <w:sz w:val="18"/>
                  </w:rPr>
                  <w:t>/</w:t>
                </w:r>
                <w:r>
                  <w:rPr>
                    <w:rFonts w:ascii="Calibri"/>
                    <w:spacing w:val="-3"/>
                    <w:sz w:val="18"/>
                  </w:rPr>
                  <w:t> </w:t>
                </w:r>
                <w:r>
                  <w:rPr>
                    <w:rFonts w:ascii="Calibri"/>
                    <w:b/>
                    <w:sz w:val="18"/>
                  </w:rPr>
                  <w:t>260</w:t>
                </w:r>
                <w:r>
                  <w:rPr>
                    <w:rFonts w:ascii="Calibri"/>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463997pt;margin-top:55.799984pt;width:443.35pt;height:.1pt;mso-position-horizontal-relative:page;mso-position-vertical-relative:page;z-index:-1341352" coordorigin="1769,1116" coordsize="8867,2">
          <v:shape style="position:absolute;left:1769;top:1116;width:8867;height:2" coordorigin="1769,1116" coordsize="8867,0" path="m1769,1116l10636,1116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276.369995pt;margin-top:42.985607pt;width:67.55pt;height:12pt;mso-position-horizontal-relative:page;mso-position-vertical-relative:page;z-index:-134132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55.920006pt;width:695.4pt;height:.1pt;mso-position-horizontal-relative:page;mso-position-vertical-relative:page;z-index:-1339864" coordorigin="1411,1118" coordsize="13908,2">
          <v:shape style="position:absolute;left:1411;top:1118;width:13908;height:2" coordorigin="1411,1118" coordsize="13908,0" path="m1411,1118l15319,1118e" filled="false" stroked="true" strokeweight=".72pt" strokecolor="#000000">
            <v:path arrowok="t"/>
          </v:shape>
          <w10:wrap type="none"/>
        </v:group>
      </w:pict>
    </w:r>
    <w:r>
      <w:rPr/>
      <w:pict>
        <v:shape style="position:absolute;margin-left:384.48999pt;margin-top:43.105633pt;width:67.55pt;height:12pt;mso-position-horizontal-relative:page;mso-position-vertical-relative:page;z-index:-133984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463997pt;margin-top:49.079979pt;width:417.45pt;height:.1pt;mso-position-horizontal-relative:page;mso-position-vertical-relative:page;z-index:-1339792" coordorigin="1769,982" coordsize="8349,2">
          <v:shape style="position:absolute;left:1769;top:982;width:8349;height:2" coordorigin="1769,982" coordsize="8349,0" path="m1769,982l10118,982e" filled="false" stroked="true" strokeweight=".72pt" strokecolor="#000000">
            <v:path arrowok="t"/>
          </v:shape>
          <w10:wrap type="none"/>
        </v:group>
      </w:pict>
    </w:r>
    <w:r>
      <w:rPr/>
      <w:pict>
        <v:shape style="position:absolute;margin-left:263.410004pt;margin-top:36.265602pt;width:67.55pt;height:12pt;mso-position-horizontal-relative:page;mso-position-vertical-relative:page;z-index:-133976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463997pt;margin-top:49.079979pt;width:417.45pt;height:.1pt;mso-position-horizontal-relative:page;mso-position-vertical-relative:page;z-index:-1339576" coordorigin="1769,982" coordsize="8349,2">
          <v:shape style="position:absolute;left:1769;top:982;width:8349;height:2" coordorigin="1769,982" coordsize="8349,0" path="m1769,982l10118,982e" filled="false" stroked="true" strokeweight=".72pt" strokecolor="#000000">
            <v:path arrowok="t"/>
          </v:shape>
          <w10:wrap type="none"/>
        </v:group>
      </w:pict>
    </w:r>
    <w:r>
      <w:rPr/>
      <w:pict>
        <v:shape style="position:absolute;margin-left:263.410004pt;margin-top:36.265602pt;width:67.55pt;height:12pt;mso-position-horizontal-relative:page;mso-position-vertical-relative:page;z-index:-133955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463997pt;margin-top:49.079979pt;width:417.45pt;height:.1pt;mso-position-horizontal-relative:page;mso-position-vertical-relative:page;z-index:-1339528" coordorigin="1769,982" coordsize="8349,2">
          <v:shape style="position:absolute;left:1769;top:982;width:8349;height:2" coordorigin="1769,982" coordsize="8349,0" path="m1769,982l10118,982e" filled="false" stroked="true" strokeweight=".72pt" strokecolor="#000000">
            <v:path arrowok="t"/>
          </v:shape>
          <w10:wrap type="none"/>
        </v:group>
      </w:pict>
    </w:r>
    <w:r>
      <w:rPr/>
      <w:pict>
        <v:shape style="position:absolute;margin-left:263.410004pt;margin-top:36.265602pt;width:67.55pt;height:12pt;mso-position-horizontal-relative:page;mso-position-vertical-relative:page;z-index:-133950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463997pt;margin-top:49.079979pt;width:417.45pt;height:.1pt;mso-position-horizontal-relative:page;mso-position-vertical-relative:page;z-index:-1339480" coordorigin="1769,982" coordsize="8349,2">
          <v:shape style="position:absolute;left:1769;top:982;width:8349;height:2" coordorigin="1769,982" coordsize="8349,0" path="m1769,982l10118,982e" filled="false" stroked="true" strokeweight=".72pt" strokecolor="#000000">
            <v:path arrowok="t"/>
          </v:shape>
          <w10:wrap type="none"/>
        </v:group>
      </w:pict>
    </w:r>
    <w:r>
      <w:rPr/>
      <w:pict>
        <v:shape style="position:absolute;margin-left:263.410004pt;margin-top:36.265602pt;width:67.55pt;height:12pt;mso-position-horizontal-relative:page;mso-position-vertical-relative:page;z-index:-133945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463997pt;margin-top:49.079979pt;width:417.45pt;height:.1pt;mso-position-horizontal-relative:page;mso-position-vertical-relative:page;z-index:-1339432" coordorigin="1769,982" coordsize="8349,2">
          <v:shape style="position:absolute;left:1769;top:982;width:8349;height:2" coordorigin="1769,982" coordsize="8349,0" path="m1769,982l10118,982e" filled="false" stroked="true" strokeweight=".72pt" strokecolor="#000000">
            <v:path arrowok="t"/>
          </v:shape>
          <w10:wrap type="none"/>
        </v:group>
      </w:pict>
    </w:r>
    <w:r>
      <w:rPr/>
      <w:pict>
        <v:shape style="position:absolute;margin-left:263.410004pt;margin-top:36.265602pt;width:67.55pt;height:12pt;mso-position-horizontal-relative:page;mso-position-vertical-relative:page;z-index:-133940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463997pt;margin-top:49.079979pt;width:417.45pt;height:.1pt;mso-position-horizontal-relative:page;mso-position-vertical-relative:page;z-index:-1339384" coordorigin="1769,982" coordsize="8349,2">
          <v:shape style="position:absolute;left:1769;top:982;width:8349;height:2" coordorigin="1769,982" coordsize="8349,0" path="m1769,982l10118,982e" filled="false" stroked="true" strokeweight=".72pt" strokecolor="#000000">
            <v:path arrowok="t"/>
          </v:shape>
          <w10:wrap type="none"/>
        </v:group>
      </w:pict>
    </w:r>
    <w:r>
      <w:rPr/>
      <w:pict>
        <v:shape style="position:absolute;margin-left:263.410004pt;margin-top:36.265602pt;width:67.55pt;height:12pt;mso-position-horizontal-relative:page;mso-position-vertical-relative:page;z-index:-133936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3.410004pt;margin-top:36.265602pt;width:67.55pt;height:12pt;mso-position-horizontal-relative:page;mso-position-vertical-relative:page;z-index:-133931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400002pt;margin-top:55.799984pt;width:443.4pt;height:.1pt;mso-position-horizontal-relative:page;mso-position-vertical-relative:page;z-index:-1341280" coordorigin="1248,1116" coordsize="8868,2">
          <v:shape style="position:absolute;left:1248;top:1116;width:8868;height:2" coordorigin="1248,1116" coordsize="8868,0" path="m1248,1116l10116,1116e" filled="false" stroked="true" strokeweight=".72pt" strokecolor="#000000">
            <v:path arrowok="t"/>
          </v:shape>
          <w10:wrap type="none"/>
        </v:group>
      </w:pict>
    </w:r>
    <w:r>
      <w:rPr/>
      <w:pict>
        <v:shape style="position:absolute;margin-left:250.330002pt;margin-top:42.985607pt;width:67.55pt;height:12pt;mso-position-horizontal-relative:page;mso-position-vertical-relative:page;z-index:-134125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463997pt;margin-top:55.799984pt;width:443.35pt;height:.1pt;mso-position-horizontal-relative:page;mso-position-vertical-relative:page;z-index:-1341112" coordorigin="1769,1116" coordsize="8867,2">
          <v:shape style="position:absolute;left:1769;top:1116;width:8867;height:2" coordorigin="1769,1116" coordsize="8867,0" path="m1769,1116l10636,1116e" filled="false" stroked="true" strokeweight=".72pt" strokecolor="#000000">
            <v:path arrowok="t"/>
          </v:shape>
          <w10:wrap type="none"/>
        </v:group>
      </w:pict>
    </w:r>
    <w:r>
      <w:rPr/>
      <w:pict>
        <v:shape style="position:absolute;margin-left:276.369995pt;margin-top:42.985607pt;width:67.55pt;height:12pt;mso-position-horizontal-relative:page;mso-position-vertical-relative:page;z-index:-134108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4.760002pt;margin-top:55.800007pt;width:695.4pt;height:.1pt;mso-position-horizontal-relative:page;mso-position-vertical-relative:page;z-index:-1340944" coordorigin="1495,1116" coordsize="13908,2">
          <v:shape style="position:absolute;left:1495;top:1116;width:13908;height:2" coordorigin="1495,1116" coordsize="13908,0" path="m1495,1116l15403,1116e" filled="false" stroked="true" strokeweight=".72pt" strokecolor="#000000">
            <v:path arrowok="t"/>
          </v:shape>
          <w10:wrap type="none"/>
        </v:group>
      </w:pict>
    </w:r>
    <w:r>
      <w:rPr/>
      <w:pict>
        <v:shape style="position:absolute;margin-left:388.690002pt;margin-top:42.985634pt;width:67.55pt;height:12pt;mso-position-horizontal-relative:page;mso-position-vertical-relative:page;z-index:-134092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463997pt;margin-top:55.559982pt;width:443.35pt;height:.1pt;mso-position-horizontal-relative:page;mso-position-vertical-relative:page;z-index:-1340800" coordorigin="1769,1111" coordsize="8867,2">
          <v:shape style="position:absolute;left:1769;top:1111;width:8867;height:2" coordorigin="1769,1111" coordsize="8867,0" path="m1769,1111l10636,1111e" filled="false" stroked="true" strokeweight=".72pt" strokecolor="#000000">
            <v:path arrowok="t"/>
          </v:shape>
          <w10:wrap type="none"/>
        </v:group>
      </w:pict>
    </w:r>
    <w:r>
      <w:rPr/>
      <w:pict>
        <v:shape style="position:absolute;margin-left:276.369995pt;margin-top:42.865608pt;width:67.55pt;height:12pt;mso-position-horizontal-relative:page;mso-position-vertical-relative:page;z-index:-134077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3.410004pt;margin-top:36.145607pt;width:67.55pt;height:12pt;mso-position-horizontal-relative:page;mso-position-vertical-relative:page;z-index:-134072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3.410004pt;margin-top:36.265602pt;width:67.55pt;height:12pt;mso-position-horizontal-relative:page;mso-position-vertical-relative:page;z-index:-134068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4.760002pt;margin-top:55.920006pt;width:695.4pt;height:.1pt;mso-position-horizontal-relative:page;mso-position-vertical-relative:page;z-index:-1340536" coordorigin="1495,1118" coordsize="13908,2">
          <v:shape style="position:absolute;left:1495;top:1118;width:13908;height:2" coordorigin="1495,1118" coordsize="13908,0" path="m1495,1118l15403,1118e" filled="false" stroked="true" strokeweight=".72pt" strokecolor="#000000">
            <v:path arrowok="t"/>
          </v:shape>
          <w10:wrap type="none"/>
        </v:group>
      </w:pict>
    </w:r>
    <w:r>
      <w:rPr/>
      <w:pict>
        <v:shape style="position:absolute;margin-left:388.690002pt;margin-top:43.105633pt;width:67.55pt;height:12pt;mso-position-horizontal-relative:page;mso-position-vertical-relative:page;z-index:-134051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400002pt;margin-top:55.919983pt;width:443.4pt;height:.1pt;mso-position-horizontal-relative:page;mso-position-vertical-relative:page;z-index:-1340416" coordorigin="1248,1118" coordsize="8868,2">
          <v:shape style="position:absolute;left:1248;top:1118;width:8868;height:2" coordorigin="1248,1118" coordsize="8868,0" path="m1248,1118l10116,1118e" filled="false" stroked="true" strokeweight=".72pt" strokecolor="#000000">
            <v:path arrowok="t"/>
          </v:shape>
          <w10:wrap type="none"/>
        </v:group>
      </w:pict>
    </w:r>
    <w:r>
      <w:rPr/>
      <w:pict>
        <v:shape style="position:absolute;margin-left:250.330002pt;margin-top:43.105606pt;width:67.55pt;height:12pt;mso-position-horizontal-relative:page;mso-position-vertical-relative:page;z-index:-134039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35"/>
      <w:ind w:left="138"/>
    </w:pPr>
    <w:rPr>
      <w:rFonts w:ascii="宋体" w:hAnsi="宋体" w:eastAsia="宋体"/>
      <w:b/>
      <w:bCs/>
      <w:sz w:val="24"/>
      <w:szCs w:val="24"/>
    </w:rPr>
  </w:style>
  <w:style w:styleId="BodyText" w:type="paragraph">
    <w:name w:val="Body Text"/>
    <w:basedOn w:val="Normal"/>
    <w:uiPriority w:val="1"/>
    <w:qFormat/>
    <w:pPr>
      <w:ind w:left="136"/>
    </w:pPr>
    <w:rPr>
      <w:rFonts w:ascii="宋体" w:hAnsi="宋体" w:eastAsia="宋体"/>
      <w:sz w:val="24"/>
      <w:szCs w:val="24"/>
    </w:rPr>
  </w:style>
  <w:style w:styleId="Heading1" w:type="paragraph">
    <w:name w:val="Heading 1"/>
    <w:basedOn w:val="Normal"/>
    <w:uiPriority w:val="1"/>
    <w:qFormat/>
    <w:pPr>
      <w:spacing w:before="14"/>
      <w:outlineLvl w:val="1"/>
    </w:pPr>
    <w:rPr>
      <w:rFonts w:ascii="黑体" w:hAnsi="黑体" w:eastAsia="黑体"/>
      <w:b/>
      <w:bCs/>
      <w:sz w:val="28"/>
      <w:szCs w:val="28"/>
    </w:rPr>
  </w:style>
  <w:style w:styleId="Heading2" w:type="paragraph">
    <w:name w:val="Heading 2"/>
    <w:basedOn w:val="Normal"/>
    <w:uiPriority w:val="1"/>
    <w:qFormat/>
    <w:pPr>
      <w:ind w:left="216"/>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yperlink" Target="mailto:ir@yonyou.com" TargetMode="External"/><Relationship Id="rId10" Type="http://schemas.openxmlformats.org/officeDocument/2006/relationships/hyperlink" Target="http://www.yonyou.com/" TargetMode="External"/><Relationship Id="rId11" Type="http://schemas.openxmlformats.org/officeDocument/2006/relationships/hyperlink" Target="http://www.sse.com.cn/" TargetMode="Externa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header" Target="header3.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footer" Target="footer11.xml"/><Relationship Id="rId30" Type="http://schemas.openxmlformats.org/officeDocument/2006/relationships/image" Target="media/image9.png"/><Relationship Id="rId31" Type="http://schemas.openxmlformats.org/officeDocument/2006/relationships/image" Target="media/image10.jpeg"/><Relationship Id="rId32" Type="http://schemas.openxmlformats.org/officeDocument/2006/relationships/header" Target="header4.xml"/><Relationship Id="rId33" Type="http://schemas.openxmlformats.org/officeDocument/2006/relationships/footer" Target="footer12.xml"/><Relationship Id="rId34" Type="http://schemas.openxmlformats.org/officeDocument/2006/relationships/footer" Target="footer13.xml"/><Relationship Id="rId35" Type="http://schemas.openxmlformats.org/officeDocument/2006/relationships/footer" Target="footer14.xml"/><Relationship Id="rId36" Type="http://schemas.openxmlformats.org/officeDocument/2006/relationships/footer" Target="footer15.xml"/><Relationship Id="rId37" Type="http://schemas.openxmlformats.org/officeDocument/2006/relationships/header" Target="header5.xml"/><Relationship Id="rId38" Type="http://schemas.openxmlformats.org/officeDocument/2006/relationships/footer" Target="footer16.xml"/><Relationship Id="rId39" Type="http://schemas.openxmlformats.org/officeDocument/2006/relationships/image" Target="media/image11.png"/><Relationship Id="rId40" Type="http://schemas.openxmlformats.org/officeDocument/2006/relationships/header" Target="header6.xml"/><Relationship Id="rId41" Type="http://schemas.openxmlformats.org/officeDocument/2006/relationships/footer" Target="footer17.xml"/><Relationship Id="rId42" Type="http://schemas.openxmlformats.org/officeDocument/2006/relationships/header" Target="header7.xml"/><Relationship Id="rId43" Type="http://schemas.openxmlformats.org/officeDocument/2006/relationships/footer" Target="footer18.xml"/><Relationship Id="rId44" Type="http://schemas.openxmlformats.org/officeDocument/2006/relationships/footer" Target="footer19.xml"/><Relationship Id="rId45" Type="http://schemas.openxmlformats.org/officeDocument/2006/relationships/footer" Target="footer20.xml"/><Relationship Id="rId46" Type="http://schemas.openxmlformats.org/officeDocument/2006/relationships/footer" Target="footer21.xml"/><Relationship Id="rId47" Type="http://schemas.openxmlformats.org/officeDocument/2006/relationships/footer" Target="footer22.xml"/><Relationship Id="rId48" Type="http://schemas.openxmlformats.org/officeDocument/2006/relationships/header" Target="header8.xml"/><Relationship Id="rId49" Type="http://schemas.openxmlformats.org/officeDocument/2006/relationships/footer" Target="footer23.xml"/><Relationship Id="rId50" Type="http://schemas.openxmlformats.org/officeDocument/2006/relationships/footer" Target="footer24.xml"/><Relationship Id="rId51" Type="http://schemas.openxmlformats.org/officeDocument/2006/relationships/footer" Target="footer25.xml"/><Relationship Id="rId52" Type="http://schemas.openxmlformats.org/officeDocument/2006/relationships/header" Target="header9.xml"/><Relationship Id="rId53" Type="http://schemas.openxmlformats.org/officeDocument/2006/relationships/footer" Target="footer26.xml"/><Relationship Id="rId54" Type="http://schemas.openxmlformats.org/officeDocument/2006/relationships/footer" Target="footer27.xml"/><Relationship Id="rId55" Type="http://schemas.openxmlformats.org/officeDocument/2006/relationships/footer" Target="footer28.xml"/><Relationship Id="rId56" Type="http://schemas.openxmlformats.org/officeDocument/2006/relationships/footer" Target="footer29.xml"/><Relationship Id="rId57" Type="http://schemas.openxmlformats.org/officeDocument/2006/relationships/footer" Target="footer30.xml"/><Relationship Id="rId58" Type="http://schemas.openxmlformats.org/officeDocument/2006/relationships/footer" Target="footer31.xml"/><Relationship Id="rId59" Type="http://schemas.openxmlformats.org/officeDocument/2006/relationships/footer" Target="footer32.xml"/><Relationship Id="rId60" Type="http://schemas.openxmlformats.org/officeDocument/2006/relationships/footer" Target="footer33.xml"/><Relationship Id="rId61" Type="http://schemas.openxmlformats.org/officeDocument/2006/relationships/footer" Target="footer34.xml"/><Relationship Id="rId62" Type="http://schemas.openxmlformats.org/officeDocument/2006/relationships/footer" Target="footer35.xml"/><Relationship Id="rId63" Type="http://schemas.openxmlformats.org/officeDocument/2006/relationships/footer" Target="footer36.xml"/><Relationship Id="rId64" Type="http://schemas.openxmlformats.org/officeDocument/2006/relationships/footer" Target="footer37.xml"/><Relationship Id="rId65" Type="http://schemas.openxmlformats.org/officeDocument/2006/relationships/footer" Target="footer38.xml"/><Relationship Id="rId66" Type="http://schemas.openxmlformats.org/officeDocument/2006/relationships/footer" Target="footer39.xml"/><Relationship Id="rId67" Type="http://schemas.openxmlformats.org/officeDocument/2006/relationships/footer" Target="footer40.xml"/><Relationship Id="rId68" Type="http://schemas.openxmlformats.org/officeDocument/2006/relationships/footer" Target="footer41.xml"/><Relationship Id="rId69" Type="http://schemas.openxmlformats.org/officeDocument/2006/relationships/footer" Target="footer42.xml"/><Relationship Id="rId70" Type="http://schemas.openxmlformats.org/officeDocument/2006/relationships/footer" Target="footer43.xml"/><Relationship Id="rId71" Type="http://schemas.openxmlformats.org/officeDocument/2006/relationships/footer" Target="footer44.xml"/><Relationship Id="rId72" Type="http://schemas.openxmlformats.org/officeDocument/2006/relationships/footer" Target="footer45.xml"/><Relationship Id="rId73" Type="http://schemas.openxmlformats.org/officeDocument/2006/relationships/footer" Target="footer46.xml"/><Relationship Id="rId74" Type="http://schemas.openxmlformats.org/officeDocument/2006/relationships/header" Target="header10.xml"/><Relationship Id="rId75" Type="http://schemas.openxmlformats.org/officeDocument/2006/relationships/footer" Target="footer47.xml"/><Relationship Id="rId76" Type="http://schemas.openxmlformats.org/officeDocument/2006/relationships/header" Target="header11.xml"/><Relationship Id="rId77" Type="http://schemas.openxmlformats.org/officeDocument/2006/relationships/footer" Target="footer48.xml"/><Relationship Id="rId78" Type="http://schemas.openxmlformats.org/officeDocument/2006/relationships/footer" Target="footer49.xml"/><Relationship Id="rId79" Type="http://schemas.openxmlformats.org/officeDocument/2006/relationships/footer" Target="footer50.xml"/><Relationship Id="rId80" Type="http://schemas.openxmlformats.org/officeDocument/2006/relationships/footer" Target="footer51.xml"/><Relationship Id="rId81" Type="http://schemas.openxmlformats.org/officeDocument/2006/relationships/footer" Target="footer52.xml"/><Relationship Id="rId82" Type="http://schemas.openxmlformats.org/officeDocument/2006/relationships/footer" Target="footer53.xml"/><Relationship Id="rId83" Type="http://schemas.openxmlformats.org/officeDocument/2006/relationships/footer" Target="footer54.xml"/><Relationship Id="rId84" Type="http://schemas.openxmlformats.org/officeDocument/2006/relationships/footer" Target="footer55.xml"/><Relationship Id="rId85" Type="http://schemas.openxmlformats.org/officeDocument/2006/relationships/header" Target="header12.xml"/><Relationship Id="rId86" Type="http://schemas.openxmlformats.org/officeDocument/2006/relationships/footer" Target="footer56.xml"/><Relationship Id="rId87" Type="http://schemas.openxmlformats.org/officeDocument/2006/relationships/header" Target="header13.xml"/><Relationship Id="rId88" Type="http://schemas.openxmlformats.org/officeDocument/2006/relationships/footer" Target="footer57.xml"/><Relationship Id="rId89" Type="http://schemas.openxmlformats.org/officeDocument/2006/relationships/header" Target="header14.xml"/><Relationship Id="rId90" Type="http://schemas.openxmlformats.org/officeDocument/2006/relationships/footer" Target="footer58.xml"/><Relationship Id="rId91" Type="http://schemas.openxmlformats.org/officeDocument/2006/relationships/header" Target="header15.xml"/><Relationship Id="rId92" Type="http://schemas.openxmlformats.org/officeDocument/2006/relationships/footer" Target="footer59.xml"/><Relationship Id="rId93" Type="http://schemas.openxmlformats.org/officeDocument/2006/relationships/header" Target="header16.xml"/><Relationship Id="rId94" Type="http://schemas.openxmlformats.org/officeDocument/2006/relationships/footer" Target="footer60.xml"/><Relationship Id="rId95" Type="http://schemas.openxmlformats.org/officeDocument/2006/relationships/footer" Target="footer61.xml"/><Relationship Id="rId96" Type="http://schemas.openxmlformats.org/officeDocument/2006/relationships/header" Target="header17.xml"/><Relationship Id="rId97" Type="http://schemas.openxmlformats.org/officeDocument/2006/relationships/footer" Target="footer62.xml"/><Relationship Id="rId98" Type="http://schemas.openxmlformats.org/officeDocument/2006/relationships/footer" Target="footer63.xml"/><Relationship Id="rId99" Type="http://schemas.openxmlformats.org/officeDocument/2006/relationships/footer" Target="footer64.xml"/><Relationship Id="rId100" Type="http://schemas.openxmlformats.org/officeDocument/2006/relationships/footer" Target="footer65.xml"/><Relationship Id="rId101" Type="http://schemas.openxmlformats.org/officeDocument/2006/relationships/footer" Target="footer6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czq</dc:creator>
  <dc:title>股份有限公司</dc:title>
  <dcterms:created xsi:type="dcterms:W3CDTF">2020-05-19T01:12:10Z</dcterms:created>
  <dcterms:modified xsi:type="dcterms:W3CDTF">2020-05-19T01:12:10Z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2020-03-27T00:00:00Z</vt:filetime>
  </property>
  <property fmtid="{D5CDD505-2E9C-101B-9397-08002B2CF9AE}" pid="3" name="Creator">
    <vt:lpwstr>Microsoft® Office Word 2007</vt:lpwstr>
  </property>
  <property fmtid="{D5CDD505-2E9C-101B-9397-08002B2CF9AE}" pid="4" name="LastSaved">
    <vt:filetime>2020-05-18T00:00:00Z</vt:filetime>
  </property>
</Properties>
</file>